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193"/>
      <w:bookmarkStart w:id="2" w:name="_Toc15378441"/>
      <w:bookmarkStart w:id="3" w:name="_Toc15396597"/>
      <w:bookmarkStart w:id="4" w:name="_Toc15377425"/>
      <w:bookmarkStart w:id="5" w:name="_Toc15396475"/>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476"/>
      <w:bookmarkStart w:id="7" w:name="_Toc15377194"/>
      <w:bookmarkStart w:id="8" w:name="_Toc15377426"/>
      <w:bookmarkStart w:id="9" w:name="_Toc15378442"/>
      <w:bookmarkStart w:id="10" w:name="_Toc15396598"/>
      <w:r>
        <w:rPr>
          <w:rFonts w:hint="eastAsia" w:ascii="方正小标宋简体" w:hAnsi="方正小标宋简体" w:eastAsia="方正小标宋简体" w:cs="方正小标宋简体"/>
          <w:sz w:val="72"/>
          <w:szCs w:val="72"/>
        </w:rPr>
        <w:t>剑阁县</w:t>
      </w:r>
      <w:bookmarkEnd w:id="0"/>
      <w:bookmarkStart w:id="11" w:name="_Toc15306268"/>
      <w:r>
        <w:rPr>
          <w:rFonts w:hint="eastAsia" w:ascii="方正小标宋简体" w:hAnsi="方正小标宋简体" w:eastAsia="方正小标宋简体" w:cs="方正小标宋简体"/>
          <w:sz w:val="72"/>
          <w:szCs w:val="72"/>
          <w:lang w:eastAsia="zh-CN"/>
        </w:rPr>
        <w:t>义兴小学校</w:t>
      </w:r>
      <w:r>
        <w:rPr>
          <w:rFonts w:hint="eastAsia" w:ascii="方正小标宋简体" w:hAnsi="方正小标宋简体" w:eastAsia="方正小标宋简体" w:cs="方正小标宋简体"/>
          <w:sz w:val="72"/>
          <w:szCs w:val="72"/>
        </w:rPr>
        <w:t>决算</w:t>
      </w:r>
      <w:bookmarkEnd w:id="6"/>
      <w:bookmarkEnd w:id="7"/>
      <w:bookmarkEnd w:id="8"/>
      <w:bookmarkEnd w:id="9"/>
      <w:bookmarkEnd w:id="10"/>
      <w:bookmarkEnd w:id="11"/>
    </w:p>
    <w:p>
      <w:pPr>
        <w:widowControl/>
        <w:jc w:val="center"/>
        <w:rPr>
          <w:rFonts w:ascii="黑体" w:hAnsi="黑体" w:eastAsia="黑体"/>
          <w:sz w:val="48"/>
          <w:szCs w:val="48"/>
        </w:rPr>
      </w:pPr>
      <w:r>
        <w:rPr>
          <w:rFonts w:hint="eastAsia" w:ascii="方正小标宋简体" w:hAnsi="方正小标宋简体" w:eastAsia="方正小标宋简体" w:cs="方正小标宋简体"/>
          <w:sz w:val="72"/>
          <w:szCs w:val="72"/>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公开时间：2023年</w:t>
      </w:r>
      <w:r>
        <w:rPr>
          <w:rFonts w:hint="eastAsia"/>
          <w:lang w:val="en-US" w:eastAsia="zh-CN"/>
        </w:rPr>
        <w:t>11</w:t>
      </w:r>
      <w:r>
        <w:rPr>
          <w:rFonts w:hint="eastAsia"/>
        </w:rPr>
        <w:t>月</w:t>
      </w:r>
      <w:r>
        <w:rPr>
          <w:rFonts w:hint="eastAsia"/>
          <w:lang w:val="en-US" w:eastAsia="zh-CN"/>
        </w:rPr>
        <w:t>28</w:t>
      </w:r>
      <w:r>
        <w:rPr>
          <w:rFonts w:hint="eastAsia"/>
        </w:rPr>
        <w:t>日</w:t>
      </w:r>
    </w:p>
    <w:p/>
    <w:p>
      <w:pPr>
        <w:pStyle w:val="10"/>
        <w:adjustRightInd w:val="0"/>
        <w:snapToGrid w:val="0"/>
        <w:spacing w:before="0" w:line="440" w:lineRule="exact"/>
        <w:jc w:val="both"/>
        <w:rPr>
          <w:rFonts w:asciiTheme="minorEastAsia" w:hAnsiTheme="minorEastAsia" w:eastAsiaTheme="minorEastAsia"/>
          <w:sz w:val="24"/>
          <w:szCs w:val="24"/>
        </w:rPr>
      </w:pPr>
      <w:bookmarkStart w:id="12" w:name="_Toc15396599"/>
      <w:bookmarkStart w:id="13" w:name="_Toc15377196"/>
      <w:r>
        <w:rPr>
          <w:rFonts w:hint="eastAsia" w:asciiTheme="minorEastAsia" w:hAnsiTheme="minorEastAsia" w:eastAsiaTheme="minorEastAsia"/>
          <w:sz w:val="24"/>
          <w:szCs w:val="24"/>
        </w:rPr>
        <w:t>第一部分</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部门概况</w:t>
      </w:r>
      <w:r>
        <w:rPr>
          <w:rFonts w:asciiTheme="minorEastAsia" w:hAnsiTheme="minorEastAsia" w:eastAsiaTheme="minorEastAsia"/>
          <w:sz w:val="24"/>
          <w:szCs w:val="24"/>
        </w:rPr>
        <w:t>…………………………………………………………</w:t>
      </w:r>
      <w:r>
        <w:rPr>
          <w:rFonts w:hint="eastAsia" w:asciiTheme="minorEastAsia" w:hAnsiTheme="minorEastAsia" w:eastAsiaTheme="minorEastAsia"/>
          <w:sz w:val="24"/>
          <w:szCs w:val="24"/>
        </w:rPr>
        <w:t>01</w:t>
      </w:r>
    </w:p>
    <w:p>
      <w:pPr>
        <w:pStyle w:val="11"/>
        <w:adjustRightInd w:val="0"/>
        <w:snapToGrid w:val="0"/>
        <w:spacing w:line="440" w:lineRule="exact"/>
        <w:ind w:left="0" w:leftChars="0"/>
        <w:rPr>
          <w:rFonts w:asciiTheme="minorEastAsia" w:hAnsiTheme="minorEastAsia" w:eastAsiaTheme="minorEastAsia"/>
          <w:sz w:val="24"/>
          <w:szCs w:val="24"/>
        </w:rPr>
      </w:pPr>
      <w:r>
        <w:rPr>
          <w:rFonts w:hint="eastAsia" w:asciiTheme="minorEastAsia" w:hAnsiTheme="minorEastAsia" w:eastAsiaTheme="minorEastAsia"/>
          <w:sz w:val="24"/>
          <w:szCs w:val="24"/>
        </w:rPr>
        <w:t>一、基本职能及主要工作</w:t>
      </w:r>
      <w:r>
        <w:rPr>
          <w:rFonts w:asciiTheme="minorEastAsia" w:hAnsiTheme="minorEastAsia" w:eastAsiaTheme="minorEastAsia"/>
          <w:sz w:val="24"/>
          <w:szCs w:val="24"/>
        </w:rPr>
        <w:t>…………………………………………………</w:t>
      </w:r>
      <w:r>
        <w:rPr>
          <w:rFonts w:hint="eastAsia" w:asciiTheme="minorEastAsia" w:hAnsiTheme="minorEastAsia" w:eastAsiaTheme="minorEastAsia"/>
          <w:sz w:val="24"/>
          <w:szCs w:val="24"/>
        </w:rPr>
        <w:t>.01</w:t>
      </w:r>
    </w:p>
    <w:p>
      <w:pPr>
        <w:pStyle w:val="11"/>
        <w:adjustRightInd w:val="0"/>
        <w:snapToGrid w:val="0"/>
        <w:spacing w:line="440" w:lineRule="exact"/>
        <w:ind w:left="0" w:leftChars="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二、机构设置</w:t>
      </w:r>
      <w:r>
        <w:rPr>
          <w:rFonts w:asciiTheme="minorEastAsia" w:hAnsiTheme="minorEastAsia" w:eastAsiaTheme="minorEastAsia"/>
          <w:sz w:val="24"/>
          <w:szCs w:val="24"/>
        </w:rPr>
        <w:t>………………………………………………………………</w:t>
      </w:r>
      <w:r>
        <w:rPr>
          <w:rFonts w:hint="eastAsia" w:asciiTheme="minorEastAsia" w:hAnsiTheme="minorEastAsia" w:eastAsiaTheme="minorEastAsia"/>
          <w:sz w:val="24"/>
          <w:szCs w:val="24"/>
        </w:rPr>
        <w:t>.0</w:t>
      </w:r>
      <w:r>
        <w:rPr>
          <w:rFonts w:hint="eastAsia" w:asciiTheme="minorEastAsia" w:hAnsiTheme="minorEastAsia" w:eastAsiaTheme="minorEastAsia"/>
          <w:sz w:val="24"/>
          <w:szCs w:val="24"/>
          <w:lang w:val="en-US" w:eastAsia="zh-CN"/>
        </w:rPr>
        <w:t>1</w:t>
      </w:r>
    </w:p>
    <w:p>
      <w:pPr>
        <w:pStyle w:val="10"/>
        <w:adjustRightInd w:val="0"/>
        <w:snapToGrid w:val="0"/>
        <w:spacing w:before="0" w:line="440" w:lineRule="exact"/>
        <w:jc w:val="both"/>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第二部分度部门决算情况说明</w:t>
      </w:r>
      <w:r>
        <w:rPr>
          <w:rFonts w:asciiTheme="minorEastAsia" w:hAnsiTheme="minorEastAsia" w:eastAsiaTheme="minorEastAsia"/>
          <w:sz w:val="24"/>
          <w:szCs w:val="24"/>
        </w:rPr>
        <w:t>……………………………………………</w:t>
      </w:r>
      <w:r>
        <w:rPr>
          <w:rFonts w:hint="eastAsia" w:asciiTheme="minorEastAsia" w:hAnsiTheme="minorEastAsia" w:eastAsiaTheme="minorEastAsia"/>
          <w:sz w:val="24"/>
          <w:szCs w:val="24"/>
        </w:rPr>
        <w:t>.0</w:t>
      </w:r>
      <w:r>
        <w:rPr>
          <w:rFonts w:hint="eastAsia" w:asciiTheme="minorEastAsia" w:hAnsiTheme="minorEastAsia" w:eastAsiaTheme="minorEastAsia"/>
          <w:sz w:val="24"/>
          <w:szCs w:val="24"/>
          <w:lang w:val="en-US" w:eastAsia="zh-CN"/>
        </w:rPr>
        <w:t>1</w:t>
      </w:r>
    </w:p>
    <w:p>
      <w:pPr>
        <w:pStyle w:val="11"/>
        <w:adjustRightInd w:val="0"/>
        <w:snapToGrid w:val="0"/>
        <w:spacing w:line="440" w:lineRule="exact"/>
        <w:ind w:left="0" w:leftChars="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一、收入支出决算总体情况说明</w:t>
      </w:r>
      <w:r>
        <w:rPr>
          <w:rFonts w:asciiTheme="minorEastAsia" w:hAnsiTheme="minorEastAsia" w:eastAsiaTheme="minorEastAsia"/>
          <w:sz w:val="24"/>
          <w:szCs w:val="24"/>
        </w:rPr>
        <w:t>…………………………………………</w:t>
      </w:r>
      <w:r>
        <w:rPr>
          <w:rFonts w:hint="eastAsia" w:asciiTheme="minorEastAsia" w:hAnsiTheme="minorEastAsia" w:eastAsiaTheme="minorEastAsia"/>
          <w:sz w:val="24"/>
          <w:szCs w:val="24"/>
        </w:rPr>
        <w:t>.0</w:t>
      </w:r>
      <w:r>
        <w:rPr>
          <w:rFonts w:hint="eastAsia" w:asciiTheme="minorEastAsia" w:hAnsiTheme="minorEastAsia" w:eastAsiaTheme="minorEastAsia"/>
          <w:sz w:val="24"/>
          <w:szCs w:val="24"/>
          <w:lang w:val="en-US" w:eastAsia="zh-CN"/>
        </w:rPr>
        <w:t>2</w:t>
      </w:r>
    </w:p>
    <w:p>
      <w:pPr>
        <w:pStyle w:val="11"/>
        <w:adjustRightInd w:val="0"/>
        <w:snapToGrid w:val="0"/>
        <w:spacing w:line="440" w:lineRule="exact"/>
        <w:ind w:left="0" w:leftChars="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二、收入决算情况说明</w:t>
      </w:r>
      <w:r>
        <w:rPr>
          <w:rFonts w:asciiTheme="minorEastAsia" w:hAnsiTheme="minorEastAsia" w:eastAsiaTheme="minorEastAsia"/>
          <w:sz w:val="24"/>
          <w:szCs w:val="24"/>
        </w:rPr>
        <w:t>……………………………………………………</w:t>
      </w:r>
      <w:r>
        <w:rPr>
          <w:rFonts w:hint="eastAsia" w:asciiTheme="minorEastAsia" w:hAnsiTheme="minorEastAsia" w:eastAsiaTheme="minorEastAsia"/>
          <w:sz w:val="24"/>
          <w:szCs w:val="24"/>
        </w:rPr>
        <w:t>.0</w:t>
      </w:r>
      <w:r>
        <w:rPr>
          <w:rFonts w:hint="eastAsia" w:asciiTheme="minorEastAsia" w:hAnsiTheme="minorEastAsia" w:eastAsiaTheme="minorEastAsia"/>
          <w:sz w:val="24"/>
          <w:szCs w:val="24"/>
          <w:lang w:val="en-US" w:eastAsia="zh-CN"/>
        </w:rPr>
        <w:t>2</w:t>
      </w:r>
    </w:p>
    <w:p>
      <w:pPr>
        <w:pStyle w:val="11"/>
        <w:adjustRightInd w:val="0"/>
        <w:snapToGrid w:val="0"/>
        <w:spacing w:line="440" w:lineRule="exact"/>
        <w:ind w:left="0" w:leftChars="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三、支出决算情况说明</w:t>
      </w:r>
      <w:r>
        <w:rPr>
          <w:rFonts w:asciiTheme="minorEastAsia" w:hAnsiTheme="minorEastAsia" w:eastAsiaTheme="minorEastAsia"/>
          <w:sz w:val="24"/>
          <w:szCs w:val="24"/>
        </w:rPr>
        <w:t>……………………………………………………</w:t>
      </w:r>
      <w:r>
        <w:rPr>
          <w:rFonts w:hint="eastAsia" w:asciiTheme="minorEastAsia" w:hAnsiTheme="minorEastAsia" w:eastAsiaTheme="minorEastAsia"/>
          <w:sz w:val="24"/>
          <w:szCs w:val="24"/>
        </w:rPr>
        <w:t>.0</w:t>
      </w:r>
      <w:r>
        <w:rPr>
          <w:rFonts w:hint="eastAsia" w:asciiTheme="minorEastAsia" w:hAnsiTheme="minorEastAsia" w:eastAsiaTheme="minorEastAsia"/>
          <w:sz w:val="24"/>
          <w:szCs w:val="24"/>
          <w:lang w:val="en-US" w:eastAsia="zh-CN"/>
        </w:rPr>
        <w:t>3</w:t>
      </w:r>
    </w:p>
    <w:p>
      <w:pPr>
        <w:pStyle w:val="11"/>
        <w:adjustRightInd w:val="0"/>
        <w:snapToGrid w:val="0"/>
        <w:spacing w:line="440" w:lineRule="exact"/>
        <w:ind w:left="0" w:leftChars="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四、财政拨款收入支出决算总体情况说明</w:t>
      </w:r>
      <w:r>
        <w:rPr>
          <w:rFonts w:asciiTheme="minorEastAsia" w:hAnsiTheme="minorEastAsia" w:eastAsiaTheme="minorEastAsia"/>
          <w:sz w:val="24"/>
          <w:szCs w:val="24"/>
        </w:rPr>
        <w:t>………………………………</w:t>
      </w:r>
      <w:r>
        <w:rPr>
          <w:rFonts w:hint="eastAsia" w:asciiTheme="minorEastAsia" w:hAnsiTheme="minorEastAsia" w:eastAsiaTheme="minorEastAsia"/>
          <w:sz w:val="24"/>
          <w:szCs w:val="24"/>
        </w:rPr>
        <w:t>.0</w:t>
      </w:r>
      <w:r>
        <w:rPr>
          <w:rFonts w:hint="eastAsia" w:asciiTheme="minorEastAsia" w:hAnsiTheme="minorEastAsia" w:eastAsiaTheme="minorEastAsia"/>
          <w:sz w:val="24"/>
          <w:szCs w:val="24"/>
          <w:lang w:val="en-US" w:eastAsia="zh-CN"/>
        </w:rPr>
        <w:t>4</w:t>
      </w:r>
    </w:p>
    <w:p>
      <w:pPr>
        <w:pStyle w:val="11"/>
        <w:adjustRightInd w:val="0"/>
        <w:snapToGrid w:val="0"/>
        <w:spacing w:line="440" w:lineRule="exact"/>
        <w:ind w:left="0" w:leftChars="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五、一般公共预算财政拨款支出决算情况说明</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04</w:t>
      </w:r>
    </w:p>
    <w:p>
      <w:pPr>
        <w:pStyle w:val="11"/>
        <w:adjustRightInd w:val="0"/>
        <w:snapToGrid w:val="0"/>
        <w:spacing w:line="440" w:lineRule="exact"/>
        <w:ind w:left="0" w:leftChars="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六、一般公共预算财政拨款基本支出决算情况说明</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06</w:t>
      </w:r>
    </w:p>
    <w:p>
      <w:pPr>
        <w:pStyle w:val="11"/>
        <w:adjustRightInd w:val="0"/>
        <w:snapToGrid w:val="0"/>
        <w:spacing w:line="440" w:lineRule="exact"/>
        <w:ind w:left="0" w:leftChars="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七、</w:t>
      </w:r>
      <w:r>
        <w:rPr>
          <w:rFonts w:asciiTheme="minorEastAsia" w:hAnsiTheme="minorEastAsia" w:eastAsiaTheme="minorEastAsia"/>
          <w:sz w:val="24"/>
          <w:szCs w:val="24"/>
        </w:rPr>
        <w:t>“</w:t>
      </w:r>
      <w:r>
        <w:rPr>
          <w:rFonts w:hint="eastAsia" w:asciiTheme="minorEastAsia" w:hAnsiTheme="minorEastAsia" w:eastAsiaTheme="minorEastAsia"/>
          <w:sz w:val="24"/>
          <w:szCs w:val="24"/>
        </w:rPr>
        <w:t>三公”经费财政拨款支出决算情况说明</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07</w:t>
      </w:r>
    </w:p>
    <w:p>
      <w:pPr>
        <w:pStyle w:val="11"/>
        <w:adjustRightInd w:val="0"/>
        <w:snapToGrid w:val="0"/>
        <w:spacing w:line="440" w:lineRule="exact"/>
        <w:ind w:left="0" w:leftChars="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八、政府性基金预算支出决算情况说明</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08</w:t>
      </w:r>
    </w:p>
    <w:p>
      <w:pPr>
        <w:pStyle w:val="11"/>
        <w:adjustRightInd w:val="0"/>
        <w:snapToGrid w:val="0"/>
        <w:spacing w:line="440" w:lineRule="exact"/>
        <w:ind w:left="0" w:leftChars="0"/>
        <w:rPr>
          <w:rFonts w:hint="default" w:asciiTheme="minorEastAsia" w:hAnsiTheme="minorEastAsia" w:eastAsiaTheme="minorEastAsia"/>
          <w:sz w:val="24"/>
          <w:szCs w:val="24"/>
          <w:lang w:val="en-US"/>
        </w:rPr>
      </w:pPr>
      <w:r>
        <w:rPr>
          <w:rFonts w:hint="eastAsia" w:asciiTheme="minorEastAsia" w:hAnsiTheme="minorEastAsia" w:eastAsiaTheme="minorEastAsia"/>
          <w:sz w:val="24"/>
          <w:szCs w:val="24"/>
        </w:rPr>
        <w:t>九、</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国有资本经营预算支出决算情况说明</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08</w:t>
      </w:r>
    </w:p>
    <w:p>
      <w:pPr>
        <w:pStyle w:val="11"/>
        <w:adjustRightInd w:val="0"/>
        <w:snapToGrid w:val="0"/>
        <w:spacing w:line="440" w:lineRule="exact"/>
        <w:ind w:left="0" w:leftChars="0"/>
        <w:rPr>
          <w:rFonts w:asciiTheme="minorEastAsia" w:hAnsiTheme="minorEastAsia" w:eastAsiaTheme="minorEastAsia"/>
          <w:sz w:val="24"/>
          <w:szCs w:val="24"/>
        </w:rPr>
      </w:pPr>
      <w:r>
        <w:rPr>
          <w:rFonts w:hint="eastAsia" w:asciiTheme="minorEastAsia" w:hAnsiTheme="minorEastAsia" w:eastAsiaTheme="minorEastAsia"/>
          <w:sz w:val="24"/>
          <w:szCs w:val="24"/>
        </w:rPr>
        <w:t>十、其他重要事项的情况说明</w:t>
      </w:r>
      <w:r>
        <w:rPr>
          <w:rFonts w:asciiTheme="minorEastAsia" w:hAnsiTheme="minorEastAsia" w:eastAsiaTheme="minorEastAsia"/>
          <w:sz w:val="24"/>
          <w:szCs w:val="24"/>
        </w:rPr>
        <w:t>…………………………………………</w:t>
      </w:r>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lang w:val="en-US" w:eastAsia="zh-CN"/>
        </w:rPr>
        <w:t>09</w:t>
      </w:r>
    </w:p>
    <w:p>
      <w:pPr>
        <w:pStyle w:val="10"/>
        <w:adjustRightInd w:val="0"/>
        <w:snapToGrid w:val="0"/>
        <w:spacing w:before="0" w:line="440" w:lineRule="exact"/>
        <w:jc w:val="both"/>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第三部分</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名词解释</w:t>
      </w:r>
      <w:r>
        <w:rPr>
          <w:rFonts w:asciiTheme="minorEastAsia" w:hAnsiTheme="minorEastAsia" w:eastAsiaTheme="minorEastAsia"/>
          <w:sz w:val="24"/>
          <w:szCs w:val="24"/>
        </w:rPr>
        <w:t>………………………………………………………</w:t>
      </w: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p>
    <w:p>
      <w:pPr>
        <w:pStyle w:val="10"/>
        <w:adjustRightInd w:val="0"/>
        <w:snapToGrid w:val="0"/>
        <w:spacing w:before="0" w:line="440" w:lineRule="exact"/>
        <w:jc w:val="both"/>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第四部分</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附件</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14</w:t>
      </w:r>
    </w:p>
    <w:p>
      <w:pPr>
        <w:pStyle w:val="11"/>
        <w:adjustRightInd w:val="0"/>
        <w:snapToGrid w:val="0"/>
        <w:spacing w:line="440" w:lineRule="exact"/>
        <w:ind w:left="0" w:left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附件</w:t>
      </w:r>
      <w:r>
        <w:rPr>
          <w:rFonts w:asciiTheme="minorEastAsia" w:hAnsiTheme="minorEastAsia" w:eastAsiaTheme="minorEastAsia"/>
          <w:sz w:val="24"/>
          <w:szCs w:val="24"/>
        </w:rPr>
        <w:t>1………………………………………………………………………</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14</w:t>
      </w:r>
    </w:p>
    <w:p>
      <w:pPr>
        <w:pStyle w:val="10"/>
        <w:adjustRightInd w:val="0"/>
        <w:snapToGrid w:val="0"/>
        <w:spacing w:before="0" w:line="440" w:lineRule="exact"/>
        <w:jc w:val="both"/>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第五部分</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附表</w:t>
      </w:r>
      <w:r>
        <w:rPr>
          <w:rFonts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16</w:t>
      </w:r>
    </w:p>
    <w:p>
      <w:pPr>
        <w:pStyle w:val="11"/>
        <w:adjustRightInd w:val="0"/>
        <w:snapToGrid w:val="0"/>
        <w:spacing w:line="440" w:lineRule="exact"/>
        <w:ind w:left="0" w:leftChars="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一、收入支出决算总表</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16</w:t>
      </w:r>
    </w:p>
    <w:p>
      <w:pPr>
        <w:pStyle w:val="11"/>
        <w:adjustRightInd w:val="0"/>
        <w:snapToGrid w:val="0"/>
        <w:spacing w:line="440" w:lineRule="exact"/>
        <w:ind w:left="0" w:leftChars="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二、收入决算表</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16</w:t>
      </w:r>
    </w:p>
    <w:p>
      <w:pPr>
        <w:pStyle w:val="11"/>
        <w:adjustRightInd w:val="0"/>
        <w:snapToGrid w:val="0"/>
        <w:spacing w:line="440" w:lineRule="exact"/>
        <w:ind w:left="0" w:leftChars="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三、支出决算表</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16</w:t>
      </w:r>
    </w:p>
    <w:p>
      <w:pPr>
        <w:pStyle w:val="11"/>
        <w:adjustRightInd w:val="0"/>
        <w:snapToGrid w:val="0"/>
        <w:spacing w:line="440" w:lineRule="exact"/>
        <w:ind w:left="0" w:leftChars="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四、财政拨款收入支出决算总表</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16</w:t>
      </w:r>
    </w:p>
    <w:p>
      <w:pPr>
        <w:pStyle w:val="11"/>
        <w:adjustRightInd w:val="0"/>
        <w:snapToGrid w:val="0"/>
        <w:spacing w:line="440" w:lineRule="exact"/>
        <w:ind w:left="0" w:leftChars="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五、财政拨款支出决算明细表</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16</w:t>
      </w:r>
    </w:p>
    <w:p>
      <w:pPr>
        <w:pStyle w:val="11"/>
        <w:adjustRightInd w:val="0"/>
        <w:snapToGrid w:val="0"/>
        <w:spacing w:line="440" w:lineRule="exact"/>
        <w:ind w:left="0" w:leftChars="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六、一般公共预算财政拨款支出决算表</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16</w:t>
      </w:r>
    </w:p>
    <w:p>
      <w:pPr>
        <w:pStyle w:val="11"/>
        <w:adjustRightInd w:val="0"/>
        <w:snapToGrid w:val="0"/>
        <w:spacing w:line="440" w:lineRule="exact"/>
        <w:ind w:left="0" w:leftChars="0"/>
        <w:rPr>
          <w:rFonts w:hint="eastAsia" w:asciiTheme="minorEastAsia" w:hAnsiTheme="minorEastAsia" w:eastAsiaTheme="minorEastAsia"/>
          <w:sz w:val="24"/>
          <w:szCs w:val="24"/>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pStyle w:val="11"/>
        <w:adjustRightInd w:val="0"/>
        <w:snapToGrid w:val="0"/>
        <w:spacing w:line="440" w:lineRule="exact"/>
        <w:ind w:left="0" w:leftChars="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七、一般公共预算财政拨款支出决算明细表</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16</w:t>
      </w:r>
    </w:p>
    <w:p>
      <w:pPr>
        <w:pStyle w:val="11"/>
        <w:adjustRightInd w:val="0"/>
        <w:snapToGrid w:val="0"/>
        <w:spacing w:line="440" w:lineRule="exact"/>
        <w:ind w:left="0" w:leftChars="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八、一般公共预算财政拨款基本支出决算表</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16</w:t>
      </w:r>
    </w:p>
    <w:p>
      <w:pPr>
        <w:pStyle w:val="11"/>
        <w:adjustRightInd w:val="0"/>
        <w:snapToGrid w:val="0"/>
        <w:spacing w:line="440" w:lineRule="exact"/>
        <w:ind w:left="0" w:leftChars="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九、一般公共预算财政拨款项目支出决算表</w:t>
      </w:r>
      <w:r>
        <w:rPr>
          <w:rFonts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16</w:t>
      </w:r>
    </w:p>
    <w:p>
      <w:pPr>
        <w:pStyle w:val="11"/>
        <w:adjustRightInd w:val="0"/>
        <w:snapToGrid w:val="0"/>
        <w:spacing w:line="440" w:lineRule="exact"/>
        <w:ind w:left="0" w:leftChars="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十、政府性基金预算财政拨款收入支出决算表</w:t>
      </w:r>
      <w:r>
        <w:rPr>
          <w:rFonts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16</w:t>
      </w:r>
    </w:p>
    <w:p>
      <w:pPr>
        <w:pStyle w:val="11"/>
        <w:adjustRightInd w:val="0"/>
        <w:snapToGrid w:val="0"/>
        <w:spacing w:line="440" w:lineRule="exact"/>
        <w:ind w:left="0" w:leftChars="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十</w:t>
      </w:r>
      <w:r>
        <w:rPr>
          <w:rFonts w:hint="eastAsia" w:asciiTheme="minorEastAsia" w:hAnsiTheme="minorEastAsia" w:eastAsiaTheme="minorEastAsia"/>
          <w:sz w:val="24"/>
          <w:szCs w:val="24"/>
          <w:lang w:eastAsia="zh-CN"/>
        </w:rPr>
        <w:t>一</w:t>
      </w:r>
      <w:r>
        <w:rPr>
          <w:rFonts w:hint="eastAsia" w:asciiTheme="minorEastAsia" w:hAnsiTheme="minorEastAsia" w:eastAsiaTheme="minorEastAsia"/>
          <w:sz w:val="24"/>
          <w:szCs w:val="24"/>
        </w:rPr>
        <w:t>、国有资本经营预算财政拨款收入支出决算表</w:t>
      </w:r>
      <w:r>
        <w:rPr>
          <w:rFonts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16</w:t>
      </w:r>
    </w:p>
    <w:p>
      <w:pPr>
        <w:pStyle w:val="11"/>
        <w:adjustRightInd w:val="0"/>
        <w:snapToGrid w:val="0"/>
        <w:spacing w:line="440" w:lineRule="exact"/>
        <w:ind w:left="0" w:leftChars="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十</w:t>
      </w:r>
      <w:r>
        <w:rPr>
          <w:rFonts w:hint="eastAsia" w:asciiTheme="minorEastAsia" w:hAnsiTheme="minorEastAsia" w:eastAsiaTheme="minorEastAsia"/>
          <w:sz w:val="24"/>
          <w:szCs w:val="24"/>
          <w:lang w:eastAsia="zh-CN"/>
        </w:rPr>
        <w:t>二</w:t>
      </w:r>
      <w:r>
        <w:rPr>
          <w:rFonts w:hint="eastAsia" w:asciiTheme="minorEastAsia" w:hAnsiTheme="minorEastAsia" w:eastAsiaTheme="minorEastAsia"/>
          <w:sz w:val="24"/>
          <w:szCs w:val="24"/>
        </w:rPr>
        <w:t>、国有资本经营预算财政拨款支出决算表</w:t>
      </w:r>
      <w:r>
        <w:rPr>
          <w:rFonts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16</w:t>
      </w:r>
    </w:p>
    <w:p>
      <w:pPr>
        <w:pStyle w:val="11"/>
        <w:adjustRightInd w:val="0"/>
        <w:snapToGrid w:val="0"/>
        <w:spacing w:line="440" w:lineRule="exact"/>
        <w:ind w:left="0" w:leftChars="0"/>
        <w:rPr>
          <w:rFonts w:hint="default"/>
          <w:lang w:val="en-US"/>
        </w:rPr>
        <w:sectPr>
          <w:footerReference r:id="rId6" w:type="first"/>
          <w:footerReference r:id="rId5" w:type="default"/>
          <w:pgSz w:w="11906" w:h="16838"/>
          <w:pgMar w:top="1440" w:right="1800" w:bottom="1440" w:left="1800" w:header="851" w:footer="992" w:gutter="0"/>
          <w:pgNumType w:start="1"/>
          <w:cols w:space="425" w:num="1"/>
          <w:titlePg/>
          <w:docGrid w:type="lines" w:linePitch="312" w:charSpace="0"/>
        </w:sectPr>
      </w:pPr>
      <w:r>
        <w:rPr>
          <w:rFonts w:hint="eastAsia" w:asciiTheme="minorEastAsia" w:hAnsiTheme="minorEastAsia" w:eastAsiaTheme="minorEastAsia"/>
          <w:sz w:val="24"/>
          <w:szCs w:val="24"/>
        </w:rPr>
        <w:t>十</w:t>
      </w:r>
      <w:r>
        <w:rPr>
          <w:rFonts w:hint="eastAsia" w:asciiTheme="minorEastAsia" w:hAnsiTheme="minorEastAsia" w:eastAsiaTheme="minorEastAsia"/>
          <w:sz w:val="24"/>
          <w:szCs w:val="24"/>
          <w:lang w:eastAsia="zh-CN"/>
        </w:rPr>
        <w:t>三</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财政拨款“三公”经费支</w:t>
      </w:r>
      <w:r>
        <w:rPr>
          <w:rFonts w:hint="eastAsia" w:asciiTheme="minorEastAsia" w:hAnsiTheme="minorEastAsia" w:eastAsiaTheme="minorEastAsia"/>
          <w:sz w:val="24"/>
          <w:szCs w:val="24"/>
        </w:rPr>
        <w:t>出决算表</w:t>
      </w:r>
      <w:r>
        <w:rPr>
          <w:rFonts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16</w:t>
      </w:r>
    </w:p>
    <w:p>
      <w:pPr>
        <w:pStyle w:val="3"/>
        <w:jc w:val="center"/>
        <w:rPr>
          <w:rFonts w:ascii="黑体" w:eastAsia="黑体"/>
          <w:sz w:val="32"/>
          <w:szCs w:val="32"/>
        </w:rPr>
      </w:pPr>
      <w:r>
        <w:rPr>
          <w:rFonts w:hint="eastAsia" w:ascii="黑体" w:hAnsi="黑体" w:eastAsia="黑体"/>
          <w:b w:val="0"/>
        </w:rPr>
        <w:t>第一部分 单位</w:t>
      </w:r>
      <w:r>
        <w:rPr>
          <w:rStyle w:val="24"/>
          <w:rFonts w:hint="eastAsia" w:ascii="黑体" w:hAnsi="黑体" w:eastAsia="黑体"/>
          <w:b w:val="0"/>
          <w:bCs w:val="0"/>
        </w:rPr>
        <w:t>概况</w:t>
      </w:r>
      <w:bookmarkEnd w:id="12"/>
      <w:bookmarkEnd w:id="13"/>
    </w:p>
    <w:p>
      <w:pPr>
        <w:pStyle w:val="4"/>
        <w:numPr>
          <w:ilvl w:val="0"/>
          <w:numId w:val="1"/>
        </w:numPr>
        <w:rPr>
          <w:rStyle w:val="25"/>
          <w:rFonts w:ascii="黑体" w:hAnsi="黑体" w:eastAsia="黑体"/>
          <w:b w:val="0"/>
          <w:bCs w:val="0"/>
        </w:rPr>
      </w:pPr>
      <w:bookmarkStart w:id="14" w:name="_Toc15396600"/>
      <w:bookmarkStart w:id="15" w:name="_Toc15377197"/>
      <w:r>
        <w:rPr>
          <w:rStyle w:val="25"/>
          <w:rFonts w:hint="eastAsia" w:ascii="黑体" w:hAnsi="黑体" w:eastAsia="黑体"/>
          <w:b w:val="0"/>
          <w:bCs w:val="0"/>
        </w:rPr>
        <w:t>主要职责</w:t>
      </w:r>
    </w:p>
    <w:p>
      <w:pPr>
        <w:widowControl/>
        <w:shd w:val="clear" w:color="auto" w:fill="FFFFFF"/>
        <w:spacing w:line="600" w:lineRule="exact"/>
        <w:ind w:firstLine="480"/>
        <w:jc w:val="left"/>
        <w:rPr>
          <w:rFonts w:hint="eastAsia" w:ascii="仿宋" w:hAnsi="仿宋" w:eastAsia="仿宋"/>
          <w:bCs/>
          <w:sz w:val="32"/>
          <w:szCs w:val="32"/>
        </w:rPr>
      </w:pPr>
      <w:r>
        <w:rPr>
          <w:rFonts w:hint="eastAsia" w:ascii="仿宋" w:hAnsi="仿宋" w:eastAsia="仿宋"/>
          <w:bCs/>
          <w:sz w:val="32"/>
          <w:szCs w:val="32"/>
        </w:rPr>
        <w:t>（一）主要职能。</w:t>
      </w:r>
    </w:p>
    <w:p>
      <w:pPr>
        <w:widowControl/>
        <w:shd w:val="clear" w:color="auto" w:fill="FFFFFF"/>
        <w:spacing w:line="600" w:lineRule="exact"/>
        <w:ind w:firstLine="480"/>
        <w:jc w:val="left"/>
        <w:rPr>
          <w:rFonts w:hint="eastAsia" w:ascii="仿宋" w:hAnsi="仿宋" w:eastAsia="仿宋" w:cs="Times New Roman"/>
          <w:bCs/>
          <w:color w:val="000000"/>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t>1.实施小学义务教育，促进基础教育全面均衡发展，认真贯彻执行党和国家的教育方针、政策、法规。</w:t>
      </w:r>
    </w:p>
    <w:p>
      <w:pPr>
        <w:widowControl/>
        <w:shd w:val="clear" w:color="auto" w:fill="FFFFFF"/>
        <w:spacing w:line="600" w:lineRule="exact"/>
        <w:ind w:firstLine="480"/>
        <w:jc w:val="left"/>
        <w:rPr>
          <w:rFonts w:hint="eastAsia" w:ascii="仿宋" w:hAnsi="仿宋" w:eastAsia="仿宋" w:cs="Times New Roman"/>
          <w:bCs/>
          <w:color w:val="000000"/>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t>2.根据学校规模，设置学校管理机构，建立健全各项规章制度和岗位责任制。</w:t>
      </w:r>
    </w:p>
    <w:p>
      <w:pPr>
        <w:widowControl/>
        <w:shd w:val="clear" w:color="auto" w:fill="FFFFFF"/>
        <w:spacing w:line="600" w:lineRule="exact"/>
        <w:ind w:firstLine="480"/>
        <w:jc w:val="left"/>
        <w:rPr>
          <w:rFonts w:hint="eastAsia" w:ascii="仿宋" w:hAnsi="仿宋" w:eastAsia="仿宋" w:cs="Times New Roman"/>
          <w:bCs/>
          <w:color w:val="000000"/>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t>3.坚持教书育人，服务育人，环境育人方针，加强对学生的思想品德教育，使学生的德智体全面发展。</w:t>
      </w:r>
    </w:p>
    <w:p>
      <w:pPr>
        <w:widowControl/>
        <w:shd w:val="clear" w:color="auto" w:fill="FFFFFF"/>
        <w:spacing w:line="600" w:lineRule="exact"/>
        <w:ind w:firstLine="480"/>
        <w:jc w:val="left"/>
        <w:rPr>
          <w:rFonts w:hint="eastAsia" w:ascii="仿宋" w:hAnsi="仿宋" w:eastAsia="仿宋" w:cs="Times New Roman"/>
          <w:bCs/>
          <w:color w:val="000000"/>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t>4.做好学校安全防范工作，保证师生的人身安全。</w:t>
      </w:r>
    </w:p>
    <w:p>
      <w:pPr>
        <w:pStyle w:val="2"/>
        <w:adjustRightInd w:val="0"/>
        <w:snapToGrid w:val="0"/>
        <w:spacing w:before="93" w:line="600" w:lineRule="exact"/>
        <w:outlineLvl w:val="2"/>
        <w:rPr>
          <w:rFonts w:hint="eastAsia" w:ascii="仿宋" w:hAnsi="仿宋" w:eastAsia="仿宋"/>
          <w:bCs/>
          <w:sz w:val="32"/>
          <w:szCs w:val="32"/>
        </w:rPr>
      </w:pPr>
      <w:bookmarkStart w:id="16" w:name="_Toc15377199"/>
      <w:bookmarkStart w:id="17" w:name="_Toc15378446"/>
      <w:r>
        <w:rPr>
          <w:rFonts w:hint="eastAsia" w:ascii="仿宋" w:hAnsi="仿宋" w:eastAsia="仿宋"/>
          <w:bCs/>
          <w:sz w:val="32"/>
          <w:szCs w:val="32"/>
        </w:rPr>
        <w:t>（二）</w:t>
      </w:r>
      <w:r>
        <w:rPr>
          <w:rFonts w:ascii="仿宋" w:hAnsi="仿宋" w:eastAsia="仿宋"/>
          <w:bCs/>
          <w:sz w:val="32"/>
          <w:szCs w:val="32"/>
        </w:rPr>
        <w:t>20</w:t>
      </w:r>
      <w:r>
        <w:rPr>
          <w:rFonts w:hint="eastAsia" w:ascii="仿宋" w:hAnsi="仿宋" w:eastAsia="仿宋"/>
          <w:bCs/>
          <w:sz w:val="32"/>
          <w:szCs w:val="32"/>
        </w:rPr>
        <w:t>2</w:t>
      </w:r>
      <w:r>
        <w:rPr>
          <w:rFonts w:hint="eastAsia" w:ascii="仿宋" w:hAnsi="仿宋" w:eastAsia="仿宋"/>
          <w:bCs/>
          <w:sz w:val="32"/>
          <w:szCs w:val="32"/>
          <w:lang w:val="en-US" w:eastAsia="zh-CN"/>
        </w:rPr>
        <w:t>2</w:t>
      </w:r>
      <w:r>
        <w:rPr>
          <w:rFonts w:hint="eastAsia" w:ascii="仿宋" w:hAnsi="仿宋" w:eastAsia="仿宋"/>
          <w:bCs/>
          <w:sz w:val="32"/>
          <w:szCs w:val="32"/>
        </w:rPr>
        <w:t>年重点工作完成情况。</w:t>
      </w:r>
      <w:bookmarkEnd w:id="16"/>
      <w:bookmarkEnd w:id="17"/>
    </w:p>
    <w:p>
      <w:pPr>
        <w:pStyle w:val="2"/>
        <w:adjustRightInd w:val="0"/>
        <w:snapToGrid w:val="0"/>
        <w:spacing w:before="93" w:line="600" w:lineRule="exact"/>
        <w:ind w:firstLine="672" w:firstLineChars="210"/>
        <w:outlineLvl w:val="2"/>
      </w:pPr>
      <w:r>
        <w:rPr>
          <w:rFonts w:hint="eastAsia" w:ascii="仿宋" w:hAnsi="仿宋" w:eastAsia="仿宋"/>
          <w:bCs/>
          <w:color w:val="000000"/>
          <w:sz w:val="32"/>
          <w:szCs w:val="32"/>
        </w:rPr>
        <w:t>坚持教书育人，服务育人，环境育人方针，加强对学生的思想品德教育，使学生的德智体美全面发展。</w:t>
      </w:r>
      <w:r>
        <w:rPr>
          <w:rFonts w:hint="eastAsia" w:ascii="仿宋" w:hAnsi="仿宋" w:eastAsia="仿宋" w:cs="宋体"/>
          <w:color w:val="333333"/>
          <w:sz w:val="32"/>
          <w:szCs w:val="32"/>
        </w:rPr>
        <w:t>完善制度建立，规范后勤管理工作，大幅提升教学质量</w:t>
      </w:r>
      <w:r>
        <w:rPr>
          <w:rFonts w:hint="eastAsia" w:ascii="仿宋" w:hAnsi="仿宋" w:eastAsia="仿宋" w:cs="宋体"/>
          <w:color w:val="333333"/>
          <w:sz w:val="32"/>
          <w:szCs w:val="32"/>
          <w:lang w:eastAsia="zh-CN"/>
        </w:rPr>
        <w:t>，</w:t>
      </w:r>
      <w:r>
        <w:rPr>
          <w:rFonts w:hint="eastAsia" w:ascii="仿宋" w:hAnsi="仿宋" w:eastAsia="仿宋" w:cs="宋体"/>
          <w:color w:val="333333"/>
          <w:sz w:val="32"/>
          <w:szCs w:val="32"/>
        </w:rPr>
        <w:t xml:space="preserve"> 顺利完成了20</w:t>
      </w:r>
      <w:r>
        <w:rPr>
          <w:rFonts w:hint="eastAsia" w:ascii="仿宋" w:hAnsi="仿宋" w:eastAsia="仿宋" w:cs="宋体"/>
          <w:color w:val="333333"/>
          <w:sz w:val="32"/>
          <w:szCs w:val="32"/>
          <w:lang w:val="en-US" w:eastAsia="zh-CN"/>
        </w:rPr>
        <w:t>22</w:t>
      </w:r>
      <w:r>
        <w:rPr>
          <w:rFonts w:hint="eastAsia" w:ascii="仿宋" w:hAnsi="仿宋" w:eastAsia="仿宋" w:cs="宋体"/>
          <w:color w:val="333333"/>
          <w:sz w:val="32"/>
          <w:szCs w:val="32"/>
        </w:rPr>
        <w:t>年学校各项教学目标任务，同时配合政府完成了本年度</w:t>
      </w:r>
      <w:r>
        <w:rPr>
          <w:rFonts w:hint="eastAsia" w:ascii="仿宋" w:hAnsi="仿宋" w:eastAsia="仿宋" w:cs="宋体"/>
          <w:color w:val="333333"/>
          <w:sz w:val="32"/>
          <w:szCs w:val="32"/>
          <w:lang w:val="en-US" w:eastAsia="zh-CN"/>
        </w:rPr>
        <w:t>乡村振兴工作</w:t>
      </w:r>
      <w:r>
        <w:rPr>
          <w:rFonts w:hint="eastAsia" w:ascii="仿宋" w:hAnsi="仿宋" w:eastAsia="仿宋" w:cs="宋体"/>
          <w:color w:val="333333"/>
          <w:sz w:val="32"/>
          <w:szCs w:val="32"/>
        </w:rPr>
        <w:t>任务。</w:t>
      </w:r>
      <w:r>
        <w:rPr>
          <w:rFonts w:hint="eastAsia" w:ascii="仿宋" w:hAnsi="仿宋" w:eastAsia="仿宋" w:cs="宋体"/>
          <w:color w:val="333333"/>
          <w:kern w:val="0"/>
          <w:sz w:val="32"/>
          <w:szCs w:val="32"/>
          <w:lang w:val="en-US" w:eastAsia="zh-CN" w:bidi="ar-SA"/>
        </w:rPr>
        <w:t>我校2022年被县教育局评为目标考核优秀单位，实现了学校优质全面发展</w:t>
      </w:r>
    </w:p>
    <w:p>
      <w:pPr>
        <w:pStyle w:val="4"/>
        <w:rPr>
          <w:rFonts w:ascii="黑体" w:hAnsi="黑体" w:eastAsia="黑体"/>
          <w:b w:val="0"/>
        </w:rPr>
      </w:pPr>
      <w:r>
        <w:rPr>
          <w:rFonts w:hint="eastAsia" w:ascii="黑体" w:hAnsi="黑体" w:eastAsia="黑体"/>
          <w:b w:val="0"/>
        </w:rPr>
        <w:t>二、机构设置</w:t>
      </w:r>
    </w:p>
    <w:bookmarkEnd w:id="14"/>
    <w:bookmarkEnd w:id="15"/>
    <w:p>
      <w:pPr>
        <w:widowControl/>
        <w:ind w:firstLine="640" w:firstLineChars="200"/>
        <w:jc w:val="left"/>
        <w:rPr>
          <w:rFonts w:ascii="仿宋" w:hAnsi="仿宋" w:eastAsia="仿宋" w:cs="宋体"/>
          <w:color w:val="000000" w:themeColor="text1"/>
          <w:kern w:val="0"/>
          <w:sz w:val="32"/>
          <w:szCs w:val="32"/>
          <w14:textFill>
            <w14:solidFill>
              <w14:schemeClr w14:val="tx1"/>
            </w14:solidFill>
          </w14:textFill>
        </w:rPr>
      </w:pPr>
      <w:bookmarkStart w:id="18" w:name="_Toc15377204"/>
      <w:bookmarkStart w:id="19" w:name="_Toc15396602"/>
      <w:r>
        <w:rPr>
          <w:rFonts w:hint="eastAsia" w:ascii="仿宋" w:hAnsi="仿宋" w:eastAsia="仿宋" w:cs="宋体"/>
          <w:color w:val="000000" w:themeColor="text1"/>
          <w:kern w:val="0"/>
          <w:sz w:val="32"/>
          <w:szCs w:val="32"/>
          <w14:textFill>
            <w14:solidFill>
              <w14:schemeClr w14:val="tx1"/>
            </w14:solidFill>
          </w14:textFill>
        </w:rPr>
        <w:t>本单位无下属二级决算单位.</w:t>
      </w:r>
    </w:p>
    <w:p>
      <w:pPr>
        <w:pStyle w:val="3"/>
        <w:ind w:right="440"/>
        <w:jc w:val="center"/>
        <w:rPr>
          <w:rStyle w:val="24"/>
          <w:rFonts w:ascii="黑体" w:hAnsi="黑体" w:eastAsia="黑体"/>
          <w:b w:val="0"/>
          <w:bCs/>
        </w:rPr>
      </w:pPr>
      <w:r>
        <w:rPr>
          <w:rFonts w:hint="eastAsia" w:ascii="黑体" w:hAnsi="黑体" w:eastAsia="黑体"/>
          <w:b w:val="0"/>
        </w:rPr>
        <w:t>第二部分 2022年度</w:t>
      </w:r>
      <w:r>
        <w:rPr>
          <w:rStyle w:val="24"/>
          <w:rFonts w:hint="eastAsia" w:ascii="黑体" w:hAnsi="黑体" w:eastAsia="黑体"/>
          <w:b w:val="0"/>
          <w:bCs/>
        </w:rPr>
        <w:t>单位决算情况说明</w:t>
      </w:r>
      <w:bookmarkEnd w:id="18"/>
      <w:bookmarkEnd w:id="19"/>
    </w:p>
    <w:p/>
    <w:p>
      <w:pPr>
        <w:pStyle w:val="23"/>
        <w:numPr>
          <w:ilvl w:val="0"/>
          <w:numId w:val="2"/>
        </w:numPr>
        <w:spacing w:line="600" w:lineRule="exact"/>
        <w:ind w:firstLineChars="0"/>
        <w:outlineLvl w:val="1"/>
        <w:rPr>
          <w:rStyle w:val="25"/>
          <w:rFonts w:ascii="黑体" w:hAnsi="黑体" w:eastAsia="黑体"/>
          <w:b w:val="0"/>
        </w:rPr>
      </w:pPr>
      <w:bookmarkStart w:id="20" w:name="_Toc15396603"/>
      <w:bookmarkStart w:id="21" w:name="_Toc15377205"/>
      <w:r>
        <w:rPr>
          <w:rFonts w:hint="eastAsia" w:ascii="黑体" w:hAnsi="黑体" w:eastAsia="黑体"/>
          <w:sz w:val="32"/>
          <w:szCs w:val="32"/>
        </w:rPr>
        <w:t>收</w:t>
      </w:r>
      <w:r>
        <w:rPr>
          <w:rStyle w:val="25"/>
          <w:rFonts w:hint="eastAsia" w:ascii="黑体" w:hAnsi="黑体" w:eastAsia="黑体"/>
          <w:b w:val="0"/>
        </w:rPr>
        <w:t>入支出决算总体情况说明</w:t>
      </w:r>
      <w:bookmarkEnd w:id="20"/>
      <w:bookmarkEnd w:id="21"/>
    </w:p>
    <w:p>
      <w:pPr>
        <w:spacing w:line="600" w:lineRule="exact"/>
        <w:ind w:firstLine="640" w:firstLineChars="200"/>
        <w:rPr>
          <w:rFonts w:ascii="仿宋_GB2312" w:eastAsia="仿宋_GB2312"/>
          <w:sz w:val="32"/>
          <w:szCs w:val="32"/>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年度收、支总计</w:t>
      </w:r>
      <w:r>
        <w:rPr>
          <w:rFonts w:hint="eastAsia" w:ascii="仿宋" w:hAnsi="仿宋" w:eastAsia="仿宋"/>
          <w:sz w:val="32"/>
          <w:szCs w:val="32"/>
          <w:lang w:val="en-US" w:eastAsia="zh-CN"/>
        </w:rPr>
        <w:t>411.66</w:t>
      </w:r>
      <w:r>
        <w:rPr>
          <w:rFonts w:hint="eastAsia" w:ascii="仿宋" w:hAnsi="仿宋" w:eastAsia="仿宋"/>
          <w:sz w:val="32"/>
          <w:szCs w:val="32"/>
        </w:rPr>
        <w:t>万元。与202</w:t>
      </w:r>
      <w:r>
        <w:rPr>
          <w:rFonts w:hint="eastAsia" w:ascii="仿宋" w:hAnsi="仿宋" w:eastAsia="仿宋"/>
          <w:sz w:val="32"/>
          <w:szCs w:val="32"/>
          <w:lang w:val="en-US" w:eastAsia="zh-CN"/>
        </w:rPr>
        <w:t>1</w:t>
      </w:r>
      <w:r>
        <w:rPr>
          <w:rFonts w:hint="eastAsia" w:ascii="仿宋" w:hAnsi="仿宋" w:eastAsia="仿宋"/>
          <w:sz w:val="32"/>
          <w:szCs w:val="32"/>
        </w:rPr>
        <w:t>年相比，收、支总计各</w:t>
      </w:r>
      <w:r>
        <w:rPr>
          <w:rFonts w:hint="eastAsia" w:ascii="仿宋" w:hAnsi="仿宋" w:eastAsia="仿宋"/>
          <w:sz w:val="32"/>
          <w:szCs w:val="32"/>
          <w:lang w:eastAsia="zh-CN"/>
        </w:rPr>
        <w:t>减少</w:t>
      </w:r>
      <w:r>
        <w:rPr>
          <w:rFonts w:hint="eastAsia" w:ascii="仿宋" w:hAnsi="仿宋" w:eastAsia="仿宋"/>
          <w:sz w:val="32"/>
          <w:szCs w:val="32"/>
          <w:lang w:val="en-US" w:eastAsia="zh-CN"/>
        </w:rPr>
        <w:t>89.63</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17.88</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人员减少。</w:t>
      </w:r>
    </w:p>
    <w:p>
      <w:pPr>
        <w:spacing w:line="600" w:lineRule="exact"/>
        <w:ind w:firstLine="1470" w:firstLineChars="700"/>
        <w:rPr>
          <w:rStyle w:val="25"/>
          <w:rFonts w:ascii="黑体" w:hAnsi="黑体" w:eastAsia="黑体"/>
          <w:b w:val="0"/>
        </w:rPr>
      </w:pPr>
      <w:r>
        <w:drawing>
          <wp:anchor distT="0" distB="0" distL="114300" distR="114300" simplePos="0" relativeHeight="251659264" behindDoc="1" locked="0" layoutInCell="1" allowOverlap="1">
            <wp:simplePos x="0" y="0"/>
            <wp:positionH relativeFrom="column">
              <wp:posOffset>175895</wp:posOffset>
            </wp:positionH>
            <wp:positionV relativeFrom="paragraph">
              <wp:posOffset>153035</wp:posOffset>
            </wp:positionV>
            <wp:extent cx="5123815" cy="3319780"/>
            <wp:effectExtent l="5080" t="4445" r="14605" b="66675"/>
            <wp:wrapTight wrapText="bothSides">
              <wp:wrapPolygon>
                <wp:start x="-21" y="-29"/>
                <wp:lineTo x="-21" y="21538"/>
                <wp:lineTo x="21501" y="21538"/>
                <wp:lineTo x="21501" y="-29"/>
                <wp:lineTo x="-21" y="-29"/>
              </wp:wrapPolygon>
            </wp:wrapTight>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bookmarkStart w:id="22" w:name="_Toc15377206"/>
      <w:bookmarkStart w:id="23" w:name="_Toc15396604"/>
    </w:p>
    <w:p>
      <w:pPr>
        <w:pStyle w:val="23"/>
        <w:numPr>
          <w:ilvl w:val="0"/>
          <w:numId w:val="2"/>
        </w:numPr>
        <w:spacing w:line="600" w:lineRule="exact"/>
        <w:ind w:firstLineChars="0"/>
        <w:outlineLvl w:val="1"/>
        <w:rPr>
          <w:rStyle w:val="25"/>
          <w:rFonts w:ascii="黑体" w:hAnsi="黑体" w:eastAsia="黑体"/>
          <w:b w:val="0"/>
        </w:rPr>
      </w:pPr>
      <w:r>
        <w:rPr>
          <w:rFonts w:hint="eastAsia" w:ascii="黑体" w:hAnsi="黑体" w:eastAsia="黑体"/>
          <w:sz w:val="32"/>
          <w:szCs w:val="32"/>
        </w:rPr>
        <w:t>收</w:t>
      </w:r>
      <w:r>
        <w:rPr>
          <w:rStyle w:val="25"/>
          <w:rFonts w:hint="eastAsia" w:ascii="黑体" w:hAnsi="黑体" w:eastAsia="黑体"/>
          <w:b w:val="0"/>
        </w:rPr>
        <w:t>入决算情况说明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年本年收入合计</w:t>
      </w:r>
      <w:r>
        <w:rPr>
          <w:rFonts w:hint="eastAsia" w:ascii="仿宋" w:hAnsi="仿宋" w:eastAsia="仿宋"/>
          <w:sz w:val="32"/>
          <w:szCs w:val="32"/>
          <w:lang w:val="en-US" w:eastAsia="zh-CN"/>
        </w:rPr>
        <w:t>411.68</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410.66</w:t>
      </w:r>
      <w:r>
        <w:rPr>
          <w:rFonts w:hint="eastAsia" w:ascii="仿宋" w:hAnsi="仿宋" w:eastAsia="仿宋"/>
          <w:sz w:val="32"/>
          <w:szCs w:val="32"/>
        </w:rPr>
        <w:t>万元，占</w:t>
      </w:r>
      <w:r>
        <w:rPr>
          <w:rFonts w:hint="eastAsia" w:ascii="仿宋" w:hAnsi="仿宋" w:eastAsia="仿宋"/>
          <w:sz w:val="32"/>
          <w:szCs w:val="32"/>
          <w:lang w:val="en-US" w:eastAsia="zh-CN"/>
        </w:rPr>
        <w:t>99.75</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1.00</w:t>
      </w:r>
      <w:r>
        <w:rPr>
          <w:rFonts w:hint="eastAsia" w:ascii="仿宋" w:hAnsi="仿宋" w:eastAsia="仿宋"/>
          <w:sz w:val="32"/>
          <w:szCs w:val="32"/>
        </w:rPr>
        <w:t>万元，占</w:t>
      </w:r>
      <w:r>
        <w:rPr>
          <w:rFonts w:hint="eastAsia" w:ascii="仿宋" w:hAnsi="仿宋" w:eastAsia="仿宋"/>
          <w:sz w:val="32"/>
          <w:szCs w:val="32"/>
          <w:lang w:val="en-US" w:eastAsia="zh-CN"/>
        </w:rPr>
        <w:t>0.25</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Style w:val="2"/>
        <w:rPr>
          <w:rFonts w:ascii="仿宋" w:hAnsi="仿宋" w:eastAsia="仿宋"/>
          <w:sz w:val="32"/>
          <w:szCs w:val="32"/>
        </w:rPr>
      </w:pPr>
      <w:r>
        <w:drawing>
          <wp:inline distT="0" distB="0" distL="114300" distR="114300">
            <wp:extent cx="5029835" cy="2513965"/>
            <wp:effectExtent l="4445" t="4445" r="13970" b="1524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1280" w:firstLineChars="400"/>
        <w:rPr>
          <w:rFonts w:ascii="仿宋_GB2312" w:eastAsia="仿宋_GB2312"/>
          <w:sz w:val="32"/>
          <w:szCs w:val="32"/>
        </w:rPr>
      </w:pPr>
      <w:r>
        <w:rPr>
          <w:rFonts w:hint="eastAsia" w:ascii="仿宋" w:hAnsi="仿宋" w:eastAsia="仿宋"/>
          <w:sz w:val="32"/>
          <w:szCs w:val="32"/>
        </w:rPr>
        <w:t>（图2：收入决算结构图）</w:t>
      </w:r>
    </w:p>
    <w:p>
      <w:pPr>
        <w:pStyle w:val="23"/>
        <w:numPr>
          <w:ilvl w:val="0"/>
          <w:numId w:val="2"/>
        </w:numPr>
        <w:spacing w:line="600" w:lineRule="exact"/>
        <w:ind w:firstLineChars="0"/>
        <w:outlineLvl w:val="1"/>
        <w:rPr>
          <w:rStyle w:val="25"/>
          <w:rFonts w:ascii="黑体" w:hAnsi="黑体" w:eastAsia="黑体"/>
          <w:b w:val="0"/>
        </w:rPr>
      </w:pPr>
      <w:bookmarkStart w:id="24" w:name="_Toc15377207"/>
      <w:bookmarkStart w:id="25" w:name="_Toc15396605"/>
      <w:r>
        <w:rPr>
          <w:rFonts w:hint="eastAsia" w:ascii="黑体" w:hAnsi="黑体" w:eastAsia="黑体"/>
          <w:sz w:val="32"/>
          <w:szCs w:val="32"/>
        </w:rPr>
        <w:t>支</w:t>
      </w:r>
      <w:r>
        <w:rPr>
          <w:rStyle w:val="25"/>
          <w:rFonts w:hint="eastAsia" w:ascii="黑体" w:hAnsi="黑体" w:eastAsia="黑体"/>
          <w:b w:val="0"/>
        </w:rPr>
        <w:t>出决算情况说明</w:t>
      </w:r>
      <w:bookmarkEnd w:id="24"/>
      <w:bookmarkEnd w:id="25"/>
    </w:p>
    <w:p>
      <w:pPr>
        <w:spacing w:line="600" w:lineRule="exact"/>
        <w:ind w:firstLine="640" w:firstLineChars="200"/>
        <w:outlineLvl w:val="1"/>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年本年支出合计</w:t>
      </w:r>
      <w:r>
        <w:rPr>
          <w:rFonts w:hint="eastAsia" w:ascii="仿宋" w:hAnsi="仿宋" w:eastAsia="仿宋"/>
          <w:sz w:val="32"/>
          <w:szCs w:val="32"/>
          <w:lang w:val="en-US" w:eastAsia="zh-CN"/>
        </w:rPr>
        <w:t>411.66</w:t>
      </w:r>
      <w:r>
        <w:rPr>
          <w:rFonts w:hint="eastAsia" w:ascii="仿宋" w:hAnsi="仿宋" w:eastAsia="仿宋"/>
          <w:sz w:val="32"/>
          <w:szCs w:val="32"/>
        </w:rPr>
        <w:t>万元，其中：基本支出</w:t>
      </w:r>
      <w:r>
        <w:rPr>
          <w:rFonts w:hint="eastAsia" w:ascii="仿宋" w:hAnsi="仿宋" w:eastAsia="仿宋"/>
          <w:sz w:val="32"/>
          <w:szCs w:val="32"/>
          <w:lang w:val="en-US" w:eastAsia="zh-CN"/>
        </w:rPr>
        <w:t>398.66</w:t>
      </w:r>
      <w:r>
        <w:rPr>
          <w:rFonts w:hint="eastAsia" w:ascii="仿宋" w:hAnsi="仿宋" w:eastAsia="仿宋"/>
          <w:sz w:val="32"/>
          <w:szCs w:val="32"/>
        </w:rPr>
        <w:t>万元，占</w:t>
      </w:r>
      <w:r>
        <w:rPr>
          <w:rFonts w:hint="eastAsia" w:ascii="仿宋" w:hAnsi="仿宋" w:eastAsia="仿宋"/>
          <w:sz w:val="32"/>
          <w:szCs w:val="32"/>
          <w:lang w:val="en-US" w:eastAsia="zh-CN"/>
        </w:rPr>
        <w:t>96.84</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13.00</w:t>
      </w:r>
      <w:r>
        <w:rPr>
          <w:rFonts w:hint="eastAsia" w:ascii="仿宋" w:hAnsi="仿宋" w:eastAsia="仿宋"/>
          <w:sz w:val="32"/>
          <w:szCs w:val="32"/>
        </w:rPr>
        <w:t>万元，占</w:t>
      </w:r>
      <w:r>
        <w:rPr>
          <w:rFonts w:hint="eastAsia" w:ascii="仿宋" w:hAnsi="仿宋" w:eastAsia="仿宋"/>
          <w:sz w:val="32"/>
          <w:szCs w:val="32"/>
          <w:lang w:val="en-US" w:eastAsia="zh-CN"/>
        </w:rPr>
        <w:t>3.16</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420" w:firstLineChars="200"/>
        <w:rPr>
          <w:rFonts w:hint="eastAsia" w:ascii="仿宋" w:hAnsi="仿宋" w:eastAsia="仿宋"/>
          <w:sz w:val="32"/>
          <w:szCs w:val="32"/>
        </w:rPr>
      </w:pPr>
      <w:r>
        <w:drawing>
          <wp:anchor distT="0" distB="0" distL="114300" distR="114300" simplePos="0" relativeHeight="251660288" behindDoc="1" locked="0" layoutInCell="1" allowOverlap="1">
            <wp:simplePos x="0" y="0"/>
            <wp:positionH relativeFrom="column">
              <wp:posOffset>346710</wp:posOffset>
            </wp:positionH>
            <wp:positionV relativeFrom="paragraph">
              <wp:posOffset>130175</wp:posOffset>
            </wp:positionV>
            <wp:extent cx="4305935" cy="2818765"/>
            <wp:effectExtent l="4445" t="4445" r="13970" b="15240"/>
            <wp:wrapTight wrapText="bothSides">
              <wp:wrapPolygon>
                <wp:start x="-22" y="-34"/>
                <wp:lineTo x="-22" y="21425"/>
                <wp:lineTo x="21575" y="21425"/>
                <wp:lineTo x="21575" y="-34"/>
                <wp:lineTo x="-22" y="-34"/>
              </wp:wrapPolygon>
            </wp:wrapTight>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1600" w:firstLineChars="500"/>
        <w:rPr>
          <w:rFonts w:ascii="仿宋" w:hAnsi="仿宋" w:eastAsia="仿宋"/>
          <w:sz w:val="32"/>
          <w:szCs w:val="32"/>
        </w:rPr>
      </w:pPr>
      <w:r>
        <w:rPr>
          <w:rFonts w:hint="eastAsia" w:ascii="仿宋" w:hAnsi="仿宋" w:eastAsia="仿宋"/>
          <w:sz w:val="32"/>
          <w:szCs w:val="32"/>
        </w:rPr>
        <w:t>（图3：支出决算结构图）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5"/>
          <w:rFonts w:ascii="黑体" w:hAnsi="黑体" w:eastAsia="黑体"/>
          <w:b w:val="0"/>
        </w:rPr>
      </w:pPr>
      <w:bookmarkStart w:id="26" w:name="_Toc15377208"/>
      <w:bookmarkStart w:id="27" w:name="_Toc15396606"/>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26"/>
      <w:bookmarkEnd w:id="27"/>
    </w:p>
    <w:p>
      <w:pPr>
        <w:spacing w:line="600" w:lineRule="exact"/>
        <w:ind w:firstLine="420" w:firstLineChars="200"/>
        <w:rPr>
          <w:rFonts w:ascii="仿宋_GB2312" w:eastAsia="仿宋_GB2312"/>
          <w:sz w:val="32"/>
          <w:szCs w:val="32"/>
        </w:rPr>
      </w:pPr>
      <w:r>
        <w:drawing>
          <wp:anchor distT="0" distB="0" distL="114300" distR="114300" simplePos="0" relativeHeight="251661312" behindDoc="1" locked="0" layoutInCell="1" allowOverlap="1">
            <wp:simplePos x="0" y="0"/>
            <wp:positionH relativeFrom="column">
              <wp:posOffset>242570</wp:posOffset>
            </wp:positionH>
            <wp:positionV relativeFrom="paragraph">
              <wp:posOffset>1290320</wp:posOffset>
            </wp:positionV>
            <wp:extent cx="4600575" cy="2600325"/>
            <wp:effectExtent l="4445" t="5080" r="5080" b="4445"/>
            <wp:wrapTight wrapText="bothSides">
              <wp:wrapPolygon>
                <wp:start x="-21" y="-42"/>
                <wp:lineTo x="-21" y="21479"/>
                <wp:lineTo x="21534" y="21479"/>
                <wp:lineTo x="21534" y="-42"/>
                <wp:lineTo x="-21" y="-42"/>
              </wp:wrapPolygon>
            </wp:wrapTight>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年财政拨款收、支总计</w:t>
      </w:r>
      <w:r>
        <w:rPr>
          <w:rFonts w:hint="eastAsia" w:ascii="仿宋" w:hAnsi="仿宋" w:eastAsia="仿宋"/>
          <w:sz w:val="32"/>
          <w:szCs w:val="32"/>
          <w:lang w:val="en-US" w:eastAsia="zh-CN"/>
        </w:rPr>
        <w:t>411.66</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年相比，财政拨款收、支总计</w:t>
      </w:r>
      <w:r>
        <w:rPr>
          <w:rFonts w:hint="eastAsia" w:ascii="仿宋" w:hAnsi="仿宋" w:eastAsia="仿宋"/>
          <w:sz w:val="32"/>
          <w:szCs w:val="32"/>
          <w:lang w:eastAsia="zh-CN"/>
        </w:rPr>
        <w:t>各减少</w:t>
      </w:r>
      <w:r>
        <w:rPr>
          <w:rFonts w:hint="eastAsia" w:ascii="仿宋" w:hAnsi="仿宋" w:eastAsia="仿宋"/>
          <w:sz w:val="32"/>
          <w:szCs w:val="32"/>
          <w:lang w:val="en-US" w:eastAsia="zh-CN"/>
        </w:rPr>
        <w:t>89.63</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17.88</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人员减少。</w:t>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ascii="仿宋" w:hAnsi="仿宋" w:eastAsia="仿宋"/>
          <w:b/>
          <w:sz w:val="32"/>
          <w:szCs w:val="32"/>
        </w:rPr>
      </w:pPr>
      <w:r>
        <w:rPr>
          <w:rFonts w:hint="eastAsia" w:ascii="仿宋" w:hAnsi="仿宋" w:eastAsia="仿宋"/>
          <w:sz w:val="32"/>
          <w:szCs w:val="32"/>
        </w:rPr>
        <w:t>（图4：财政拨款收、支决算总计变动情况）</w:t>
      </w:r>
    </w:p>
    <w:p>
      <w:pPr>
        <w:spacing w:line="600" w:lineRule="exact"/>
        <w:ind w:firstLine="640" w:firstLineChars="200"/>
        <w:outlineLvl w:val="1"/>
        <w:rPr>
          <w:rStyle w:val="25"/>
          <w:rFonts w:ascii="黑体" w:hAnsi="黑体" w:eastAsia="黑体"/>
          <w:b w:val="0"/>
        </w:rPr>
      </w:pPr>
      <w:bookmarkStart w:id="28" w:name="_Toc15377209"/>
      <w:bookmarkStart w:id="29" w:name="_Toc15396607"/>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28"/>
      <w:bookmarkEnd w:id="29"/>
    </w:p>
    <w:p>
      <w:pPr>
        <w:spacing w:line="600" w:lineRule="exact"/>
        <w:ind w:firstLine="643" w:firstLineChars="200"/>
        <w:outlineLvl w:val="2"/>
        <w:rPr>
          <w:rFonts w:ascii="仿宋" w:hAnsi="仿宋" w:eastAsia="仿宋"/>
          <w:b/>
          <w:sz w:val="32"/>
          <w:szCs w:val="32"/>
        </w:rPr>
      </w:pPr>
      <w:bookmarkStart w:id="30" w:name="_Toc15377210"/>
      <w:r>
        <w:rPr>
          <w:rFonts w:hint="eastAsia" w:ascii="仿宋" w:hAnsi="仿宋" w:eastAsia="仿宋"/>
          <w:b/>
          <w:sz w:val="32"/>
          <w:szCs w:val="32"/>
        </w:rPr>
        <w:t>（一）一般公共预算财政拨款支出决算总体情况</w:t>
      </w:r>
      <w:bookmarkEnd w:id="30"/>
    </w:p>
    <w:p>
      <w:pPr>
        <w:spacing w:line="600" w:lineRule="exact"/>
        <w:ind w:firstLine="420" w:firstLineChars="200"/>
        <w:rPr>
          <w:rFonts w:ascii="仿宋" w:hAnsi="仿宋" w:eastAsia="仿宋"/>
          <w:sz w:val="32"/>
          <w:szCs w:val="32"/>
        </w:rPr>
      </w:pPr>
      <w:r>
        <w:drawing>
          <wp:anchor distT="0" distB="0" distL="114300" distR="114300" simplePos="0" relativeHeight="251662336" behindDoc="1" locked="0" layoutInCell="1" allowOverlap="1">
            <wp:simplePos x="0" y="0"/>
            <wp:positionH relativeFrom="column">
              <wp:posOffset>631825</wp:posOffset>
            </wp:positionH>
            <wp:positionV relativeFrom="paragraph">
              <wp:posOffset>1459865</wp:posOffset>
            </wp:positionV>
            <wp:extent cx="4267835" cy="1982470"/>
            <wp:effectExtent l="4445" t="5080" r="13970" b="12700"/>
            <wp:wrapNone/>
            <wp:docPr id="1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410.66</w:t>
      </w:r>
      <w:r>
        <w:rPr>
          <w:rFonts w:hint="eastAsia" w:ascii="仿宋" w:hAnsi="仿宋" w:eastAsia="仿宋"/>
          <w:sz w:val="32"/>
          <w:szCs w:val="32"/>
        </w:rPr>
        <w:t>万元，占本年支出合计的</w:t>
      </w:r>
      <w:r>
        <w:rPr>
          <w:rFonts w:hint="eastAsia" w:ascii="仿宋" w:hAnsi="仿宋" w:eastAsia="仿宋"/>
          <w:sz w:val="32"/>
          <w:szCs w:val="32"/>
          <w:lang w:val="en-US" w:eastAsia="zh-CN"/>
        </w:rPr>
        <w:t>99.75</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年相比，一般公共预算财政拨款支出</w:t>
      </w:r>
      <w:r>
        <w:rPr>
          <w:rFonts w:hint="eastAsia" w:ascii="仿宋" w:hAnsi="仿宋" w:eastAsia="仿宋"/>
          <w:sz w:val="32"/>
          <w:szCs w:val="32"/>
          <w:lang w:eastAsia="zh-CN"/>
        </w:rPr>
        <w:t>减少</w:t>
      </w:r>
      <w:r>
        <w:rPr>
          <w:rFonts w:hint="eastAsia" w:ascii="仿宋" w:hAnsi="仿宋" w:eastAsia="仿宋"/>
          <w:sz w:val="32"/>
          <w:szCs w:val="32"/>
          <w:lang w:val="en-US" w:eastAsia="zh-CN"/>
        </w:rPr>
        <w:t>86.43</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17.38</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人员减少。</w:t>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outlineLvl w:val="2"/>
        <w:rPr>
          <w:rFonts w:hint="eastAsia" w:ascii="仿宋" w:hAnsi="仿宋" w:eastAsia="仿宋"/>
          <w:sz w:val="32"/>
          <w:szCs w:val="32"/>
        </w:rPr>
      </w:pPr>
    </w:p>
    <w:p>
      <w:pPr>
        <w:spacing w:line="600" w:lineRule="exact"/>
        <w:ind w:firstLine="640" w:firstLineChars="200"/>
        <w:outlineLvl w:val="2"/>
        <w:rPr>
          <w:rFonts w:hint="eastAsia" w:ascii="仿宋" w:hAnsi="仿宋" w:eastAsia="仿宋"/>
          <w:sz w:val="32"/>
          <w:szCs w:val="32"/>
        </w:rPr>
      </w:pPr>
      <w:r>
        <w:rPr>
          <w:rFonts w:hint="eastAsia" w:ascii="仿宋" w:hAnsi="仿宋" w:eastAsia="仿宋"/>
          <w:sz w:val="32"/>
          <w:szCs w:val="32"/>
        </w:rPr>
        <w:t>（图5：一般公共预算财政拨款支出决算变动情况）</w:t>
      </w:r>
      <w:bookmarkStart w:id="31" w:name="_Toc15377211"/>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bookmarkEnd w:id="31"/>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410.66</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一般公共服务（类）</w:t>
      </w:r>
      <w:r>
        <w:rPr>
          <w:rFonts w:hint="eastAsia" w:ascii="仿宋" w:hAnsi="仿宋" w:eastAsia="仿宋"/>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教育支出（类）</w:t>
      </w:r>
      <w:r>
        <w:rPr>
          <w:rFonts w:hint="eastAsia" w:ascii="仿宋" w:hAnsi="仿宋" w:eastAsia="仿宋"/>
          <w:sz w:val="32"/>
          <w:szCs w:val="32"/>
          <w:lang w:val="en-US" w:eastAsia="zh-CN"/>
        </w:rPr>
        <w:t>343.63</w:t>
      </w:r>
      <w:r>
        <w:rPr>
          <w:rFonts w:hint="eastAsia" w:ascii="仿宋" w:hAnsi="仿宋" w:eastAsia="仿宋"/>
          <w:sz w:val="32"/>
          <w:szCs w:val="32"/>
        </w:rPr>
        <w:t>万元，占</w:t>
      </w:r>
      <w:r>
        <w:rPr>
          <w:rFonts w:hint="eastAsia" w:ascii="仿宋" w:hAnsi="仿宋" w:eastAsia="仿宋"/>
          <w:sz w:val="32"/>
          <w:szCs w:val="32"/>
          <w:lang w:val="en-US" w:eastAsia="zh-CN"/>
        </w:rPr>
        <w:t>83.68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科学技术（类）</w:t>
      </w:r>
      <w:r>
        <w:rPr>
          <w:rFonts w:hint="eastAsia" w:ascii="仿宋" w:hAnsi="仿宋" w:eastAsia="仿宋"/>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文化旅游体育与传媒（类）支出</w:t>
      </w:r>
      <w:r>
        <w:rPr>
          <w:rFonts w:hint="eastAsia" w:ascii="仿宋" w:hAnsi="仿宋" w:eastAsia="仿宋"/>
          <w:b/>
          <w:bCs/>
          <w:sz w:val="32"/>
          <w:szCs w:val="32"/>
          <w:lang w:val="en-US" w:eastAsia="zh-CN"/>
        </w:rPr>
        <w:t>0</w:t>
      </w:r>
      <w:r>
        <w:rPr>
          <w:rFonts w:hint="eastAsia" w:ascii="仿宋" w:hAnsi="仿宋" w:eastAsia="仿宋"/>
          <w:b/>
          <w:bCs/>
          <w:sz w:val="32"/>
          <w:szCs w:val="32"/>
        </w:rPr>
        <w:t>万元，占</w:t>
      </w:r>
      <w:r>
        <w:rPr>
          <w:rFonts w:hint="eastAsia" w:ascii="仿宋" w:hAnsi="仿宋" w:eastAsia="仿宋"/>
          <w:b/>
          <w:bCs/>
          <w:sz w:val="32"/>
          <w:szCs w:val="32"/>
          <w:lang w:val="en-US" w:eastAsia="zh-CN"/>
        </w:rPr>
        <w:t>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w:t>
      </w:r>
      <w:r>
        <w:rPr>
          <w:rFonts w:hint="eastAsia" w:ascii="仿宋" w:hAnsi="仿宋" w:eastAsia="仿宋"/>
          <w:sz w:val="32"/>
          <w:szCs w:val="32"/>
          <w:lang w:val="en-US" w:eastAsia="zh-CN"/>
        </w:rPr>
        <w:t>29.79</w:t>
      </w:r>
      <w:r>
        <w:rPr>
          <w:rFonts w:hint="eastAsia" w:ascii="仿宋" w:hAnsi="仿宋" w:eastAsia="仿宋"/>
          <w:sz w:val="32"/>
          <w:szCs w:val="32"/>
        </w:rPr>
        <w:t>万元，占</w:t>
      </w:r>
      <w:r>
        <w:rPr>
          <w:rFonts w:hint="eastAsia" w:ascii="仿宋" w:hAnsi="仿宋" w:eastAsia="仿宋"/>
          <w:sz w:val="32"/>
          <w:szCs w:val="32"/>
          <w:lang w:val="en-US" w:eastAsia="zh-CN"/>
        </w:rPr>
        <w:t>7.25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14.90</w:t>
      </w:r>
      <w:r>
        <w:rPr>
          <w:rFonts w:hint="eastAsia" w:ascii="仿宋" w:hAnsi="仿宋" w:eastAsia="仿宋"/>
          <w:sz w:val="32"/>
          <w:szCs w:val="32"/>
        </w:rPr>
        <w:t>万元，占</w:t>
      </w:r>
      <w:r>
        <w:rPr>
          <w:rFonts w:hint="eastAsia" w:ascii="仿宋" w:hAnsi="仿宋" w:eastAsia="仿宋"/>
          <w:sz w:val="32"/>
          <w:szCs w:val="32"/>
          <w:lang w:val="en-US" w:eastAsia="zh-CN"/>
        </w:rPr>
        <w:t>3.62</w:t>
      </w:r>
      <w:r>
        <w:rPr>
          <w:rFonts w:ascii="仿宋" w:hAnsi="仿宋" w:eastAsia="仿宋"/>
          <w:sz w:val="32"/>
          <w:szCs w:val="32"/>
        </w:rPr>
        <w:t>%</w:t>
      </w:r>
      <w:r>
        <w:rPr>
          <w:rFonts w:hint="eastAsia" w:ascii="仿宋" w:hAnsi="仿宋" w:eastAsia="仿宋"/>
          <w:sz w:val="32"/>
          <w:szCs w:val="32"/>
        </w:rPr>
        <w:t>；住房保障支出</w:t>
      </w:r>
      <w:r>
        <w:rPr>
          <w:rFonts w:hint="eastAsia" w:ascii="仿宋" w:hAnsi="仿宋" w:eastAsia="仿宋"/>
          <w:sz w:val="32"/>
          <w:szCs w:val="32"/>
          <w:lang w:val="en-US" w:eastAsia="zh-CN"/>
        </w:rPr>
        <w:t>22.34</w:t>
      </w:r>
      <w:r>
        <w:rPr>
          <w:rFonts w:hint="eastAsia" w:ascii="仿宋" w:hAnsi="仿宋" w:eastAsia="仿宋"/>
          <w:sz w:val="32"/>
          <w:szCs w:val="32"/>
        </w:rPr>
        <w:t>万元，占</w:t>
      </w:r>
      <w:r>
        <w:rPr>
          <w:rFonts w:hint="eastAsia" w:ascii="仿宋" w:hAnsi="仿宋" w:eastAsia="仿宋"/>
          <w:sz w:val="32"/>
          <w:szCs w:val="32"/>
          <w:lang w:val="en-US" w:eastAsia="zh-CN"/>
        </w:rPr>
        <w:t>5.45</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sz w:val="32"/>
          <w:szCs w:val="32"/>
        </w:rPr>
      </w:pPr>
      <w:r>
        <w:drawing>
          <wp:anchor distT="0" distB="0" distL="114300" distR="114300" simplePos="0" relativeHeight="251662336" behindDoc="1" locked="0" layoutInCell="1" allowOverlap="1">
            <wp:simplePos x="0" y="0"/>
            <wp:positionH relativeFrom="column">
              <wp:posOffset>271145</wp:posOffset>
            </wp:positionH>
            <wp:positionV relativeFrom="paragraph">
              <wp:posOffset>61595</wp:posOffset>
            </wp:positionV>
            <wp:extent cx="4667250" cy="3209925"/>
            <wp:effectExtent l="4445" t="5080" r="14605" b="4445"/>
            <wp:wrapNone/>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outlineLvl w:val="2"/>
        <w:rPr>
          <w:rFonts w:hint="eastAsia" w:ascii="仿宋" w:hAnsi="仿宋" w:eastAsia="仿宋"/>
          <w:sz w:val="32"/>
          <w:szCs w:val="32"/>
        </w:rPr>
      </w:pPr>
      <w:r>
        <w:rPr>
          <w:rFonts w:hint="eastAsia" w:ascii="仿宋" w:hAnsi="仿宋" w:eastAsia="仿宋"/>
          <w:sz w:val="32"/>
          <w:szCs w:val="32"/>
        </w:rPr>
        <w:t>（图6：一般公共预算财政拨款支出决算结构）</w:t>
      </w:r>
      <w:bookmarkStart w:id="32" w:name="_Toc15377212"/>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bookmarkEnd w:id="32"/>
    </w:p>
    <w:p>
      <w:pPr>
        <w:spacing w:line="600" w:lineRule="exact"/>
        <w:ind w:firstLine="643" w:firstLineChars="200"/>
        <w:outlineLvl w:val="2"/>
        <w:rPr>
          <w:rFonts w:ascii="仿宋" w:hAnsi="仿宋" w:eastAsia="仿宋"/>
          <w:sz w:val="32"/>
          <w:szCs w:val="32"/>
        </w:rPr>
      </w:pPr>
      <w:bookmarkStart w:id="33" w:name="_Toc15377444"/>
      <w:bookmarkStart w:id="34" w:name="_Toc15377213"/>
      <w:bookmarkStart w:id="35" w:name="_Toc15378460"/>
      <w:r>
        <w:rPr>
          <w:rFonts w:hint="eastAsia" w:ascii="仿宋" w:hAnsi="仿宋" w:eastAsia="仿宋"/>
          <w:b/>
          <w:sz w:val="32"/>
          <w:szCs w:val="32"/>
        </w:rPr>
        <w:t>202</w:t>
      </w:r>
      <w:r>
        <w:rPr>
          <w:rFonts w:hint="eastAsia" w:ascii="仿宋" w:hAnsi="仿宋" w:eastAsia="仿宋"/>
          <w:b/>
          <w:sz w:val="32"/>
          <w:szCs w:val="32"/>
          <w:lang w:val="en-US" w:eastAsia="zh-CN"/>
        </w:rPr>
        <w:t>2</w:t>
      </w:r>
      <w:r>
        <w:rPr>
          <w:rFonts w:hint="eastAsia" w:ascii="仿宋" w:hAnsi="仿宋" w:eastAsia="仿宋"/>
          <w:b/>
          <w:sz w:val="32"/>
          <w:szCs w:val="32"/>
        </w:rPr>
        <w:t>年一般公共预算支出决算数为</w:t>
      </w:r>
      <w:r>
        <w:rPr>
          <w:rFonts w:hint="eastAsia" w:ascii="仿宋" w:hAnsi="仿宋" w:eastAsia="仿宋"/>
          <w:b/>
          <w:sz w:val="32"/>
          <w:szCs w:val="32"/>
          <w:lang w:val="en-US" w:eastAsia="zh-CN"/>
        </w:rPr>
        <w:t>497.09</w:t>
      </w:r>
      <w:r>
        <w:rPr>
          <w:rFonts w:hint="eastAsia" w:ascii="仿宋" w:hAnsi="仿宋" w:eastAsia="仿宋"/>
          <w:sz w:val="32"/>
          <w:szCs w:val="32"/>
        </w:rPr>
        <w:t>，</w:t>
      </w:r>
      <w:r>
        <w:rPr>
          <w:rStyle w:val="14"/>
          <w:rFonts w:hint="eastAsia" w:ascii="仿宋" w:hAnsi="仿宋" w:eastAsia="仿宋"/>
          <w:bCs/>
          <w:sz w:val="32"/>
          <w:szCs w:val="32"/>
        </w:rPr>
        <w:t>完成预算</w:t>
      </w:r>
      <w:r>
        <w:rPr>
          <w:rStyle w:val="14"/>
          <w:rFonts w:hint="eastAsia" w:ascii="仿宋" w:hAnsi="仿宋" w:eastAsia="仿宋"/>
          <w:bCs/>
          <w:sz w:val="32"/>
          <w:szCs w:val="32"/>
          <w:lang w:val="en-US" w:eastAsia="zh-CN"/>
        </w:rPr>
        <w:t>100</w:t>
      </w:r>
      <w:r>
        <w:rPr>
          <w:rStyle w:val="14"/>
          <w:rFonts w:ascii="仿宋" w:hAnsi="仿宋" w:eastAsia="仿宋"/>
          <w:bCs/>
          <w:sz w:val="32"/>
          <w:szCs w:val="32"/>
        </w:rPr>
        <w:t>%</w:t>
      </w:r>
      <w:r>
        <w:rPr>
          <w:rStyle w:val="14"/>
          <w:rFonts w:hint="eastAsia" w:ascii="仿宋" w:hAnsi="仿宋" w:eastAsia="仿宋"/>
          <w:bCs/>
          <w:sz w:val="32"/>
          <w:szCs w:val="32"/>
        </w:rPr>
        <w:t>。其中：</w:t>
      </w:r>
      <w:bookmarkEnd w:id="33"/>
      <w:bookmarkEnd w:id="34"/>
      <w:bookmarkEnd w:id="35"/>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lang w:val="en-US" w:eastAsia="zh-CN"/>
        </w:rPr>
        <w:t>1</w:t>
      </w:r>
      <w:r>
        <w:rPr>
          <w:rStyle w:val="14"/>
          <w:rFonts w:ascii="仿宋" w:hAnsi="仿宋" w:eastAsia="仿宋"/>
          <w:bCs/>
          <w:sz w:val="32"/>
          <w:szCs w:val="32"/>
        </w:rPr>
        <w:t>.</w:t>
      </w:r>
      <w:r>
        <w:rPr>
          <w:rStyle w:val="14"/>
          <w:rFonts w:hint="eastAsia" w:ascii="仿宋" w:hAnsi="仿宋" w:eastAsia="仿宋"/>
          <w:bCs/>
          <w:sz w:val="32"/>
          <w:szCs w:val="32"/>
        </w:rPr>
        <w:t>教育（类）</w:t>
      </w:r>
      <w:r>
        <w:rPr>
          <w:rStyle w:val="14"/>
          <w:rFonts w:hint="eastAsia" w:ascii="仿宋" w:hAnsi="仿宋" w:eastAsia="仿宋"/>
          <w:bCs/>
          <w:sz w:val="32"/>
          <w:szCs w:val="32"/>
          <w:lang w:eastAsia="zh-CN"/>
        </w:rPr>
        <w:t>普通教育</w:t>
      </w:r>
      <w:r>
        <w:rPr>
          <w:rStyle w:val="14"/>
          <w:rFonts w:hint="eastAsia" w:ascii="仿宋" w:hAnsi="仿宋" w:eastAsia="仿宋"/>
          <w:bCs/>
          <w:sz w:val="32"/>
          <w:szCs w:val="32"/>
        </w:rPr>
        <w:t>（款）</w:t>
      </w:r>
      <w:r>
        <w:rPr>
          <w:rStyle w:val="14"/>
          <w:rFonts w:hint="eastAsia" w:ascii="仿宋" w:hAnsi="仿宋" w:eastAsia="仿宋"/>
          <w:bCs/>
          <w:sz w:val="32"/>
          <w:szCs w:val="32"/>
          <w:lang w:eastAsia="zh-CN"/>
        </w:rPr>
        <w:t>学前教育</w:t>
      </w:r>
      <w:r>
        <w:rPr>
          <w:rStyle w:val="14"/>
          <w:rFonts w:hint="eastAsia" w:ascii="仿宋" w:hAnsi="仿宋" w:eastAsia="仿宋"/>
          <w:bCs/>
          <w:sz w:val="32"/>
          <w:szCs w:val="32"/>
        </w:rPr>
        <w:t>（项）</w:t>
      </w:r>
      <w:r>
        <w:rPr>
          <w:rStyle w:val="14"/>
          <w:rFonts w:hint="eastAsia" w:ascii="仿宋" w:hAnsi="仿宋" w:eastAsia="仿宋"/>
          <w:bCs/>
          <w:sz w:val="32"/>
          <w:szCs w:val="32"/>
          <w:lang w:eastAsia="zh-CN"/>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22.59</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lang w:val="en-US" w:eastAsia="zh-CN"/>
        </w:rPr>
        <w:t>2</w:t>
      </w:r>
      <w:r>
        <w:rPr>
          <w:rStyle w:val="14"/>
          <w:rFonts w:ascii="仿宋" w:hAnsi="仿宋" w:eastAsia="仿宋"/>
          <w:bCs/>
          <w:sz w:val="32"/>
          <w:szCs w:val="32"/>
        </w:rPr>
        <w:t>.</w:t>
      </w:r>
      <w:r>
        <w:rPr>
          <w:rStyle w:val="14"/>
          <w:rFonts w:hint="eastAsia" w:ascii="仿宋" w:hAnsi="仿宋" w:eastAsia="仿宋"/>
          <w:bCs/>
          <w:sz w:val="32"/>
          <w:szCs w:val="32"/>
        </w:rPr>
        <w:t>教育（类）</w:t>
      </w:r>
      <w:r>
        <w:rPr>
          <w:rStyle w:val="14"/>
          <w:rFonts w:hint="eastAsia" w:ascii="仿宋" w:hAnsi="仿宋" w:eastAsia="仿宋"/>
          <w:bCs/>
          <w:sz w:val="32"/>
          <w:szCs w:val="32"/>
          <w:lang w:eastAsia="zh-CN"/>
        </w:rPr>
        <w:t>普通教育</w:t>
      </w:r>
      <w:r>
        <w:rPr>
          <w:rStyle w:val="14"/>
          <w:rFonts w:hint="eastAsia" w:ascii="仿宋" w:hAnsi="仿宋" w:eastAsia="仿宋"/>
          <w:bCs/>
          <w:sz w:val="32"/>
          <w:szCs w:val="32"/>
        </w:rPr>
        <w:t>（款）</w:t>
      </w:r>
      <w:r>
        <w:rPr>
          <w:rStyle w:val="14"/>
          <w:rFonts w:hint="eastAsia" w:ascii="仿宋" w:hAnsi="仿宋" w:eastAsia="仿宋"/>
          <w:bCs/>
          <w:sz w:val="32"/>
          <w:szCs w:val="32"/>
          <w:lang w:eastAsia="zh-CN"/>
        </w:rPr>
        <w:t>小学教育</w:t>
      </w:r>
      <w:r>
        <w:rPr>
          <w:rStyle w:val="14"/>
          <w:rFonts w:hint="eastAsia" w:ascii="仿宋" w:hAnsi="仿宋" w:eastAsia="仿宋"/>
          <w:bCs/>
          <w:sz w:val="32"/>
          <w:szCs w:val="32"/>
        </w:rPr>
        <w:t>（项）</w:t>
      </w:r>
      <w:r>
        <w:rPr>
          <w:rStyle w:val="14"/>
          <w:rFonts w:hint="eastAsia" w:ascii="仿宋" w:hAnsi="仿宋" w:eastAsia="仿宋"/>
          <w:bCs/>
          <w:sz w:val="32"/>
          <w:szCs w:val="32"/>
          <w:lang w:eastAsia="zh-CN"/>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321.04</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lang w:val="en-US" w:eastAsia="zh-CN"/>
        </w:rPr>
        <w:t>3</w:t>
      </w:r>
      <w:r>
        <w:rPr>
          <w:rStyle w:val="14"/>
          <w:rFonts w:ascii="仿宋" w:hAnsi="仿宋" w:eastAsia="仿宋"/>
          <w:bCs/>
          <w:sz w:val="32"/>
          <w:szCs w:val="32"/>
        </w:rPr>
        <w:t>.</w:t>
      </w:r>
      <w:r>
        <w:rPr>
          <w:rStyle w:val="14"/>
          <w:rFonts w:hint="eastAsia" w:ascii="仿宋" w:hAnsi="仿宋" w:eastAsia="仿宋"/>
          <w:bCs/>
          <w:sz w:val="32"/>
          <w:szCs w:val="32"/>
        </w:rPr>
        <w:t>社会保障和就业（类）</w:t>
      </w:r>
      <w:r>
        <w:rPr>
          <w:rStyle w:val="14"/>
          <w:rFonts w:hint="eastAsia" w:ascii="仿宋" w:hAnsi="仿宋" w:eastAsia="仿宋"/>
          <w:bCs/>
          <w:sz w:val="32"/>
          <w:szCs w:val="32"/>
          <w:lang w:eastAsia="zh-CN"/>
        </w:rPr>
        <w:t>行政事业单位养老支出</w:t>
      </w:r>
      <w:r>
        <w:rPr>
          <w:rStyle w:val="14"/>
          <w:rFonts w:hint="eastAsia" w:ascii="仿宋" w:hAnsi="仿宋" w:eastAsia="仿宋"/>
          <w:bCs/>
          <w:sz w:val="32"/>
          <w:szCs w:val="32"/>
        </w:rPr>
        <w:t>（款）</w:t>
      </w:r>
      <w:r>
        <w:rPr>
          <w:rStyle w:val="14"/>
          <w:rFonts w:hint="eastAsia" w:ascii="仿宋" w:hAnsi="仿宋" w:eastAsia="仿宋"/>
          <w:bCs/>
          <w:sz w:val="32"/>
          <w:szCs w:val="32"/>
          <w:lang w:eastAsia="zh-CN"/>
        </w:rPr>
        <w:t>机关事业单位养老保险支出</w:t>
      </w:r>
      <w:r>
        <w:rPr>
          <w:rStyle w:val="14"/>
          <w:rFonts w:hint="eastAsia" w:ascii="仿宋" w:hAnsi="仿宋" w:eastAsia="仿宋"/>
          <w:bCs/>
          <w:sz w:val="32"/>
          <w:szCs w:val="32"/>
        </w:rPr>
        <w:t>（项）</w:t>
      </w:r>
      <w:r>
        <w:rPr>
          <w:rStyle w:val="14"/>
          <w:rFonts w:hint="eastAsia" w:ascii="仿宋" w:hAnsi="仿宋" w:eastAsia="仿宋"/>
          <w:bCs/>
          <w:sz w:val="32"/>
          <w:szCs w:val="32"/>
          <w:lang w:eastAsia="zh-CN"/>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29.79</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lang w:val="en-US" w:eastAsia="zh-CN"/>
        </w:rPr>
        <w:t>4</w:t>
      </w:r>
      <w:r>
        <w:rPr>
          <w:rStyle w:val="14"/>
          <w:rFonts w:ascii="仿宋" w:hAnsi="仿宋" w:eastAsia="仿宋"/>
          <w:bCs/>
          <w:sz w:val="32"/>
          <w:szCs w:val="32"/>
        </w:rPr>
        <w:t>.</w:t>
      </w:r>
      <w:r>
        <w:rPr>
          <w:rFonts w:hint="eastAsia" w:ascii="仿宋" w:hAnsi="仿宋" w:eastAsia="仿宋"/>
          <w:b/>
          <w:bCs/>
          <w:sz w:val="32"/>
          <w:szCs w:val="32"/>
        </w:rPr>
        <w:t>卫生健康</w:t>
      </w:r>
      <w:r>
        <w:rPr>
          <w:rStyle w:val="14"/>
          <w:rFonts w:hint="eastAsia" w:ascii="仿宋" w:hAnsi="仿宋" w:eastAsia="仿宋"/>
          <w:bCs/>
          <w:sz w:val="32"/>
          <w:szCs w:val="32"/>
        </w:rPr>
        <w:t>（类）</w:t>
      </w:r>
      <w:r>
        <w:rPr>
          <w:rStyle w:val="14"/>
          <w:rFonts w:hint="eastAsia" w:ascii="仿宋" w:hAnsi="仿宋" w:eastAsia="仿宋"/>
          <w:bCs/>
          <w:sz w:val="32"/>
          <w:szCs w:val="32"/>
          <w:lang w:eastAsia="zh-CN"/>
        </w:rPr>
        <w:t>行政事业单位医疗</w:t>
      </w:r>
      <w:r>
        <w:rPr>
          <w:rStyle w:val="14"/>
          <w:rFonts w:hint="eastAsia" w:ascii="仿宋" w:hAnsi="仿宋" w:eastAsia="仿宋"/>
          <w:bCs/>
          <w:sz w:val="32"/>
          <w:szCs w:val="32"/>
        </w:rPr>
        <w:t>（款）</w:t>
      </w:r>
      <w:r>
        <w:rPr>
          <w:rStyle w:val="14"/>
          <w:rFonts w:hint="eastAsia" w:ascii="仿宋" w:hAnsi="仿宋" w:eastAsia="仿宋"/>
          <w:bCs/>
          <w:sz w:val="32"/>
          <w:szCs w:val="32"/>
          <w:lang w:eastAsia="zh-CN"/>
        </w:rPr>
        <w:t>事业单位医疗</w:t>
      </w:r>
      <w:r>
        <w:rPr>
          <w:rStyle w:val="14"/>
          <w:rFonts w:hint="eastAsia" w:ascii="仿宋" w:hAnsi="仿宋" w:eastAsia="仿宋"/>
          <w:bCs/>
          <w:sz w:val="32"/>
          <w:szCs w:val="32"/>
        </w:rPr>
        <w:t>（项）</w:t>
      </w:r>
      <w:r>
        <w:rPr>
          <w:rStyle w:val="14"/>
          <w:rFonts w:hint="eastAsia" w:ascii="仿宋" w:hAnsi="仿宋" w:eastAsia="仿宋"/>
          <w:bCs/>
          <w:sz w:val="32"/>
          <w:szCs w:val="32"/>
          <w:lang w:eastAsia="zh-CN"/>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14.90</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lang w:val="en-US" w:eastAsia="zh-CN"/>
        </w:rPr>
        <w:t>5</w:t>
      </w:r>
      <w:r>
        <w:rPr>
          <w:rStyle w:val="14"/>
          <w:rFonts w:ascii="仿宋" w:hAnsi="仿宋" w:eastAsia="仿宋"/>
          <w:bCs/>
          <w:sz w:val="32"/>
          <w:szCs w:val="32"/>
        </w:rPr>
        <w:t>.</w:t>
      </w:r>
      <w:r>
        <w:rPr>
          <w:rFonts w:hint="eastAsia" w:ascii="仿宋" w:hAnsi="仿宋" w:eastAsia="仿宋"/>
          <w:b/>
          <w:bCs/>
          <w:sz w:val="32"/>
          <w:szCs w:val="32"/>
          <w:lang w:eastAsia="zh-CN"/>
        </w:rPr>
        <w:t>住房保障支出</w:t>
      </w:r>
      <w:r>
        <w:rPr>
          <w:rStyle w:val="14"/>
          <w:rFonts w:hint="eastAsia" w:ascii="仿宋" w:hAnsi="仿宋" w:eastAsia="仿宋"/>
          <w:bCs/>
          <w:sz w:val="32"/>
          <w:szCs w:val="32"/>
        </w:rPr>
        <w:t>（类）</w:t>
      </w:r>
      <w:r>
        <w:rPr>
          <w:rStyle w:val="14"/>
          <w:rFonts w:hint="eastAsia" w:ascii="仿宋" w:hAnsi="仿宋" w:eastAsia="仿宋"/>
          <w:bCs/>
          <w:sz w:val="32"/>
          <w:szCs w:val="32"/>
          <w:lang w:eastAsia="zh-CN"/>
        </w:rPr>
        <w:t>住房改革支出</w:t>
      </w:r>
      <w:r>
        <w:rPr>
          <w:rStyle w:val="14"/>
          <w:rFonts w:hint="eastAsia" w:ascii="仿宋" w:hAnsi="仿宋" w:eastAsia="仿宋"/>
          <w:bCs/>
          <w:sz w:val="32"/>
          <w:szCs w:val="32"/>
        </w:rPr>
        <w:t>（款）</w:t>
      </w:r>
      <w:r>
        <w:rPr>
          <w:rStyle w:val="14"/>
          <w:rFonts w:hint="eastAsia" w:ascii="仿宋" w:hAnsi="仿宋" w:eastAsia="仿宋"/>
          <w:bCs/>
          <w:sz w:val="32"/>
          <w:szCs w:val="32"/>
          <w:lang w:eastAsia="zh-CN"/>
        </w:rPr>
        <w:t>住房公积金</w:t>
      </w:r>
      <w:r>
        <w:rPr>
          <w:rStyle w:val="14"/>
          <w:rFonts w:hint="eastAsia" w:ascii="仿宋" w:hAnsi="仿宋" w:eastAsia="仿宋"/>
          <w:bCs/>
          <w:sz w:val="32"/>
          <w:szCs w:val="32"/>
        </w:rPr>
        <w:t>（项）</w:t>
      </w:r>
      <w:r>
        <w:rPr>
          <w:rStyle w:val="14"/>
          <w:rFonts w:hint="eastAsia" w:ascii="仿宋" w:hAnsi="仿宋" w:eastAsia="仿宋"/>
          <w:bCs/>
          <w:sz w:val="32"/>
          <w:szCs w:val="32"/>
          <w:lang w:eastAsia="zh-CN"/>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22.34</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tabs>
          <w:tab w:val="right" w:pos="8306"/>
        </w:tabs>
        <w:spacing w:line="600" w:lineRule="exact"/>
        <w:ind w:firstLine="640"/>
        <w:outlineLvl w:val="1"/>
        <w:rPr>
          <w:rStyle w:val="25"/>
        </w:rPr>
      </w:pPr>
      <w:bookmarkStart w:id="36" w:name="_Toc15396608"/>
      <w:bookmarkStart w:id="37"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36"/>
      <w:bookmarkEnd w:id="37"/>
      <w:r>
        <w:rPr>
          <w:rStyle w:val="25"/>
          <w:rFonts w:ascii="黑体" w:hAnsi="黑体" w:eastAsia="黑体"/>
          <w:b w:val="0"/>
        </w:rPr>
        <w:tab/>
      </w:r>
    </w:p>
    <w:p>
      <w:pPr>
        <w:spacing w:line="600" w:lineRule="exact"/>
        <w:ind w:firstLine="645"/>
        <w:rPr>
          <w:rFonts w:ascii="仿宋" w:hAnsi="仿宋" w:eastAsia="仿宋"/>
          <w:sz w:val="32"/>
          <w:szCs w:val="32"/>
        </w:rPr>
      </w:pPr>
      <w:bookmarkStart w:id="38" w:name="_Toc15377215"/>
      <w:bookmarkStart w:id="39" w:name="_Toc15396609"/>
      <w:r>
        <w:rPr>
          <w:rFonts w:ascii="仿宋" w:hAnsi="仿宋" w:eastAsia="仿宋"/>
          <w:sz w:val="32"/>
          <w:szCs w:val="32"/>
        </w:rPr>
        <w:t>20</w:t>
      </w:r>
      <w:r>
        <w:rPr>
          <w:rFonts w:hint="eastAsia" w:ascii="仿宋" w:hAnsi="仿宋" w:eastAsia="仿宋"/>
          <w:sz w:val="32"/>
          <w:szCs w:val="32"/>
          <w:lang w:val="en-US" w:eastAsia="zh-CN"/>
        </w:rPr>
        <w:t>22</w:t>
      </w:r>
      <w:r>
        <w:rPr>
          <w:rFonts w:hint="eastAsia" w:ascii="仿宋" w:hAnsi="仿宋" w:eastAsia="仿宋"/>
          <w:sz w:val="32"/>
          <w:szCs w:val="32"/>
        </w:rPr>
        <w:t>年一般公共预算财政拨款基本支出</w:t>
      </w:r>
      <w:r>
        <w:rPr>
          <w:rFonts w:hint="eastAsia" w:ascii="仿宋" w:hAnsi="仿宋" w:eastAsia="仿宋"/>
          <w:sz w:val="32"/>
          <w:szCs w:val="32"/>
          <w:lang w:val="en-US" w:eastAsia="zh-CN"/>
        </w:rPr>
        <w:t>398.66</w:t>
      </w:r>
      <w:r>
        <w:rPr>
          <w:rFonts w:hint="eastAsia" w:ascii="仿宋" w:hAnsi="仿宋" w:eastAsia="仿宋"/>
          <w:sz w:val="32"/>
          <w:szCs w:val="32"/>
        </w:rPr>
        <w:t>万元，其中：</w:t>
      </w:r>
    </w:p>
    <w:p>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w:t>
      </w:r>
      <w:r>
        <w:rPr>
          <w:rFonts w:hint="eastAsia" w:ascii="仿宋" w:hAnsi="仿宋" w:eastAsia="仿宋"/>
          <w:sz w:val="32"/>
          <w:szCs w:val="32"/>
          <w:lang w:val="en-US" w:eastAsia="zh-CN"/>
        </w:rPr>
        <w:t>361.32</w:t>
      </w:r>
      <w:r>
        <w:rPr>
          <w:rFonts w:hint="eastAsia" w:ascii="仿宋" w:hAnsi="仿宋" w:eastAsia="仿宋"/>
          <w:sz w:val="32"/>
          <w:szCs w:val="32"/>
        </w:rPr>
        <w:t>万元，主要包括：基本工资</w:t>
      </w:r>
      <w:r>
        <w:rPr>
          <w:rFonts w:hint="eastAsia" w:ascii="仿宋" w:hAnsi="仿宋" w:eastAsia="仿宋"/>
          <w:sz w:val="32"/>
          <w:szCs w:val="32"/>
          <w:lang w:val="en-US" w:eastAsia="zh-CN"/>
        </w:rPr>
        <w:t>116.98万元</w:t>
      </w:r>
      <w:r>
        <w:rPr>
          <w:rFonts w:hint="eastAsia" w:ascii="仿宋" w:hAnsi="仿宋" w:eastAsia="仿宋"/>
          <w:sz w:val="32"/>
          <w:szCs w:val="32"/>
        </w:rPr>
        <w:t>、津贴补贴</w:t>
      </w:r>
      <w:r>
        <w:rPr>
          <w:rFonts w:hint="eastAsia" w:ascii="仿宋" w:hAnsi="仿宋" w:eastAsia="仿宋"/>
          <w:sz w:val="32"/>
          <w:szCs w:val="32"/>
          <w:lang w:val="en-US" w:eastAsia="zh-CN"/>
        </w:rPr>
        <w:t>16.63万元</w:t>
      </w:r>
      <w:r>
        <w:rPr>
          <w:rFonts w:hint="eastAsia" w:ascii="仿宋" w:hAnsi="仿宋" w:eastAsia="仿宋"/>
          <w:sz w:val="32"/>
          <w:szCs w:val="32"/>
        </w:rPr>
        <w:t>、奖金</w:t>
      </w:r>
      <w:r>
        <w:rPr>
          <w:rFonts w:hint="eastAsia" w:ascii="仿宋" w:hAnsi="仿宋" w:eastAsia="仿宋"/>
          <w:sz w:val="32"/>
          <w:szCs w:val="32"/>
          <w:lang w:val="en-US" w:eastAsia="zh-CN"/>
        </w:rPr>
        <w:t>53.73万元</w:t>
      </w:r>
      <w:r>
        <w:rPr>
          <w:rFonts w:hint="eastAsia" w:ascii="仿宋" w:hAnsi="仿宋" w:eastAsia="仿宋"/>
          <w:sz w:val="32"/>
          <w:szCs w:val="32"/>
        </w:rPr>
        <w:t>、绩效工资</w:t>
      </w:r>
      <w:r>
        <w:rPr>
          <w:rFonts w:hint="eastAsia" w:ascii="仿宋" w:hAnsi="仿宋" w:eastAsia="仿宋"/>
          <w:sz w:val="32"/>
          <w:szCs w:val="32"/>
          <w:lang w:val="en-US" w:eastAsia="zh-CN"/>
        </w:rPr>
        <w:t>68.67万元</w:t>
      </w:r>
      <w:r>
        <w:rPr>
          <w:rFonts w:hint="eastAsia" w:ascii="仿宋" w:hAnsi="仿宋" w:eastAsia="仿宋"/>
          <w:sz w:val="32"/>
          <w:szCs w:val="32"/>
        </w:rPr>
        <w:t>、机关事业单位基本养老保险缴费</w:t>
      </w:r>
      <w:r>
        <w:rPr>
          <w:rFonts w:hint="eastAsia" w:ascii="仿宋" w:hAnsi="仿宋" w:eastAsia="仿宋"/>
          <w:sz w:val="32"/>
          <w:szCs w:val="32"/>
          <w:lang w:val="en-US" w:eastAsia="zh-CN"/>
        </w:rPr>
        <w:t>29.79万元</w:t>
      </w:r>
      <w:r>
        <w:rPr>
          <w:rFonts w:hint="eastAsia" w:ascii="仿宋" w:hAnsi="仿宋" w:eastAsia="仿宋"/>
          <w:sz w:val="32"/>
          <w:szCs w:val="32"/>
        </w:rPr>
        <w:t>、其他社会保障缴费</w:t>
      </w:r>
      <w:r>
        <w:rPr>
          <w:rFonts w:hint="eastAsia" w:ascii="仿宋" w:hAnsi="仿宋" w:eastAsia="仿宋"/>
          <w:sz w:val="32"/>
          <w:szCs w:val="32"/>
          <w:lang w:val="en-US" w:eastAsia="zh-CN"/>
        </w:rPr>
        <w:t>2.05万元</w:t>
      </w:r>
      <w:r>
        <w:rPr>
          <w:rFonts w:hint="eastAsia" w:ascii="仿宋" w:hAnsi="仿宋" w:eastAsia="仿宋"/>
          <w:sz w:val="32"/>
          <w:szCs w:val="32"/>
        </w:rPr>
        <w:t>、医疗费补助</w:t>
      </w:r>
      <w:r>
        <w:rPr>
          <w:rFonts w:hint="eastAsia" w:ascii="仿宋" w:hAnsi="仿宋" w:eastAsia="仿宋"/>
          <w:sz w:val="32"/>
          <w:szCs w:val="32"/>
          <w:lang w:val="en-US" w:eastAsia="zh-CN"/>
        </w:rPr>
        <w:t>14.90万元</w:t>
      </w:r>
      <w:r>
        <w:rPr>
          <w:rFonts w:hint="eastAsia" w:ascii="仿宋" w:hAnsi="仿宋" w:eastAsia="仿宋"/>
          <w:sz w:val="32"/>
          <w:szCs w:val="32"/>
        </w:rPr>
        <w:t>、住房公积金</w:t>
      </w:r>
      <w:r>
        <w:rPr>
          <w:rFonts w:hint="eastAsia" w:ascii="仿宋" w:hAnsi="仿宋" w:eastAsia="仿宋"/>
          <w:sz w:val="32"/>
          <w:szCs w:val="32"/>
          <w:lang w:val="en-US" w:eastAsia="zh-CN"/>
        </w:rPr>
        <w:t>22.34万元</w:t>
      </w:r>
      <w:r>
        <w:rPr>
          <w:rFonts w:hint="eastAsia" w:ascii="仿宋" w:hAnsi="仿宋" w:eastAsia="仿宋"/>
          <w:sz w:val="32"/>
          <w:szCs w:val="32"/>
        </w:rPr>
        <w:t>、生活补助</w:t>
      </w:r>
      <w:r>
        <w:rPr>
          <w:rFonts w:hint="eastAsia" w:ascii="仿宋" w:hAnsi="仿宋" w:eastAsia="仿宋"/>
          <w:sz w:val="32"/>
          <w:szCs w:val="32"/>
          <w:lang w:val="en-US" w:eastAsia="zh-CN"/>
        </w:rPr>
        <w:t>35.60万元、</w:t>
      </w:r>
      <w:r>
        <w:rPr>
          <w:rFonts w:hint="eastAsia" w:ascii="仿宋" w:hAnsi="仿宋" w:eastAsia="仿宋"/>
          <w:sz w:val="32"/>
          <w:szCs w:val="32"/>
          <w:lang w:eastAsia="zh-CN"/>
        </w:rPr>
        <w:t>其他</w:t>
      </w:r>
      <w:r>
        <w:rPr>
          <w:rFonts w:hint="eastAsia" w:ascii="仿宋" w:hAnsi="仿宋" w:eastAsia="仿宋"/>
          <w:sz w:val="32"/>
          <w:szCs w:val="32"/>
        </w:rPr>
        <w:t>对个人和家庭的补助支出</w:t>
      </w:r>
      <w:r>
        <w:rPr>
          <w:rFonts w:hint="eastAsia" w:ascii="仿宋" w:hAnsi="仿宋" w:eastAsia="仿宋"/>
          <w:sz w:val="32"/>
          <w:szCs w:val="32"/>
          <w:lang w:val="en-US" w:eastAsia="zh-CN"/>
        </w:rPr>
        <w:t>0.63万元</w:t>
      </w:r>
      <w:r>
        <w:rPr>
          <w:rFonts w:hint="eastAsia" w:ascii="仿宋" w:hAnsi="仿宋" w:eastAsia="仿宋"/>
          <w:sz w:val="32"/>
          <w:szCs w:val="32"/>
        </w:rPr>
        <w:t>。</w:t>
      </w:r>
    </w:p>
    <w:p>
      <w:pPr>
        <w:spacing w:line="600" w:lineRule="exact"/>
        <w:ind w:firstLine="645"/>
        <w:rPr>
          <w:rFonts w:ascii="仿宋" w:hAnsi="仿宋" w:eastAsia="仿宋"/>
          <w:sz w:val="32"/>
          <w:szCs w:val="32"/>
        </w:rPr>
      </w:pPr>
      <w:r>
        <w:rPr>
          <w:rFonts w:hint="eastAsia" w:ascii="仿宋" w:hAnsi="仿宋" w:eastAsia="仿宋"/>
          <w:sz w:val="32"/>
          <w:szCs w:val="32"/>
        </w:rPr>
        <w:t>公用经费</w:t>
      </w:r>
      <w:r>
        <w:rPr>
          <w:rFonts w:hint="eastAsia" w:ascii="仿宋" w:hAnsi="仿宋" w:eastAsia="仿宋"/>
          <w:sz w:val="32"/>
          <w:szCs w:val="32"/>
          <w:lang w:val="en-US" w:eastAsia="zh-CN"/>
        </w:rPr>
        <w:t>37.34</w:t>
      </w:r>
      <w:r>
        <w:rPr>
          <w:rFonts w:hint="eastAsia" w:ascii="仿宋" w:hAnsi="仿宋" w:eastAsia="仿宋"/>
          <w:sz w:val="32"/>
          <w:szCs w:val="32"/>
        </w:rPr>
        <w:t>万元，主要包括：办公费</w:t>
      </w:r>
      <w:r>
        <w:rPr>
          <w:rFonts w:hint="eastAsia" w:ascii="仿宋" w:hAnsi="仿宋" w:eastAsia="仿宋"/>
          <w:sz w:val="32"/>
          <w:szCs w:val="32"/>
          <w:lang w:val="en-US" w:eastAsia="zh-CN"/>
        </w:rPr>
        <w:t>7.46万元</w:t>
      </w:r>
      <w:r>
        <w:rPr>
          <w:rFonts w:hint="eastAsia" w:ascii="仿宋" w:hAnsi="仿宋" w:eastAsia="仿宋"/>
          <w:sz w:val="32"/>
          <w:szCs w:val="32"/>
        </w:rPr>
        <w:t>、印刷费</w:t>
      </w:r>
      <w:r>
        <w:rPr>
          <w:rFonts w:hint="eastAsia" w:ascii="仿宋" w:hAnsi="仿宋" w:eastAsia="仿宋"/>
          <w:sz w:val="32"/>
          <w:szCs w:val="32"/>
          <w:lang w:val="en-US" w:eastAsia="zh-CN"/>
        </w:rPr>
        <w:t>2.05万元</w:t>
      </w:r>
      <w:r>
        <w:rPr>
          <w:rFonts w:hint="eastAsia" w:ascii="仿宋" w:hAnsi="仿宋" w:eastAsia="仿宋"/>
          <w:sz w:val="32"/>
          <w:szCs w:val="32"/>
        </w:rPr>
        <w:t>、水费</w:t>
      </w:r>
      <w:r>
        <w:rPr>
          <w:rFonts w:hint="eastAsia" w:ascii="仿宋" w:hAnsi="仿宋" w:eastAsia="仿宋"/>
          <w:sz w:val="32"/>
          <w:szCs w:val="32"/>
          <w:lang w:val="en-US" w:eastAsia="zh-CN"/>
        </w:rPr>
        <w:t>1.58万元</w:t>
      </w:r>
      <w:r>
        <w:rPr>
          <w:rFonts w:hint="eastAsia" w:ascii="仿宋" w:hAnsi="仿宋" w:eastAsia="仿宋"/>
          <w:sz w:val="32"/>
          <w:szCs w:val="32"/>
        </w:rPr>
        <w:t>、电费</w:t>
      </w:r>
      <w:r>
        <w:rPr>
          <w:rFonts w:hint="eastAsia" w:ascii="仿宋" w:hAnsi="仿宋" w:eastAsia="仿宋"/>
          <w:sz w:val="32"/>
          <w:szCs w:val="32"/>
          <w:lang w:val="en-US" w:eastAsia="zh-CN"/>
        </w:rPr>
        <w:t>2.09万元</w:t>
      </w:r>
      <w:r>
        <w:rPr>
          <w:rFonts w:hint="eastAsia" w:ascii="仿宋" w:hAnsi="仿宋" w:eastAsia="仿宋"/>
          <w:sz w:val="32"/>
          <w:szCs w:val="32"/>
        </w:rPr>
        <w:t>、邮电费</w:t>
      </w:r>
      <w:r>
        <w:rPr>
          <w:rFonts w:hint="eastAsia" w:ascii="仿宋" w:hAnsi="仿宋" w:eastAsia="仿宋"/>
          <w:sz w:val="32"/>
          <w:szCs w:val="32"/>
          <w:lang w:val="en-US" w:eastAsia="zh-CN"/>
        </w:rPr>
        <w:t>2.00万元</w:t>
      </w:r>
      <w:r>
        <w:rPr>
          <w:rFonts w:hint="eastAsia" w:ascii="仿宋" w:hAnsi="仿宋" w:eastAsia="仿宋"/>
          <w:sz w:val="32"/>
          <w:szCs w:val="32"/>
        </w:rPr>
        <w:t>、差旅费</w:t>
      </w:r>
      <w:r>
        <w:rPr>
          <w:rFonts w:hint="eastAsia" w:ascii="仿宋" w:hAnsi="仿宋" w:eastAsia="仿宋"/>
          <w:sz w:val="32"/>
          <w:szCs w:val="32"/>
          <w:lang w:val="en-US" w:eastAsia="zh-CN"/>
        </w:rPr>
        <w:t>4.00万元</w:t>
      </w:r>
      <w:r>
        <w:rPr>
          <w:rFonts w:hint="eastAsia" w:ascii="仿宋" w:hAnsi="仿宋" w:eastAsia="仿宋"/>
          <w:sz w:val="32"/>
          <w:szCs w:val="32"/>
        </w:rPr>
        <w:t>、维修（护）费</w:t>
      </w:r>
      <w:r>
        <w:rPr>
          <w:rFonts w:hint="eastAsia" w:ascii="仿宋" w:hAnsi="仿宋" w:eastAsia="仿宋"/>
          <w:sz w:val="32"/>
          <w:szCs w:val="32"/>
          <w:lang w:val="en-US" w:eastAsia="zh-CN"/>
        </w:rPr>
        <w:t>1.50万元</w:t>
      </w:r>
      <w:r>
        <w:rPr>
          <w:rFonts w:hint="eastAsia" w:ascii="仿宋" w:hAnsi="仿宋" w:eastAsia="仿宋"/>
          <w:sz w:val="32"/>
          <w:szCs w:val="32"/>
        </w:rPr>
        <w:t>、培训费</w:t>
      </w:r>
      <w:r>
        <w:rPr>
          <w:rFonts w:hint="eastAsia" w:ascii="仿宋" w:hAnsi="仿宋" w:eastAsia="仿宋"/>
          <w:sz w:val="32"/>
          <w:szCs w:val="32"/>
          <w:lang w:val="en-US" w:eastAsia="zh-CN"/>
        </w:rPr>
        <w:t>1.40万元</w:t>
      </w:r>
      <w:r>
        <w:rPr>
          <w:rFonts w:hint="eastAsia" w:ascii="仿宋" w:hAnsi="仿宋" w:eastAsia="仿宋"/>
          <w:sz w:val="32"/>
          <w:szCs w:val="32"/>
        </w:rPr>
        <w:t>、公务接待费</w:t>
      </w:r>
      <w:r>
        <w:rPr>
          <w:rFonts w:hint="eastAsia" w:ascii="仿宋" w:hAnsi="仿宋" w:eastAsia="仿宋"/>
          <w:sz w:val="32"/>
          <w:szCs w:val="32"/>
          <w:lang w:val="en-US" w:eastAsia="zh-CN"/>
        </w:rPr>
        <w:t>0.38万元</w:t>
      </w:r>
      <w:r>
        <w:rPr>
          <w:rFonts w:hint="eastAsia" w:ascii="仿宋" w:hAnsi="仿宋" w:eastAsia="仿宋"/>
          <w:sz w:val="32"/>
          <w:szCs w:val="32"/>
        </w:rPr>
        <w:t>、劳务费</w:t>
      </w:r>
      <w:r>
        <w:rPr>
          <w:rFonts w:hint="eastAsia" w:ascii="仿宋" w:hAnsi="仿宋" w:eastAsia="仿宋"/>
          <w:sz w:val="32"/>
          <w:szCs w:val="32"/>
          <w:lang w:val="en-US" w:eastAsia="zh-CN"/>
        </w:rPr>
        <w:t>13.58万元</w:t>
      </w:r>
      <w:r>
        <w:rPr>
          <w:rFonts w:hint="eastAsia" w:ascii="仿宋" w:hAnsi="仿宋" w:eastAsia="仿宋"/>
          <w:sz w:val="32"/>
          <w:szCs w:val="32"/>
        </w:rPr>
        <w:t>、工会经费</w:t>
      </w:r>
      <w:r>
        <w:rPr>
          <w:rFonts w:hint="eastAsia" w:ascii="仿宋" w:hAnsi="仿宋" w:eastAsia="仿宋"/>
          <w:sz w:val="32"/>
          <w:szCs w:val="32"/>
          <w:lang w:val="en-US" w:eastAsia="zh-CN"/>
        </w:rPr>
        <w:t>1.31万元</w:t>
      </w:r>
      <w:r>
        <w:rPr>
          <w:rFonts w:hint="eastAsia" w:ascii="仿宋" w:hAnsi="仿宋" w:eastAsia="仿宋"/>
          <w:sz w:val="32"/>
          <w:szCs w:val="32"/>
        </w:rPr>
        <w:t>。</w:t>
      </w:r>
    </w:p>
    <w:p>
      <w:pPr>
        <w:spacing w:line="600" w:lineRule="exact"/>
        <w:ind w:firstLine="640"/>
        <w:outlineLvl w:val="1"/>
        <w:rPr>
          <w:rStyle w:val="25"/>
          <w:rFonts w:ascii="黑体" w:hAnsi="黑体" w:eastAsia="黑体"/>
          <w:b w:val="0"/>
        </w:rPr>
      </w:pPr>
      <w:r>
        <w:rPr>
          <w:rFonts w:hint="eastAsia" w:ascii="黑体" w:eastAsia="黑体"/>
          <w:sz w:val="32"/>
          <w:szCs w:val="32"/>
        </w:rPr>
        <w:t>七、</w:t>
      </w:r>
      <w:r>
        <w:rPr>
          <w:rStyle w:val="25"/>
          <w:rFonts w:hint="eastAsia" w:ascii="黑体" w:hAnsi="黑体" w:eastAsia="黑体"/>
          <w:b w:val="0"/>
        </w:rPr>
        <w:t>财政拨款</w:t>
      </w:r>
      <w:r>
        <w:rPr>
          <w:rStyle w:val="25"/>
          <w:rFonts w:hint="eastAsia" w:ascii="黑体" w:hAnsi="黑体" w:eastAsia="黑体"/>
        </w:rPr>
        <w:t>“</w:t>
      </w:r>
      <w:r>
        <w:rPr>
          <w:rStyle w:val="25"/>
          <w:rFonts w:hint="eastAsia" w:ascii="黑体" w:hAnsi="黑体" w:eastAsia="黑体"/>
          <w:b w:val="0"/>
        </w:rPr>
        <w:t>三公”经费支出决算情况说明</w:t>
      </w:r>
      <w:bookmarkEnd w:id="38"/>
      <w:bookmarkEnd w:id="39"/>
    </w:p>
    <w:p>
      <w:pPr>
        <w:spacing w:line="600" w:lineRule="exact"/>
        <w:ind w:firstLine="640"/>
        <w:outlineLvl w:val="2"/>
        <w:rPr>
          <w:rFonts w:ascii="仿宋" w:hAnsi="仿宋" w:eastAsia="仿宋"/>
          <w:b/>
          <w:sz w:val="32"/>
          <w:szCs w:val="32"/>
        </w:rPr>
      </w:pPr>
      <w:bookmarkStart w:id="40" w:name="_Toc15377216"/>
      <w:r>
        <w:rPr>
          <w:rFonts w:hint="eastAsia" w:ascii="仿宋" w:hAnsi="仿宋" w:eastAsia="仿宋"/>
          <w:b/>
          <w:sz w:val="32"/>
          <w:szCs w:val="32"/>
        </w:rPr>
        <w:t>（一）“三公”经费财政拨款支出决算总体情况说明</w:t>
      </w:r>
      <w:bookmarkEnd w:id="40"/>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年“三公”经费财政拨款支出决算为</w:t>
      </w:r>
      <w:r>
        <w:rPr>
          <w:rFonts w:hint="eastAsia" w:ascii="仿宋" w:hAnsi="仿宋" w:eastAsia="仿宋"/>
          <w:sz w:val="32"/>
          <w:szCs w:val="32"/>
          <w:lang w:val="en-US" w:eastAsia="zh-CN"/>
        </w:rPr>
        <w:t>0.38</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41" w:name="_Toc15377217"/>
      <w:r>
        <w:rPr>
          <w:rFonts w:hint="eastAsia" w:ascii="仿宋" w:hAnsi="仿宋" w:eastAsia="仿宋"/>
          <w:b/>
          <w:sz w:val="32"/>
          <w:szCs w:val="32"/>
        </w:rPr>
        <w:t>（二）“三公”经费财政拨款支出决算具体情况说明</w:t>
      </w:r>
      <w:bookmarkEnd w:id="41"/>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0.38</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hint="eastAsia" w:ascii="仿宋" w:hAnsi="仿宋" w:eastAsia="仿宋"/>
          <w:sz w:val="32"/>
          <w:szCs w:val="32"/>
        </w:rPr>
      </w:pPr>
      <w:r>
        <w:drawing>
          <wp:anchor distT="0" distB="0" distL="114300" distR="114300" simplePos="0" relativeHeight="251662336" behindDoc="1" locked="0" layoutInCell="1" allowOverlap="1">
            <wp:simplePos x="0" y="0"/>
            <wp:positionH relativeFrom="column">
              <wp:posOffset>410845</wp:posOffset>
            </wp:positionH>
            <wp:positionV relativeFrom="paragraph">
              <wp:posOffset>120015</wp:posOffset>
            </wp:positionV>
            <wp:extent cx="4591050" cy="3189605"/>
            <wp:effectExtent l="4445" t="4445" r="14605" b="6350"/>
            <wp:wrapNone/>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w:t>
      </w:r>
    </w:p>
    <w:p>
      <w:pPr>
        <w:spacing w:line="600" w:lineRule="exact"/>
        <w:ind w:firstLine="640"/>
        <w:rPr>
          <w:rFonts w:ascii="仿宋" w:hAnsi="仿宋" w:eastAsia="仿宋"/>
          <w:b/>
          <w:sz w:val="32"/>
          <w:szCs w:val="32"/>
        </w:rPr>
      </w:pPr>
      <w:r>
        <w:rPr>
          <w:rFonts w:ascii="仿宋" w:hAnsi="仿宋" w:eastAsia="仿宋"/>
          <w:b/>
          <w:sz w:val="32"/>
          <w:szCs w:val="32"/>
        </w:rPr>
        <w:t>1.</w:t>
      </w:r>
      <w:r>
        <w:rPr>
          <w:rFonts w:hint="eastAsia" w:ascii="仿宋" w:hAnsi="仿宋" w:eastAsia="仿宋"/>
          <w:b/>
          <w:sz w:val="32"/>
          <w:szCs w:val="32"/>
        </w:rPr>
        <w:t>因公出国（境）经费支出</w:t>
      </w:r>
      <w:r>
        <w:rPr>
          <w:rFonts w:hint="eastAsia" w:ascii="仿宋" w:hAnsi="仿宋" w:eastAsia="仿宋"/>
          <w:sz w:val="32"/>
          <w:szCs w:val="32"/>
        </w:rPr>
        <w:t>0万元，</w:t>
      </w:r>
      <w:r>
        <w:rPr>
          <w:rStyle w:val="14"/>
          <w:rFonts w:hint="eastAsia" w:ascii="仿宋" w:hAnsi="仿宋" w:eastAsia="仿宋"/>
          <w:b w:val="0"/>
          <w:bCs/>
          <w:sz w:val="32"/>
          <w:szCs w:val="32"/>
        </w:rPr>
        <w:t>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 w:hAnsi="仿宋" w:eastAsia="仿宋"/>
          <w:sz w:val="32"/>
          <w:szCs w:val="32"/>
        </w:rPr>
        <w:t>全年安排因公出国（境）团组0次，出国（境）0人。因公出国（境）支出决算</w:t>
      </w:r>
      <w:r>
        <w:rPr>
          <w:rFonts w:hint="eastAsia" w:ascii="仿宋" w:hAnsi="仿宋" w:eastAsia="仿宋"/>
          <w:sz w:val="32"/>
          <w:szCs w:val="32"/>
          <w:lang w:eastAsia="zh-CN"/>
        </w:rPr>
        <w:t>与</w:t>
      </w:r>
      <w:r>
        <w:rPr>
          <w:rFonts w:ascii="仿宋" w:hAnsi="仿宋" w:eastAsia="仿宋"/>
          <w:sz w:val="32"/>
          <w:szCs w:val="32"/>
        </w:rPr>
        <w:t>20</w:t>
      </w:r>
      <w:r>
        <w:rPr>
          <w:rFonts w:hint="eastAsia" w:ascii="仿宋" w:hAnsi="仿宋" w:eastAsia="仿宋"/>
          <w:sz w:val="32"/>
          <w:szCs w:val="32"/>
        </w:rPr>
        <w:t>20年持平，主要原因是无因公出国（境）安排。</w:t>
      </w:r>
    </w:p>
    <w:p>
      <w:pPr>
        <w:spacing w:line="600" w:lineRule="exact"/>
        <w:ind w:firstLine="640"/>
        <w:rPr>
          <w:rFonts w:ascii="仿宋" w:hAnsi="仿宋" w:eastAsia="仿宋"/>
          <w:b/>
          <w:sz w:val="32"/>
          <w:szCs w:val="32"/>
        </w:rPr>
      </w:pPr>
      <w:r>
        <w:rPr>
          <w:rFonts w:ascii="仿宋" w:hAnsi="仿宋" w:eastAsia="仿宋"/>
          <w:b/>
          <w:sz w:val="32"/>
          <w:szCs w:val="32"/>
        </w:rPr>
        <w:t>2.</w:t>
      </w:r>
      <w:r>
        <w:rPr>
          <w:rFonts w:hint="eastAsia" w:ascii="仿宋" w:hAnsi="仿宋" w:eastAsia="仿宋"/>
          <w:b/>
          <w:sz w:val="32"/>
          <w:szCs w:val="32"/>
        </w:rPr>
        <w:t>公务用车购置及运行维护费支出</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eastAsia="zh-CN"/>
        </w:rPr>
        <w:t>，</w:t>
      </w:r>
      <w:r>
        <w:rPr>
          <w:rStyle w:val="14"/>
          <w:rFonts w:hint="eastAsia" w:ascii="仿宋" w:hAnsi="仿宋" w:eastAsia="仿宋"/>
          <w:b w:val="0"/>
          <w:bCs/>
          <w:sz w:val="32"/>
          <w:szCs w:val="32"/>
        </w:rPr>
        <w:t>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0" w:firstLineChars="200"/>
        <w:rPr>
          <w:rFonts w:ascii="仿宋" w:hAnsi="仿宋" w:eastAsia="仿宋"/>
          <w:b/>
          <w:sz w:val="32"/>
          <w:szCs w:val="32"/>
        </w:rPr>
      </w:pPr>
      <w:r>
        <w:rPr>
          <w:rFonts w:hint="eastAsia" w:ascii="仿宋" w:hAnsi="仿宋" w:eastAsia="仿宋"/>
          <w:sz w:val="32"/>
          <w:szCs w:val="32"/>
        </w:rPr>
        <w:t>其中：</w:t>
      </w:r>
      <w:r>
        <w:rPr>
          <w:rFonts w:hint="eastAsia" w:ascii="仿宋" w:hAnsi="仿宋" w:eastAsia="仿宋"/>
          <w:b/>
          <w:sz w:val="32"/>
          <w:szCs w:val="32"/>
        </w:rPr>
        <w:t>公务用车购置支出</w:t>
      </w:r>
      <w:r>
        <w:rPr>
          <w:rFonts w:hint="eastAsia" w:ascii="仿宋" w:hAnsi="仿宋" w:eastAsia="仿宋"/>
          <w:sz w:val="32"/>
          <w:szCs w:val="32"/>
        </w:rPr>
        <w:t>0万元。全年</w:t>
      </w:r>
      <w:r>
        <w:rPr>
          <w:rFonts w:hint="eastAsia" w:ascii="仿宋" w:hAnsi="仿宋" w:eastAsia="仿宋"/>
          <w:sz w:val="32"/>
          <w:szCs w:val="32"/>
          <w:lang w:eastAsia="zh-CN"/>
        </w:rPr>
        <w:t>新</w:t>
      </w:r>
      <w:r>
        <w:rPr>
          <w:rFonts w:hint="eastAsia" w:ascii="仿宋" w:hAnsi="仿宋" w:eastAsia="仿宋"/>
          <w:sz w:val="32"/>
          <w:szCs w:val="32"/>
        </w:rPr>
        <w:t>购置公务用车0辆，其中：轿车0辆、金额0万元，越野车0辆、金额0万元，载客汽车0辆、金额0万元。截至</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w:t>
      </w:r>
      <w:r>
        <w:rPr>
          <w:rFonts w:ascii="仿宋" w:hAnsi="仿宋" w:eastAsia="仿宋"/>
          <w:sz w:val="32"/>
          <w:szCs w:val="32"/>
        </w:rPr>
        <w:t>12</w:t>
      </w:r>
      <w:r>
        <w:rPr>
          <w:rFonts w:hint="eastAsia" w:ascii="仿宋" w:hAnsi="仿宋" w:eastAsia="仿宋"/>
          <w:sz w:val="32"/>
          <w:szCs w:val="32"/>
        </w:rPr>
        <w:t>月底，单位共有公务用车</w:t>
      </w:r>
      <w:r>
        <w:rPr>
          <w:rFonts w:hint="eastAsia" w:ascii="仿宋" w:hAnsi="仿宋" w:eastAsia="仿宋"/>
          <w:sz w:val="32"/>
          <w:szCs w:val="32"/>
          <w:lang w:val="en-US" w:eastAsia="zh-CN"/>
        </w:rPr>
        <w:t>0</w:t>
      </w:r>
      <w:r>
        <w:rPr>
          <w:rFonts w:hint="eastAsia" w:ascii="仿宋" w:hAnsi="仿宋" w:eastAsia="仿宋"/>
          <w:sz w:val="32"/>
          <w:szCs w:val="32"/>
        </w:rPr>
        <w:t>辆，其中：轿车</w:t>
      </w:r>
      <w:r>
        <w:rPr>
          <w:rFonts w:hint="eastAsia" w:ascii="仿宋" w:hAnsi="仿宋" w:eastAsia="仿宋"/>
          <w:sz w:val="32"/>
          <w:szCs w:val="32"/>
          <w:lang w:val="en-US" w:eastAsia="zh-CN"/>
        </w:rPr>
        <w:t>0</w:t>
      </w:r>
      <w:r>
        <w:rPr>
          <w:rFonts w:hint="eastAsia" w:ascii="仿宋" w:hAnsi="仿宋" w:eastAsia="仿宋"/>
          <w:sz w:val="32"/>
          <w:szCs w:val="32"/>
        </w:rPr>
        <w:t>辆、越野车0辆、载客汽车0辆。</w:t>
      </w:r>
    </w:p>
    <w:p>
      <w:pPr>
        <w:spacing w:line="600" w:lineRule="exact"/>
        <w:ind w:firstLine="640"/>
        <w:rPr>
          <w:rFonts w:ascii="仿宋" w:hAnsi="仿宋" w:eastAsia="仿宋"/>
          <w:sz w:val="32"/>
          <w:szCs w:val="32"/>
        </w:rPr>
      </w:pPr>
      <w:r>
        <w:rPr>
          <w:rFonts w:hint="eastAsia" w:ascii="仿宋" w:hAnsi="仿宋" w:eastAsia="仿宋"/>
          <w:b/>
          <w:sz w:val="32"/>
          <w:szCs w:val="32"/>
        </w:rPr>
        <w:t>公务用车运行维护费支出</w:t>
      </w:r>
      <w:r>
        <w:rPr>
          <w:rFonts w:hint="eastAsia" w:ascii="仿宋" w:hAnsi="仿宋" w:eastAsia="仿宋"/>
          <w:sz w:val="32"/>
          <w:szCs w:val="32"/>
          <w:lang w:val="en-US" w:eastAsia="zh-CN"/>
        </w:rPr>
        <w:t>0</w:t>
      </w:r>
      <w:r>
        <w:rPr>
          <w:rFonts w:hint="eastAsia" w:ascii="仿宋" w:hAnsi="仿宋" w:eastAsia="仿宋"/>
          <w:sz w:val="32"/>
          <w:szCs w:val="32"/>
        </w:rPr>
        <w:t>万元。主要用于全县交通安全管理等所需的公务用车燃料费、维修费、过路过桥费、保险费等支出。</w:t>
      </w:r>
    </w:p>
    <w:p>
      <w:pPr>
        <w:spacing w:line="600" w:lineRule="exact"/>
        <w:ind w:firstLine="640"/>
        <w:rPr>
          <w:rFonts w:ascii="仿宋_GB2312" w:eastAsia="仿宋_GB2312"/>
          <w:sz w:val="32"/>
          <w:szCs w:val="32"/>
        </w:rPr>
      </w:pPr>
      <w:bookmarkStart w:id="42" w:name="_Toc15396610"/>
      <w:bookmarkStart w:id="43" w:name="_Toc15377218"/>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0.38</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公务接待费支出决算比</w:t>
      </w:r>
      <w:bookmarkStart w:id="69" w:name="_GoBack"/>
      <w:bookmarkEnd w:id="69"/>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减少</w:t>
      </w:r>
      <w:r>
        <w:rPr>
          <w:rFonts w:hint="eastAsia" w:ascii="仿宋_GB2312" w:eastAsia="仿宋_GB2312"/>
          <w:sz w:val="32"/>
          <w:szCs w:val="32"/>
          <w:lang w:val="en-US" w:eastAsia="zh-CN"/>
        </w:rPr>
        <w:t>0.10</w:t>
      </w:r>
      <w:r>
        <w:rPr>
          <w:rFonts w:hint="eastAsia" w:ascii="仿宋_GB2312" w:eastAsia="仿宋_GB2312"/>
          <w:sz w:val="32"/>
          <w:szCs w:val="32"/>
        </w:rPr>
        <w:t>万元，</w:t>
      </w:r>
      <w:r>
        <w:rPr>
          <w:rFonts w:hint="eastAsia" w:ascii="仿宋_GB2312" w:eastAsia="仿宋_GB2312"/>
          <w:sz w:val="32"/>
          <w:szCs w:val="32"/>
          <w:lang w:eastAsia="zh-CN"/>
        </w:rPr>
        <w:t>减少</w:t>
      </w:r>
      <w:r>
        <w:rPr>
          <w:rFonts w:hint="eastAsia" w:ascii="仿宋_GB2312" w:eastAsia="仿宋_GB2312"/>
          <w:sz w:val="32"/>
          <w:szCs w:val="32"/>
          <w:lang w:val="en-US" w:eastAsia="zh-CN"/>
        </w:rPr>
        <w:t>20.83</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本年度减少了开展业务活动用餐费</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0.38</w:t>
      </w:r>
      <w:r>
        <w:rPr>
          <w:rFonts w:hint="eastAsia" w:ascii="仿宋_GB2312" w:eastAsia="仿宋_GB2312"/>
          <w:sz w:val="32"/>
          <w:szCs w:val="32"/>
        </w:rPr>
        <w:t>万元，主要用于开展业务活动用餐费。国内公务接待</w:t>
      </w:r>
      <w:r>
        <w:rPr>
          <w:rFonts w:hint="eastAsia" w:ascii="仿宋_GB2312" w:eastAsia="仿宋_GB2312"/>
          <w:sz w:val="32"/>
          <w:szCs w:val="32"/>
          <w:lang w:val="en-US" w:eastAsia="zh-CN"/>
        </w:rPr>
        <w:t>4</w:t>
      </w:r>
      <w:r>
        <w:rPr>
          <w:rFonts w:hint="eastAsia" w:ascii="仿宋_GB2312" w:eastAsia="仿宋_GB2312"/>
          <w:sz w:val="32"/>
          <w:szCs w:val="32"/>
        </w:rPr>
        <w:t>批次，</w:t>
      </w:r>
      <w:r>
        <w:rPr>
          <w:rFonts w:hint="eastAsia" w:ascii="仿宋_GB2312" w:eastAsia="仿宋_GB2312"/>
          <w:sz w:val="32"/>
          <w:szCs w:val="32"/>
          <w:lang w:val="en-US" w:eastAsia="zh-CN"/>
        </w:rPr>
        <w:t>86</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0.38</w:t>
      </w:r>
      <w:r>
        <w:rPr>
          <w:rFonts w:hint="eastAsia" w:ascii="仿宋_GB2312" w:eastAsia="仿宋_GB2312"/>
          <w:sz w:val="32"/>
          <w:szCs w:val="32"/>
        </w:rPr>
        <w:t>万元，具体内容包括：</w:t>
      </w:r>
      <w:r>
        <w:rPr>
          <w:rFonts w:hint="eastAsia" w:ascii="仿宋_GB2312" w:eastAsia="仿宋_GB2312"/>
          <w:sz w:val="32"/>
          <w:szCs w:val="32"/>
          <w:lang w:eastAsia="zh-CN"/>
        </w:rPr>
        <w:t>兄弟学校来校篮球友谊联盟活动接待用餐，</w:t>
      </w:r>
      <w:r>
        <w:rPr>
          <w:rFonts w:hint="eastAsia" w:ascii="仿宋_GB2312" w:eastAsia="仿宋_GB2312"/>
          <w:sz w:val="32"/>
          <w:szCs w:val="32"/>
          <w:lang w:val="en-US" w:eastAsia="zh-CN"/>
        </w:rPr>
        <w:t>用餐费40元/人</w:t>
      </w:r>
      <w:r>
        <w:rPr>
          <w:rFonts w:hint="eastAsia" w:ascii="仿宋_GB2312" w:eastAsia="仿宋_GB2312"/>
          <w:sz w:val="32"/>
          <w:szCs w:val="32"/>
        </w:rPr>
        <w:t>。</w:t>
      </w:r>
    </w:p>
    <w:p>
      <w:pPr>
        <w:spacing w:line="600" w:lineRule="exact"/>
        <w:ind w:firstLine="640"/>
        <w:outlineLvl w:val="1"/>
        <w:rPr>
          <w:rFonts w:hint="eastAsia"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outlineLvl w:val="1"/>
        <w:rPr>
          <w:rStyle w:val="25"/>
          <w:rFonts w:ascii="黑体" w:hAnsi="黑体" w:eastAsia="黑体"/>
        </w:rPr>
      </w:pPr>
      <w:r>
        <w:rPr>
          <w:rFonts w:hint="eastAsia" w:ascii="黑体" w:eastAsia="黑体"/>
          <w:sz w:val="32"/>
          <w:szCs w:val="32"/>
        </w:rPr>
        <w:t>八、</w:t>
      </w:r>
      <w:r>
        <w:rPr>
          <w:rStyle w:val="25"/>
          <w:rFonts w:hint="eastAsia" w:ascii="黑体" w:hAnsi="黑体" w:eastAsia="黑体"/>
          <w:b w:val="0"/>
        </w:rPr>
        <w:t>政府性基金预算支出决算情况说明</w:t>
      </w:r>
      <w:bookmarkEnd w:id="42"/>
      <w:bookmarkEnd w:id="4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1.00</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3"/>
        </w:numPr>
        <w:spacing w:line="600" w:lineRule="exact"/>
        <w:ind w:firstLine="640"/>
        <w:outlineLvl w:val="1"/>
        <w:rPr>
          <w:rStyle w:val="25"/>
          <w:rFonts w:ascii="黑体" w:hAnsi="黑体" w:eastAsia="黑体"/>
          <w:b w:val="0"/>
        </w:rPr>
      </w:pPr>
      <w:bookmarkStart w:id="44" w:name="_Toc15377219"/>
      <w:bookmarkStart w:id="45" w:name="_Toc15396611"/>
      <w:r>
        <w:rPr>
          <w:rStyle w:val="25"/>
          <w:rFonts w:hint="eastAsia" w:ascii="黑体" w:hAnsi="黑体" w:eastAsia="黑体"/>
          <w:b w:val="0"/>
        </w:rPr>
        <w:t>国有资本经营预算支出决算情况说明</w:t>
      </w:r>
      <w:bookmarkEnd w:id="44"/>
      <w:bookmarkEnd w:id="45"/>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25"/>
          <w:rFonts w:ascii="黑体" w:hAnsi="黑体" w:eastAsia="黑体"/>
          <w:b w:val="0"/>
        </w:rPr>
      </w:pPr>
      <w:bookmarkStart w:id="46" w:name="_Toc15377221"/>
      <w:bookmarkStart w:id="47" w:name="_Toc15396612"/>
      <w:r>
        <w:rPr>
          <w:rStyle w:val="25"/>
          <w:rFonts w:hint="eastAsia" w:ascii="黑体" w:hAnsi="黑体" w:eastAsia="黑体"/>
          <w:b w:val="0"/>
        </w:rPr>
        <w:t>其他重要事项的情况说明</w:t>
      </w:r>
      <w:bookmarkEnd w:id="46"/>
      <w:bookmarkEnd w:id="47"/>
    </w:p>
    <w:p>
      <w:pPr>
        <w:spacing w:line="600" w:lineRule="exact"/>
        <w:ind w:firstLine="643" w:firstLineChars="200"/>
        <w:outlineLvl w:val="2"/>
        <w:rPr>
          <w:rFonts w:ascii="仿宋" w:hAnsi="仿宋" w:eastAsia="仿宋"/>
          <w:sz w:val="32"/>
          <w:szCs w:val="32"/>
        </w:rPr>
      </w:pPr>
      <w:bookmarkStart w:id="48" w:name="_Toc15377222"/>
      <w:r>
        <w:rPr>
          <w:rFonts w:hint="eastAsia" w:ascii="仿宋" w:hAnsi="仿宋" w:eastAsia="仿宋"/>
          <w:b/>
          <w:sz w:val="32"/>
          <w:szCs w:val="32"/>
        </w:rPr>
        <w:t>（一）机关运行经费支出情况</w:t>
      </w:r>
      <w:bookmarkEnd w:id="48"/>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cs="仿宋_GB2312"/>
          <w:color w:val="000000"/>
          <w:sz w:val="32"/>
          <w:szCs w:val="32"/>
        </w:rPr>
        <w:t>我校无机关运行经费</w:t>
      </w:r>
      <w:r>
        <w:rPr>
          <w:rFonts w:hint="eastAsia" w:ascii="仿宋_GB2312" w:eastAsia="仿宋_GB2312" w:cs="仿宋_GB2312"/>
          <w:color w:val="000000"/>
          <w:sz w:val="32"/>
          <w:szCs w:val="32"/>
          <w:lang w:eastAsia="zh-CN"/>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9" w:name="_Toc15377223"/>
      <w:r>
        <w:rPr>
          <w:rFonts w:hint="eastAsia" w:ascii="仿宋" w:hAnsi="仿宋" w:eastAsia="仿宋"/>
          <w:b/>
          <w:sz w:val="32"/>
          <w:szCs w:val="32"/>
        </w:rPr>
        <w:t>（二）政府采购支出情况</w:t>
      </w:r>
      <w:bookmarkEnd w:id="49"/>
    </w:p>
    <w:p>
      <w:pPr>
        <w:autoSpaceDE w:val="0"/>
        <w:autoSpaceDN w:val="0"/>
        <w:adjustRightInd w:val="0"/>
        <w:spacing w:line="600" w:lineRule="exact"/>
        <w:ind w:firstLine="640" w:firstLineChars="200"/>
        <w:jc w:val="left"/>
        <w:outlineLvl w:val="2"/>
        <w:rPr>
          <w:rFonts w:hint="eastAsia" w:ascii="仿宋_GB2312" w:eastAsia="仿宋_GB2312" w:cs="仿宋_GB2312"/>
          <w:color w:val="000000"/>
          <w:sz w:val="32"/>
          <w:szCs w:val="32"/>
          <w:lang w:eastAsia="zh-CN"/>
        </w:rPr>
      </w:pPr>
      <w:bookmarkStart w:id="50" w:name="_Toc15377224"/>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cs="仿宋_GB2312"/>
          <w:color w:val="000000"/>
          <w:sz w:val="32"/>
          <w:szCs w:val="32"/>
        </w:rPr>
        <w:t>我校无政府集中采购</w:t>
      </w:r>
      <w:r>
        <w:rPr>
          <w:rFonts w:hint="eastAsia" w:ascii="仿宋_GB2312" w:eastAsia="仿宋_GB2312" w:cs="仿宋_GB2312"/>
          <w:color w:val="000000"/>
          <w:sz w:val="32"/>
          <w:szCs w:val="32"/>
          <w:lang w:eastAsia="zh-CN"/>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bookmarkEnd w:id="50"/>
    </w:p>
    <w:p>
      <w:pPr>
        <w:autoSpaceDE w:val="0"/>
        <w:autoSpaceDN w:val="0"/>
        <w:adjustRightInd w:val="0"/>
        <w:spacing w:line="600" w:lineRule="exact"/>
        <w:ind w:firstLine="640" w:firstLineChars="200"/>
        <w:jc w:val="left"/>
        <w:outlineLvl w:val="2"/>
        <w:rPr>
          <w:rFonts w:hint="eastAsia"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cs="仿宋_GB2312"/>
          <w:color w:val="000000"/>
          <w:sz w:val="32"/>
          <w:szCs w:val="32"/>
        </w:rPr>
        <w:t>我校无公用车辆</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autoSpaceDE w:val="0"/>
        <w:autoSpaceDN w:val="0"/>
        <w:adjustRightInd w:val="0"/>
        <w:spacing w:line="60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根据预算绩效管理要求，</w:t>
      </w:r>
      <w:r>
        <w:rPr>
          <w:rFonts w:hint="eastAsia" w:ascii="仿宋_GB2312" w:eastAsia="仿宋_GB2312"/>
          <w:color w:val="000000"/>
          <w:sz w:val="32"/>
          <w:szCs w:val="32"/>
          <w:lang w:eastAsia="zh-CN"/>
        </w:rPr>
        <w:t>我</w:t>
      </w:r>
      <w:r>
        <w:rPr>
          <w:rFonts w:hint="eastAsia" w:ascii="仿宋_GB2312" w:eastAsia="仿宋_GB2312"/>
          <w:color w:val="000000"/>
          <w:sz w:val="32"/>
          <w:szCs w:val="32"/>
        </w:rPr>
        <w:t>校在202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年度预算编制阶段，组织对</w:t>
      </w:r>
      <w:r>
        <w:rPr>
          <w:rFonts w:hint="eastAsia" w:ascii="仿宋_GB2312" w:eastAsia="仿宋_GB2312"/>
          <w:color w:val="000000"/>
          <w:sz w:val="32"/>
          <w:szCs w:val="32"/>
          <w:lang w:eastAsia="zh-CN"/>
        </w:rPr>
        <w:t>“</w:t>
      </w:r>
      <w:r>
        <w:rPr>
          <w:rFonts w:hint="eastAsia" w:ascii="仿宋_GB2312" w:eastAsia="仿宋_GB2312"/>
          <w:color w:val="000000"/>
          <w:sz w:val="32"/>
          <w:szCs w:val="32"/>
        </w:rPr>
        <w:t>乡村少年宫</w:t>
      </w:r>
      <w:r>
        <w:rPr>
          <w:rFonts w:hint="eastAsia" w:ascii="仿宋_GB2312" w:eastAsia="仿宋_GB2312"/>
          <w:color w:val="000000"/>
          <w:sz w:val="32"/>
          <w:szCs w:val="32"/>
          <w:lang w:eastAsia="zh-CN"/>
        </w:rPr>
        <w:t>”和“农村校舍安全长效保障机制”</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个项目开展了预算事前绩效评估，对</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个项目编制了绩效目标，预算执行过程中，选取两个项目开展绩效监控，年终执行完毕后，对2个项目开展了绩效自评。同时，本部门对202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年部门整体开展绩效自评，《202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年剑阁县</w:t>
      </w:r>
      <w:r>
        <w:rPr>
          <w:rFonts w:hint="eastAsia" w:ascii="仿宋_GB2312" w:eastAsia="仿宋_GB2312"/>
          <w:color w:val="000000"/>
          <w:sz w:val="32"/>
          <w:szCs w:val="32"/>
          <w:lang w:eastAsia="zh-CN"/>
        </w:rPr>
        <w:t>义兴小</w:t>
      </w:r>
      <w:r>
        <w:rPr>
          <w:rFonts w:hint="eastAsia" w:ascii="仿宋_GB2312" w:eastAsia="仿宋_GB2312"/>
          <w:color w:val="000000"/>
          <w:sz w:val="32"/>
          <w:szCs w:val="32"/>
        </w:rPr>
        <w:t>学校整体绩效评价报告》见附件</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（第四部分）</w:t>
      </w:r>
    </w:p>
    <w:p>
      <w:pPr>
        <w:spacing w:line="560" w:lineRule="exact"/>
        <w:ind w:firstLine="640" w:firstLineChars="200"/>
        <w:rPr>
          <w:rFonts w:hint="eastAsia" w:ascii="楷体_GB2312" w:hAnsi="楷体_GB2312" w:eastAsia="楷体_GB2312" w:cs="楷体_GB2312"/>
          <w:sz w:val="32"/>
          <w:szCs w:val="32"/>
          <w:lang w:eastAsia="zh-CN"/>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rPr>
        <w:t>项目绩效目标完成情况。</w:t>
      </w:r>
    </w:p>
    <w:p>
      <w:pPr>
        <w:autoSpaceDE w:val="0"/>
        <w:autoSpaceDN w:val="0"/>
        <w:adjustRightInd w:val="0"/>
        <w:spacing w:line="60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lang w:eastAsia="zh-CN"/>
        </w:rPr>
        <w:t>）</w:t>
      </w:r>
      <w:r>
        <w:rPr>
          <w:rFonts w:hint="eastAsia" w:ascii="仿宋_GB2312" w:eastAsia="仿宋_GB2312"/>
          <w:color w:val="000000"/>
          <w:sz w:val="32"/>
          <w:szCs w:val="32"/>
        </w:rPr>
        <w:t>中央专项彩票公益金支持乡村少年宫项目运转补助资金项目绩效目标完成情况综述。项目全年预算数</w:t>
      </w: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万元，执行数为</w:t>
      </w: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万元，完成预算的</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通过项目实施，抓好乡村学校少年宫建设和管理，强化未成年人思想道德建设；使少年宫的活动内容丰富多彩、寓教于乐。发现的主要问题：乡村少年宫因场地的不足，学生参与面不够广，本校教师师资力量有限，又因经费不足无法聘用外来教师。下一步改进措施：需加强资金的投入，用于扩大场地及本校教师的外出专业培训。《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年剑阁县</w:t>
      </w:r>
      <w:r>
        <w:rPr>
          <w:rFonts w:hint="eastAsia" w:ascii="仿宋_GB2312" w:eastAsia="仿宋_GB2312"/>
          <w:color w:val="000000"/>
          <w:sz w:val="32"/>
          <w:szCs w:val="32"/>
          <w:lang w:eastAsia="zh-CN"/>
        </w:rPr>
        <w:t>义兴小</w:t>
      </w:r>
      <w:r>
        <w:rPr>
          <w:rFonts w:hint="eastAsia" w:ascii="仿宋_GB2312" w:eastAsia="仿宋_GB2312"/>
          <w:color w:val="000000"/>
          <w:sz w:val="32"/>
          <w:szCs w:val="32"/>
        </w:rPr>
        <w:t>学校中央专项彩票公益金支持乡村少年宫绩效评价报告》见附件</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（第四部分）</w:t>
      </w:r>
    </w:p>
    <w:p>
      <w:pPr>
        <w:autoSpaceDE w:val="0"/>
        <w:autoSpaceDN w:val="0"/>
        <w:adjustRightInd w:val="0"/>
        <w:spacing w:line="60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lang w:eastAsia="zh-CN"/>
        </w:rPr>
        <w:t>）</w:t>
      </w:r>
      <w:r>
        <w:rPr>
          <w:rFonts w:hint="eastAsia" w:ascii="仿宋" w:hAnsi="仿宋" w:eastAsia="仿宋" w:cs="仿宋"/>
          <w:sz w:val="30"/>
          <w:szCs w:val="30"/>
        </w:rPr>
        <w:t>剑阁县</w:t>
      </w:r>
      <w:r>
        <w:rPr>
          <w:rFonts w:hint="eastAsia" w:ascii="仿宋" w:hAnsi="仿宋" w:eastAsia="仿宋" w:cs="仿宋"/>
          <w:sz w:val="30"/>
          <w:szCs w:val="30"/>
          <w:lang w:eastAsia="zh-CN"/>
        </w:rPr>
        <w:t>义兴小学</w:t>
      </w:r>
      <w:r>
        <w:rPr>
          <w:rFonts w:hint="eastAsia" w:ascii="仿宋" w:hAnsi="仿宋" w:eastAsia="仿宋" w:cs="仿宋"/>
          <w:sz w:val="30"/>
          <w:szCs w:val="30"/>
        </w:rPr>
        <w:t>校202</w:t>
      </w:r>
      <w:r>
        <w:rPr>
          <w:rFonts w:hint="eastAsia" w:ascii="仿宋" w:hAnsi="仿宋" w:eastAsia="仿宋" w:cs="仿宋"/>
          <w:sz w:val="30"/>
          <w:szCs w:val="30"/>
          <w:lang w:val="en-US" w:eastAsia="zh-CN"/>
        </w:rPr>
        <w:t>2</w:t>
      </w:r>
      <w:r>
        <w:rPr>
          <w:rFonts w:hint="eastAsia" w:ascii="仿宋" w:hAnsi="仿宋" w:eastAsia="仿宋" w:cs="仿宋"/>
          <w:sz w:val="30"/>
          <w:szCs w:val="30"/>
        </w:rPr>
        <w:t>年度</w:t>
      </w:r>
      <w:r>
        <w:rPr>
          <w:rFonts w:hint="eastAsia" w:ascii="仿宋_GB2312" w:eastAsia="仿宋_GB2312"/>
          <w:color w:val="000000"/>
          <w:sz w:val="32"/>
          <w:szCs w:val="32"/>
          <w:lang w:eastAsia="zh-CN"/>
        </w:rPr>
        <w:t>农村校舍安全长效保障资金项目</w:t>
      </w:r>
      <w:r>
        <w:rPr>
          <w:rFonts w:hint="eastAsia" w:ascii="仿宋" w:hAnsi="仿宋" w:eastAsia="仿宋" w:cs="仿宋"/>
          <w:sz w:val="30"/>
          <w:szCs w:val="30"/>
        </w:rPr>
        <w:t>绩效目标完成情况综述。项目全年预算数</w:t>
      </w:r>
      <w:r>
        <w:rPr>
          <w:rFonts w:hint="eastAsia" w:ascii="仿宋" w:hAnsi="仿宋" w:eastAsia="仿宋" w:cs="仿宋"/>
          <w:sz w:val="30"/>
          <w:szCs w:val="30"/>
          <w:lang w:val="en-US" w:eastAsia="zh-CN"/>
        </w:rPr>
        <w:t>12.0</w:t>
      </w:r>
      <w:r>
        <w:rPr>
          <w:rFonts w:hint="eastAsia" w:ascii="仿宋" w:hAnsi="仿宋" w:eastAsia="仿宋" w:cs="仿宋"/>
          <w:sz w:val="30"/>
          <w:szCs w:val="30"/>
        </w:rPr>
        <w:t>万元，执行数为</w:t>
      </w:r>
      <w:r>
        <w:rPr>
          <w:rFonts w:hint="eastAsia" w:ascii="仿宋" w:hAnsi="仿宋" w:eastAsia="仿宋" w:cs="仿宋"/>
          <w:sz w:val="30"/>
          <w:szCs w:val="30"/>
          <w:lang w:val="en-US" w:eastAsia="zh-CN"/>
        </w:rPr>
        <w:t>12.0</w:t>
      </w:r>
      <w:r>
        <w:rPr>
          <w:rFonts w:hint="eastAsia" w:ascii="仿宋" w:hAnsi="仿宋" w:eastAsia="仿宋" w:cs="仿宋"/>
          <w:sz w:val="30"/>
          <w:szCs w:val="30"/>
        </w:rPr>
        <w:t>万元，完成预算的</w:t>
      </w:r>
      <w:r>
        <w:rPr>
          <w:rFonts w:hint="eastAsia" w:ascii="仿宋" w:hAnsi="仿宋" w:eastAsia="仿宋" w:cs="仿宋"/>
          <w:sz w:val="30"/>
          <w:szCs w:val="30"/>
          <w:lang w:val="en-US" w:eastAsia="zh-CN"/>
        </w:rPr>
        <w:t>100</w:t>
      </w:r>
      <w:r>
        <w:rPr>
          <w:rFonts w:ascii="仿宋" w:hAnsi="仿宋" w:eastAsia="仿宋" w:cs="仿宋"/>
          <w:sz w:val="30"/>
          <w:szCs w:val="30"/>
        </w:rPr>
        <w:t>%</w:t>
      </w:r>
      <w:r>
        <w:rPr>
          <w:rFonts w:hint="eastAsia" w:ascii="仿宋" w:hAnsi="仿宋" w:eastAsia="仿宋" w:cs="仿宋"/>
          <w:sz w:val="30"/>
          <w:szCs w:val="30"/>
        </w:rPr>
        <w:t>。</w:t>
      </w:r>
      <w:r>
        <w:rPr>
          <w:rFonts w:hint="eastAsia" w:ascii="仿宋" w:hAnsi="仿宋" w:eastAsia="仿宋" w:cs="仿宋"/>
          <w:sz w:val="30"/>
          <w:szCs w:val="30"/>
          <w:lang w:eastAsia="zh-CN"/>
        </w:rPr>
        <w:t>工程内容主要包括：屋面及女儿墙原有防水层拆除及新作改造工程等。</w:t>
      </w:r>
      <w:r>
        <w:rPr>
          <w:rFonts w:hint="eastAsia" w:ascii="仿宋" w:hAnsi="仿宋" w:eastAsia="仿宋" w:cs="仿宋"/>
          <w:sz w:val="30"/>
          <w:szCs w:val="30"/>
        </w:rPr>
        <w:t>进一步完善健全校舍维修改造长效机制，不断完善办学条件。让学生有良好的学习环境；改善了办学条件，</w:t>
      </w:r>
      <w:r>
        <w:rPr>
          <w:rFonts w:hint="eastAsia" w:ascii="仿宋" w:hAnsi="仿宋" w:eastAsia="仿宋" w:cs="仿宋"/>
          <w:sz w:val="30"/>
          <w:szCs w:val="30"/>
          <w:lang w:eastAsia="zh-CN"/>
        </w:rPr>
        <w:t>办好</w:t>
      </w:r>
      <w:r>
        <w:rPr>
          <w:rFonts w:hint="eastAsia" w:ascii="仿宋" w:hAnsi="仿宋" w:eastAsia="仿宋" w:cs="仿宋"/>
          <w:sz w:val="30"/>
          <w:szCs w:val="30"/>
        </w:rPr>
        <w:t>人民满意的教育。发现的主要问题：资金过少，以至于学校设备不</w:t>
      </w:r>
      <w:r>
        <w:rPr>
          <w:rFonts w:hint="eastAsia" w:ascii="仿宋" w:hAnsi="仿宋" w:eastAsia="仿宋" w:cs="仿宋"/>
          <w:sz w:val="30"/>
          <w:szCs w:val="30"/>
          <w:lang w:eastAsia="zh-CN"/>
        </w:rPr>
        <w:t>齐</w:t>
      </w:r>
      <w:r>
        <w:rPr>
          <w:rFonts w:hint="eastAsia" w:ascii="仿宋" w:hAnsi="仿宋" w:eastAsia="仿宋" w:cs="仿宋"/>
          <w:sz w:val="30"/>
          <w:szCs w:val="30"/>
        </w:rPr>
        <w:t>，</w:t>
      </w:r>
      <w:r>
        <w:rPr>
          <w:rFonts w:hint="eastAsia" w:ascii="仿宋" w:hAnsi="仿宋" w:eastAsia="仿宋" w:cs="仿宋"/>
          <w:sz w:val="30"/>
          <w:szCs w:val="30"/>
          <w:lang w:eastAsia="zh-CN"/>
        </w:rPr>
        <w:t>让</w:t>
      </w:r>
      <w:r>
        <w:rPr>
          <w:rFonts w:hint="eastAsia" w:ascii="仿宋" w:hAnsi="仿宋" w:eastAsia="仿宋" w:cs="仿宋"/>
          <w:sz w:val="30"/>
          <w:szCs w:val="30"/>
        </w:rPr>
        <w:t>学生不能更好</w:t>
      </w:r>
      <w:r>
        <w:rPr>
          <w:rFonts w:hint="eastAsia" w:ascii="仿宋" w:hAnsi="仿宋" w:eastAsia="仿宋" w:cs="仿宋"/>
          <w:sz w:val="30"/>
          <w:szCs w:val="30"/>
          <w:lang w:eastAsia="zh-CN"/>
        </w:rPr>
        <w:t>地</w:t>
      </w:r>
      <w:r>
        <w:rPr>
          <w:rFonts w:hint="eastAsia" w:ascii="仿宋" w:hAnsi="仿宋" w:eastAsia="仿宋" w:cs="仿宋"/>
          <w:sz w:val="30"/>
          <w:szCs w:val="30"/>
        </w:rPr>
        <w:t>享受更先进的信息设备。下一步改进措施：加大</w:t>
      </w:r>
      <w:r>
        <w:rPr>
          <w:rFonts w:hint="eastAsia" w:ascii="仿宋" w:hAnsi="仿宋" w:eastAsia="仿宋" w:cs="仿宋"/>
          <w:sz w:val="30"/>
          <w:szCs w:val="30"/>
          <w:lang w:eastAsia="zh-CN"/>
        </w:rPr>
        <w:t>资金投入</w:t>
      </w:r>
      <w:r>
        <w:rPr>
          <w:rFonts w:hint="eastAsia" w:ascii="仿宋" w:hAnsi="仿宋" w:eastAsia="仿宋" w:cs="仿宋"/>
          <w:sz w:val="30"/>
          <w:szCs w:val="30"/>
        </w:rPr>
        <w:t>，并组织专门的业务培训，让教师更好的牚握先进的设备技能。</w:t>
      </w: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年剑阁县</w:t>
      </w:r>
      <w:r>
        <w:rPr>
          <w:rFonts w:hint="eastAsia" w:ascii="仿宋_GB2312" w:eastAsia="仿宋_GB2312"/>
          <w:color w:val="000000"/>
          <w:sz w:val="32"/>
          <w:szCs w:val="32"/>
          <w:lang w:eastAsia="zh-CN"/>
        </w:rPr>
        <w:t>义兴小</w:t>
      </w:r>
      <w:r>
        <w:rPr>
          <w:rFonts w:hint="eastAsia" w:ascii="仿宋_GB2312" w:eastAsia="仿宋_GB2312"/>
          <w:color w:val="000000"/>
          <w:sz w:val="32"/>
          <w:szCs w:val="32"/>
        </w:rPr>
        <w:t>学校</w:t>
      </w:r>
      <w:r>
        <w:rPr>
          <w:rFonts w:hint="eastAsia" w:ascii="仿宋" w:hAnsi="仿宋" w:eastAsia="仿宋" w:cs="仿宋"/>
          <w:sz w:val="30"/>
          <w:szCs w:val="30"/>
        </w:rPr>
        <w:t>学生宿舍维修改造项目</w:t>
      </w:r>
      <w:r>
        <w:rPr>
          <w:rFonts w:hint="eastAsia" w:ascii="仿宋_GB2312" w:eastAsia="仿宋_GB2312"/>
          <w:color w:val="000000"/>
          <w:sz w:val="32"/>
          <w:szCs w:val="32"/>
        </w:rPr>
        <w:t>绩效评价报告》见附件</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（第四部分）</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4"/>
          <w:rFonts w:ascii="黑体" w:hAnsi="黑体" w:eastAsia="黑体"/>
          <w:b w:val="0"/>
        </w:rPr>
      </w:pPr>
      <w:bookmarkStart w:id="51" w:name="_Toc15396613"/>
      <w:bookmarkStart w:id="52" w:name="_Toc15377225"/>
      <w:r>
        <w:rPr>
          <w:rFonts w:hint="eastAsia" w:ascii="黑体" w:hAnsi="黑体" w:eastAsia="黑体"/>
          <w:sz w:val="44"/>
          <w:szCs w:val="44"/>
        </w:rPr>
        <w:t>名</w:t>
      </w:r>
      <w:r>
        <w:rPr>
          <w:rStyle w:val="24"/>
          <w:rFonts w:hint="eastAsia" w:ascii="黑体" w:hAnsi="黑体" w:eastAsia="黑体"/>
          <w:b w:val="0"/>
        </w:rPr>
        <w:t>词解释</w:t>
      </w:r>
      <w:bookmarkEnd w:id="51"/>
      <w:bookmarkEnd w:id="52"/>
    </w:p>
    <w:p>
      <w:pPr>
        <w:spacing w:line="600" w:lineRule="exact"/>
        <w:jc w:val="left"/>
        <w:rPr>
          <w:rFonts w:ascii="宋体"/>
          <w:b/>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11</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13</w:t>
      </w:r>
      <w:r>
        <w:rPr>
          <w:rFonts w:hint="eastAsia" w:ascii="仿宋_GB2312" w:eastAsia="仿宋_GB2312"/>
          <w:sz w:val="32"/>
          <w:szCs w:val="32"/>
        </w:rPr>
        <w:t>.教育支出</w:t>
      </w:r>
      <w:r>
        <w:rPr>
          <w:rFonts w:hint="eastAsia" w:ascii="仿宋_GB2312" w:eastAsia="仿宋_GB2312"/>
          <w:sz w:val="32"/>
          <w:szCs w:val="32"/>
          <w:lang w:eastAsia="zh-CN"/>
        </w:rPr>
        <w:t>（</w:t>
      </w:r>
      <w:r>
        <w:rPr>
          <w:rFonts w:hint="eastAsia" w:ascii="仿宋_GB2312" w:eastAsia="仿宋_GB2312"/>
          <w:sz w:val="32"/>
          <w:szCs w:val="32"/>
          <w:lang w:val="en-US" w:eastAsia="zh-CN"/>
        </w:rPr>
        <w:t>类）普通教育（款）</w:t>
      </w:r>
      <w:r>
        <w:rPr>
          <w:rFonts w:hint="eastAsia" w:ascii="仿宋_GB2312" w:eastAsia="仿宋_GB2312"/>
          <w:sz w:val="32"/>
          <w:szCs w:val="32"/>
        </w:rPr>
        <w:t>学前教育</w:t>
      </w:r>
      <w:r>
        <w:rPr>
          <w:rFonts w:hint="eastAsia" w:ascii="仿宋_GB2312" w:eastAsia="仿宋_GB2312"/>
          <w:sz w:val="32"/>
          <w:szCs w:val="32"/>
          <w:lang w:eastAsia="zh-CN"/>
        </w:rPr>
        <w:t>（</w:t>
      </w:r>
      <w:r>
        <w:rPr>
          <w:rFonts w:hint="eastAsia" w:ascii="仿宋_GB2312" w:eastAsia="仿宋_GB2312"/>
          <w:sz w:val="32"/>
          <w:szCs w:val="32"/>
          <w:lang w:val="en-US" w:eastAsia="zh-CN"/>
        </w:rPr>
        <w:t>项</w:t>
      </w:r>
      <w:r>
        <w:rPr>
          <w:rFonts w:hint="eastAsia" w:ascii="仿宋_GB2312" w:eastAsia="仿宋_GB2312"/>
          <w:sz w:val="32"/>
          <w:szCs w:val="32"/>
          <w:lang w:eastAsia="zh-CN"/>
        </w:rPr>
        <w:t>）</w:t>
      </w:r>
      <w:r>
        <w:rPr>
          <w:rFonts w:hint="eastAsia" w:ascii="仿宋_GB2312" w:eastAsia="仿宋_GB2312"/>
          <w:sz w:val="32"/>
          <w:szCs w:val="32"/>
        </w:rPr>
        <w:t>：反映本单位学前教育支出</w:t>
      </w:r>
      <w:r>
        <w:rPr>
          <w:rFonts w:hint="eastAsia" w:ascii="仿宋_GB2312" w:eastAsia="仿宋_GB2312"/>
          <w:sz w:val="32"/>
          <w:szCs w:val="32"/>
          <w:lang w:eastAsia="zh-CN"/>
        </w:rPr>
        <w:t>；</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14</w:t>
      </w:r>
      <w:r>
        <w:rPr>
          <w:rFonts w:hint="eastAsia" w:ascii="仿宋_GB2312" w:eastAsia="仿宋_GB2312"/>
          <w:sz w:val="32"/>
          <w:szCs w:val="32"/>
        </w:rPr>
        <w:t>.教育支出</w:t>
      </w:r>
      <w:r>
        <w:rPr>
          <w:rFonts w:hint="eastAsia" w:ascii="仿宋_GB2312" w:eastAsia="仿宋_GB2312"/>
          <w:sz w:val="32"/>
          <w:szCs w:val="32"/>
          <w:lang w:eastAsia="zh-CN"/>
        </w:rPr>
        <w:t>（</w:t>
      </w:r>
      <w:r>
        <w:rPr>
          <w:rFonts w:hint="eastAsia" w:ascii="仿宋_GB2312" w:eastAsia="仿宋_GB2312"/>
          <w:sz w:val="32"/>
          <w:szCs w:val="32"/>
          <w:lang w:val="en-US" w:eastAsia="zh-CN"/>
        </w:rPr>
        <w:t>类）普通教育（款）</w:t>
      </w:r>
      <w:r>
        <w:rPr>
          <w:rFonts w:hint="eastAsia" w:ascii="仿宋_GB2312" w:eastAsia="仿宋_GB2312"/>
          <w:sz w:val="32"/>
          <w:szCs w:val="32"/>
        </w:rPr>
        <w:t>小学教育</w:t>
      </w:r>
      <w:r>
        <w:rPr>
          <w:rFonts w:hint="eastAsia" w:ascii="仿宋_GB2312" w:eastAsia="仿宋_GB2312"/>
          <w:sz w:val="32"/>
          <w:szCs w:val="32"/>
          <w:lang w:eastAsia="zh-CN"/>
        </w:rPr>
        <w:t>（</w:t>
      </w:r>
      <w:r>
        <w:rPr>
          <w:rFonts w:hint="eastAsia" w:ascii="仿宋_GB2312" w:eastAsia="仿宋_GB2312"/>
          <w:sz w:val="32"/>
          <w:szCs w:val="32"/>
          <w:lang w:val="en-US" w:eastAsia="zh-CN"/>
        </w:rPr>
        <w:t>项</w:t>
      </w:r>
      <w:r>
        <w:rPr>
          <w:rFonts w:hint="eastAsia" w:ascii="仿宋_GB2312" w:eastAsia="仿宋_GB2312"/>
          <w:sz w:val="32"/>
          <w:szCs w:val="32"/>
          <w:lang w:eastAsia="zh-CN"/>
        </w:rPr>
        <w:t>）</w:t>
      </w:r>
      <w:r>
        <w:rPr>
          <w:rFonts w:hint="eastAsia" w:ascii="仿宋_GB2312" w:eastAsia="仿宋_GB2312"/>
          <w:sz w:val="32"/>
          <w:szCs w:val="32"/>
        </w:rPr>
        <w:t>：反映本单位小学教育支出</w:t>
      </w:r>
      <w:r>
        <w:rPr>
          <w:rFonts w:hint="eastAsia" w:ascii="仿宋_GB2312" w:eastAsia="仿宋_GB2312"/>
          <w:sz w:val="32"/>
          <w:szCs w:val="32"/>
          <w:lang w:eastAsia="zh-CN"/>
        </w:rPr>
        <w:t>；</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15</w:t>
      </w:r>
      <w:r>
        <w:rPr>
          <w:rFonts w:hint="eastAsia" w:ascii="仿宋_GB2312" w:eastAsia="仿宋_GB2312"/>
          <w:sz w:val="32"/>
          <w:szCs w:val="32"/>
        </w:rPr>
        <w:t>.</w:t>
      </w:r>
      <w:r>
        <w:rPr>
          <w:rFonts w:hint="eastAsia" w:ascii="仿宋_GB2312" w:eastAsia="仿宋_GB2312"/>
          <w:sz w:val="32"/>
          <w:szCs w:val="32"/>
          <w:lang w:val="en-US" w:eastAsia="zh-CN"/>
        </w:rPr>
        <w:t>住房保障支出（类）住房改革支出（款）住房公积金（项）：</w:t>
      </w:r>
      <w:r>
        <w:rPr>
          <w:rFonts w:hint="eastAsia" w:ascii="仿宋_GB2312" w:eastAsia="仿宋_GB2312"/>
          <w:sz w:val="32"/>
          <w:szCs w:val="32"/>
        </w:rPr>
        <w:t>住房公积金反映本单位按人力资源和社会保障部、财政部规定的基本工资和津贴补贴以及规定比例为职工缴纳的住房公积金。</w:t>
      </w: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16</w:t>
      </w:r>
      <w:r>
        <w:rPr>
          <w:rFonts w:hint="eastAsia" w:ascii="仿宋_GB2312" w:eastAsia="仿宋_GB2312"/>
          <w:sz w:val="32"/>
          <w:szCs w:val="32"/>
        </w:rPr>
        <w:t>.社会保障和就业</w:t>
      </w:r>
      <w:r>
        <w:rPr>
          <w:rFonts w:hint="eastAsia" w:ascii="仿宋_GB2312" w:eastAsia="仿宋_GB2312"/>
          <w:sz w:val="32"/>
          <w:szCs w:val="32"/>
          <w:lang w:eastAsia="zh-CN"/>
        </w:rPr>
        <w:t>（</w:t>
      </w:r>
      <w:r>
        <w:rPr>
          <w:rFonts w:hint="eastAsia" w:ascii="仿宋_GB2312" w:eastAsia="仿宋_GB2312"/>
          <w:sz w:val="32"/>
          <w:szCs w:val="32"/>
          <w:lang w:val="en-US" w:eastAsia="zh-CN"/>
        </w:rPr>
        <w:t>类）行政事业单位养老保险支出（款）</w:t>
      </w:r>
      <w:r>
        <w:rPr>
          <w:rFonts w:hint="eastAsia" w:ascii="仿宋" w:hAnsi="仿宋" w:eastAsia="仿宋" w:cs="仿宋"/>
          <w:color w:val="000000"/>
          <w:sz w:val="32"/>
          <w:szCs w:val="32"/>
          <w:lang w:val="en-US" w:eastAsia="zh-CN"/>
        </w:rPr>
        <w:t>机关事业单位基本养老保险缴费支出</w:t>
      </w:r>
      <w:r>
        <w:rPr>
          <w:rFonts w:hint="eastAsia" w:hAnsi="仿宋" w:cs="仿宋"/>
          <w:color w:val="000000"/>
          <w:sz w:val="32"/>
          <w:szCs w:val="32"/>
          <w:lang w:val="en-US" w:eastAsia="zh-CN"/>
        </w:rPr>
        <w:t>（</w:t>
      </w:r>
      <w:r>
        <w:rPr>
          <w:rFonts w:hint="eastAsia" w:ascii="仿宋" w:hAnsi="仿宋" w:eastAsia="仿宋" w:cs="仿宋"/>
          <w:color w:val="000000"/>
          <w:sz w:val="32"/>
          <w:szCs w:val="32"/>
          <w:lang w:val="en-US" w:eastAsia="zh-CN"/>
        </w:rPr>
        <w:t>项</w:t>
      </w:r>
      <w:r>
        <w:rPr>
          <w:rFonts w:hint="eastAsia" w:hAnsi="仿宋" w:cs="仿宋"/>
          <w:color w:val="000000"/>
          <w:sz w:val="32"/>
          <w:szCs w:val="32"/>
          <w:lang w:val="en-US" w:eastAsia="zh-CN"/>
        </w:rPr>
        <w:t>）</w:t>
      </w:r>
      <w:r>
        <w:rPr>
          <w:rFonts w:hint="eastAsia" w:ascii="仿宋_GB2312" w:eastAsia="仿宋_GB2312"/>
          <w:sz w:val="32"/>
          <w:szCs w:val="32"/>
        </w:rPr>
        <w:t>：机关事业单位基本养老保险缴费支出指机关事业单位实施养老保险制度由单位缴纳的基本养老保险费的支出。</w:t>
      </w:r>
    </w:p>
    <w:p>
      <w:pPr>
        <w:pStyle w:val="22"/>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17.</w:t>
      </w:r>
      <w:r>
        <w:rPr>
          <w:rFonts w:hint="eastAsia" w:ascii="仿宋_GB2312" w:eastAsia="仿宋_GB2312"/>
          <w:sz w:val="32"/>
          <w:szCs w:val="32"/>
        </w:rPr>
        <w:t>社会保障和就业</w:t>
      </w:r>
      <w:r>
        <w:rPr>
          <w:rFonts w:hint="eastAsia" w:ascii="仿宋_GB2312" w:eastAsia="仿宋_GB2312"/>
          <w:sz w:val="32"/>
          <w:szCs w:val="32"/>
          <w:lang w:eastAsia="zh-CN"/>
        </w:rPr>
        <w:t>（</w:t>
      </w:r>
      <w:r>
        <w:rPr>
          <w:rFonts w:hint="eastAsia" w:ascii="仿宋_GB2312" w:eastAsia="仿宋_GB2312"/>
          <w:sz w:val="32"/>
          <w:szCs w:val="32"/>
          <w:lang w:val="en-US" w:eastAsia="zh-CN"/>
        </w:rPr>
        <w:t>类）行政事业单位养老保险支出（款）</w:t>
      </w:r>
      <w:r>
        <w:rPr>
          <w:rFonts w:hint="eastAsia" w:ascii="仿宋" w:hAnsi="仿宋" w:eastAsia="仿宋" w:cs="仿宋"/>
          <w:color w:val="000000"/>
          <w:sz w:val="32"/>
          <w:szCs w:val="32"/>
          <w:lang w:val="en-US" w:eastAsia="zh-CN"/>
        </w:rPr>
        <w:t>事业单位离退休</w:t>
      </w:r>
      <w:r>
        <w:rPr>
          <w:rFonts w:hint="eastAsia" w:hAnsi="仿宋" w:cs="仿宋"/>
          <w:color w:val="000000"/>
          <w:sz w:val="32"/>
          <w:szCs w:val="32"/>
          <w:lang w:val="en-US" w:eastAsia="zh-CN"/>
        </w:rPr>
        <w:t>（</w:t>
      </w:r>
      <w:r>
        <w:rPr>
          <w:rFonts w:hint="eastAsia" w:ascii="仿宋" w:hAnsi="仿宋" w:eastAsia="仿宋" w:cs="仿宋"/>
          <w:color w:val="000000"/>
          <w:sz w:val="32"/>
          <w:szCs w:val="32"/>
          <w:lang w:val="en-US" w:eastAsia="zh-CN"/>
        </w:rPr>
        <w:t>项</w:t>
      </w:r>
      <w:r>
        <w:rPr>
          <w:rFonts w:hint="eastAsia" w:hAnsi="仿宋" w:cs="仿宋"/>
          <w:color w:val="000000"/>
          <w:sz w:val="32"/>
          <w:szCs w:val="32"/>
          <w:lang w:val="en-US" w:eastAsia="zh-CN"/>
        </w:rPr>
        <w:t>）</w:t>
      </w:r>
      <w:r>
        <w:rPr>
          <w:rFonts w:hint="eastAsia" w:ascii="仿宋" w:hAnsi="仿宋" w:eastAsia="仿宋" w:cs="仿宋"/>
          <w:color w:val="000000"/>
          <w:sz w:val="32"/>
          <w:szCs w:val="32"/>
          <w:lang w:val="en-US" w:eastAsia="zh-CN"/>
        </w:rPr>
        <w:t>：</w:t>
      </w:r>
      <w:r>
        <w:rPr>
          <w:rFonts w:hint="eastAsia" w:hAnsi="仿宋" w:cs="仿宋"/>
          <w:color w:val="000000"/>
          <w:sz w:val="32"/>
          <w:szCs w:val="32"/>
          <w:lang w:val="en-US" w:eastAsia="zh-CN"/>
        </w:rPr>
        <w:t>指单位退休人员一次性补贴以及抚恤金支出。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18</w:t>
      </w:r>
      <w:r>
        <w:rPr>
          <w:rFonts w:hint="eastAsia" w:ascii="仿宋_GB2312" w:eastAsia="仿宋_GB2312"/>
          <w:sz w:val="32"/>
          <w:szCs w:val="32"/>
        </w:rPr>
        <w:t>.卫生健康支出</w:t>
      </w:r>
      <w:r>
        <w:rPr>
          <w:rFonts w:hint="eastAsia" w:ascii="仿宋_GB2312" w:eastAsia="仿宋_GB2312"/>
          <w:sz w:val="32"/>
          <w:szCs w:val="32"/>
          <w:lang w:eastAsia="zh-CN"/>
        </w:rPr>
        <w:t>（</w:t>
      </w:r>
      <w:r>
        <w:rPr>
          <w:rFonts w:hint="eastAsia" w:ascii="仿宋_GB2312" w:eastAsia="仿宋_GB2312"/>
          <w:sz w:val="32"/>
          <w:szCs w:val="32"/>
          <w:lang w:val="en-US" w:eastAsia="zh-CN"/>
        </w:rPr>
        <w:t>类）行政事业单位医疗（款）事业单位医疗（项）</w:t>
      </w:r>
      <w:r>
        <w:rPr>
          <w:rFonts w:hint="eastAsia" w:ascii="仿宋_GB2312" w:eastAsia="仿宋_GB2312"/>
          <w:sz w:val="32"/>
          <w:szCs w:val="32"/>
        </w:rPr>
        <w:t>：行政单位医疗指财政部门集中安排的行政单位基本医疗保险缴费经费，未参加医疗保险的行政单位的公费医疗经费，按国家规定享受离休人员、红军老战士待遇人员的医疗经费。</w:t>
      </w:r>
    </w:p>
    <w:p>
      <w:pPr>
        <w:spacing w:line="600" w:lineRule="exact"/>
        <w:jc w:val="center"/>
        <w:outlineLvl w:val="0"/>
        <w:rPr>
          <w:rFonts w:hint="eastAsia" w:ascii="黑体" w:hAnsi="黑体" w:eastAsia="黑体"/>
          <w:sz w:val="44"/>
          <w:szCs w:val="44"/>
        </w:rPr>
      </w:pPr>
      <w:bookmarkStart w:id="53" w:name="_Toc15396614"/>
      <w:bookmarkStart w:id="54" w:name="_Toc15377226"/>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240" w:lineRule="auto"/>
        <w:jc w:val="center"/>
        <w:outlineLvl w:val="0"/>
        <w:rPr>
          <w:rStyle w:val="24"/>
          <w:rFonts w:ascii="黑体" w:hAnsi="黑体" w:eastAsia="黑体"/>
          <w:b w:val="0"/>
        </w:rPr>
      </w:pPr>
      <w:r>
        <w:rPr>
          <w:rFonts w:hint="eastAsia" w:ascii="黑体" w:hAnsi="黑体" w:eastAsia="黑体"/>
          <w:sz w:val="44"/>
          <w:szCs w:val="44"/>
        </w:rPr>
        <w:t>第</w:t>
      </w:r>
      <w:r>
        <w:rPr>
          <w:rStyle w:val="24"/>
          <w:rFonts w:hint="eastAsia" w:ascii="黑体" w:hAnsi="黑体" w:eastAsia="黑体"/>
          <w:b w:val="0"/>
        </w:rPr>
        <w:t>四部分 附件</w:t>
      </w:r>
      <w:bookmarkEnd w:id="53"/>
    </w:p>
    <w:p>
      <w:pPr>
        <w:spacing w:line="572" w:lineRule="exact"/>
        <w:jc w:val="left"/>
        <w:outlineLvl w:val="0"/>
        <w:rPr>
          <w:rFonts w:hint="eastAsia" w:ascii="宋体" w:hAnsi="宋体" w:cs="宋体"/>
          <w:kern w:val="0"/>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r>
        <w:rPr>
          <w:rFonts w:hint="eastAsia" w:ascii="宋体" w:hAnsi="宋体" w:cs="宋体"/>
          <w:kern w:val="0"/>
          <w:sz w:val="32"/>
          <w:szCs w:val="32"/>
        </w:rPr>
        <w:t>部门预算项目支出绩效自评表（2022年度）</w:t>
      </w:r>
    </w:p>
    <w:p>
      <w:pPr>
        <w:pStyle w:val="2"/>
        <w:rPr>
          <w:rFonts w:hint="eastAsia" w:ascii="宋体" w:hAnsi="宋体" w:cs="宋体"/>
          <w:kern w:val="0"/>
          <w:sz w:val="32"/>
          <w:szCs w:val="32"/>
        </w:rPr>
      </w:pPr>
    </w:p>
    <w:p>
      <w:pPr>
        <w:pStyle w:val="2"/>
        <w:rPr>
          <w:rFonts w:hint="eastAsia" w:ascii="宋体" w:hAnsi="宋体" w:cs="宋体"/>
          <w:kern w:val="0"/>
          <w:sz w:val="32"/>
          <w:szCs w:val="32"/>
        </w:rPr>
      </w:pPr>
    </w:p>
    <w:p>
      <w:pPr>
        <w:pStyle w:val="2"/>
        <w:rPr>
          <w:rFonts w:hint="eastAsia" w:ascii="宋体" w:hAnsi="宋体" w:cs="宋体"/>
          <w:kern w:val="0"/>
          <w:sz w:val="32"/>
          <w:szCs w:val="32"/>
        </w:rPr>
      </w:pPr>
    </w:p>
    <w:p>
      <w:pPr>
        <w:pStyle w:val="2"/>
        <w:rPr>
          <w:rFonts w:hint="eastAsia" w:ascii="宋体" w:hAnsi="宋体" w:cs="宋体"/>
          <w:kern w:val="0"/>
          <w:sz w:val="32"/>
          <w:szCs w:val="32"/>
        </w:rPr>
      </w:pPr>
    </w:p>
    <w:p>
      <w:pPr>
        <w:pStyle w:val="2"/>
        <w:rPr>
          <w:rFonts w:hint="eastAsia" w:ascii="宋体" w:hAnsi="宋体" w:cs="宋体"/>
          <w:kern w:val="0"/>
          <w:sz w:val="32"/>
          <w:szCs w:val="32"/>
        </w:rPr>
      </w:pPr>
    </w:p>
    <w:p>
      <w:pPr>
        <w:pStyle w:val="2"/>
        <w:rPr>
          <w:rFonts w:hint="eastAsia" w:ascii="宋体" w:hAnsi="宋体" w:cs="宋体"/>
          <w:kern w:val="0"/>
          <w:sz w:val="32"/>
          <w:szCs w:val="32"/>
        </w:rPr>
      </w:pPr>
    </w:p>
    <w:p>
      <w:pPr>
        <w:pStyle w:val="2"/>
        <w:rPr>
          <w:rFonts w:hint="eastAsia" w:ascii="宋体" w:hAnsi="宋体" w:cs="宋体"/>
          <w:kern w:val="0"/>
          <w:sz w:val="32"/>
          <w:szCs w:val="32"/>
        </w:rPr>
      </w:pPr>
    </w:p>
    <w:p>
      <w:pPr>
        <w:pStyle w:val="2"/>
        <w:rPr>
          <w:rFonts w:hint="eastAsia" w:ascii="宋体" w:hAnsi="宋体" w:cs="宋体"/>
          <w:kern w:val="0"/>
          <w:sz w:val="32"/>
          <w:szCs w:val="32"/>
        </w:rPr>
      </w:pPr>
    </w:p>
    <w:p>
      <w:pPr>
        <w:pStyle w:val="2"/>
        <w:rPr>
          <w:rFonts w:hint="eastAsia" w:ascii="宋体" w:hAnsi="宋体" w:cs="宋体"/>
          <w:kern w:val="0"/>
          <w:sz w:val="32"/>
          <w:szCs w:val="32"/>
        </w:rPr>
      </w:pPr>
    </w:p>
    <w:p>
      <w:pPr>
        <w:pStyle w:val="2"/>
        <w:rPr>
          <w:rFonts w:hint="eastAsia" w:ascii="宋体" w:hAnsi="宋体" w:cs="宋体"/>
          <w:kern w:val="0"/>
          <w:sz w:val="32"/>
          <w:szCs w:val="32"/>
        </w:rPr>
      </w:pPr>
    </w:p>
    <w:p>
      <w:pPr>
        <w:pStyle w:val="2"/>
        <w:rPr>
          <w:rFonts w:hint="eastAsia" w:ascii="宋体" w:hAnsi="宋体" w:cs="宋体"/>
          <w:kern w:val="0"/>
          <w:sz w:val="32"/>
          <w:szCs w:val="32"/>
        </w:rPr>
      </w:pPr>
    </w:p>
    <w:p>
      <w:pPr>
        <w:pStyle w:val="2"/>
        <w:rPr>
          <w:rFonts w:hint="eastAsia" w:ascii="宋体" w:hAnsi="宋体" w:cs="宋体"/>
          <w:kern w:val="0"/>
          <w:sz w:val="32"/>
          <w:szCs w:val="32"/>
        </w:rPr>
      </w:pPr>
    </w:p>
    <w:p>
      <w:pPr>
        <w:pStyle w:val="2"/>
        <w:rPr>
          <w:rFonts w:hint="eastAsia" w:ascii="宋体" w:hAnsi="宋体" w:cs="宋体"/>
          <w:kern w:val="0"/>
          <w:sz w:val="32"/>
          <w:szCs w:val="32"/>
        </w:rPr>
      </w:pPr>
    </w:p>
    <w:p>
      <w:pPr>
        <w:pStyle w:val="2"/>
        <w:rPr>
          <w:rFonts w:hint="eastAsia" w:ascii="宋体" w:hAnsi="宋体" w:cs="宋体"/>
          <w:kern w:val="0"/>
          <w:sz w:val="32"/>
          <w:szCs w:val="32"/>
        </w:rPr>
      </w:pPr>
    </w:p>
    <w:p>
      <w:pPr>
        <w:pStyle w:val="2"/>
        <w:rPr>
          <w:rFonts w:hint="eastAsia" w:ascii="宋体" w:hAnsi="宋体" w:cs="宋体"/>
          <w:kern w:val="0"/>
          <w:sz w:val="32"/>
          <w:szCs w:val="32"/>
        </w:rPr>
      </w:pPr>
    </w:p>
    <w:p>
      <w:pPr>
        <w:pStyle w:val="2"/>
        <w:rPr>
          <w:rFonts w:hint="eastAsia" w:ascii="宋体" w:hAnsi="宋体" w:cs="宋体"/>
          <w:kern w:val="0"/>
          <w:sz w:val="32"/>
          <w:szCs w:val="32"/>
        </w:rPr>
      </w:pPr>
    </w:p>
    <w:p>
      <w:pPr>
        <w:pStyle w:val="2"/>
        <w:rPr>
          <w:rFonts w:hint="eastAsia" w:ascii="宋体" w:hAnsi="宋体" w:cs="宋体"/>
          <w:kern w:val="0"/>
          <w:sz w:val="32"/>
          <w:szCs w:val="32"/>
          <w:lang w:eastAsia="zh-CN"/>
        </w:rPr>
      </w:pPr>
    </w:p>
    <w:tbl>
      <w:tblPr>
        <w:tblStyle w:val="12"/>
        <w:tblpPr w:leftFromText="180" w:rightFromText="180" w:vertAnchor="text" w:horzAnchor="page" w:tblpXSpec="center" w:tblpY="1444"/>
        <w:tblOverlap w:val="never"/>
        <w:tblW w:w="105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1453"/>
        <w:gridCol w:w="974"/>
        <w:gridCol w:w="929"/>
        <w:gridCol w:w="521"/>
        <w:gridCol w:w="1153"/>
        <w:gridCol w:w="396"/>
        <w:gridCol w:w="1090"/>
        <w:gridCol w:w="765"/>
        <w:gridCol w:w="660"/>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4040" w:type="dxa"/>
            <w:gridSpan w:val="4"/>
            <w:tcBorders>
              <w:top w:val="nil"/>
              <w:left w:val="nil"/>
              <w:bottom w:val="nil"/>
              <w:right w:val="nil"/>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C0C0C0"/>
                <w:sz w:val="20"/>
                <w:szCs w:val="20"/>
                <w:u w:val="none"/>
              </w:rPr>
            </w:pPr>
            <w:r>
              <w:rPr>
                <w:rFonts w:ascii="宋体" w:hAnsi="宋体" w:eastAsia="宋体" w:cs="宋体"/>
                <w:i w:val="0"/>
                <w:iCs w:val="0"/>
                <w:color w:val="C0C0C0"/>
                <w:kern w:val="0"/>
                <w:sz w:val="20"/>
                <w:szCs w:val="20"/>
                <w:u w:val="none"/>
                <w:lang w:val="en-US" w:eastAsia="zh-CN" w:bidi="ar"/>
              </w:rPr>
              <w:t>报表编号：510000_0013zp</w:t>
            </w:r>
          </w:p>
        </w:tc>
        <w:tc>
          <w:tcPr>
            <w:tcW w:w="521" w:type="dxa"/>
            <w:tcBorders>
              <w:top w:val="nil"/>
              <w:left w:val="nil"/>
              <w:bottom w:val="nil"/>
              <w:right w:val="nil"/>
            </w:tcBorders>
            <w:shd w:val="clear" w:color="auto" w:fill="auto"/>
            <w:noWrap/>
            <w:vAlign w:val="top"/>
          </w:tcPr>
          <w:p>
            <w:pPr>
              <w:spacing w:line="240" w:lineRule="auto"/>
              <w:jc w:val="center"/>
              <w:rPr>
                <w:rFonts w:hint="eastAsia" w:ascii="宋体" w:hAnsi="宋体" w:eastAsia="宋体" w:cs="宋体"/>
                <w:i w:val="0"/>
                <w:iCs w:val="0"/>
                <w:color w:val="000000"/>
                <w:sz w:val="22"/>
                <w:szCs w:val="22"/>
                <w:u w:val="none"/>
              </w:rPr>
            </w:pPr>
          </w:p>
        </w:tc>
        <w:tc>
          <w:tcPr>
            <w:tcW w:w="2639" w:type="dxa"/>
            <w:gridSpan w:val="3"/>
            <w:tcBorders>
              <w:top w:val="nil"/>
              <w:left w:val="nil"/>
              <w:bottom w:val="nil"/>
              <w:right w:val="nil"/>
            </w:tcBorders>
            <w:shd w:val="clear" w:color="auto" w:fill="auto"/>
            <w:vAlign w:val="top"/>
          </w:tcPr>
          <w:p>
            <w:pPr>
              <w:spacing w:line="240" w:lineRule="auto"/>
              <w:jc w:val="center"/>
              <w:rPr>
                <w:rFonts w:hint="eastAsia" w:ascii="宋体" w:hAnsi="宋体" w:eastAsia="宋体" w:cs="宋体"/>
                <w:i w:val="0"/>
                <w:iCs w:val="0"/>
                <w:color w:val="000000"/>
                <w:sz w:val="20"/>
                <w:szCs w:val="20"/>
                <w:u w:val="none"/>
              </w:rPr>
            </w:pPr>
          </w:p>
        </w:tc>
        <w:tc>
          <w:tcPr>
            <w:tcW w:w="765" w:type="dxa"/>
            <w:tcBorders>
              <w:top w:val="nil"/>
              <w:left w:val="nil"/>
              <w:bottom w:val="nil"/>
              <w:right w:val="nil"/>
            </w:tcBorders>
            <w:shd w:val="clear" w:color="auto" w:fill="auto"/>
            <w:noWrap/>
            <w:vAlign w:val="top"/>
          </w:tcPr>
          <w:p>
            <w:pPr>
              <w:spacing w:line="240" w:lineRule="auto"/>
              <w:jc w:val="center"/>
              <w:rPr>
                <w:rFonts w:hint="eastAsia" w:ascii="宋体" w:hAnsi="宋体" w:eastAsia="宋体" w:cs="宋体"/>
                <w:i w:val="0"/>
                <w:iCs w:val="0"/>
                <w:color w:val="000000"/>
                <w:sz w:val="22"/>
                <w:szCs w:val="22"/>
                <w:u w:val="none"/>
              </w:rPr>
            </w:pPr>
          </w:p>
        </w:tc>
        <w:tc>
          <w:tcPr>
            <w:tcW w:w="660" w:type="dxa"/>
            <w:tcBorders>
              <w:top w:val="nil"/>
              <w:left w:val="nil"/>
              <w:bottom w:val="nil"/>
              <w:right w:val="nil"/>
            </w:tcBorders>
            <w:shd w:val="clear" w:color="auto" w:fill="auto"/>
            <w:noWrap/>
            <w:vAlign w:val="top"/>
          </w:tcPr>
          <w:p>
            <w:pPr>
              <w:spacing w:line="240" w:lineRule="auto"/>
              <w:jc w:val="center"/>
              <w:rPr>
                <w:rFonts w:hint="eastAsia" w:ascii="宋体" w:hAnsi="宋体" w:eastAsia="宋体" w:cs="宋体"/>
                <w:i w:val="0"/>
                <w:iCs w:val="0"/>
                <w:color w:val="000000"/>
                <w:sz w:val="22"/>
                <w:szCs w:val="22"/>
                <w:u w:val="none"/>
              </w:rPr>
            </w:pPr>
          </w:p>
        </w:tc>
        <w:tc>
          <w:tcPr>
            <w:tcW w:w="1920" w:type="dxa"/>
            <w:tcBorders>
              <w:top w:val="nil"/>
              <w:left w:val="nil"/>
              <w:bottom w:val="nil"/>
              <w:right w:val="nil"/>
            </w:tcBorders>
            <w:shd w:val="clear" w:color="auto" w:fill="auto"/>
            <w:noWrap/>
            <w:vAlign w:val="top"/>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054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13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408"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51082322T000005305443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农村校舍安全保障长效机制补助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13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973"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090" w:type="dxa"/>
            <w:tcBorders>
              <w:top w:val="nil"/>
              <w:left w:val="nil"/>
              <w:bottom w:val="nil"/>
              <w:right w:val="nil"/>
            </w:tcBorders>
            <w:shd w:val="clear" w:color="auto" w:fill="auto"/>
            <w:vAlign w:val="top"/>
          </w:tcPr>
          <w:p>
            <w:pPr>
              <w:keepNext w:val="0"/>
              <w:keepLines w:val="0"/>
              <w:widowControl/>
              <w:suppressLineNumbers w:val="0"/>
              <w:spacing w:line="240" w:lineRule="auto"/>
              <w:jc w:val="center"/>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剑阁县义兴小学校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5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973"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43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3973"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443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408"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微软雅黑" w:hAnsi="微软雅黑" w:eastAsia="微软雅黑" w:cs="微软雅黑"/>
                <w:i/>
                <w:iCs/>
                <w:color w:val="000000"/>
                <w:sz w:val="16"/>
                <w:szCs w:val="16"/>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微软雅黑" w:hAnsi="微软雅黑" w:eastAsia="微软雅黑" w:cs="微软雅黑"/>
                <w:i/>
                <w:iCs/>
                <w:color w:val="000000"/>
                <w:sz w:val="16"/>
                <w:szCs w:val="16"/>
                <w:u w:val="none"/>
              </w:rPr>
            </w:pP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微软雅黑" w:hAnsi="微软雅黑" w:eastAsia="微软雅黑" w:cs="微软雅黑"/>
                <w:i/>
                <w:iCs/>
                <w:color w:val="000000"/>
                <w:sz w:val="16"/>
                <w:szCs w:val="16"/>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微软雅黑" w:hAnsi="微软雅黑" w:eastAsia="微软雅黑" w:cs="微软雅黑"/>
                <w:i/>
                <w:iCs/>
                <w:color w:val="000000"/>
                <w:sz w:val="16"/>
                <w:szCs w:val="16"/>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720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861"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861"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861"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4561"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984"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84" w:type="dxa"/>
            <w:tcBorders>
              <w:top w:val="nil"/>
              <w:left w:val="nil"/>
              <w:bottom w:val="nil"/>
              <w:right w:val="nil"/>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1453" w:type="dxa"/>
            <w:tcBorders>
              <w:top w:val="nil"/>
              <w:left w:val="nil"/>
              <w:bottom w:val="nil"/>
              <w:right w:val="nil"/>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974" w:type="dxa"/>
            <w:tcBorders>
              <w:top w:val="nil"/>
              <w:left w:val="nil"/>
              <w:bottom w:val="nil"/>
              <w:right w:val="nil"/>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929" w:type="dxa"/>
            <w:tcBorders>
              <w:top w:val="nil"/>
              <w:left w:val="nil"/>
              <w:bottom w:val="nil"/>
              <w:right w:val="nil"/>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p>
            <w:pPr>
              <w:pStyle w:val="2"/>
              <w:rPr>
                <w:rFonts w:hint="eastAsia" w:ascii="宋体" w:hAnsi="宋体" w:eastAsia="宋体" w:cs="宋体"/>
                <w:i w:val="0"/>
                <w:iCs w:val="0"/>
                <w:color w:val="000000"/>
                <w:sz w:val="18"/>
                <w:szCs w:val="18"/>
                <w:u w:val="none"/>
              </w:rPr>
            </w:pPr>
          </w:p>
          <w:p>
            <w:pPr>
              <w:pStyle w:val="2"/>
              <w:rPr>
                <w:rFonts w:hint="eastAsia" w:ascii="宋体" w:hAnsi="宋体" w:eastAsia="宋体" w:cs="宋体"/>
                <w:i w:val="0"/>
                <w:iCs w:val="0"/>
                <w:color w:val="000000"/>
                <w:sz w:val="18"/>
                <w:szCs w:val="18"/>
                <w:u w:val="none"/>
              </w:rPr>
            </w:pPr>
          </w:p>
          <w:p>
            <w:pPr>
              <w:pStyle w:val="2"/>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1153" w:type="dxa"/>
            <w:tcBorders>
              <w:top w:val="nil"/>
              <w:left w:val="nil"/>
              <w:bottom w:val="nil"/>
              <w:right w:val="nil"/>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765" w:type="dxa"/>
            <w:tcBorders>
              <w:top w:val="nil"/>
              <w:left w:val="nil"/>
              <w:bottom w:val="nil"/>
              <w:right w:val="nil"/>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660" w:type="dxa"/>
            <w:tcBorders>
              <w:top w:val="nil"/>
              <w:left w:val="nil"/>
              <w:bottom w:val="nil"/>
              <w:right w:val="nil"/>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1920" w:type="dxa"/>
            <w:tcBorders>
              <w:top w:val="nil"/>
              <w:left w:val="nil"/>
              <w:bottom w:val="nil"/>
              <w:right w:val="nil"/>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054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13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408"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51082322T000005313569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已建项目运转补助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13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973"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090" w:type="dxa"/>
            <w:tcBorders>
              <w:top w:val="nil"/>
              <w:left w:val="nil"/>
              <w:bottom w:val="nil"/>
              <w:right w:val="nil"/>
            </w:tcBorders>
            <w:shd w:val="clear" w:color="auto" w:fill="auto"/>
            <w:vAlign w:val="top"/>
          </w:tcPr>
          <w:p>
            <w:pPr>
              <w:keepNext w:val="0"/>
              <w:keepLines w:val="0"/>
              <w:widowControl/>
              <w:suppressLineNumbers w:val="0"/>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剑阁县义兴小学校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5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973"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43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3973"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443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408"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微软雅黑" w:hAnsi="微软雅黑" w:eastAsia="微软雅黑" w:cs="微软雅黑"/>
                <w:i/>
                <w:iCs/>
                <w:color w:val="000000"/>
                <w:sz w:val="16"/>
                <w:szCs w:val="16"/>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微软雅黑" w:hAnsi="微软雅黑" w:eastAsia="微软雅黑" w:cs="微软雅黑"/>
                <w:i/>
                <w:iCs/>
                <w:color w:val="000000"/>
                <w:sz w:val="16"/>
                <w:szCs w:val="16"/>
                <w:u w:val="none"/>
              </w:rPr>
            </w:pP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微软雅黑" w:hAnsi="微软雅黑" w:eastAsia="微软雅黑" w:cs="微软雅黑"/>
                <w:i/>
                <w:iCs/>
                <w:color w:val="000000"/>
                <w:sz w:val="16"/>
                <w:szCs w:val="16"/>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微软雅黑" w:hAnsi="微软雅黑" w:eastAsia="微软雅黑" w:cs="微软雅黑"/>
                <w:i/>
                <w:iCs/>
                <w:color w:val="000000"/>
                <w:sz w:val="16"/>
                <w:szCs w:val="16"/>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720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861"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861"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861"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4561"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984"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84" w:type="dxa"/>
            <w:tcBorders>
              <w:top w:val="nil"/>
              <w:left w:val="nil"/>
              <w:bottom w:val="nil"/>
              <w:right w:val="nil"/>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1453" w:type="dxa"/>
            <w:tcBorders>
              <w:top w:val="nil"/>
              <w:left w:val="nil"/>
              <w:bottom w:val="nil"/>
              <w:right w:val="nil"/>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974" w:type="dxa"/>
            <w:tcBorders>
              <w:top w:val="nil"/>
              <w:left w:val="nil"/>
              <w:bottom w:val="nil"/>
              <w:right w:val="nil"/>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929" w:type="dxa"/>
            <w:tcBorders>
              <w:top w:val="nil"/>
              <w:left w:val="nil"/>
              <w:bottom w:val="nil"/>
              <w:right w:val="nil"/>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1153" w:type="dxa"/>
            <w:tcBorders>
              <w:top w:val="nil"/>
              <w:left w:val="nil"/>
              <w:bottom w:val="nil"/>
              <w:right w:val="nil"/>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765" w:type="dxa"/>
            <w:tcBorders>
              <w:top w:val="nil"/>
              <w:left w:val="nil"/>
              <w:bottom w:val="nil"/>
              <w:right w:val="nil"/>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660" w:type="dxa"/>
            <w:tcBorders>
              <w:top w:val="nil"/>
              <w:left w:val="nil"/>
              <w:bottom w:val="nil"/>
              <w:right w:val="nil"/>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1920" w:type="dxa"/>
            <w:tcBorders>
              <w:top w:val="nil"/>
              <w:left w:val="nil"/>
              <w:bottom w:val="nil"/>
              <w:right w:val="nil"/>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84" w:type="dxa"/>
            <w:tcBorders>
              <w:top w:val="nil"/>
              <w:left w:val="nil"/>
              <w:bottom w:val="nil"/>
              <w:right w:val="nil"/>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1453" w:type="dxa"/>
            <w:tcBorders>
              <w:top w:val="nil"/>
              <w:left w:val="nil"/>
              <w:bottom w:val="nil"/>
              <w:right w:val="nil"/>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974" w:type="dxa"/>
            <w:tcBorders>
              <w:top w:val="nil"/>
              <w:left w:val="nil"/>
              <w:bottom w:val="nil"/>
              <w:right w:val="nil"/>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929" w:type="dxa"/>
            <w:tcBorders>
              <w:top w:val="nil"/>
              <w:left w:val="nil"/>
              <w:bottom w:val="nil"/>
              <w:right w:val="nil"/>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1153" w:type="dxa"/>
            <w:tcBorders>
              <w:top w:val="nil"/>
              <w:left w:val="nil"/>
              <w:bottom w:val="nil"/>
              <w:right w:val="nil"/>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765" w:type="dxa"/>
            <w:tcBorders>
              <w:top w:val="nil"/>
              <w:left w:val="nil"/>
              <w:bottom w:val="nil"/>
              <w:right w:val="nil"/>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660" w:type="dxa"/>
            <w:tcBorders>
              <w:top w:val="nil"/>
              <w:left w:val="nil"/>
              <w:bottom w:val="nil"/>
              <w:right w:val="nil"/>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c>
          <w:tcPr>
            <w:tcW w:w="1920" w:type="dxa"/>
            <w:tcBorders>
              <w:top w:val="nil"/>
              <w:left w:val="nil"/>
              <w:bottom w:val="nil"/>
              <w:right w:val="nil"/>
            </w:tcBorders>
            <w:shd w:val="clear" w:color="auto" w:fill="auto"/>
            <w:vAlign w:val="top"/>
          </w:tcPr>
          <w:p>
            <w:pPr>
              <w:spacing w:line="240" w:lineRule="auto"/>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0545" w:type="dxa"/>
            <w:gridSpan w:val="11"/>
            <w:tcBorders>
              <w:top w:val="nil"/>
              <w:left w:val="nil"/>
              <w:bottom w:val="nil"/>
              <w:right w:val="nil"/>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该报表查询项目信息、绩效目标信息、预算及执行情况，用于预算单位查询导出开展项目自评。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0545" w:type="dxa"/>
            <w:gridSpan w:val="11"/>
            <w:tcBorders>
              <w:top w:val="nil"/>
              <w:left w:val="nil"/>
              <w:bottom w:val="nil"/>
              <w:right w:val="nil"/>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545" w:type="dxa"/>
            <w:gridSpan w:val="11"/>
            <w:tcBorders>
              <w:top w:val="nil"/>
              <w:left w:val="nil"/>
              <w:bottom w:val="nil"/>
              <w:right w:val="nil"/>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0545" w:type="dxa"/>
            <w:gridSpan w:val="11"/>
            <w:tcBorders>
              <w:top w:val="nil"/>
              <w:left w:val="nil"/>
              <w:bottom w:val="nil"/>
              <w:right w:val="nil"/>
            </w:tcBorders>
            <w:shd w:val="clear" w:color="auto" w:fill="auto"/>
            <w:vAlign w:val="top"/>
          </w:tcPr>
          <w:p>
            <w:pPr>
              <w:keepNext w:val="0"/>
              <w:keepLines w:val="0"/>
              <w:widowControl/>
              <w:suppressLineNumbers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bl>
    <w:p>
      <w:pPr>
        <w:pStyle w:val="2"/>
        <w:spacing w:before="93"/>
        <w:rPr>
          <w:rFonts w:hAnsi="Calibri" w:cs="仿宋"/>
          <w:sz w:val="32"/>
          <w:szCs w:val="32"/>
        </w:rPr>
      </w:pPr>
      <w:bookmarkStart w:id="55" w:name="_Toc15396618"/>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4"/>
          <w:rFonts w:hint="eastAsia" w:ascii="黑体" w:hAnsi="黑体" w:eastAsia="黑体"/>
          <w:b w:val="0"/>
        </w:rPr>
        <w:t>五部分 附表</w:t>
      </w:r>
      <w:bookmarkEnd w:id="54"/>
      <w:bookmarkEnd w:id="55"/>
      <w:bookmarkStart w:id="56" w:name="_Toc15396619"/>
    </w:p>
    <w:p>
      <w:pPr>
        <w:pStyle w:val="4"/>
        <w:rPr>
          <w:rFonts w:ascii="仿宋" w:hAnsi="仿宋" w:eastAsia="仿宋"/>
        </w:rPr>
      </w:pPr>
      <w:r>
        <w:rPr>
          <w:rFonts w:hint="eastAsia" w:ascii="仿宋" w:hAnsi="仿宋" w:eastAsia="仿宋"/>
          <w:b w:val="0"/>
        </w:rPr>
        <w:t>一、收</w:t>
      </w:r>
      <w:r>
        <w:rPr>
          <w:rStyle w:val="25"/>
          <w:rFonts w:hint="eastAsia" w:ascii="仿宋" w:hAnsi="仿宋" w:eastAsia="仿宋"/>
          <w:b w:val="0"/>
          <w:bCs w:val="0"/>
        </w:rPr>
        <w:t>入支出决算总表</w:t>
      </w:r>
      <w:bookmarkEnd w:id="56"/>
    </w:p>
    <w:p>
      <w:pPr>
        <w:pStyle w:val="4"/>
        <w:rPr>
          <w:rFonts w:ascii="仿宋" w:hAnsi="仿宋" w:eastAsia="仿宋"/>
        </w:rPr>
      </w:pPr>
      <w:bookmarkStart w:id="57" w:name="_Toc15396620"/>
      <w:r>
        <w:rPr>
          <w:rFonts w:hint="eastAsia" w:ascii="仿宋" w:hAnsi="仿宋" w:eastAsia="仿宋"/>
          <w:b w:val="0"/>
        </w:rPr>
        <w:t>二、收</w:t>
      </w:r>
      <w:r>
        <w:rPr>
          <w:rStyle w:val="25"/>
          <w:rFonts w:hint="eastAsia" w:ascii="仿宋" w:hAnsi="仿宋" w:eastAsia="仿宋"/>
          <w:b w:val="0"/>
          <w:bCs w:val="0"/>
        </w:rPr>
        <w:t>入决算表</w:t>
      </w:r>
      <w:bookmarkEnd w:id="57"/>
    </w:p>
    <w:p>
      <w:pPr>
        <w:pStyle w:val="4"/>
        <w:rPr>
          <w:rFonts w:ascii="仿宋" w:hAnsi="仿宋" w:eastAsia="仿宋"/>
        </w:rPr>
      </w:pPr>
      <w:bookmarkStart w:id="58" w:name="_Toc15396621"/>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58"/>
    </w:p>
    <w:p>
      <w:pPr>
        <w:pStyle w:val="4"/>
        <w:rPr>
          <w:rFonts w:ascii="仿宋" w:hAnsi="仿宋" w:eastAsia="仿宋"/>
          <w:b w:val="0"/>
        </w:rPr>
      </w:pPr>
      <w:bookmarkStart w:id="59" w:name="_Toc15396622"/>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59"/>
    </w:p>
    <w:p>
      <w:pPr>
        <w:pStyle w:val="4"/>
        <w:rPr>
          <w:rStyle w:val="25"/>
          <w:rFonts w:ascii="仿宋" w:hAnsi="仿宋" w:eastAsia="仿宋"/>
          <w:b w:val="0"/>
          <w:bCs w:val="0"/>
        </w:rPr>
      </w:pPr>
      <w:bookmarkStart w:id="60" w:name="_Toc15396623"/>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60"/>
      <w:bookmarkStart w:id="61" w:name="_Toc15396624"/>
    </w:p>
    <w:p>
      <w:pPr>
        <w:pStyle w:val="4"/>
        <w:rPr>
          <w:rFonts w:ascii="仿宋" w:hAnsi="仿宋" w:eastAsia="仿宋"/>
        </w:rPr>
      </w:pPr>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61"/>
    </w:p>
    <w:p>
      <w:pPr>
        <w:pStyle w:val="4"/>
        <w:rPr>
          <w:rFonts w:ascii="仿宋" w:hAnsi="仿宋" w:eastAsia="仿宋"/>
        </w:rPr>
      </w:pPr>
      <w:bookmarkStart w:id="62" w:name="_Toc15396625"/>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62"/>
    </w:p>
    <w:p>
      <w:pPr>
        <w:pStyle w:val="4"/>
        <w:rPr>
          <w:rFonts w:ascii="仿宋" w:hAnsi="仿宋" w:eastAsia="仿宋"/>
        </w:rPr>
      </w:pPr>
      <w:bookmarkStart w:id="63" w:name="_Toc15396626"/>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63"/>
    </w:p>
    <w:p>
      <w:pPr>
        <w:pStyle w:val="4"/>
        <w:rPr>
          <w:rFonts w:ascii="仿宋" w:hAnsi="仿宋" w:eastAsia="仿宋"/>
        </w:rPr>
      </w:pPr>
      <w:bookmarkStart w:id="64" w:name="_Toc15396627"/>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64"/>
    </w:p>
    <w:p>
      <w:pPr>
        <w:pStyle w:val="4"/>
        <w:rPr>
          <w:rFonts w:ascii="仿宋" w:hAnsi="仿宋" w:eastAsia="仿宋"/>
        </w:rPr>
      </w:pPr>
      <w:bookmarkStart w:id="65" w:name="_Toc15396628"/>
      <w:r>
        <w:rPr>
          <w:rStyle w:val="25"/>
          <w:rFonts w:hint="eastAsia" w:ascii="仿宋" w:hAnsi="仿宋" w:eastAsia="仿宋"/>
          <w:b w:val="0"/>
          <w:bCs w:val="0"/>
        </w:rPr>
        <w:t>十、</w:t>
      </w:r>
      <w:bookmarkEnd w:id="65"/>
      <w:r>
        <w:rPr>
          <w:rFonts w:hint="eastAsia" w:ascii="仿宋" w:hAnsi="仿宋" w:eastAsia="仿宋"/>
          <w:b w:val="0"/>
        </w:rPr>
        <w:t>政</w:t>
      </w:r>
      <w:r>
        <w:rPr>
          <w:rStyle w:val="25"/>
          <w:rFonts w:hint="eastAsia" w:ascii="仿宋" w:hAnsi="仿宋" w:eastAsia="仿宋"/>
          <w:b w:val="0"/>
          <w:bCs w:val="0"/>
        </w:rPr>
        <w:t>府性基金预算财政拨款收入支出决算表</w:t>
      </w:r>
    </w:p>
    <w:p>
      <w:pPr>
        <w:pStyle w:val="4"/>
        <w:rPr>
          <w:rFonts w:ascii="仿宋" w:hAnsi="仿宋" w:eastAsia="仿宋"/>
        </w:rPr>
      </w:pPr>
      <w:bookmarkStart w:id="66" w:name="_Toc15396629"/>
      <w:r>
        <w:rPr>
          <w:rStyle w:val="25"/>
          <w:rFonts w:hint="eastAsia" w:ascii="仿宋" w:hAnsi="仿宋" w:eastAsia="仿宋"/>
          <w:b w:val="0"/>
          <w:bCs w:val="0"/>
        </w:rPr>
        <w:t>十一、</w:t>
      </w:r>
      <w:bookmarkEnd w:id="66"/>
      <w:r>
        <w:rPr>
          <w:rFonts w:hint="eastAsia" w:ascii="仿宋" w:hAnsi="仿宋" w:eastAsia="仿宋"/>
          <w:b w:val="0"/>
        </w:rPr>
        <w:t>国</w:t>
      </w:r>
      <w:r>
        <w:rPr>
          <w:rStyle w:val="25"/>
          <w:rFonts w:hint="eastAsia" w:ascii="仿宋" w:hAnsi="仿宋" w:eastAsia="仿宋"/>
          <w:b w:val="0"/>
          <w:bCs w:val="0"/>
        </w:rPr>
        <w:t>有资本经营预算财政拨款收入支出决算表</w:t>
      </w:r>
    </w:p>
    <w:p>
      <w:pPr>
        <w:pStyle w:val="4"/>
        <w:rPr>
          <w:rFonts w:ascii="仿宋" w:hAnsi="仿宋" w:eastAsia="仿宋"/>
        </w:rPr>
      </w:pPr>
      <w:bookmarkStart w:id="67" w:name="_Toc15396630"/>
      <w:r>
        <w:rPr>
          <w:rStyle w:val="25"/>
          <w:rFonts w:hint="eastAsia" w:ascii="仿宋" w:hAnsi="仿宋" w:eastAsia="仿宋"/>
          <w:b w:val="0"/>
          <w:bCs w:val="0"/>
        </w:rPr>
        <w:t>十二、</w:t>
      </w:r>
      <w:bookmarkEnd w:id="67"/>
      <w:r>
        <w:rPr>
          <w:rStyle w:val="25"/>
          <w:rFonts w:hint="eastAsia" w:ascii="仿宋" w:hAnsi="仿宋" w:eastAsia="仿宋"/>
          <w:b w:val="0"/>
          <w:bCs w:val="0"/>
        </w:rPr>
        <w:t>国有资本经营预算财政拨款支出决算表</w:t>
      </w:r>
    </w:p>
    <w:p>
      <w:pPr>
        <w:pStyle w:val="4"/>
        <w:rPr>
          <w:rFonts w:eastAsia="仿宋"/>
        </w:rPr>
      </w:pPr>
      <w:bookmarkStart w:id="68" w:name="_Toc15396631"/>
      <w:r>
        <w:rPr>
          <w:rStyle w:val="25"/>
          <w:rFonts w:hint="eastAsia" w:ascii="仿宋" w:hAnsi="仿宋" w:eastAsia="仿宋"/>
          <w:b w:val="0"/>
          <w:bCs w:val="0"/>
        </w:rPr>
        <w:t>十三、</w:t>
      </w:r>
      <w:bookmarkEnd w:id="68"/>
      <w:r>
        <w:rPr>
          <w:rStyle w:val="25"/>
          <w:rFonts w:hint="eastAsia" w:ascii="仿宋" w:hAnsi="仿宋" w:eastAsia="仿宋"/>
          <w:b w:val="0"/>
          <w:bCs w:val="0"/>
        </w:rPr>
        <w:t>财政拨款“三公”经费支出决算表</w:t>
      </w:r>
    </w:p>
    <w:sectPr>
      <w:footerReference r:id="rId8" w:type="firs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FFB018-3C42-4EE1-871F-4A72BEE95A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52B0540-FA38-4026-8F74-3A6F79374FE3}"/>
  </w:font>
  <w:font w:name="Cambria">
    <w:panose1 w:val="02040503050406030204"/>
    <w:charset w:val="00"/>
    <w:family w:val="roman"/>
    <w:pitch w:val="default"/>
    <w:sig w:usb0="E00006FF" w:usb1="420024FF" w:usb2="02000000" w:usb3="00000000" w:csb0="2000019F" w:csb1="00000000"/>
    <w:embedRegular r:id="rId3" w:fontKey="{512C635F-A883-45BE-AB30-2D4CEA7C7445}"/>
  </w:font>
  <w:font w:name="仿宋_GB2312">
    <w:altName w:val="仿宋"/>
    <w:panose1 w:val="00000000000000000000"/>
    <w:charset w:val="86"/>
    <w:family w:val="modern"/>
    <w:pitch w:val="default"/>
    <w:sig w:usb0="00000000" w:usb1="00000000" w:usb2="00000000" w:usb3="00000000" w:csb0="00040000" w:csb1="00000000"/>
    <w:embedRegular r:id="rId4" w:fontKey="{855CEDF3-426D-4AAB-9568-7AE25D46FBAE}"/>
  </w:font>
  <w:font w:name="仿宋">
    <w:panose1 w:val="02010609060101010101"/>
    <w:charset w:val="86"/>
    <w:family w:val="modern"/>
    <w:pitch w:val="default"/>
    <w:sig w:usb0="800002BF" w:usb1="38CF7CFA" w:usb2="00000016" w:usb3="00000000" w:csb0="00040001" w:csb1="00000000"/>
    <w:embedRegular r:id="rId5" w:fontKey="{E9649B45-F18B-4B38-BDE8-8BFCFA5967CB}"/>
  </w:font>
  <w:font w:name="方正小标宋简体">
    <w:panose1 w:val="02000000000000000000"/>
    <w:charset w:val="86"/>
    <w:family w:val="script"/>
    <w:pitch w:val="default"/>
    <w:sig w:usb0="00000001" w:usb1="08000000" w:usb2="00000000" w:usb3="00000000" w:csb0="00040000" w:csb1="00000000"/>
    <w:embedRegular r:id="rId6" w:fontKey="{6BA22A0A-69CA-4F8C-9211-8F0F3E7C6799}"/>
  </w:font>
  <w:font w:name="楷体_GB2312">
    <w:altName w:val="楷体"/>
    <w:panose1 w:val="00000000000000000000"/>
    <w:charset w:val="86"/>
    <w:family w:val="auto"/>
    <w:pitch w:val="default"/>
    <w:sig w:usb0="00000000" w:usb1="00000000" w:usb2="00000000" w:usb3="00000000" w:csb0="00040000" w:csb1="00000000"/>
    <w:embedRegular r:id="rId7" w:fontKey="{8F8ABEED-1283-44F1-A5C9-53307F678420}"/>
  </w:font>
  <w:font w:name="微软雅黑">
    <w:panose1 w:val="020B0503020204020204"/>
    <w:charset w:val="86"/>
    <w:family w:val="auto"/>
    <w:pitch w:val="default"/>
    <w:sig w:usb0="80000287" w:usb1="2ACF3C50" w:usb2="00000016" w:usb3="00000000" w:csb0="0004001F" w:csb1="00000000"/>
    <w:embedRegular r:id="rId8" w:fontKey="{97E3F7E1-EAA7-40E8-BA4A-D53C017C7CBE}"/>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222C6"/>
    <w:rsid w:val="0002549F"/>
    <w:rsid w:val="000409D9"/>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57CD7"/>
    <w:rsid w:val="00471401"/>
    <w:rsid w:val="00473F31"/>
    <w:rsid w:val="0048263A"/>
    <w:rsid w:val="00487E5D"/>
    <w:rsid w:val="004A711F"/>
    <w:rsid w:val="004B199D"/>
    <w:rsid w:val="004B4690"/>
    <w:rsid w:val="004D7BF4"/>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1671B"/>
    <w:rsid w:val="00C33E72"/>
    <w:rsid w:val="00C354B2"/>
    <w:rsid w:val="00C35554"/>
    <w:rsid w:val="00C42709"/>
    <w:rsid w:val="00C533CC"/>
    <w:rsid w:val="00C56F3A"/>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4DC56DA"/>
    <w:rsid w:val="053A62B5"/>
    <w:rsid w:val="0A2032A3"/>
    <w:rsid w:val="0B8A37D8"/>
    <w:rsid w:val="10C055FF"/>
    <w:rsid w:val="118107EC"/>
    <w:rsid w:val="11D32976"/>
    <w:rsid w:val="11DD6519"/>
    <w:rsid w:val="16BB723D"/>
    <w:rsid w:val="18015F3F"/>
    <w:rsid w:val="1BE8440E"/>
    <w:rsid w:val="1D155CEE"/>
    <w:rsid w:val="20F14596"/>
    <w:rsid w:val="20F57F95"/>
    <w:rsid w:val="240371BF"/>
    <w:rsid w:val="25711CC6"/>
    <w:rsid w:val="25C741E6"/>
    <w:rsid w:val="27842671"/>
    <w:rsid w:val="29FD04D3"/>
    <w:rsid w:val="2ABE7A3E"/>
    <w:rsid w:val="2CA234A8"/>
    <w:rsid w:val="2EFA178C"/>
    <w:rsid w:val="30B46D73"/>
    <w:rsid w:val="319F7F4E"/>
    <w:rsid w:val="383D272C"/>
    <w:rsid w:val="39AE70AB"/>
    <w:rsid w:val="3C0C0783"/>
    <w:rsid w:val="3F9F3A96"/>
    <w:rsid w:val="48BF60AB"/>
    <w:rsid w:val="493C27E9"/>
    <w:rsid w:val="496F39ED"/>
    <w:rsid w:val="49FF41D3"/>
    <w:rsid w:val="4BE068DB"/>
    <w:rsid w:val="4BF6002B"/>
    <w:rsid w:val="4ECE2238"/>
    <w:rsid w:val="5145069F"/>
    <w:rsid w:val="51DB4B86"/>
    <w:rsid w:val="52E84773"/>
    <w:rsid w:val="55333C3E"/>
    <w:rsid w:val="623E15C3"/>
    <w:rsid w:val="64CA39A1"/>
    <w:rsid w:val="670E28A7"/>
    <w:rsid w:val="69630ADE"/>
    <w:rsid w:val="69E71FC9"/>
    <w:rsid w:val="6C4A05C8"/>
    <w:rsid w:val="6D3B1A89"/>
    <w:rsid w:val="70AE10B6"/>
    <w:rsid w:val="71BF4EC2"/>
    <w:rsid w:val="72734D90"/>
    <w:rsid w:val="73D3695F"/>
    <w:rsid w:val="7412278C"/>
    <w:rsid w:val="79E7B28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字符"/>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3"/>
    <w:link w:val="3"/>
    <w:qFormat/>
    <w:uiPriority w:val="9"/>
    <w:rPr>
      <w:rFonts w:ascii="Times New Roman" w:hAnsi="Times New Roman"/>
      <w:b/>
      <w:bCs/>
      <w:kern w:val="44"/>
      <w:sz w:val="44"/>
      <w:szCs w:val="44"/>
    </w:rPr>
  </w:style>
  <w:style w:type="character" w:customStyle="1" w:styleId="25">
    <w:name w:val="标题 2 字符"/>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3"/>
    <w:link w:val="7"/>
    <w:semiHidden/>
    <w:qFormat/>
    <w:uiPriority w:val="99"/>
    <w:rPr>
      <w:rFonts w:ascii="Times New Roman" w:hAnsi="Times New Roman"/>
      <w:kern w:val="2"/>
      <w:sz w:val="18"/>
      <w:szCs w:val="18"/>
    </w:rPr>
  </w:style>
  <w:style w:type="character" w:customStyle="1" w:styleId="28">
    <w:name w:val="标题 3 字符"/>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F:\Desktop\&#20844;&#24320;&#21450;&#25209;&#22797;&#26448;&#26009;&#65288;&#20379;&#21442;&#32771;&#65289;\&#30465;&#26412;&#32423;\&#20844;&#24320;&#26448;&#26009;\&#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Desktop\&#20844;&#24320;&#21450;&#25209;&#22797;&#26448;&#26009;&#65288;&#20379;&#21442;&#32771;&#65289;\&#30465;&#26412;&#32423;\&#20844;&#24320;&#26448;&#26009;\&#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Desktop\&#20844;&#24320;&#21450;&#25209;&#22797;&#26448;&#26009;&#65288;&#20379;&#21442;&#32771;&#65289;\&#30465;&#26412;&#32423;\&#20844;&#24320;&#26448;&#26009;\&#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Desktop\&#20844;&#24320;&#21450;&#25209;&#22797;&#26448;&#26009;&#65288;&#20379;&#21442;&#32771;&#65289;\&#30465;&#26412;&#32423;\&#20844;&#24320;&#26448;&#26009;\&#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Desktop\&#20844;&#24320;&#21450;&#25209;&#22797;&#26448;&#26009;&#65288;&#20379;&#21442;&#32771;&#65289;\&#30465;&#26412;&#32423;\&#20844;&#24320;&#26448;&#26009;\&#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Desktop\&#20844;&#24320;&#21450;&#25209;&#22797;&#26448;&#26009;&#65288;&#20379;&#21442;&#32771;&#65289;\&#30465;&#26412;&#32423;\&#20844;&#24320;&#26448;&#26009;\&#20915;&#31639;&#20844;&#24320;&#25554;&#22270;&#21046;&#20316;&#31034;&#2036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Desktop\&#20844;&#24320;&#21450;&#25209;&#22797;&#26448;&#26009;&#65288;&#20379;&#21442;&#32771;&#65289;\&#30465;&#26412;&#32423;\&#20844;&#24320;&#26448;&#26009;\&#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9805583250249"/>
          <c:y val="0.155812036273702"/>
          <c:w val="0.741774675972084"/>
          <c:h val="0.750206100577082"/>
        </c:manualLayout>
      </c:layout>
      <c:barChart>
        <c:barDir val="col"/>
        <c:grouping val="clustered"/>
        <c:varyColors val="0"/>
        <c:ser>
          <c:idx val="0"/>
          <c:order val="0"/>
          <c:spPr>
            <a:solidFill>
              <a:schemeClr val="accent1"/>
            </a:solidFill>
          </c:spPr>
          <c:invertIfNegative val="0"/>
          <c:dPt>
            <c:idx val="1"/>
            <c:invertIfNegative val="0"/>
            <c:bubble3D val="0"/>
            <c:spPr>
              <a:solidFill>
                <a:srgbClr val="FFC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[决算公开插图制作示例.xlsx]图一!$A$1:$B$1</c:f>
              <c:strCache>
                <c:ptCount val="2"/>
                <c:pt idx="0">
                  <c:v>2021年</c:v>
                </c:pt>
                <c:pt idx="1">
                  <c:v>2022年</c:v>
                </c:pt>
              </c:strCache>
            </c:strRef>
          </c:cat>
          <c:val>
            <c:numRef>
              <c:f>[决算公开插图制作示例.xlsx]图一!$A$2:$B$2</c:f>
              <c:numCache>
                <c:formatCode>General</c:formatCode>
                <c:ptCount val="2"/>
                <c:pt idx="0">
                  <c:v>501.29</c:v>
                </c:pt>
                <c:pt idx="1">
                  <c:v>411.66</c:v>
                </c:pt>
              </c:numCache>
            </c:numRef>
          </c:val>
        </c:ser>
        <c:dLbls>
          <c:showLegendKey val="0"/>
          <c:showVal val="1"/>
          <c:showCatName val="0"/>
          <c:showSerName val="0"/>
          <c:showPercent val="0"/>
          <c:showBubbleSize val="0"/>
        </c:dLbls>
        <c:gapWidth val="150"/>
        <c:axId val="132649344"/>
        <c:axId val="132650880"/>
      </c:barChart>
      <c:catAx>
        <c:axId val="1326493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50880"/>
        <c:crosses val="autoZero"/>
        <c:auto val="1"/>
        <c:lblAlgn val="ctr"/>
        <c:lblOffset val="100"/>
        <c:noMultiLvlLbl val="0"/>
      </c:catAx>
      <c:valAx>
        <c:axId val="1326508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2013888888889"/>
          <c:y val="0.176388888888889"/>
          <c:w val="0.324305555555556"/>
          <c:h val="0.540509259259259"/>
        </c:manualLayout>
      </c:layout>
      <c:pieChart>
        <c:varyColors val="1"/>
        <c:ser>
          <c:idx val="0"/>
          <c:order val="0"/>
          <c:spPr/>
          <c:explosion val="0"/>
          <c:dLbls>
            <c:delete val="1"/>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[决算公开插图制作示例.xlsx]图二!$B$1:$B$6</c:f>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1"/>
              <c:layout>
                <c:manualLayout>
                  <c:x val="0.0321654287916653"/>
                  <c:y val="-0.14979027458553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[决算公开插图制作示例.xlsx]图二!$C$1:$C$6</c:f>
              <c:numCache>
                <c:formatCode>0.00%</c:formatCode>
                <c:ptCount val="6"/>
                <c:pt idx="0">
                  <c:v>0.9975</c:v>
                </c:pt>
                <c:pt idx="1">
                  <c:v>0.0025</c:v>
                </c:pt>
                <c:pt idx="2">
                  <c:v>0</c:v>
                </c:pt>
                <c:pt idx="3">
                  <c:v>0</c:v>
                </c:pt>
                <c:pt idx="4">
                  <c:v>0</c:v>
                </c:pt>
                <c:pt idx="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24846894138"/>
          <c:y val="0.150462962962963"/>
          <c:w val="0.566371172353456"/>
          <c:h val="0.689814814814815"/>
        </c:manualLayout>
      </c:layout>
      <c:pieChart>
        <c:varyColors val="1"/>
        <c:ser>
          <c:idx val="0"/>
          <c:order val="0"/>
          <c:explosion val="0"/>
          <c:dPt>
            <c:idx val="0"/>
            <c:bubble3D val="0"/>
          </c:dPt>
          <c:dPt>
            <c:idx val="1"/>
            <c:bubble3D val="0"/>
          </c:dPt>
          <c:dLbls>
            <c:dLbl>
              <c:idx val="0"/>
              <c:layout>
                <c:manualLayout>
                  <c:x val="0.0848707349081365"/>
                  <c:y val="-0.1715733449985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6458880139982"/>
                  <c:y val="0.1401472732575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0.9684</c:v>
                </c:pt>
                <c:pt idx="1">
                  <c:v>0.0316</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668853893263"/>
          <c:y val="0.0514005540974045"/>
          <c:w val="0.587929790026247"/>
          <c:h val="0.824965368912219"/>
        </c:manualLayout>
      </c:layout>
      <c:barChart>
        <c:barDir val="col"/>
        <c:grouping val="clustered"/>
        <c:varyColors val="0"/>
        <c:ser>
          <c:idx val="0"/>
          <c:order val="0"/>
          <c:invertIfNegative val="0"/>
          <c:dPt>
            <c:idx val="1"/>
            <c:invertIfNegative val="0"/>
            <c:bubble3D val="0"/>
            <c:spPr>
              <a:solidFill>
                <a:srgbClr val="C0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'[决算公开插图制作示例.xlsx]图4 '!$A$1:$B$1</c:f>
              <c:strCache>
                <c:ptCount val="2"/>
                <c:pt idx="0">
                  <c:v>2021年</c:v>
                </c:pt>
                <c:pt idx="1">
                  <c:v>2022年</c:v>
                </c:pt>
              </c:strCache>
            </c:strRef>
          </c:cat>
          <c:val>
            <c:numRef>
              <c:f>'[决算公开插图制作示例.xlsx]图4 '!$A$2:$B$2</c:f>
              <c:numCache>
                <c:formatCode>General</c:formatCode>
                <c:ptCount val="2"/>
                <c:pt idx="0">
                  <c:v>501.29</c:v>
                </c:pt>
                <c:pt idx="1">
                  <c:v>411.66</c:v>
                </c:pt>
              </c:numCache>
            </c:numRef>
          </c:val>
        </c:ser>
        <c:dLbls>
          <c:showLegendKey val="0"/>
          <c:showVal val="1"/>
          <c:showCatName val="0"/>
          <c:showSerName val="0"/>
          <c:showPercent val="0"/>
          <c:showBubbleSize val="0"/>
        </c:dLbls>
        <c:gapWidth val="150"/>
        <c:axId val="133066112"/>
        <c:axId val="133084288"/>
      </c:barChart>
      <c:catAx>
        <c:axId val="133066112"/>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084288"/>
        <c:crosses val="autoZero"/>
        <c:auto val="1"/>
        <c:lblAlgn val="ctr"/>
        <c:lblOffset val="100"/>
        <c:noMultiLvlLbl val="0"/>
      </c:catAx>
      <c:valAx>
        <c:axId val="1330842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manualLayout>
          <c:xMode val="edge"/>
          <c:yMode val="edge"/>
          <c:x val="0.763154199475066"/>
          <c:y val="0.360343394575678"/>
          <c:w val="0.220179133858268"/>
          <c:h val="0.27931321084864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571741032371"/>
          <c:y val="0.168676727909011"/>
          <c:w val="0.606249125109361"/>
          <c:h val="0.679911417322835"/>
        </c:manualLayout>
      </c:layout>
      <c:barChart>
        <c:barDir val="col"/>
        <c:grouping val="clustered"/>
        <c:varyColors val="0"/>
        <c:ser>
          <c:idx val="0"/>
          <c:order val="0"/>
          <c:invertIfNegative val="0"/>
          <c:dPt>
            <c:idx val="1"/>
            <c:invertIfNegative val="0"/>
            <c:bubble3D val="0"/>
            <c:spPr>
              <a:solidFill>
                <a:srgbClr val="FF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[决算公开插图制作示例.xlsx]图5!$A$1:$B$1</c:f>
              <c:strCache>
                <c:ptCount val="2"/>
                <c:pt idx="0">
                  <c:v>2021年</c:v>
                </c:pt>
                <c:pt idx="1">
                  <c:v>2022年</c:v>
                </c:pt>
              </c:strCache>
            </c:strRef>
          </c:cat>
          <c:val>
            <c:numRef>
              <c:f>[决算公开插图制作示例.xlsx]图5!$A$2:$B$2</c:f>
              <c:numCache>
                <c:formatCode>General</c:formatCode>
                <c:ptCount val="2"/>
                <c:pt idx="0">
                  <c:v>497.09</c:v>
                </c:pt>
                <c:pt idx="1">
                  <c:v>410.66</c:v>
                </c:pt>
              </c:numCache>
            </c:numRef>
          </c:val>
        </c:ser>
        <c:dLbls>
          <c:showLegendKey val="0"/>
          <c:showVal val="1"/>
          <c:showCatName val="0"/>
          <c:showSerName val="0"/>
          <c:showPercent val="0"/>
          <c:showBubbleSize val="0"/>
        </c:dLbls>
        <c:gapWidth val="150"/>
        <c:axId val="133142016"/>
        <c:axId val="133143552"/>
      </c:barChart>
      <c:catAx>
        <c:axId val="133142016"/>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143552"/>
        <c:crosses val="autoZero"/>
        <c:auto val="1"/>
        <c:lblAlgn val="ctr"/>
        <c:lblOffset val="100"/>
        <c:noMultiLvlLbl val="0"/>
      </c:catAx>
      <c:valAx>
        <c:axId val="1331435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tr"/>
      <c:layout>
        <c:manualLayout>
          <c:xMode val="edge"/>
          <c:yMode val="edge"/>
          <c:x val="0.765931977252843"/>
          <c:y val="0.236111111111111"/>
          <c:w val="0.211845800524934"/>
          <c:h val="0.4552391367745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tx2">
                  <a:lumMod val="40000"/>
                  <a:lumOff val="60000"/>
                </a:schemeClr>
              </a:solidFill>
            </c:spPr>
          </c:dPt>
          <c:dPt>
            <c:idx val="1"/>
            <c:bubble3D val="0"/>
          </c:dPt>
          <c:dPt>
            <c:idx val="2"/>
            <c:bubble3D val="0"/>
          </c:dPt>
          <c:dPt>
            <c:idx val="3"/>
            <c:bubble3D val="0"/>
          </c:dPt>
          <c:dLbls>
            <c:dLbl>
              <c:idx val="0"/>
              <c:layout>
                <c:manualLayout>
                  <c:x val="0.0483216316710411"/>
                  <c:y val="0.097738043161271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46208442694663"/>
                  <c:y val="-0.03596310877806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00951443569554"/>
                  <c:y val="-0.1322783610382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66543197725284"/>
                  <c:y val="-0.1086734470691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[决算公开插图制作示例.xlsx]图6!$A$2:$A$5</c:f>
              <c:strCache>
                <c:ptCount val="4"/>
                <c:pt idx="0">
                  <c:v>一般公共服务（类）支出</c:v>
                </c:pt>
                <c:pt idx="1">
                  <c:v>社会保障和就业（类）支出</c:v>
                </c:pt>
                <c:pt idx="2">
                  <c:v>卫生健康(类)支出</c:v>
                </c:pt>
                <c:pt idx="3">
                  <c:v>住房保障（类）支出</c:v>
                </c:pt>
              </c:strCache>
            </c:strRef>
          </c:cat>
          <c:val>
            <c:numRef>
              <c:f>[决算公开插图制作示例.xlsx]图6!$B$2:$B$5</c:f>
              <c:numCache>
                <c:formatCode>General</c:formatCode>
                <c:ptCount val="4"/>
                <c:pt idx="0">
                  <c:v>343.63</c:v>
                </c:pt>
                <c:pt idx="1">
                  <c:v>29.79</c:v>
                </c:pt>
                <c:pt idx="2">
                  <c:v>14.9</c:v>
                </c:pt>
                <c:pt idx="3">
                  <c:v>22.34</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dLbl>
              <c:idx val="0"/>
              <c:layout>
                <c:manualLayout>
                  <c:x val="-0.0677309711286089"/>
                  <c:y val="-0.06258967629046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2130139982502"/>
                  <c:y val="-0.04985819480898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79491251093613"/>
                  <c:y val="0.05496974336541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0</c:v>
                </c:pt>
                <c:pt idx="2">
                  <c:v>0.38</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664920094314907"/>
          <c:y val="0.34151738973956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5274</Words>
  <Characters>626</Characters>
  <Lines>5</Lines>
  <Paragraphs>11</Paragraphs>
  <TotalTime>10</TotalTime>
  <ScaleCrop>false</ScaleCrop>
  <LinksUpToDate>false</LinksUpToDate>
  <CharactersWithSpaces>5889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罗汉</cp:lastModifiedBy>
  <cp:lastPrinted>2023-07-31T02:35:00Z</cp:lastPrinted>
  <dcterms:modified xsi:type="dcterms:W3CDTF">2023-12-07T07:37:52Z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B8AEBC0250284C9E9D608FEC76E4A7CB_12</vt:lpwstr>
  </property>
</Properties>
</file>