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77193"/>
      <w:bookmarkStart w:id="3" w:name="_Toc15396475"/>
      <w:bookmarkStart w:id="4" w:name="_Toc15378441"/>
      <w:bookmarkStart w:id="5" w:name="_Toc15396597"/>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56"/>
          <w:szCs w:val="56"/>
          <w:lang w:val="en-US" w:eastAsia="zh-CN"/>
        </w:rPr>
      </w:pPr>
      <w:bookmarkStart w:id="6" w:name="_Toc15378442"/>
      <w:bookmarkStart w:id="7" w:name="_Toc15396598"/>
      <w:bookmarkStart w:id="8" w:name="_Toc15396476"/>
      <w:bookmarkStart w:id="9" w:name="_Toc15377426"/>
      <w:bookmarkStart w:id="10" w:name="_Toc15377194"/>
      <w:r>
        <w:rPr>
          <w:rFonts w:hint="eastAsia" w:ascii="方正小标宋简体" w:hAnsi="方正小标宋简体" w:eastAsia="方正小标宋简体" w:cs="方正小标宋简体"/>
          <w:sz w:val="56"/>
          <w:szCs w:val="56"/>
        </w:rPr>
        <w:t>剑阁县</w:t>
      </w:r>
      <w:bookmarkEnd w:id="0"/>
      <w:bookmarkStart w:id="11" w:name="_Toc15306268"/>
      <w:r>
        <w:rPr>
          <w:rFonts w:hint="eastAsia" w:ascii="方正小标宋简体" w:hAnsi="方正小标宋简体" w:eastAsia="方正小标宋简体" w:cs="方正小标宋简体"/>
          <w:sz w:val="56"/>
          <w:szCs w:val="56"/>
          <w:lang w:val="en-US" w:eastAsia="zh-CN"/>
        </w:rPr>
        <w:t>抄手小学校</w:t>
      </w:r>
      <w:r>
        <w:rPr>
          <w:rFonts w:hint="eastAsia" w:ascii="方正小标宋简体" w:hAnsi="方正小标宋简体" w:eastAsia="方正小标宋简体" w:cs="方正小标宋简体"/>
          <w:sz w:val="56"/>
          <w:szCs w:val="56"/>
        </w:rPr>
        <w:t>单位决算</w:t>
      </w:r>
      <w:bookmarkEnd w:id="6"/>
      <w:bookmarkEnd w:id="7"/>
      <w:bookmarkEnd w:id="8"/>
      <w:bookmarkEnd w:id="9"/>
      <w:bookmarkEnd w:id="10"/>
      <w:bookmarkEnd w:id="11"/>
      <w:r>
        <w:rPr>
          <w:rFonts w:hint="eastAsia" w:ascii="方正小标宋简体" w:hAnsi="方正小标宋简体" w:eastAsia="方正小标宋简体" w:cs="方正小标宋简体"/>
          <w:sz w:val="56"/>
          <w:szCs w:val="56"/>
          <w:lang w:val="en-US" w:eastAsia="zh-CN"/>
        </w:rPr>
        <w:t>公开</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8"/>
        <w:rPr>
          <w:rFonts w:hint="eastAsia" w:ascii="仿宋" w:hAnsi="仿宋" w:eastAsia="仿宋" w:cs="仿宋"/>
          <w:sz w:val="32"/>
          <w:szCs w:val="32"/>
        </w:rPr>
      </w:pPr>
      <w:r>
        <w:rPr>
          <w:rFonts w:hint="eastAsia" w:ascii="仿宋" w:hAnsi="仿宋" w:eastAsia="仿宋" w:cs="仿宋"/>
          <w:sz w:val="32"/>
          <w:szCs w:val="32"/>
        </w:rPr>
        <w:t>公开时间：2023年</w:t>
      </w:r>
      <w:r>
        <w:rPr>
          <w:rFonts w:hint="eastAsia" w:cs="仿宋"/>
          <w:sz w:val="32"/>
          <w:szCs w:val="32"/>
          <w:lang w:val="en-US" w:eastAsia="zh-CN"/>
        </w:rPr>
        <w:t>11</w:t>
      </w:r>
      <w:r>
        <w:rPr>
          <w:rFonts w:hint="eastAsia" w:ascii="仿宋" w:hAnsi="仿宋" w:eastAsia="仿宋" w:cs="仿宋"/>
          <w:sz w:val="32"/>
          <w:szCs w:val="32"/>
        </w:rPr>
        <w:t>月</w:t>
      </w:r>
      <w:r>
        <w:rPr>
          <w:rFonts w:hint="eastAsia" w:cs="仿宋"/>
          <w:sz w:val="32"/>
          <w:szCs w:val="32"/>
          <w:lang w:val="en-US" w:eastAsia="zh-CN"/>
        </w:rPr>
        <w:t>28</w:t>
      </w:r>
      <w:r>
        <w:rPr>
          <w:rFonts w:hint="eastAsia" w:ascii="仿宋" w:hAnsi="仿宋" w:eastAsia="仿宋" w:cs="仿宋"/>
          <w:sz w:val="32"/>
          <w:szCs w:val="32"/>
        </w:rPr>
        <w:t>日</w:t>
      </w:r>
    </w:p>
    <w:p>
      <w:pPr>
        <w:rPr>
          <w:rFonts w:hint="eastAsia" w:ascii="仿宋" w:hAnsi="仿宋" w:eastAsia="仿宋" w:cs="仿宋"/>
          <w:sz w:val="32"/>
          <w:szCs w:val="32"/>
        </w:rPr>
      </w:pPr>
    </w:p>
    <w:p>
      <w:pPr>
        <w:pStyle w:val="8"/>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第一部分 单位概况</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一、主要职责及重点工作</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（一）单位职责</w:t>
      </w:r>
    </w:p>
    <w:p>
      <w:pPr>
        <w:pStyle w:val="9"/>
        <w:adjustRightInd w:val="0"/>
        <w:snapToGrid w:val="0"/>
        <w:spacing w:line="440" w:lineRule="exact"/>
        <w:jc w:val="left"/>
        <w:rPr>
          <w:rFonts w:hint="eastAsia" w:ascii="仿宋" w:hAnsi="仿宋" w:eastAsia="仿宋" w:cs="仿宋"/>
          <w:b/>
          <w:bCs/>
          <w:sz w:val="32"/>
          <w:szCs w:val="32"/>
        </w:rPr>
      </w:pPr>
      <w:r>
        <w:rPr>
          <w:rFonts w:hint="eastAsia" w:ascii="仿宋" w:hAnsi="仿宋" w:eastAsia="仿宋" w:cs="仿宋"/>
          <w:sz w:val="32"/>
          <w:szCs w:val="32"/>
        </w:rPr>
        <w:t>（二）2022年重点工作完成情况</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二、机构设置</w:t>
      </w:r>
    </w:p>
    <w:p>
      <w:pPr>
        <w:pStyle w:val="8"/>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第二部分 2022年度单位决算情况说明</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一、收入支出决算总体情况说明</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二、收入决算情况说明</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三、支出决算情况说明</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四、财政拨款收入支出决算总体情况说明</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五、一般公共预算财政拨款支出决算情况说明</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六、一般公共预算财政拨款基本支出决算情况说明</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七、财政拨款“三公”经费支出决算情况说明</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八、政府性基金预算支出决算情况说明</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九、国有资本经营预算支出决算情况说明</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十、其他重要事项的情况说明</w:t>
      </w:r>
    </w:p>
    <w:p>
      <w:pPr>
        <w:pStyle w:val="8"/>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第三部分 名词解释</w:t>
      </w:r>
    </w:p>
    <w:p>
      <w:pPr>
        <w:pStyle w:val="8"/>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第四部分 附件</w:t>
      </w:r>
    </w:p>
    <w:p>
      <w:pPr>
        <w:pStyle w:val="8"/>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第五部分 附表</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一、收入支出决算总表</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二、收入决算表</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三、支出决算表</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五、财政拨款支出决算明细表</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六、一般公共预算财政拨款支出决算表</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七、一般公共预算财政拨款支出决算明细表</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八、一般公共预算财政拨款基本支出决算明细表</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九、一般公共预算财政拨款项目支出决算表</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十、政府性基金预算财政拨款收入支出决算表</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十一、国有资本经营预算财政拨款收入支出决算表</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十二、国有资本经营预算财政拨款支出决算表</w:t>
      </w:r>
    </w:p>
    <w:p>
      <w:pPr>
        <w:pStyle w:val="9"/>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十三、财政拨款“三公”经费支出决算表</w:t>
      </w:r>
    </w:p>
    <w:p>
      <w:pPr>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3"/>
        <w:numPr>
          <w:ilvl w:val="0"/>
          <w:numId w:val="1"/>
        </w:numPr>
        <w:jc w:val="center"/>
        <w:rPr>
          <w:rStyle w:val="15"/>
          <w:rFonts w:hint="eastAsia" w:ascii="黑体" w:hAnsi="黑体" w:eastAsia="黑体"/>
          <w:b w:val="0"/>
          <w:bCs w:val="0"/>
        </w:rPr>
      </w:pPr>
      <w:bookmarkStart w:id="12" w:name="_Toc15396599"/>
      <w:bookmarkStart w:id="13" w:name="_Toc15377196"/>
      <w:r>
        <w:rPr>
          <w:rFonts w:hint="eastAsia" w:ascii="黑体" w:hAnsi="黑体" w:eastAsia="黑体"/>
          <w:b w:val="0"/>
        </w:rPr>
        <w:t>单位</w:t>
      </w:r>
      <w:r>
        <w:rPr>
          <w:rStyle w:val="15"/>
          <w:rFonts w:hint="eastAsia" w:ascii="黑体" w:hAnsi="黑体" w:eastAsia="黑体"/>
          <w:b w:val="0"/>
          <w:bCs w:val="0"/>
        </w:rPr>
        <w:t>概况</w:t>
      </w:r>
      <w:bookmarkEnd w:id="12"/>
      <w:bookmarkEnd w:id="13"/>
    </w:p>
    <w:p>
      <w:pPr>
        <w:rPr>
          <w:rFonts w:hint="eastAsia"/>
        </w:rPr>
      </w:pPr>
    </w:p>
    <w:p>
      <w:pPr>
        <w:pStyle w:val="9"/>
        <w:adjustRightInd w:val="0"/>
        <w:snapToGrid w:val="0"/>
        <w:spacing w:line="440" w:lineRule="exact"/>
        <w:jc w:val="left"/>
      </w:pPr>
      <w:r>
        <w:rPr>
          <w:rFonts w:hint="eastAsia" w:ascii="黑体" w:hAnsi="黑体" w:eastAsia="黑体" w:cs="黑体"/>
          <w:b/>
          <w:bCs/>
          <w:sz w:val="32"/>
          <w:szCs w:val="32"/>
        </w:rPr>
        <w:t>一、主要职责及重点工作</w:t>
      </w:r>
    </w:p>
    <w:p>
      <w:pPr>
        <w:pStyle w:val="4"/>
        <w:numPr>
          <w:ilvl w:val="0"/>
          <w:numId w:val="0"/>
        </w:numPr>
        <w:ind w:left="420" w:leftChars="0"/>
        <w:rPr>
          <w:rStyle w:val="16"/>
          <w:rFonts w:ascii="黑体" w:hAnsi="黑体" w:eastAsia="黑体"/>
          <w:b w:val="0"/>
          <w:bCs w:val="0"/>
        </w:rPr>
      </w:pPr>
      <w:bookmarkStart w:id="14" w:name="_Toc15377197"/>
      <w:bookmarkStart w:id="15" w:name="_Toc15396600"/>
      <w:r>
        <w:rPr>
          <w:rStyle w:val="16"/>
          <w:rFonts w:hint="eastAsia" w:ascii="黑体" w:hAnsi="黑体" w:eastAsia="黑体"/>
          <w:b w:val="0"/>
          <w:bCs w:val="0"/>
          <w:lang w:eastAsia="zh-CN"/>
        </w:rPr>
        <w:t>（</w:t>
      </w:r>
      <w:r>
        <w:rPr>
          <w:rStyle w:val="16"/>
          <w:rFonts w:hint="eastAsia" w:ascii="黑体" w:hAnsi="黑体" w:eastAsia="黑体"/>
          <w:b w:val="0"/>
          <w:bCs w:val="0"/>
          <w:lang w:val="en-US" w:eastAsia="zh-CN"/>
        </w:rPr>
        <w:t>一</w:t>
      </w:r>
      <w:r>
        <w:rPr>
          <w:rStyle w:val="16"/>
          <w:rFonts w:hint="eastAsia" w:ascii="黑体" w:hAnsi="黑体" w:eastAsia="黑体"/>
          <w:b w:val="0"/>
          <w:bCs w:val="0"/>
          <w:lang w:eastAsia="zh-CN"/>
        </w:rPr>
        <w:t>）</w:t>
      </w:r>
      <w:r>
        <w:rPr>
          <w:rStyle w:val="16"/>
          <w:rFonts w:hint="eastAsia" w:ascii="黑体" w:hAnsi="黑体" w:eastAsia="黑体"/>
          <w:b w:val="0"/>
          <w:bCs w:val="0"/>
        </w:rPr>
        <w:t>主要职责</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本单位主要职能职责是实施小学义务教育，促进基础教育均衡发展。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1、贯彻执行党和国家的教育方针、政策、法规。</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2、维护学校的教学秩序，为学生创造良好的学习、成长环境。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3、积极稳妥地推进教育改革，按教育规律办事，不断提高教育质量。</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4、根据学校规模，设置学校管理机构，建立健全各项规章制度和岗位责任制。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5、坚持教书育人、服务育人、环境育人方针，加强对学生的思想品德教育，使学生的德智体美全面发展。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6、抓好教师队伍建设，使每个教师都热心于教育事业。</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7、做好安全防范，保证学生的人身安全。</w:t>
      </w:r>
    </w:p>
    <w:p>
      <w:pPr>
        <w:pStyle w:val="11"/>
        <w:ind w:left="0" w:leftChars="0" w:firstLine="320" w:firstLineChars="100"/>
        <w:rPr>
          <w:rStyle w:val="16"/>
          <w:rFonts w:hint="eastAsia" w:ascii="黑体" w:hAnsi="黑体" w:eastAsia="黑体"/>
          <w:b w:val="0"/>
          <w:bCs w:val="0"/>
          <w:lang w:val="en-US" w:eastAsia="zh-CN" w:bidi="ar-SA"/>
        </w:rPr>
      </w:pPr>
      <w:r>
        <w:rPr>
          <w:rStyle w:val="16"/>
          <w:rFonts w:hint="eastAsia" w:ascii="黑体" w:hAnsi="黑体" w:eastAsia="黑体"/>
          <w:b w:val="0"/>
          <w:bCs w:val="0"/>
          <w:lang w:val="en-US" w:eastAsia="zh-CN" w:bidi="ar-SA"/>
        </w:rPr>
        <w:t>（二）2022年重点工作完成情况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1、依法治校，依法执教。加强学校党风廉政建设，树立良好的社会形象，办好人民满意的教育。</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 xml:space="preserve">2、继续做好乡村振兴工作。充分发挥义务教育作用，坚持教育振兴。 </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3、夯实教学过程管理，全力推进信息技术与学科教学深度融合，全面提升教育教学质量。</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b w:val="0"/>
          <w:bCs/>
          <w:kern w:val="2"/>
          <w:sz w:val="32"/>
          <w:szCs w:val="32"/>
          <w:highlight w:val="none"/>
          <w:lang w:val="en-US" w:eastAsia="zh-CN" w:bidi="ar-SA"/>
        </w:rPr>
        <w:t>4、认真做好学生资助工作，落实好党的惠民政策。</w:t>
      </w:r>
    </w:p>
    <w:p>
      <w:pPr>
        <w:pStyle w:val="4"/>
        <w:numPr>
          <w:ilvl w:val="0"/>
          <w:numId w:val="0"/>
        </w:numPr>
        <w:ind w:left="420" w:leftChars="0"/>
        <w:rPr>
          <w:rStyle w:val="16"/>
          <w:rFonts w:hint="eastAsia" w:ascii="黑体" w:hAnsi="黑体" w:eastAsia="黑体"/>
          <w:b w:val="0"/>
          <w:bCs w:val="0"/>
          <w:lang w:eastAsia="zh-CN"/>
        </w:rPr>
      </w:pPr>
      <w:r>
        <w:rPr>
          <w:rFonts w:hint="eastAsia" w:ascii="黑体" w:hAnsi="黑体" w:eastAsia="黑体" w:cs="黑体"/>
          <w:b/>
          <w:bCs/>
          <w:kern w:val="2"/>
          <w:sz w:val="32"/>
          <w:szCs w:val="32"/>
          <w:lang w:val="en-US" w:eastAsia="zh-CN" w:bidi="ar-SA"/>
        </w:rPr>
        <w:t>二、机构设置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剑阁县抄手小学校无下属二级单位，无纳入2022年度部门预算编制范围的二级预算单位。</w:t>
      </w:r>
    </w:p>
    <w:p>
      <w:pPr>
        <w:numPr>
          <w:ilvl w:val="0"/>
          <w:numId w:val="0"/>
        </w:numPr>
        <w:rPr>
          <w:rFonts w:hint="eastAsia" w:ascii="仿宋" w:hAnsi="仿宋" w:eastAsia="仿宋" w:cs="仿宋"/>
          <w:sz w:val="32"/>
          <w:szCs w:val="32"/>
        </w:rPr>
      </w:pPr>
    </w:p>
    <w:bookmarkEnd w:id="14"/>
    <w:bookmarkEnd w:id="15"/>
    <w:p>
      <w:pPr>
        <w:widowControl/>
        <w:jc w:val="left"/>
        <w:rPr>
          <w:rFonts w:hint="eastAsia" w:ascii="仿宋" w:hAnsi="仿宋" w:eastAsia="仿宋" w:cs="仿宋"/>
          <w:kern w:val="0"/>
          <w:sz w:val="32"/>
          <w:szCs w:val="32"/>
        </w:rPr>
      </w:pPr>
      <w:r>
        <w:rPr>
          <w:rFonts w:hint="eastAsia" w:ascii="仿宋" w:hAnsi="仿宋" w:eastAsia="仿宋" w:cs="仿宋"/>
          <w:sz w:val="32"/>
          <w:szCs w:val="32"/>
        </w:rPr>
        <w:br w:type="page"/>
      </w:r>
    </w:p>
    <w:p>
      <w:pPr>
        <w:pStyle w:val="3"/>
        <w:ind w:right="440" w:firstLine="440" w:firstLineChars="100"/>
        <w:jc w:val="both"/>
        <w:rPr>
          <w:rStyle w:val="15"/>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15"/>
          <w:rFonts w:hint="eastAsia" w:ascii="黑体" w:hAnsi="黑体" w:eastAsia="黑体"/>
          <w:b w:val="0"/>
          <w:bCs/>
        </w:rPr>
        <w:t>单位决算情况说明</w:t>
      </w:r>
      <w:bookmarkEnd w:id="16"/>
      <w:bookmarkEnd w:id="17"/>
    </w:p>
    <w:p>
      <w:pPr>
        <w:pStyle w:val="4"/>
        <w:numPr>
          <w:ilvl w:val="0"/>
          <w:numId w:val="0"/>
        </w:numPr>
        <w:rPr>
          <w:rFonts w:hint="eastAsia" w:ascii="黑体" w:hAnsi="黑体" w:eastAsia="黑体" w:cs="黑体"/>
          <w:b/>
          <w:bCs/>
          <w:kern w:val="2"/>
          <w:sz w:val="32"/>
          <w:szCs w:val="32"/>
          <w:lang w:val="en-US" w:eastAsia="zh-CN" w:bidi="ar-SA"/>
        </w:rPr>
      </w:pPr>
      <w:bookmarkStart w:id="18" w:name="_Toc15396603"/>
      <w:bookmarkStart w:id="19" w:name="_Toc15377205"/>
    </w:p>
    <w:p>
      <w:pPr>
        <w:pStyle w:val="4"/>
        <w:numPr>
          <w:ilvl w:val="0"/>
          <w:numId w:val="0"/>
        </w:numPr>
        <w:ind w:firstLine="643" w:firstLineChars="200"/>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一、收入支出决算总体情况说明</w:t>
      </w:r>
      <w:bookmarkEnd w:id="18"/>
      <w:bookmarkEnd w:id="19"/>
    </w:p>
    <w:p>
      <w:pPr>
        <w:spacing w:line="600" w:lineRule="exact"/>
        <w:ind w:firstLine="640" w:firstLineChars="200"/>
      </w:pPr>
      <w:bookmarkStart w:id="20" w:name="_Toc15396604"/>
      <w:bookmarkStart w:id="21" w:name="_Toc15377206"/>
      <w:r>
        <w:rPr>
          <w:rFonts w:hint="eastAsia" w:ascii="仿宋" w:hAnsi="仿宋" w:eastAsia="仿宋"/>
          <w:sz w:val="32"/>
          <w:szCs w:val="32"/>
        </w:rPr>
        <w:t>2022年度收、支总计</w:t>
      </w:r>
      <w:r>
        <w:rPr>
          <w:rFonts w:hint="eastAsia" w:ascii="仿宋" w:hAnsi="仿宋" w:eastAsia="仿宋"/>
          <w:sz w:val="32"/>
          <w:szCs w:val="32"/>
          <w:lang w:val="en-US" w:eastAsia="zh-CN"/>
        </w:rPr>
        <w:t>483.89</w:t>
      </w:r>
      <w:r>
        <w:rPr>
          <w:rFonts w:hint="eastAsia" w:ascii="仿宋" w:hAnsi="仿宋" w:eastAsia="仿宋"/>
          <w:sz w:val="32"/>
          <w:szCs w:val="32"/>
        </w:rPr>
        <w:t>万元。与2021年相比，收、支总计</w:t>
      </w:r>
      <w:r>
        <w:rPr>
          <w:rFonts w:hint="eastAsia" w:ascii="仿宋" w:hAnsi="仿宋" w:eastAsia="仿宋"/>
          <w:sz w:val="32"/>
          <w:szCs w:val="32"/>
          <w:lang w:val="en-US" w:eastAsia="zh-CN"/>
        </w:rPr>
        <w:t>增长41.56万元，增长9.4%；支出总计增长5.4万元，上涨1.13%</w:t>
      </w:r>
      <w:r>
        <w:rPr>
          <w:rFonts w:hint="eastAsia" w:ascii="仿宋" w:hAnsi="仿宋" w:eastAsia="仿宋"/>
          <w:sz w:val="32"/>
          <w:szCs w:val="32"/>
        </w:rPr>
        <w:t>。主要变动原因是</w:t>
      </w:r>
      <w:r>
        <w:rPr>
          <w:rFonts w:hint="eastAsia" w:ascii="仿宋" w:hAnsi="仿宋" w:eastAsia="仿宋"/>
          <w:sz w:val="32"/>
          <w:szCs w:val="32"/>
          <w:lang w:val="en-US" w:eastAsia="zh-CN"/>
        </w:rPr>
        <w:t>预算项目增加</w:t>
      </w:r>
      <w:r>
        <w:rPr>
          <w:rFonts w:hint="eastAsia" w:ascii="仿宋" w:hAnsi="仿宋" w:eastAsia="仿宋"/>
          <w:sz w:val="32"/>
          <w:szCs w:val="32"/>
        </w:rPr>
        <w:t>。</w:t>
      </w:r>
    </w:p>
    <w:p>
      <w:pPr>
        <w:pStyle w:val="11"/>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5155565" cy="3926840"/>
            <wp:effectExtent l="0" t="0" r="10795" b="5080"/>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6"/>
                    <a:srcRect l="3294" r="4641"/>
                    <a:stretch>
                      <a:fillRect/>
                    </a:stretch>
                  </pic:blipFill>
                  <pic:spPr>
                    <a:xfrm>
                      <a:off x="0" y="0"/>
                      <a:ext cx="5155565" cy="3926840"/>
                    </a:xfrm>
                    <a:prstGeom prst="rect">
                      <a:avLst/>
                    </a:prstGeom>
                    <a:noFill/>
                    <a:ln w="9525">
                      <a:noFill/>
                    </a:ln>
                  </pic:spPr>
                </pic:pic>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4"/>
        <w:numPr>
          <w:ilvl w:val="0"/>
          <w:numId w:val="0"/>
        </w:numPr>
        <w:ind w:firstLine="643" w:firstLineChars="200"/>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二、收入决算情况说明</w:t>
      </w:r>
      <w:bookmarkEnd w:id="20"/>
      <w:bookmarkEnd w:id="21"/>
    </w:p>
    <w:p>
      <w:pPr>
        <w:spacing w:line="600" w:lineRule="exact"/>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483.89</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482.79</w:t>
      </w:r>
      <w:r>
        <w:rPr>
          <w:rFonts w:hint="eastAsia" w:ascii="仿宋" w:hAnsi="仿宋" w:eastAsia="仿宋"/>
          <w:sz w:val="32"/>
          <w:szCs w:val="32"/>
        </w:rPr>
        <w:t>万元，占</w:t>
      </w:r>
      <w:r>
        <w:rPr>
          <w:rFonts w:hint="eastAsia" w:ascii="仿宋" w:hAnsi="仿宋" w:eastAsia="仿宋"/>
          <w:sz w:val="32"/>
          <w:szCs w:val="32"/>
          <w:lang w:val="en-US" w:eastAsia="zh-CN"/>
        </w:rPr>
        <w:t>99.8</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1.1</w:t>
      </w:r>
      <w:r>
        <w:rPr>
          <w:rFonts w:hint="eastAsia" w:ascii="仿宋" w:hAnsi="仿宋" w:eastAsia="仿宋"/>
          <w:sz w:val="32"/>
          <w:szCs w:val="32"/>
        </w:rPr>
        <w:t>万元，占</w:t>
      </w:r>
      <w:r>
        <w:rPr>
          <w:rFonts w:hint="eastAsia" w:ascii="仿宋" w:hAnsi="仿宋" w:eastAsia="仿宋"/>
          <w:sz w:val="32"/>
          <w:szCs w:val="32"/>
          <w:lang w:val="en-US" w:eastAsia="zh-CN"/>
        </w:rPr>
        <w:t>0.2</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pStyle w:val="10"/>
        <w:jc w:val="center"/>
        <w:rPr>
          <w:rFonts w:hint="eastAsia" w:ascii="仿宋" w:hAnsi="仿宋" w:eastAsia="仿宋"/>
          <w:sz w:val="32"/>
          <w:szCs w:val="32"/>
          <w:lang w:eastAsia="zh-CN"/>
        </w:rPr>
      </w:pPr>
      <w:r>
        <w:rPr>
          <w:rFonts w:ascii="宋体" w:hAnsi="宋体" w:eastAsia="宋体" w:cs="宋体"/>
          <w:kern w:val="0"/>
          <w:sz w:val="24"/>
          <w:szCs w:val="24"/>
          <w:lang w:val="en-US" w:eastAsia="zh-CN" w:bidi="ar"/>
        </w:rPr>
        <w:drawing>
          <wp:inline distT="0" distB="0" distL="114300" distR="114300">
            <wp:extent cx="4702175" cy="3183255"/>
            <wp:effectExtent l="0" t="0" r="6985" b="1905"/>
            <wp:docPr id="9"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IMG_256"/>
                    <pic:cNvPicPr>
                      <a:picLocks noChangeAspect="1"/>
                    </pic:cNvPicPr>
                  </pic:nvPicPr>
                  <pic:blipFill>
                    <a:blip r:embed="rId7"/>
                    <a:stretch>
                      <a:fillRect/>
                    </a:stretch>
                  </pic:blipFill>
                  <pic:spPr>
                    <a:xfrm>
                      <a:off x="0" y="0"/>
                      <a:ext cx="4702175" cy="3183255"/>
                    </a:xfrm>
                    <a:prstGeom prst="rect">
                      <a:avLst/>
                    </a:prstGeom>
                    <a:noFill/>
                    <a:ln w="9525">
                      <a:noFill/>
                    </a:ln>
                  </pic:spPr>
                </pic:pic>
              </a:graphicData>
            </a:graphic>
          </wp:inline>
        </w:drawing>
      </w:r>
    </w:p>
    <w:p>
      <w:pPr>
        <w:spacing w:line="600" w:lineRule="exact"/>
        <w:ind w:firstLine="640" w:firstLineChars="200"/>
        <w:jc w:val="center"/>
        <w:rPr>
          <w:rFonts w:hint="eastAsia" w:ascii="仿宋" w:hAnsi="仿宋" w:eastAsia="仿宋"/>
          <w:sz w:val="32"/>
          <w:szCs w:val="32"/>
        </w:rPr>
      </w:pPr>
      <w:r>
        <w:rPr>
          <w:rFonts w:hint="eastAsia" w:ascii="仿宋" w:hAnsi="仿宋" w:eastAsia="仿宋"/>
          <w:sz w:val="32"/>
          <w:szCs w:val="32"/>
        </w:rPr>
        <w:t>（图2：收入决算结构图）（饼状图）</w:t>
      </w:r>
    </w:p>
    <w:p>
      <w:pPr>
        <w:pStyle w:val="11"/>
      </w:pPr>
    </w:p>
    <w:p>
      <w:pPr>
        <w:pStyle w:val="17"/>
        <w:numPr>
          <w:ilvl w:val="0"/>
          <w:numId w:val="0"/>
        </w:numPr>
        <w:spacing w:line="600" w:lineRule="exact"/>
        <w:ind w:left="640" w:leftChars="0"/>
        <w:jc w:val="both"/>
        <w:outlineLvl w:val="1"/>
        <w:rPr>
          <w:rFonts w:hint="eastAsia" w:ascii="黑体" w:hAnsi="黑体" w:eastAsia="黑体" w:cs="黑体"/>
          <w:b/>
          <w:bCs/>
          <w:kern w:val="2"/>
          <w:sz w:val="32"/>
          <w:szCs w:val="32"/>
          <w:lang w:val="en-US" w:eastAsia="zh-CN" w:bidi="ar-SA"/>
        </w:rPr>
      </w:pPr>
      <w:bookmarkStart w:id="22" w:name="_Toc15377207"/>
      <w:bookmarkStart w:id="23" w:name="_Toc15396605"/>
      <w:r>
        <w:rPr>
          <w:rFonts w:hint="eastAsia" w:ascii="黑体" w:hAnsi="黑体" w:eastAsia="黑体" w:cs="黑体"/>
          <w:b/>
          <w:bCs/>
          <w:kern w:val="2"/>
          <w:sz w:val="32"/>
          <w:szCs w:val="32"/>
          <w:lang w:val="en-US" w:eastAsia="zh-CN" w:bidi="ar-SA"/>
        </w:rPr>
        <w:t>三、支出决算情况说明</w:t>
      </w:r>
      <w:bookmarkEnd w:id="22"/>
      <w:bookmarkEnd w:id="23"/>
    </w:p>
    <w:p>
      <w:pPr>
        <w:spacing w:line="600" w:lineRule="exact"/>
        <w:ind w:firstLine="640" w:firstLineChars="200"/>
        <w:outlineLvl w:val="1"/>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483.89</w:t>
      </w:r>
      <w:r>
        <w:rPr>
          <w:rFonts w:hint="eastAsia" w:ascii="仿宋" w:hAnsi="仿宋" w:eastAsia="仿宋"/>
          <w:sz w:val="32"/>
          <w:szCs w:val="32"/>
        </w:rPr>
        <w:t>万元，其中：基本支出</w:t>
      </w:r>
      <w:r>
        <w:rPr>
          <w:rFonts w:hint="eastAsia" w:ascii="仿宋" w:hAnsi="仿宋" w:eastAsia="仿宋"/>
          <w:sz w:val="32"/>
          <w:szCs w:val="32"/>
          <w:lang w:val="en-US" w:eastAsia="zh-CN"/>
        </w:rPr>
        <w:t>451.78</w:t>
      </w:r>
      <w:r>
        <w:rPr>
          <w:rFonts w:hint="eastAsia" w:ascii="仿宋" w:hAnsi="仿宋" w:eastAsia="仿宋"/>
          <w:sz w:val="32"/>
          <w:szCs w:val="32"/>
        </w:rPr>
        <w:t>万元，占</w:t>
      </w:r>
      <w:r>
        <w:rPr>
          <w:rFonts w:hint="eastAsia" w:ascii="仿宋" w:hAnsi="仿宋" w:eastAsia="仿宋"/>
          <w:sz w:val="32"/>
          <w:szCs w:val="32"/>
          <w:lang w:val="en-US" w:eastAsia="zh-CN"/>
        </w:rPr>
        <w:t>93.66</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32.1</w:t>
      </w:r>
      <w:r>
        <w:rPr>
          <w:rFonts w:hint="eastAsia" w:ascii="仿宋" w:hAnsi="仿宋" w:eastAsia="仿宋"/>
          <w:sz w:val="32"/>
          <w:szCs w:val="32"/>
        </w:rPr>
        <w:t>万元，占</w:t>
      </w:r>
      <w:r>
        <w:rPr>
          <w:rFonts w:hint="eastAsia" w:ascii="仿宋" w:hAnsi="仿宋" w:eastAsia="仿宋"/>
          <w:sz w:val="32"/>
          <w:szCs w:val="32"/>
          <w:lang w:val="en-US" w:eastAsia="zh-CN"/>
        </w:rPr>
        <w:t>6.63</w:t>
      </w:r>
      <w:r>
        <w:rPr>
          <w:rFonts w:ascii="仿宋" w:hAnsi="仿宋" w:eastAsia="仿宋"/>
          <w:sz w:val="32"/>
          <w:szCs w:val="32"/>
        </w:rPr>
        <w:t>%</w:t>
      </w:r>
      <w:r>
        <w:rPr>
          <w:rFonts w:hint="eastAsia" w:ascii="仿宋" w:hAnsi="仿宋" w:eastAsia="仿宋"/>
          <w:sz w:val="32"/>
          <w:szCs w:val="32"/>
          <w:lang w:eastAsia="zh-CN"/>
        </w:rPr>
        <w:t>。</w:t>
      </w:r>
    </w:p>
    <w:p>
      <w:pPr>
        <w:spacing w:line="600" w:lineRule="exact"/>
        <w:ind w:firstLine="643" w:firstLineChars="200"/>
        <w:outlineLvl w:val="1"/>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pStyle w:val="10"/>
        <w:jc w:val="center"/>
        <w:rPr>
          <w:rFonts w:hint="eastAsia" w:ascii="仿宋" w:hAnsi="仿宋" w:eastAsia="仿宋"/>
          <w:sz w:val="32"/>
          <w:szCs w:val="32"/>
          <w:shd w:val="pct10" w:color="auto" w:fill="FFFFFF"/>
          <w:lang w:eastAsia="zh-CN"/>
        </w:rPr>
      </w:pPr>
      <w:r>
        <w:rPr>
          <w:rFonts w:ascii="宋体" w:hAnsi="宋体" w:eastAsia="宋体" w:cs="宋体"/>
          <w:kern w:val="0"/>
          <w:sz w:val="24"/>
          <w:szCs w:val="24"/>
          <w:lang w:val="en-US" w:eastAsia="zh-CN" w:bidi="ar"/>
        </w:rPr>
        <w:drawing>
          <wp:inline distT="0" distB="0" distL="114300" distR="114300">
            <wp:extent cx="4458970" cy="3383915"/>
            <wp:effectExtent l="0" t="0" r="6350" b="14605"/>
            <wp:docPr id="1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IMG_256"/>
                    <pic:cNvPicPr>
                      <a:picLocks noChangeAspect="1"/>
                    </pic:cNvPicPr>
                  </pic:nvPicPr>
                  <pic:blipFill>
                    <a:blip r:embed="rId8"/>
                    <a:srcRect l="1671"/>
                    <a:stretch>
                      <a:fillRect/>
                    </a:stretch>
                  </pic:blipFill>
                  <pic:spPr>
                    <a:xfrm>
                      <a:off x="0" y="0"/>
                      <a:ext cx="4458970" cy="3383915"/>
                    </a:xfrm>
                    <a:prstGeom prst="rect">
                      <a:avLst/>
                    </a:prstGeom>
                    <a:noFill/>
                    <a:ln w="9525">
                      <a:noFill/>
                    </a:ln>
                  </pic:spPr>
                </pic:pic>
              </a:graphicData>
            </a:graphic>
          </wp:inline>
        </w:drawing>
      </w:r>
    </w:p>
    <w:p>
      <w:pPr>
        <w:spacing w:line="600" w:lineRule="exact"/>
        <w:ind w:firstLine="640" w:firstLineChars="200"/>
        <w:jc w:val="center"/>
        <w:rPr>
          <w:rFonts w:hint="eastAsia" w:ascii="仿宋" w:hAnsi="仿宋" w:eastAsia="仿宋"/>
          <w:sz w:val="32"/>
          <w:szCs w:val="32"/>
        </w:rPr>
      </w:pPr>
      <w:r>
        <w:rPr>
          <w:rFonts w:hint="eastAsia" w:ascii="仿宋" w:hAnsi="仿宋" w:eastAsia="仿宋"/>
          <w:sz w:val="32"/>
          <w:szCs w:val="32"/>
        </w:rPr>
        <w:t>（图3：支出决算结构图）（饼状图）</w:t>
      </w:r>
    </w:p>
    <w:p>
      <w:pPr>
        <w:pStyle w:val="11"/>
      </w:pPr>
    </w:p>
    <w:p>
      <w:pPr>
        <w:spacing w:line="600" w:lineRule="exact"/>
        <w:ind w:firstLine="643" w:firstLineChars="200"/>
        <w:outlineLvl w:val="1"/>
        <w:rPr>
          <w:rFonts w:hint="eastAsia" w:ascii="黑体" w:hAnsi="黑体" w:eastAsia="黑体" w:cs="黑体"/>
          <w:b/>
          <w:bCs/>
          <w:kern w:val="2"/>
          <w:sz w:val="32"/>
          <w:szCs w:val="32"/>
          <w:lang w:val="en-US" w:eastAsia="zh-CN" w:bidi="ar-SA"/>
        </w:rPr>
      </w:pPr>
      <w:bookmarkStart w:id="24" w:name="_Toc15377208"/>
      <w:bookmarkStart w:id="25" w:name="_Toc15396606"/>
      <w:r>
        <w:rPr>
          <w:rFonts w:hint="eastAsia" w:ascii="黑体" w:hAnsi="黑体" w:eastAsia="黑体" w:cs="黑体"/>
          <w:b/>
          <w:bCs/>
          <w:kern w:val="2"/>
          <w:sz w:val="32"/>
          <w:szCs w:val="32"/>
          <w:lang w:val="en-US" w:eastAsia="zh-CN" w:bidi="ar-SA"/>
        </w:rPr>
        <w:t>四、财政拨款收入支出决算总体情况说明</w:t>
      </w:r>
      <w:bookmarkEnd w:id="24"/>
      <w:bookmarkEnd w:id="25"/>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483.89</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w:t>
      </w:r>
      <w:r>
        <w:rPr>
          <w:rFonts w:hint="eastAsia" w:ascii="仿宋" w:hAnsi="仿宋" w:eastAsia="仿宋"/>
          <w:sz w:val="32"/>
          <w:szCs w:val="32"/>
          <w:lang w:val="en-US" w:eastAsia="zh-CN"/>
        </w:rPr>
        <w:t>入增加41.56万元，上涨9.4%；</w:t>
      </w:r>
      <w:r>
        <w:rPr>
          <w:rFonts w:hint="eastAsia" w:ascii="仿宋" w:hAnsi="仿宋" w:eastAsia="仿宋"/>
          <w:sz w:val="32"/>
          <w:szCs w:val="32"/>
        </w:rPr>
        <w:t>支</w:t>
      </w:r>
      <w:r>
        <w:rPr>
          <w:rFonts w:hint="eastAsia" w:ascii="仿宋" w:hAnsi="仿宋" w:eastAsia="仿宋"/>
          <w:sz w:val="32"/>
          <w:szCs w:val="32"/>
          <w:lang w:val="en-US" w:eastAsia="zh-CN"/>
        </w:rPr>
        <w:t>出</w:t>
      </w:r>
      <w:r>
        <w:rPr>
          <w:rFonts w:hint="eastAsia" w:ascii="仿宋" w:hAnsi="仿宋" w:eastAsia="仿宋"/>
          <w:sz w:val="32"/>
          <w:szCs w:val="32"/>
        </w:rPr>
        <w:t>总计</w:t>
      </w:r>
      <w:r>
        <w:rPr>
          <w:rFonts w:hint="eastAsia" w:ascii="仿宋" w:hAnsi="仿宋" w:eastAsia="仿宋"/>
          <w:sz w:val="32"/>
          <w:szCs w:val="32"/>
          <w:lang w:val="en-US" w:eastAsia="zh-CN"/>
        </w:rPr>
        <w:t>增加5.4</w:t>
      </w:r>
      <w:r>
        <w:rPr>
          <w:rFonts w:hint="eastAsia" w:ascii="仿宋" w:hAnsi="仿宋" w:eastAsia="仿宋"/>
          <w:sz w:val="32"/>
          <w:szCs w:val="32"/>
        </w:rPr>
        <w:t>万元，</w:t>
      </w:r>
      <w:r>
        <w:rPr>
          <w:rFonts w:hint="eastAsia" w:ascii="仿宋" w:hAnsi="仿宋" w:eastAsia="仿宋"/>
          <w:sz w:val="32"/>
          <w:szCs w:val="32"/>
          <w:lang w:val="en-US" w:eastAsia="zh-CN"/>
        </w:rPr>
        <w:t>上涨1.13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项目预算增加</w:t>
      </w:r>
      <w:r>
        <w:rPr>
          <w:rFonts w:hint="eastAsia" w:ascii="仿宋" w:hAnsi="仿宋" w:eastAsia="仿宋"/>
          <w:b/>
          <w:sz w:val="32"/>
          <w:szCs w:val="32"/>
          <w:lang w:eastAsia="zh-CN"/>
        </w:rPr>
        <w:t>。</w:t>
      </w: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pStyle w:val="10"/>
        <w:jc w:val="center"/>
        <w:rPr>
          <w:rFonts w:hint="eastAsia" w:ascii="仿宋" w:hAnsi="仿宋" w:eastAsia="仿宋"/>
          <w:sz w:val="32"/>
          <w:szCs w:val="32"/>
          <w:lang w:eastAsia="zh-CN"/>
        </w:rPr>
      </w:pPr>
      <w:r>
        <w:rPr>
          <w:rFonts w:ascii="宋体" w:hAnsi="宋体" w:eastAsia="宋体" w:cs="宋体"/>
          <w:kern w:val="0"/>
          <w:sz w:val="24"/>
          <w:szCs w:val="24"/>
          <w:lang w:val="en-US" w:eastAsia="zh-CN" w:bidi="ar"/>
        </w:rPr>
        <w:drawing>
          <wp:inline distT="0" distB="0" distL="114300" distR="114300">
            <wp:extent cx="4712970" cy="3551555"/>
            <wp:effectExtent l="0" t="0" r="11430" b="14605"/>
            <wp:docPr id="1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IMG_256"/>
                    <pic:cNvPicPr>
                      <a:picLocks noChangeAspect="1"/>
                    </pic:cNvPicPr>
                  </pic:nvPicPr>
                  <pic:blipFill>
                    <a:blip r:embed="rId9"/>
                    <a:stretch>
                      <a:fillRect/>
                    </a:stretch>
                  </pic:blipFill>
                  <pic:spPr>
                    <a:xfrm>
                      <a:off x="0" y="0"/>
                      <a:ext cx="4712970" cy="3551555"/>
                    </a:xfrm>
                    <a:prstGeom prst="rect">
                      <a:avLst/>
                    </a:prstGeom>
                    <a:noFill/>
                    <a:ln w="9525">
                      <a:noFill/>
                    </a:ln>
                  </pic:spPr>
                </pic:pic>
              </a:graphicData>
            </a:graphic>
          </wp:inline>
        </w:drawing>
      </w:r>
    </w:p>
    <w:p>
      <w:pPr>
        <w:spacing w:line="600" w:lineRule="exact"/>
        <w:jc w:val="center"/>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pStyle w:val="11"/>
      </w:pPr>
    </w:p>
    <w:p>
      <w:pPr>
        <w:spacing w:line="600" w:lineRule="exact"/>
        <w:ind w:firstLine="643" w:firstLineChars="200"/>
        <w:outlineLvl w:val="1"/>
        <w:rPr>
          <w:rFonts w:hint="eastAsia" w:ascii="黑体" w:hAnsi="黑体" w:eastAsia="黑体" w:cs="黑体"/>
          <w:b/>
          <w:bCs/>
          <w:kern w:val="2"/>
          <w:sz w:val="32"/>
          <w:szCs w:val="32"/>
          <w:lang w:val="en-US" w:eastAsia="zh-CN" w:bidi="ar-SA"/>
        </w:rPr>
      </w:pPr>
      <w:bookmarkStart w:id="26" w:name="_Toc15396607"/>
      <w:bookmarkStart w:id="27" w:name="_Toc15377209"/>
      <w:r>
        <w:rPr>
          <w:rFonts w:hint="eastAsia" w:ascii="黑体" w:hAnsi="黑体" w:eastAsia="黑体" w:cs="黑体"/>
          <w:b/>
          <w:bCs/>
          <w:kern w:val="2"/>
          <w:sz w:val="32"/>
          <w:szCs w:val="32"/>
          <w:lang w:val="en-US" w:eastAsia="zh-CN" w:bidi="ar-SA"/>
        </w:rPr>
        <w:t>五、一般公共预算财政拨款支出决算情况说明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pStyle w:val="10"/>
        <w:ind w:left="0" w:leftChars="0" w:firstLine="640" w:firstLineChars="200"/>
        <w:jc w:val="left"/>
        <w:rPr>
          <w:rFonts w:hint="default"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482.79</w:t>
      </w:r>
      <w:r>
        <w:rPr>
          <w:rFonts w:hint="eastAsia" w:ascii="仿宋" w:hAnsi="仿宋" w:eastAsia="仿宋"/>
          <w:sz w:val="32"/>
          <w:szCs w:val="32"/>
        </w:rPr>
        <w:t>万元，占本年支出合计的</w:t>
      </w:r>
      <w:r>
        <w:rPr>
          <w:rFonts w:hint="eastAsia" w:ascii="仿宋" w:hAnsi="仿宋" w:eastAsia="仿宋"/>
          <w:sz w:val="32"/>
          <w:szCs w:val="32"/>
          <w:lang w:val="en-US" w:eastAsia="zh-CN"/>
        </w:rPr>
        <w:t>99.72</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w:t>
      </w:r>
      <w:r>
        <w:rPr>
          <w:rFonts w:hint="eastAsia" w:ascii="仿宋" w:hAnsi="仿宋" w:eastAsia="仿宋"/>
          <w:sz w:val="32"/>
          <w:szCs w:val="32"/>
          <w:lang w:val="en-US" w:eastAsia="zh-CN"/>
        </w:rPr>
        <w:t>增加5.5</w:t>
      </w:r>
      <w:r>
        <w:rPr>
          <w:rFonts w:hint="eastAsia" w:ascii="仿宋" w:hAnsi="仿宋" w:eastAsia="仿宋"/>
          <w:sz w:val="32"/>
          <w:szCs w:val="32"/>
        </w:rPr>
        <w:t>万元，</w:t>
      </w:r>
      <w:r>
        <w:rPr>
          <w:rFonts w:hint="eastAsia" w:ascii="仿宋" w:hAnsi="仿宋" w:eastAsia="仿宋"/>
          <w:sz w:val="32"/>
          <w:szCs w:val="32"/>
          <w:lang w:val="en-US" w:eastAsia="zh-CN"/>
        </w:rPr>
        <w:t>上涨0.01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项目预算增加。</w:t>
      </w:r>
      <w:r>
        <w:rPr>
          <w:rFonts w:ascii="宋体" w:hAnsi="宋体" w:eastAsia="宋体" w:cs="宋体"/>
          <w:kern w:val="0"/>
          <w:sz w:val="24"/>
          <w:szCs w:val="24"/>
          <w:lang w:val="en-US" w:eastAsia="zh-CN" w:bidi="ar"/>
        </w:rPr>
        <w:drawing>
          <wp:inline distT="0" distB="0" distL="114300" distR="114300">
            <wp:extent cx="4676140" cy="3628390"/>
            <wp:effectExtent l="0" t="0" r="2540" b="13970"/>
            <wp:docPr id="15"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descr="IMG_256"/>
                    <pic:cNvPicPr>
                      <a:picLocks noChangeAspect="1"/>
                    </pic:cNvPicPr>
                  </pic:nvPicPr>
                  <pic:blipFill>
                    <a:blip r:embed="rId10"/>
                    <a:srcRect l="780"/>
                    <a:stretch>
                      <a:fillRect/>
                    </a:stretch>
                  </pic:blipFill>
                  <pic:spPr>
                    <a:xfrm>
                      <a:off x="0" y="0"/>
                      <a:ext cx="4676140" cy="3628390"/>
                    </a:xfrm>
                    <a:prstGeom prst="rect">
                      <a:avLst/>
                    </a:prstGeom>
                    <a:noFill/>
                    <a:ln w="9525">
                      <a:noFill/>
                    </a:ln>
                  </pic:spPr>
                </pic:pic>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482.79</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sz w:val="32"/>
          <w:szCs w:val="32"/>
          <w:lang w:val="en-US" w:eastAsia="zh-CN"/>
        </w:rPr>
        <w:t>401.53</w:t>
      </w:r>
      <w:r>
        <w:rPr>
          <w:rFonts w:hint="eastAsia" w:ascii="仿宋" w:hAnsi="仿宋" w:eastAsia="仿宋"/>
          <w:sz w:val="32"/>
          <w:szCs w:val="32"/>
        </w:rPr>
        <w:t>万元，占</w:t>
      </w:r>
      <w:r>
        <w:rPr>
          <w:rFonts w:hint="eastAsia" w:ascii="仿宋" w:hAnsi="仿宋" w:eastAsia="仿宋"/>
          <w:sz w:val="32"/>
          <w:szCs w:val="32"/>
          <w:lang w:val="en-US" w:eastAsia="zh-CN"/>
        </w:rPr>
        <w:t>83.2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36.11</w:t>
      </w:r>
      <w:r>
        <w:rPr>
          <w:rFonts w:hint="eastAsia" w:ascii="仿宋" w:hAnsi="仿宋" w:eastAsia="仿宋"/>
          <w:sz w:val="32"/>
          <w:szCs w:val="32"/>
        </w:rPr>
        <w:t>万元，占</w:t>
      </w:r>
      <w:r>
        <w:rPr>
          <w:rFonts w:hint="eastAsia" w:ascii="仿宋" w:hAnsi="仿宋" w:eastAsia="仿宋"/>
          <w:sz w:val="32"/>
          <w:szCs w:val="32"/>
          <w:lang w:val="en-US" w:eastAsia="zh-CN"/>
        </w:rPr>
        <w:t>7.48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18.06</w:t>
      </w:r>
      <w:r>
        <w:rPr>
          <w:rFonts w:hint="eastAsia" w:ascii="仿宋" w:hAnsi="仿宋" w:eastAsia="仿宋"/>
          <w:sz w:val="32"/>
          <w:szCs w:val="32"/>
        </w:rPr>
        <w:t>万元，占</w:t>
      </w:r>
      <w:r>
        <w:rPr>
          <w:rFonts w:hint="eastAsia" w:ascii="仿宋" w:hAnsi="仿宋" w:eastAsia="仿宋"/>
          <w:sz w:val="32"/>
          <w:szCs w:val="32"/>
          <w:lang w:val="en-US" w:eastAsia="zh-CN"/>
        </w:rPr>
        <w:t>3.74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27.09</w:t>
      </w:r>
      <w:r>
        <w:rPr>
          <w:rFonts w:hint="eastAsia" w:ascii="仿宋" w:hAnsi="仿宋" w:eastAsia="仿宋"/>
          <w:sz w:val="32"/>
          <w:szCs w:val="32"/>
        </w:rPr>
        <w:t>万元，占</w:t>
      </w:r>
      <w:r>
        <w:rPr>
          <w:rFonts w:hint="eastAsia" w:ascii="仿宋" w:hAnsi="仿宋" w:eastAsia="仿宋"/>
          <w:sz w:val="32"/>
          <w:szCs w:val="32"/>
          <w:lang w:val="en-US" w:eastAsia="zh-CN"/>
        </w:rPr>
        <w:t>5.61</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hint="eastAsia"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spacing w:line="600" w:lineRule="exact"/>
        <w:ind w:firstLine="640"/>
        <w:rPr>
          <w:rFonts w:hint="eastAsia" w:ascii="仿宋" w:hAnsi="仿宋" w:eastAsia="仿宋"/>
          <w:b/>
          <w:sz w:val="32"/>
          <w:szCs w:val="32"/>
        </w:rPr>
      </w:pPr>
    </w:p>
    <w:p>
      <w:pPr>
        <w:spacing w:line="600" w:lineRule="exact"/>
        <w:ind w:firstLine="640"/>
        <w:rPr>
          <w:rFonts w:hint="eastAsia" w:ascii="仿宋" w:hAnsi="仿宋" w:eastAsia="仿宋"/>
          <w:b/>
          <w:sz w:val="32"/>
          <w:szCs w:val="32"/>
        </w:rPr>
      </w:pPr>
    </w:p>
    <w:p>
      <w:pPr>
        <w:spacing w:line="600" w:lineRule="exact"/>
        <w:ind w:firstLine="640"/>
        <w:rPr>
          <w:rFonts w:hint="eastAsia" w:ascii="仿宋" w:hAnsi="仿宋" w:eastAsia="仿宋"/>
          <w:b/>
          <w:sz w:val="32"/>
          <w:szCs w:val="32"/>
        </w:rPr>
      </w:pPr>
    </w:p>
    <w:p>
      <w:pPr>
        <w:spacing w:line="600" w:lineRule="exact"/>
        <w:ind w:firstLine="640"/>
        <w:rPr>
          <w:rFonts w:ascii="仿宋" w:hAnsi="仿宋" w:eastAsia="仿宋"/>
          <w:b/>
          <w:sz w:val="32"/>
          <w:szCs w:val="32"/>
        </w:rPr>
      </w:pPr>
    </w:p>
    <w:p>
      <w:pPr>
        <w:pStyle w:val="10"/>
        <w:ind w:left="0" w:leftChars="0" w:firstLine="0" w:firstLineChars="0"/>
        <w:jc w:val="center"/>
        <w:rPr>
          <w:rFonts w:hint="eastAsia" w:ascii="仿宋" w:hAnsi="仿宋" w:eastAsia="仿宋"/>
          <w:sz w:val="32"/>
          <w:szCs w:val="32"/>
          <w:lang w:eastAsia="zh-CN"/>
        </w:rPr>
      </w:pPr>
      <w:r>
        <w:rPr>
          <w:rFonts w:ascii="宋体" w:hAnsi="宋体" w:eastAsia="宋体" w:cs="宋体"/>
          <w:kern w:val="0"/>
          <w:sz w:val="24"/>
          <w:szCs w:val="24"/>
          <w:lang w:val="en-US" w:eastAsia="zh-CN" w:bidi="ar"/>
        </w:rPr>
        <w:drawing>
          <wp:inline distT="0" distB="0" distL="114300" distR="114300">
            <wp:extent cx="4540885" cy="3255645"/>
            <wp:effectExtent l="0" t="0" r="635" b="5715"/>
            <wp:docPr id="16"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IMG_256"/>
                    <pic:cNvPicPr>
                      <a:picLocks noChangeAspect="1"/>
                    </pic:cNvPicPr>
                  </pic:nvPicPr>
                  <pic:blipFill>
                    <a:blip r:embed="rId11"/>
                    <a:stretch>
                      <a:fillRect/>
                    </a:stretch>
                  </pic:blipFill>
                  <pic:spPr>
                    <a:xfrm>
                      <a:off x="0" y="0"/>
                      <a:ext cx="4540885" cy="3255645"/>
                    </a:xfrm>
                    <a:prstGeom prst="rect">
                      <a:avLst/>
                    </a:prstGeom>
                    <a:noFill/>
                    <a:ln w="9525">
                      <a:noFill/>
                    </a:ln>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482.79万元</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31"/>
      <w:bookmarkEnd w:id="32"/>
      <w:bookmarkEnd w:id="33"/>
    </w:p>
    <w:p>
      <w:pPr>
        <w:numPr>
          <w:ilvl w:val="0"/>
          <w:numId w:val="0"/>
        </w:num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1.</w:t>
      </w:r>
      <w:r>
        <w:rPr>
          <w:rStyle w:val="14"/>
          <w:rFonts w:hint="eastAsia" w:ascii="仿宋" w:hAnsi="仿宋" w:eastAsia="仿宋"/>
          <w:bCs/>
          <w:sz w:val="32"/>
          <w:szCs w:val="32"/>
        </w:rPr>
        <w:t>教育（类）</w:t>
      </w:r>
      <w:r>
        <w:rPr>
          <w:rStyle w:val="14"/>
          <w:rFonts w:hint="eastAsia" w:ascii="仿宋" w:hAnsi="仿宋" w:eastAsia="仿宋"/>
          <w:bCs/>
          <w:sz w:val="32"/>
          <w:szCs w:val="32"/>
          <w:lang w:val="en-US" w:eastAsia="zh-CN"/>
        </w:rPr>
        <w:t>普通教育</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学前教育</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11.1</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numPr>
          <w:ilvl w:val="0"/>
          <w:numId w:val="0"/>
        </w:numPr>
        <w:spacing w:line="600" w:lineRule="exact"/>
        <w:ind w:firstLine="643" w:firstLineChars="200"/>
      </w:pPr>
      <w:r>
        <w:rPr>
          <w:rStyle w:val="14"/>
          <w:rFonts w:hint="eastAsia" w:ascii="仿宋" w:hAnsi="仿宋" w:eastAsia="仿宋"/>
          <w:bCs/>
          <w:sz w:val="32"/>
          <w:szCs w:val="32"/>
          <w:lang w:val="en-US" w:eastAsia="zh-CN"/>
        </w:rPr>
        <w:t>2.</w:t>
      </w:r>
      <w:r>
        <w:rPr>
          <w:rStyle w:val="14"/>
          <w:rFonts w:hint="eastAsia" w:ascii="仿宋" w:hAnsi="仿宋" w:eastAsia="仿宋"/>
          <w:bCs/>
          <w:sz w:val="32"/>
          <w:szCs w:val="32"/>
        </w:rPr>
        <w:t>教育（类）</w:t>
      </w:r>
      <w:r>
        <w:rPr>
          <w:rStyle w:val="14"/>
          <w:rFonts w:hint="eastAsia" w:ascii="仿宋" w:hAnsi="仿宋" w:eastAsia="仿宋"/>
          <w:bCs/>
          <w:sz w:val="32"/>
          <w:szCs w:val="32"/>
          <w:lang w:val="en-US" w:eastAsia="zh-CN"/>
        </w:rPr>
        <w:t>普通教育</w:t>
      </w:r>
      <w:r>
        <w:rPr>
          <w:rStyle w:val="14"/>
          <w:rFonts w:hint="eastAsia" w:ascii="仿宋" w:hAnsi="仿宋" w:eastAsia="仿宋"/>
          <w:bCs/>
          <w:sz w:val="32"/>
          <w:szCs w:val="32"/>
        </w:rPr>
        <w:t>（款）</w:t>
      </w:r>
      <w:r>
        <w:rPr>
          <w:rStyle w:val="14"/>
          <w:rFonts w:hint="eastAsia" w:ascii="仿宋" w:hAnsi="仿宋" w:eastAsia="仿宋"/>
          <w:bCs/>
          <w:sz w:val="32"/>
          <w:szCs w:val="32"/>
          <w:lang w:val="en-US" w:eastAsia="zh-CN"/>
        </w:rPr>
        <w:t>小学教育</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359.43</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numPr>
          <w:ilvl w:val="0"/>
          <w:numId w:val="0"/>
        </w:numPr>
        <w:spacing w:line="600" w:lineRule="exact"/>
        <w:ind w:firstLine="643" w:firstLineChars="200"/>
        <w:rPr>
          <w:rStyle w:val="14"/>
          <w:rFonts w:hint="eastAsia" w:ascii="仿宋" w:hAnsi="仿宋" w:eastAsia="仿宋"/>
          <w:b w:val="0"/>
          <w:bCs/>
          <w:sz w:val="32"/>
          <w:szCs w:val="32"/>
          <w:lang w:eastAsia="zh-CN"/>
        </w:rPr>
      </w:pPr>
      <w:r>
        <w:rPr>
          <w:rStyle w:val="14"/>
          <w:rFonts w:hint="eastAsia" w:ascii="仿宋" w:hAnsi="仿宋" w:eastAsia="仿宋"/>
          <w:bCs/>
          <w:sz w:val="32"/>
          <w:szCs w:val="32"/>
          <w:lang w:val="en-US" w:eastAsia="zh-CN"/>
        </w:rPr>
        <w:t>3.</w:t>
      </w:r>
      <w:r>
        <w:rPr>
          <w:rStyle w:val="14"/>
          <w:rFonts w:hint="eastAsia" w:ascii="仿宋" w:hAnsi="仿宋" w:eastAsia="仿宋"/>
          <w:bCs/>
          <w:sz w:val="32"/>
          <w:szCs w:val="32"/>
        </w:rPr>
        <w:t>社会保障和就业（类）行政事业单位养老支出（款）机关事业单位基本养老保险缴费支出（项）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36.11</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r>
        <w:rPr>
          <w:rStyle w:val="14"/>
          <w:rFonts w:hint="eastAsia" w:ascii="仿宋" w:hAnsi="仿宋" w:eastAsia="仿宋"/>
          <w:b w:val="0"/>
          <w:bCs/>
          <w:sz w:val="32"/>
          <w:szCs w:val="32"/>
          <w:lang w:eastAsia="zh-CN"/>
        </w:rPr>
        <w:t>。</w:t>
      </w:r>
    </w:p>
    <w:p>
      <w:pPr>
        <w:numPr>
          <w:ilvl w:val="0"/>
          <w:numId w:val="0"/>
        </w:numPr>
        <w:spacing w:line="600" w:lineRule="exact"/>
        <w:ind w:firstLine="643" w:firstLineChars="200"/>
        <w:rPr>
          <w:rFonts w:ascii="仿宋" w:hAnsi="仿宋" w:eastAsia="仿宋"/>
          <w:b/>
          <w:sz w:val="32"/>
          <w:szCs w:val="32"/>
        </w:rPr>
      </w:pPr>
      <w:r>
        <w:rPr>
          <w:rFonts w:hint="eastAsia" w:ascii="仿宋" w:hAnsi="仿宋" w:eastAsia="仿宋"/>
          <w:b/>
          <w:bCs/>
          <w:sz w:val="32"/>
          <w:szCs w:val="32"/>
          <w:lang w:val="en-US" w:eastAsia="zh-CN"/>
        </w:rPr>
        <w:t>4.</w:t>
      </w:r>
      <w:r>
        <w:rPr>
          <w:rFonts w:hint="eastAsia" w:ascii="仿宋" w:hAnsi="仿宋" w:eastAsia="仿宋"/>
          <w:b/>
          <w:bCs/>
          <w:sz w:val="32"/>
          <w:szCs w:val="32"/>
        </w:rPr>
        <w:t>卫生健康</w:t>
      </w:r>
      <w:r>
        <w:rPr>
          <w:rStyle w:val="14"/>
          <w:rFonts w:hint="eastAsia" w:ascii="仿宋" w:hAnsi="仿宋" w:eastAsia="仿宋"/>
          <w:bCs/>
          <w:sz w:val="32"/>
          <w:szCs w:val="32"/>
        </w:rPr>
        <w:t>（类）行政事业单位医疗（款）事业单位医疗（项）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18.06</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numPr>
          <w:ilvl w:val="0"/>
          <w:numId w:val="0"/>
        </w:numPr>
        <w:spacing w:line="600" w:lineRule="exact"/>
        <w:ind w:firstLine="643" w:firstLineChars="200"/>
        <w:rPr>
          <w:rFonts w:ascii="仿宋" w:hAnsi="仿宋" w:eastAsia="仿宋"/>
          <w:b/>
          <w:sz w:val="32"/>
          <w:szCs w:val="32"/>
        </w:rPr>
      </w:pPr>
      <w:r>
        <w:rPr>
          <w:rFonts w:hint="eastAsia" w:ascii="仿宋" w:hAnsi="仿宋" w:eastAsia="仿宋"/>
          <w:b/>
          <w:bCs/>
          <w:sz w:val="32"/>
          <w:szCs w:val="32"/>
          <w:lang w:val="en-US" w:eastAsia="zh-CN"/>
        </w:rPr>
        <w:t>5.</w:t>
      </w:r>
      <w:r>
        <w:rPr>
          <w:rFonts w:hint="eastAsia" w:ascii="仿宋" w:hAnsi="仿宋" w:eastAsia="仿宋"/>
          <w:b/>
          <w:bCs/>
          <w:sz w:val="32"/>
          <w:szCs w:val="32"/>
        </w:rPr>
        <w:t>住房保障支出</w:t>
      </w:r>
      <w:r>
        <w:rPr>
          <w:rStyle w:val="14"/>
          <w:rFonts w:hint="eastAsia" w:ascii="仿宋" w:hAnsi="仿宋" w:eastAsia="仿宋"/>
          <w:bCs/>
          <w:sz w:val="32"/>
          <w:szCs w:val="32"/>
        </w:rPr>
        <w:t>（类）住房改革支出（款）住房公积金（项）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27.09</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bookmarkStart w:id="67" w:name="_GoBack"/>
      <w:bookmarkEnd w:id="67"/>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16"/>
        </w:rPr>
      </w:pPr>
      <w:bookmarkStart w:id="34" w:name="_Toc15396608"/>
      <w:bookmarkStart w:id="35" w:name="_Toc15377214"/>
      <w:r>
        <w:rPr>
          <w:rFonts w:hint="eastAsia" w:ascii="黑体" w:hAnsi="黑体" w:eastAsia="黑体" w:cs="黑体"/>
          <w:b/>
          <w:bCs/>
          <w:kern w:val="2"/>
          <w:sz w:val="32"/>
          <w:szCs w:val="32"/>
          <w:lang w:val="en-US" w:eastAsia="zh-CN" w:bidi="ar-SA"/>
        </w:rPr>
        <w:t>六、一般公共预算财政拨款基本支出决算情况说明</w:t>
      </w:r>
      <w:bookmarkEnd w:id="34"/>
      <w:bookmarkEnd w:id="35"/>
      <w:r>
        <w:rPr>
          <w:rStyle w:val="1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482.79</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433.26</w:t>
      </w:r>
      <w:r>
        <w:rPr>
          <w:rFonts w:hint="eastAsia" w:ascii="仿宋" w:hAnsi="仿宋" w:eastAsia="仿宋"/>
          <w:sz w:val="32"/>
          <w:szCs w:val="32"/>
        </w:rPr>
        <w:t>万元，主要包括：基本工资、津贴补贴、奖金、绩效工资、机关事业单位基本养老保险缴费</w:t>
      </w:r>
      <w:r>
        <w:rPr>
          <w:rFonts w:hint="eastAsia" w:ascii="仿宋" w:hAnsi="仿宋" w:eastAsia="仿宋"/>
          <w:sz w:val="32"/>
          <w:szCs w:val="32"/>
          <w:lang w:eastAsia="zh-CN"/>
        </w:rPr>
        <w:t>、职工基本医疗缴费、</w:t>
      </w:r>
      <w:r>
        <w:rPr>
          <w:rFonts w:hint="eastAsia" w:ascii="仿宋" w:hAnsi="仿宋" w:eastAsia="仿宋"/>
          <w:sz w:val="32"/>
          <w:szCs w:val="32"/>
        </w:rPr>
        <w:t>其他社会保障缴费、</w:t>
      </w:r>
      <w:r>
        <w:rPr>
          <w:rFonts w:hint="eastAsia" w:ascii="仿宋" w:hAnsi="仿宋" w:eastAsia="仿宋"/>
          <w:sz w:val="32"/>
          <w:szCs w:val="32"/>
          <w:lang w:eastAsia="zh-CN"/>
        </w:rPr>
        <w:t>住房公积金、</w:t>
      </w:r>
      <w:r>
        <w:rPr>
          <w:rFonts w:hint="eastAsia" w:ascii="仿宋" w:hAnsi="仿宋" w:eastAsia="仿宋"/>
          <w:sz w:val="32"/>
          <w:szCs w:val="32"/>
        </w:rPr>
        <w:t>其他工资福利支出、生活补助等。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18.53</w:t>
      </w:r>
      <w:r>
        <w:rPr>
          <w:rFonts w:hint="eastAsia" w:ascii="仿宋" w:hAnsi="仿宋" w:eastAsia="仿宋"/>
          <w:sz w:val="32"/>
          <w:szCs w:val="32"/>
        </w:rPr>
        <w:t>万元，主要包括：办公费、印刷费、水费、电费、邮电费、物业管理费、差旅费、维修（护）费、培训费、公务接待费、劳务费、福利费、其他商品和服务支</w:t>
      </w:r>
      <w:r>
        <w:rPr>
          <w:rFonts w:hint="eastAsia" w:ascii="仿宋" w:hAnsi="仿宋" w:eastAsia="仿宋"/>
          <w:sz w:val="32"/>
          <w:szCs w:val="32"/>
          <w:lang w:eastAsia="zh-CN"/>
        </w:rPr>
        <w:t>出</w:t>
      </w:r>
      <w:r>
        <w:rPr>
          <w:rFonts w:hint="eastAsia" w:ascii="仿宋" w:hAnsi="仿宋" w:eastAsia="仿宋"/>
          <w:sz w:val="32"/>
          <w:szCs w:val="32"/>
        </w:rPr>
        <w:t>等。</w:t>
      </w:r>
    </w:p>
    <w:p>
      <w:pPr>
        <w:spacing w:line="600" w:lineRule="exact"/>
        <w:ind w:firstLine="645"/>
        <w:rPr>
          <w:rFonts w:hint="eastAsia"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pStyle w:val="11"/>
      </w:pPr>
    </w:p>
    <w:p>
      <w:pPr>
        <w:spacing w:line="600" w:lineRule="exact"/>
        <w:ind w:firstLine="640"/>
        <w:outlineLvl w:val="1"/>
        <w:rPr>
          <w:rStyle w:val="16"/>
          <w:rFonts w:ascii="黑体" w:hAnsi="黑体" w:eastAsia="黑体"/>
          <w:b w:val="0"/>
        </w:rPr>
      </w:pPr>
      <w:bookmarkStart w:id="36" w:name="_Toc15396609"/>
      <w:bookmarkStart w:id="37" w:name="_Toc15377215"/>
      <w:r>
        <w:rPr>
          <w:rFonts w:hint="eastAsia" w:ascii="黑体" w:hAnsi="黑体" w:eastAsia="黑体" w:cs="黑体"/>
          <w:b/>
          <w:bCs/>
          <w:kern w:val="2"/>
          <w:sz w:val="32"/>
          <w:szCs w:val="32"/>
          <w:lang w:val="en-US" w:eastAsia="zh-CN" w:bidi="ar-SA"/>
        </w:rPr>
        <w:t>七、财政拨款“三公”经费支出决算情况说明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w:t>
      </w:r>
      <w:r>
        <w:rPr>
          <w:rFonts w:hint="eastAsia" w:ascii="仿宋" w:hAnsi="仿宋" w:eastAsia="仿宋"/>
          <w:sz w:val="32"/>
          <w:szCs w:val="32"/>
          <w:lang w:val="en-US" w:eastAsia="zh-CN"/>
        </w:rPr>
        <w:t>增加0.03</w:t>
      </w:r>
      <w:r>
        <w:rPr>
          <w:rFonts w:hint="eastAsia" w:ascii="仿宋" w:hAnsi="仿宋" w:eastAsia="仿宋"/>
          <w:sz w:val="32"/>
          <w:szCs w:val="32"/>
        </w:rPr>
        <w:t>万元，</w:t>
      </w:r>
      <w:r>
        <w:rPr>
          <w:rFonts w:hint="eastAsia" w:ascii="仿宋" w:hAnsi="仿宋" w:eastAsia="仿宋"/>
          <w:sz w:val="32"/>
          <w:szCs w:val="32"/>
          <w:lang w:val="en-US" w:eastAsia="zh-CN"/>
        </w:rPr>
        <w:t>上涨8.57</w:t>
      </w:r>
      <w:r>
        <w:rPr>
          <w:rFonts w:hint="eastAsia" w:ascii="仿宋" w:hAnsi="仿宋" w:eastAsia="仿宋"/>
          <w:sz w:val="32"/>
          <w:szCs w:val="32"/>
        </w:rPr>
        <w:t>%。决算数</w:t>
      </w:r>
      <w:r>
        <w:rPr>
          <w:rFonts w:hint="eastAsia" w:ascii="仿宋" w:hAnsi="仿宋" w:eastAsia="仿宋"/>
          <w:sz w:val="32"/>
          <w:szCs w:val="32"/>
          <w:lang w:val="en-US" w:eastAsia="zh-CN"/>
        </w:rPr>
        <w:t>等</w:t>
      </w:r>
      <w:r>
        <w:rPr>
          <w:rFonts w:hint="eastAsia" w:ascii="仿宋" w:hAnsi="仿宋" w:eastAsia="仿宋"/>
          <w:sz w:val="32"/>
          <w:szCs w:val="32"/>
        </w:rPr>
        <w:t>于预算数。</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11"/>
        <w:ind w:left="0" w:leftChars="0" w:firstLine="0" w:firstLineChars="0"/>
        <w:jc w:val="left"/>
        <w:rPr>
          <w:rFonts w:hint="eastAsia" w:eastAsia="宋体"/>
          <w:lang w:eastAsia="zh-CN"/>
        </w:rPr>
      </w:pPr>
      <w:r>
        <w:rPr>
          <w:rFonts w:hint="eastAsia" w:eastAsia="宋体"/>
          <w:lang w:eastAsia="zh-CN"/>
        </w:rPr>
        <w:drawing>
          <wp:inline distT="0" distB="0" distL="114300" distR="114300">
            <wp:extent cx="5273675" cy="3314065"/>
            <wp:effectExtent l="0" t="0" r="14605" b="8255"/>
            <wp:docPr id="25" name="图片 25" descr="图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图7"/>
                    <pic:cNvPicPr>
                      <a:picLocks noChangeAspect="1"/>
                    </pic:cNvPicPr>
                  </pic:nvPicPr>
                  <pic:blipFill>
                    <a:blip r:embed="rId12"/>
                    <a:stretch>
                      <a:fillRect/>
                    </a:stretch>
                  </pic:blipFill>
                  <pic:spPr>
                    <a:xfrm>
                      <a:off x="0" y="0"/>
                      <a:ext cx="5273675" cy="3314065"/>
                    </a:xfrm>
                    <a:prstGeom prst="rect">
                      <a:avLst/>
                    </a:prstGeom>
                  </pic:spPr>
                </pic:pic>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开支内容包括：…（团组名称、出访地点、取得成效）等。</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万元，主要用于…。截至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增加0.03</w:t>
      </w:r>
      <w:r>
        <w:rPr>
          <w:rFonts w:hint="eastAsia" w:ascii="仿宋_GB2312" w:eastAsia="仿宋_GB2312"/>
          <w:sz w:val="32"/>
          <w:szCs w:val="32"/>
        </w:rPr>
        <w:t>万元，</w:t>
      </w:r>
      <w:r>
        <w:rPr>
          <w:rFonts w:hint="eastAsia" w:ascii="仿宋_GB2312" w:eastAsia="仿宋_GB2312"/>
          <w:sz w:val="32"/>
          <w:szCs w:val="32"/>
          <w:lang w:val="en-US" w:eastAsia="zh-CN"/>
        </w:rPr>
        <w:t>上涨8.57</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预算增加</w:t>
      </w:r>
      <w:r>
        <w:rPr>
          <w:rFonts w:hint="eastAsia" w:ascii="仿宋_GB2312" w:eastAsia="仿宋_GB2312"/>
          <w:sz w:val="32"/>
          <w:szCs w:val="32"/>
        </w:rPr>
        <w:t>。其中：</w:t>
      </w:r>
    </w:p>
    <w:p>
      <w:pPr>
        <w:spacing w:line="600" w:lineRule="exact"/>
        <w:ind w:firstLine="640"/>
        <w:rPr>
          <w:rFonts w:hint="default" w:ascii="仿宋_GB2312" w:eastAsia="仿宋_GB2312"/>
          <w:sz w:val="32"/>
          <w:szCs w:val="32"/>
          <w:lang w:val="en-US"/>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万元，主要用于</w:t>
      </w:r>
      <w:r>
        <w:rPr>
          <w:rFonts w:hint="eastAsia" w:ascii="仿宋_GB2312" w:eastAsia="仿宋_GB2312"/>
          <w:sz w:val="32"/>
          <w:szCs w:val="32"/>
          <w:lang w:val="en-US" w:eastAsia="zh-CN"/>
        </w:rPr>
        <w:t>教育教学</w:t>
      </w:r>
      <w:r>
        <w:rPr>
          <w:rFonts w:hint="eastAsia" w:ascii="仿宋_GB2312" w:eastAsia="仿宋_GB2312"/>
          <w:sz w:val="32"/>
          <w:szCs w:val="32"/>
        </w:rPr>
        <w:t>开展业务活动开支的交通费、住宿费、用餐费等。国内公务接待</w:t>
      </w:r>
      <w:r>
        <w:rPr>
          <w:rFonts w:hint="eastAsia" w:ascii="仿宋_GB2312" w:eastAsia="仿宋_GB2312"/>
          <w:sz w:val="32"/>
          <w:szCs w:val="32"/>
          <w:lang w:val="en-US" w:eastAsia="zh-CN"/>
        </w:rPr>
        <w:t>7</w:t>
      </w:r>
      <w:r>
        <w:rPr>
          <w:rFonts w:hint="eastAsia" w:ascii="仿宋_GB2312" w:eastAsia="仿宋_GB2312"/>
          <w:sz w:val="32"/>
          <w:szCs w:val="32"/>
        </w:rPr>
        <w:t>批次，</w:t>
      </w:r>
      <w:r>
        <w:rPr>
          <w:rFonts w:hint="eastAsia" w:ascii="仿宋_GB2312" w:eastAsia="仿宋_GB2312"/>
          <w:sz w:val="32"/>
          <w:szCs w:val="32"/>
          <w:lang w:val="en-US" w:eastAsia="zh-CN"/>
        </w:rPr>
        <w:t>58</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0.38</w:t>
      </w:r>
      <w:r>
        <w:rPr>
          <w:rFonts w:hint="eastAsia" w:ascii="仿宋_GB2312" w:eastAsia="仿宋_GB2312"/>
          <w:sz w:val="32"/>
          <w:szCs w:val="32"/>
        </w:rPr>
        <w:t>万元，具体内容包括：</w:t>
      </w:r>
      <w:r>
        <w:rPr>
          <w:rFonts w:hint="eastAsia" w:ascii="仿宋_GB2312" w:eastAsia="仿宋_GB2312"/>
          <w:sz w:val="32"/>
          <w:szCs w:val="32"/>
          <w:lang w:val="en-US" w:eastAsia="zh-CN"/>
        </w:rPr>
        <w:t>校际间业务交流7批次，58人次餐饮费共计金额3800.00元。</w:t>
      </w:r>
    </w:p>
    <w:p>
      <w:pPr>
        <w:spacing w:line="600" w:lineRule="exact"/>
        <w:ind w:firstLine="643" w:firstLineChars="200"/>
        <w:rPr>
          <w:rFonts w:hint="eastAsia"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Style w:val="11"/>
      </w:pPr>
    </w:p>
    <w:p>
      <w:pPr>
        <w:spacing w:line="600" w:lineRule="exact"/>
        <w:ind w:firstLine="640"/>
        <w:outlineLvl w:val="1"/>
        <w:rPr>
          <w:rFonts w:hint="eastAsia" w:ascii="黑体" w:hAnsi="黑体" w:eastAsia="黑体" w:cs="黑体"/>
          <w:b/>
          <w:bCs/>
          <w:kern w:val="2"/>
          <w:sz w:val="32"/>
          <w:szCs w:val="32"/>
          <w:lang w:val="en-US" w:eastAsia="zh-CN" w:bidi="ar-SA"/>
        </w:rPr>
      </w:pPr>
      <w:bookmarkStart w:id="40" w:name="_Toc15396610"/>
      <w:bookmarkStart w:id="41" w:name="_Toc15377218"/>
      <w:r>
        <w:rPr>
          <w:rFonts w:hint="eastAsia" w:ascii="黑体" w:hAnsi="黑体" w:eastAsia="黑体" w:cs="黑体"/>
          <w:b/>
          <w:bCs/>
          <w:kern w:val="2"/>
          <w:sz w:val="32"/>
          <w:szCs w:val="32"/>
          <w:lang w:val="en-US" w:eastAsia="zh-CN" w:bidi="ar-SA"/>
        </w:rPr>
        <w:t>八、政府性基金预算支出决算情况说明</w:t>
      </w:r>
      <w:bookmarkEnd w:id="40"/>
      <w:bookmarkEnd w:id="41"/>
    </w:p>
    <w:p>
      <w:pPr>
        <w:spacing w:line="600" w:lineRule="exact"/>
        <w:ind w:firstLine="64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w:t>
      </w:r>
      <w:r>
        <w:rPr>
          <w:rFonts w:hint="eastAsia" w:ascii="仿宋_GB2312" w:eastAsia="仿宋_GB2312"/>
          <w:sz w:val="32"/>
          <w:szCs w:val="32"/>
        </w:rPr>
        <w:t>万元。</w:t>
      </w:r>
    </w:p>
    <w:p>
      <w:pPr>
        <w:pStyle w:val="11"/>
      </w:pPr>
    </w:p>
    <w:p>
      <w:pPr>
        <w:spacing w:line="600" w:lineRule="exact"/>
        <w:ind w:firstLine="640"/>
        <w:outlineLvl w:val="1"/>
        <w:rPr>
          <w:rFonts w:hint="eastAsia" w:ascii="黑体" w:hAnsi="黑体" w:eastAsia="黑体" w:cs="黑体"/>
          <w:b/>
          <w:bCs/>
          <w:kern w:val="2"/>
          <w:sz w:val="32"/>
          <w:szCs w:val="32"/>
          <w:lang w:val="en-US" w:eastAsia="zh-CN" w:bidi="ar-SA"/>
        </w:rPr>
      </w:pPr>
      <w:bookmarkStart w:id="42" w:name="_Toc15377219"/>
      <w:bookmarkStart w:id="43" w:name="_Toc15396611"/>
      <w:r>
        <w:rPr>
          <w:rFonts w:hint="eastAsia" w:ascii="黑体" w:hAnsi="黑体" w:eastAsia="黑体" w:cs="黑体"/>
          <w:b/>
          <w:bCs/>
          <w:kern w:val="2"/>
          <w:sz w:val="32"/>
          <w:szCs w:val="32"/>
          <w:lang w:val="en-US" w:eastAsia="zh-CN" w:bidi="ar-SA"/>
        </w:rPr>
        <w:t>九、国有资本经营预算支出决算情况说明</w:t>
      </w:r>
      <w:bookmarkEnd w:id="42"/>
      <w:bookmarkEnd w:id="43"/>
    </w:p>
    <w:p>
      <w:pPr>
        <w:spacing w:line="600" w:lineRule="exact"/>
        <w:ind w:firstLine="64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Style w:val="11"/>
      </w:pPr>
    </w:p>
    <w:p>
      <w:pPr>
        <w:spacing w:line="600" w:lineRule="exact"/>
        <w:ind w:firstLine="640"/>
        <w:outlineLvl w:val="1"/>
        <w:rPr>
          <w:rFonts w:hint="eastAsia" w:ascii="黑体" w:hAnsi="黑体" w:eastAsia="黑体" w:cs="黑体"/>
          <w:b/>
          <w:bCs/>
          <w:kern w:val="2"/>
          <w:sz w:val="32"/>
          <w:szCs w:val="32"/>
          <w:lang w:val="en-US" w:eastAsia="zh-CN" w:bidi="ar-SA"/>
        </w:rPr>
      </w:pPr>
      <w:bookmarkStart w:id="44" w:name="_Toc15377221"/>
      <w:bookmarkStart w:id="45" w:name="_Toc15396612"/>
      <w:r>
        <w:rPr>
          <w:rFonts w:hint="eastAsia" w:ascii="黑体" w:hAnsi="黑体" w:eastAsia="黑体" w:cs="黑体"/>
          <w:b/>
          <w:bCs/>
          <w:kern w:val="2"/>
          <w:sz w:val="32"/>
          <w:szCs w:val="32"/>
          <w:lang w:val="en-US" w:eastAsia="zh-CN" w:bidi="ar-SA"/>
        </w:rPr>
        <w:t>十、其他重要事项的情况说明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剑阁县抄手小学校</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万元，与</w:t>
      </w:r>
      <w:r>
        <w:rPr>
          <w:rFonts w:ascii="仿宋_GB2312" w:eastAsia="仿宋_GB2312"/>
          <w:sz w:val="32"/>
          <w:szCs w:val="32"/>
        </w:rPr>
        <w:t>20</w:t>
      </w:r>
      <w:r>
        <w:rPr>
          <w:rFonts w:hint="eastAsia" w:ascii="仿宋_GB2312" w:eastAsia="仿宋_GB2312"/>
          <w:sz w:val="32"/>
          <w:szCs w:val="32"/>
        </w:rPr>
        <w:t>21年决算数持平。</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剑阁县抄手小学校</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剑阁县抄手小学校</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eastAsia="zh-CN"/>
        </w:rPr>
        <w:t>贫困寄宿生生活补助</w:t>
      </w:r>
      <w:r>
        <w:rPr>
          <w:rFonts w:hint="eastAsia" w:hAnsi="仿宋_GB2312" w:cs="仿宋_GB2312"/>
          <w:sz w:val="32"/>
          <w:szCs w:val="32"/>
        </w:rPr>
        <w:t>项目等</w:t>
      </w:r>
      <w:r>
        <w:rPr>
          <w:rFonts w:hint="eastAsia" w:hAnsi="仿宋_GB2312" w:cs="仿宋_GB2312"/>
          <w:sz w:val="32"/>
          <w:szCs w:val="32"/>
          <w:lang w:val="en-US" w:eastAsia="zh-CN"/>
        </w:rPr>
        <w:t>17</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17</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17</w:t>
      </w:r>
      <w:r>
        <w:rPr>
          <w:rFonts w:hint="eastAsia" w:hAnsi="仿宋_GB2312" w:cs="仿宋_GB2312"/>
          <w:sz w:val="32"/>
          <w:szCs w:val="32"/>
        </w:rPr>
        <w:t>个项目开展绩效监控，组织对</w:t>
      </w:r>
      <w:r>
        <w:rPr>
          <w:rFonts w:hint="eastAsia" w:hAnsi="仿宋_GB2312" w:cs="仿宋_GB2312"/>
          <w:sz w:val="32"/>
          <w:szCs w:val="32"/>
          <w:lang w:val="en-US" w:eastAsia="zh-CN"/>
        </w:rPr>
        <w:t>7</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2"/>
        </w:numPr>
        <w:spacing w:line="600" w:lineRule="exact"/>
        <w:ind w:firstLine="660" w:firstLineChars="150"/>
        <w:jc w:val="center"/>
        <w:outlineLvl w:val="0"/>
        <w:rPr>
          <w:rStyle w:val="15"/>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15"/>
          <w:rFonts w:hint="eastAsia" w:ascii="黑体" w:hAnsi="黑体" w:eastAsia="黑体"/>
          <w:b w:val="0"/>
        </w:rPr>
        <w:t>词解释</w:t>
      </w:r>
      <w:bookmarkEnd w:id="49"/>
      <w:bookmarkEnd w:id="50"/>
    </w:p>
    <w:p>
      <w:pPr>
        <w:spacing w:line="600" w:lineRule="exact"/>
        <w:jc w:val="left"/>
        <w:rPr>
          <w:rFonts w:ascii="宋体"/>
          <w:b/>
          <w:sz w:val="44"/>
          <w:szCs w:val="44"/>
        </w:rPr>
      </w:pPr>
    </w:p>
    <w:p>
      <w:pPr>
        <w:pStyle w:val="18"/>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1.财政拨款收入：指单位从同级财政部门取得的财政预算资金。</w:t>
      </w:r>
    </w:p>
    <w:p>
      <w:pPr>
        <w:pStyle w:val="18"/>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2.事业收入：指事业单位开展专业业务活动及辅助活动取得的收入等。</w:t>
      </w:r>
    </w:p>
    <w:p>
      <w:pPr>
        <w:pStyle w:val="18"/>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 xml:space="preserve">.其他收入：指单位取得的除上述收入以外的各项收入。  </w:t>
      </w:r>
    </w:p>
    <w:p>
      <w:pPr>
        <w:pStyle w:val="18"/>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 xml:space="preserve">.年初结转和结余：指以前年度尚未完成、结转到本年按有关规定继续使用的资金。 </w:t>
      </w:r>
    </w:p>
    <w:p>
      <w:pPr>
        <w:pageBreakBefore w:val="0"/>
        <w:kinsoku/>
        <w:wordWrap/>
        <w:topLinePunct w:val="0"/>
        <w:bidi w:val="0"/>
        <w:adjustRightInd w:val="0"/>
        <w:snapToGrid w:val="0"/>
        <w:spacing w:line="240" w:lineRule="auto"/>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.教育（类）普通教育（款）学前教育（项）：指本单位学前教育支出。</w:t>
      </w:r>
    </w:p>
    <w:p>
      <w:pPr>
        <w:pageBreakBefore w:val="0"/>
        <w:kinsoku/>
        <w:wordWrap/>
        <w:topLinePunct w:val="0"/>
        <w:bidi w:val="0"/>
        <w:adjustRightInd w:val="0"/>
        <w:snapToGrid w:val="0"/>
        <w:spacing w:line="240" w:lineRule="auto"/>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.教育（类）普通教育（款）小学教育（项）：指本单位小学教育支出。</w:t>
      </w:r>
    </w:p>
    <w:p>
      <w:pPr>
        <w:pageBreakBefore w:val="0"/>
        <w:kinsoku/>
        <w:wordWrap/>
        <w:topLinePunct w:val="0"/>
        <w:bidi w:val="0"/>
        <w:adjustRightInd w:val="0"/>
        <w:snapToGrid w:val="0"/>
        <w:spacing w:line="240" w:lineRule="auto"/>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.社会保障和就业（类）行政事业单位离退休（款）机关事业单位基本养老保险缴费支出（项）：指机关事业单位实施养老保险制度由单位缴纳的基本养老保险费的支出。</w:t>
      </w:r>
    </w:p>
    <w:p>
      <w:pPr>
        <w:pageBreakBefore w:val="0"/>
        <w:kinsoku/>
        <w:wordWrap/>
        <w:topLinePunct w:val="0"/>
        <w:bidi w:val="0"/>
        <w:adjustRightInd w:val="0"/>
        <w:snapToGrid w:val="0"/>
        <w:spacing w:line="240" w:lineRule="auto"/>
        <w:ind w:firstLine="640" w:firstLineChars="200"/>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.医疗卫生与计划生育（类）行政事业单位医疗（款）事业单位医疗（项）：指财政部门集中安排的行政单位基本医疗保险缴费经费</w:t>
      </w:r>
      <w:r>
        <w:rPr>
          <w:rFonts w:hint="eastAsia" w:ascii="仿宋_GB2312" w:hAnsi="仿宋_GB2312" w:eastAsia="仿宋_GB2312" w:cs="仿宋_GB2312"/>
          <w:color w:val="000000"/>
          <w:sz w:val="32"/>
          <w:szCs w:val="32"/>
          <w:lang w:eastAsia="zh-CN"/>
        </w:rPr>
        <w:t>。</w:t>
      </w:r>
    </w:p>
    <w:p>
      <w:pPr>
        <w:ind w:firstLine="64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.住房保障（类）住房改革支出（款）住房公积金（项）：指本单位按人力资源和社会保障部、财政部规定的基本工资和津贴补贴以及规定比例为职工缴纳的住房公积金。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1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8"/>
        <w:spacing w:line="560" w:lineRule="exact"/>
        <w:ind w:firstLine="640" w:firstLineChars="200"/>
        <w:rPr>
          <w:rFonts w:ascii="仿宋_GB2312" w:eastAsia="仿宋_GB2312" w:cs="黑体"/>
          <w:color w:val="auto"/>
          <w:sz w:val="32"/>
          <w:szCs w:val="32"/>
        </w:rPr>
      </w:pPr>
    </w:p>
    <w:p>
      <w:pPr>
        <w:spacing w:line="600" w:lineRule="exact"/>
        <w:jc w:val="center"/>
        <w:outlineLvl w:val="0"/>
        <w:rPr>
          <w:rFonts w:hint="eastAsia" w:ascii="黑体" w:hAnsi="黑体" w:eastAsia="黑体"/>
          <w:sz w:val="44"/>
          <w:szCs w:val="44"/>
        </w:rPr>
      </w:pPr>
      <w:bookmarkStart w:id="51" w:name="_Toc15396614"/>
      <w:bookmarkStart w:id="52" w:name="_Toc15377226"/>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Style w:val="15"/>
          <w:rFonts w:ascii="黑体" w:hAnsi="黑体" w:eastAsia="黑体"/>
          <w:b w:val="0"/>
        </w:rPr>
      </w:pPr>
      <w:r>
        <w:rPr>
          <w:rFonts w:hint="eastAsia" w:ascii="黑体" w:hAnsi="黑体" w:eastAsia="黑体"/>
          <w:sz w:val="44"/>
          <w:szCs w:val="44"/>
        </w:rPr>
        <w:t>第</w:t>
      </w:r>
      <w:r>
        <w:rPr>
          <w:rStyle w:val="15"/>
          <w:rFonts w:hint="eastAsia" w:ascii="黑体" w:hAnsi="黑体" w:eastAsia="黑体"/>
          <w:b w:val="0"/>
        </w:rPr>
        <w:t>四部分 附件</w:t>
      </w:r>
      <w:bookmarkEnd w:id="51"/>
    </w:p>
    <w:p>
      <w:pPr>
        <w:spacing w:line="572" w:lineRule="exact"/>
        <w:jc w:val="left"/>
        <w:outlineLvl w:val="0"/>
        <w:rPr>
          <w:rFonts w:ascii="仿宋_GB2312" w:hAnsi="仿宋_GB2312" w:eastAsia="仿宋_GB2312" w:cs="仿宋_GB2312"/>
          <w:sz w:val="32"/>
          <w:szCs w:val="32"/>
        </w:rPr>
      </w:pPr>
    </w:p>
    <w:p>
      <w:pPr>
        <w:spacing w:line="572" w:lineRule="exact"/>
        <w:jc w:val="left"/>
        <w:outlineLvl w:val="0"/>
        <w:rPr>
          <w:rFonts w:ascii="仿宋_GB2312" w:hAnsi="仿宋_GB2312" w:eastAsia="仿宋_GB2312" w:cs="仿宋_GB2312"/>
          <w:sz w:val="32"/>
          <w:szCs w:val="32"/>
        </w:rPr>
      </w:pPr>
      <w:bookmarkStart w:id="53" w:name="_Toc15396618"/>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09"/>
        <w:gridCol w:w="1204"/>
        <w:gridCol w:w="396"/>
        <w:gridCol w:w="849"/>
        <w:gridCol w:w="396"/>
        <w:gridCol w:w="846"/>
        <w:gridCol w:w="486"/>
        <w:gridCol w:w="397"/>
        <w:gridCol w:w="1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51082322T000005310767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幼儿资助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剑阁县抄手小学校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09"/>
        <w:gridCol w:w="1204"/>
        <w:gridCol w:w="396"/>
        <w:gridCol w:w="849"/>
        <w:gridCol w:w="396"/>
        <w:gridCol w:w="846"/>
        <w:gridCol w:w="486"/>
        <w:gridCol w:w="397"/>
        <w:gridCol w:w="1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51082322T000005306788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剑阁县抄手小学校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2"/>
        <w:rPr>
          <w:rFonts w:hint="eastAsia" w:ascii="宋体" w:hAnsi="宋体" w:cs="宋体"/>
          <w:kern w:val="0"/>
          <w:sz w:val="32"/>
          <w:szCs w:val="32"/>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09"/>
        <w:gridCol w:w="1204"/>
        <w:gridCol w:w="396"/>
        <w:gridCol w:w="849"/>
        <w:gridCol w:w="396"/>
        <w:gridCol w:w="846"/>
        <w:gridCol w:w="486"/>
        <w:gridCol w:w="397"/>
        <w:gridCol w:w="1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51082322T000005306905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贫困非寄宿生生活补助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剑阁县抄手小学校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0.25</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0.25</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37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2"/>
        <w:rPr>
          <w:rFonts w:hint="eastAsia" w:ascii="宋体" w:hAnsi="宋体" w:cs="宋体"/>
          <w:kern w:val="0"/>
          <w:sz w:val="32"/>
          <w:szCs w:val="32"/>
        </w:rPr>
      </w:pPr>
    </w:p>
    <w:p>
      <w:pPr>
        <w:pStyle w:val="2"/>
        <w:rPr>
          <w:rFonts w:hint="eastAsia" w:ascii="宋体" w:hAnsi="宋体" w:cs="宋体"/>
          <w:kern w:val="0"/>
          <w:sz w:val="32"/>
          <w:szCs w:val="32"/>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96"/>
        <w:gridCol w:w="927"/>
        <w:gridCol w:w="1222"/>
        <w:gridCol w:w="396"/>
        <w:gridCol w:w="867"/>
        <w:gridCol w:w="396"/>
        <w:gridCol w:w="756"/>
        <w:gridCol w:w="486"/>
        <w:gridCol w:w="397"/>
        <w:gridCol w:w="1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51082322T000005306045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剑阁县抄手小学校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49.33%</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0.39</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49.33%</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p>
      <w:pPr>
        <w:pStyle w:val="2"/>
        <w:rPr>
          <w:rFonts w:hint="eastAsia" w:ascii="宋体" w:hAnsi="宋体" w:cs="宋体"/>
          <w:kern w:val="0"/>
          <w:sz w:val="32"/>
          <w:szCs w:val="32"/>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14"/>
        <w:gridCol w:w="945"/>
        <w:gridCol w:w="1240"/>
        <w:gridCol w:w="396"/>
        <w:gridCol w:w="885"/>
        <w:gridCol w:w="396"/>
        <w:gridCol w:w="666"/>
        <w:gridCol w:w="486"/>
        <w:gridCol w:w="397"/>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51082322T000005305443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农村校舍安全保障长效机制补助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剑阁县抄手小学校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numPr>
          <w:ilvl w:val="0"/>
          <w:numId w:val="0"/>
        </w:numPr>
        <w:spacing w:line="600" w:lineRule="exact"/>
        <w:jc w:val="center"/>
        <w:outlineLvl w:val="0"/>
        <w:rPr>
          <w:rStyle w:val="15"/>
          <w:rFonts w:hint="eastAsia" w:ascii="黑体" w:hAnsi="黑体" w:eastAsia="黑体"/>
          <w:b w:val="0"/>
          <w:lang w:val="en-US" w:eastAsia="zh-CN"/>
        </w:rPr>
      </w:pPr>
    </w:p>
    <w:p>
      <w:pPr>
        <w:numPr>
          <w:ilvl w:val="0"/>
          <w:numId w:val="0"/>
        </w:numPr>
        <w:spacing w:line="600" w:lineRule="exact"/>
        <w:jc w:val="center"/>
        <w:outlineLvl w:val="0"/>
        <w:rPr>
          <w:rStyle w:val="15"/>
          <w:rFonts w:hint="eastAsia" w:ascii="黑体" w:hAnsi="黑体" w:eastAsia="黑体"/>
          <w:b w:val="0"/>
          <w:lang w:val="en-US" w:eastAsia="zh-CN"/>
        </w:rPr>
      </w:pPr>
    </w:p>
    <w:p>
      <w:pPr>
        <w:numPr>
          <w:ilvl w:val="0"/>
          <w:numId w:val="0"/>
        </w:numPr>
        <w:spacing w:line="600" w:lineRule="exact"/>
        <w:jc w:val="center"/>
        <w:outlineLvl w:val="0"/>
        <w:rPr>
          <w:rStyle w:val="15"/>
          <w:rFonts w:hint="eastAsia" w:ascii="黑体" w:hAnsi="黑体" w:eastAsia="黑体"/>
          <w:b w:val="0"/>
          <w:lang w:val="en-US" w:eastAsia="zh-CN"/>
        </w:rPr>
      </w:pPr>
    </w:p>
    <w:p>
      <w:pPr>
        <w:numPr>
          <w:ilvl w:val="0"/>
          <w:numId w:val="0"/>
        </w:numPr>
        <w:spacing w:line="600" w:lineRule="exact"/>
        <w:jc w:val="center"/>
        <w:outlineLvl w:val="0"/>
        <w:rPr>
          <w:rStyle w:val="15"/>
          <w:rFonts w:hint="eastAsia" w:ascii="黑体" w:hAnsi="黑体" w:eastAsia="黑体"/>
          <w:b w:val="0"/>
          <w:lang w:val="en-US" w:eastAsia="zh-CN"/>
        </w:rPr>
      </w:pPr>
    </w:p>
    <w:p>
      <w:pPr>
        <w:numPr>
          <w:ilvl w:val="0"/>
          <w:numId w:val="0"/>
        </w:numPr>
        <w:spacing w:line="600" w:lineRule="exact"/>
        <w:jc w:val="center"/>
        <w:outlineLvl w:val="0"/>
        <w:rPr>
          <w:rStyle w:val="15"/>
          <w:rFonts w:hint="eastAsia" w:ascii="黑体" w:hAnsi="黑体" w:eastAsia="黑体"/>
          <w:b w:val="0"/>
          <w:lang w:val="en-US" w:eastAsia="zh-CN"/>
        </w:rPr>
      </w:pPr>
    </w:p>
    <w:p>
      <w:pPr>
        <w:numPr>
          <w:ilvl w:val="0"/>
          <w:numId w:val="0"/>
        </w:numPr>
        <w:spacing w:line="600" w:lineRule="exact"/>
        <w:jc w:val="center"/>
        <w:outlineLvl w:val="0"/>
        <w:rPr>
          <w:rStyle w:val="15"/>
          <w:rFonts w:hint="eastAsia" w:ascii="黑体" w:hAnsi="黑体" w:eastAsia="黑体"/>
          <w:b w:val="0"/>
          <w:lang w:val="en-US" w:eastAsia="zh-CN"/>
        </w:rPr>
      </w:pPr>
    </w:p>
    <w:p>
      <w:pPr>
        <w:numPr>
          <w:ilvl w:val="0"/>
          <w:numId w:val="0"/>
        </w:numPr>
        <w:spacing w:line="600" w:lineRule="exact"/>
        <w:jc w:val="center"/>
        <w:outlineLvl w:val="0"/>
        <w:rPr>
          <w:rStyle w:val="15"/>
          <w:rFonts w:hint="eastAsia" w:ascii="黑体" w:hAnsi="黑体" w:eastAsia="黑体"/>
          <w:b w:val="0"/>
        </w:rPr>
      </w:pPr>
      <w:r>
        <w:rPr>
          <w:rStyle w:val="15"/>
          <w:rFonts w:hint="eastAsia" w:ascii="黑体" w:hAnsi="黑体" w:eastAsia="黑体"/>
          <w:b w:val="0"/>
          <w:lang w:val="en-US" w:eastAsia="zh-CN"/>
        </w:rPr>
        <w:t xml:space="preserve">五部分 </w:t>
      </w:r>
      <w:r>
        <w:rPr>
          <w:rStyle w:val="15"/>
          <w:rFonts w:hint="eastAsia" w:ascii="黑体" w:hAnsi="黑体" w:eastAsia="黑体"/>
          <w:b w:val="0"/>
        </w:rPr>
        <w:t>附表</w:t>
      </w:r>
      <w:bookmarkEnd w:id="52"/>
      <w:bookmarkEnd w:id="53"/>
      <w:bookmarkStart w:id="54" w:name="_Toc15396619"/>
    </w:p>
    <w:p>
      <w:pPr>
        <w:numPr>
          <w:ilvl w:val="0"/>
          <w:numId w:val="0"/>
        </w:numPr>
        <w:spacing w:line="600" w:lineRule="exact"/>
        <w:ind w:leftChars="150"/>
        <w:jc w:val="both"/>
        <w:outlineLvl w:val="0"/>
        <w:rPr>
          <w:rFonts w:ascii="仿宋" w:hAnsi="仿宋" w:eastAsia="仿宋"/>
        </w:rPr>
      </w:pPr>
    </w:p>
    <w:p>
      <w:pPr>
        <w:numPr>
          <w:ilvl w:val="0"/>
          <w:numId w:val="0"/>
        </w:numPr>
        <w:spacing w:line="600" w:lineRule="exact"/>
        <w:ind w:leftChars="150"/>
        <w:jc w:val="both"/>
        <w:outlineLvl w:val="0"/>
        <w:rPr>
          <w:rFonts w:ascii="仿宋" w:hAnsi="仿宋" w:eastAsia="仿宋"/>
        </w:rPr>
      </w:pPr>
    </w:p>
    <w:p>
      <w:pPr>
        <w:numPr>
          <w:ilvl w:val="0"/>
          <w:numId w:val="0"/>
        </w:numPr>
        <w:spacing w:line="600" w:lineRule="exact"/>
        <w:jc w:val="both"/>
        <w:outlineLvl w:val="0"/>
        <w:rPr>
          <w:rFonts w:ascii="仿宋" w:hAnsi="仿宋" w:eastAsia="仿宋"/>
          <w:sz w:val="32"/>
          <w:szCs w:val="32"/>
        </w:rPr>
      </w:pPr>
      <w:r>
        <w:rPr>
          <w:rFonts w:hint="eastAsia" w:ascii="仿宋" w:hAnsi="仿宋" w:eastAsia="仿宋"/>
          <w:b w:val="0"/>
          <w:sz w:val="32"/>
          <w:szCs w:val="32"/>
        </w:rPr>
        <w:t>一、收</w:t>
      </w:r>
      <w:r>
        <w:rPr>
          <w:rStyle w:val="16"/>
          <w:rFonts w:hint="eastAsia" w:ascii="仿宋" w:hAnsi="仿宋" w:eastAsia="仿宋"/>
          <w:b w:val="0"/>
          <w:bCs w:val="0"/>
          <w:sz w:val="32"/>
          <w:szCs w:val="32"/>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16"/>
          <w:rFonts w:hint="eastAsia" w:ascii="仿宋" w:hAnsi="仿宋" w:eastAsia="仿宋"/>
          <w:b w:val="0"/>
          <w:bCs w:val="0"/>
        </w:rPr>
        <w:t>入决算表</w:t>
      </w:r>
      <w:bookmarkEnd w:id="55"/>
    </w:p>
    <w:p>
      <w:pPr>
        <w:pStyle w:val="4"/>
        <w:rPr>
          <w:rFonts w:ascii="仿宋" w:hAnsi="仿宋" w:eastAsia="仿宋"/>
        </w:rPr>
      </w:pPr>
      <w:bookmarkStart w:id="56" w:name="_Toc15396621"/>
      <w:r>
        <w:rPr>
          <w:rStyle w:val="16"/>
          <w:rFonts w:hint="eastAsia" w:ascii="仿宋" w:hAnsi="仿宋" w:eastAsia="仿宋"/>
          <w:b w:val="0"/>
          <w:bCs w:val="0"/>
        </w:rPr>
        <w:t>三、</w:t>
      </w:r>
      <w:r>
        <w:rPr>
          <w:rFonts w:hint="eastAsia" w:ascii="仿宋" w:hAnsi="仿宋" w:eastAsia="仿宋"/>
          <w:b w:val="0"/>
        </w:rPr>
        <w:t>支</w:t>
      </w:r>
      <w:r>
        <w:rPr>
          <w:rStyle w:val="16"/>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16"/>
          <w:rFonts w:hint="eastAsia" w:ascii="仿宋" w:hAnsi="仿宋" w:eastAsia="仿宋"/>
          <w:b w:val="0"/>
          <w:bCs w:val="0"/>
        </w:rPr>
        <w:t>四、</w:t>
      </w:r>
      <w:r>
        <w:rPr>
          <w:rFonts w:hint="eastAsia" w:ascii="仿宋" w:hAnsi="仿宋" w:eastAsia="仿宋"/>
          <w:b w:val="0"/>
        </w:rPr>
        <w:t>财</w:t>
      </w:r>
      <w:r>
        <w:rPr>
          <w:rStyle w:val="16"/>
          <w:rFonts w:hint="eastAsia" w:ascii="仿宋" w:hAnsi="仿宋" w:eastAsia="仿宋"/>
          <w:b w:val="0"/>
          <w:bCs w:val="0"/>
        </w:rPr>
        <w:t>政拨款收入支出决算总表</w:t>
      </w:r>
      <w:bookmarkEnd w:id="57"/>
    </w:p>
    <w:p>
      <w:pPr>
        <w:pStyle w:val="4"/>
        <w:rPr>
          <w:rStyle w:val="16"/>
          <w:rFonts w:ascii="仿宋" w:hAnsi="仿宋" w:eastAsia="仿宋"/>
          <w:b w:val="0"/>
          <w:bCs w:val="0"/>
        </w:rPr>
      </w:pPr>
      <w:bookmarkStart w:id="58" w:name="_Toc15396623"/>
      <w:r>
        <w:rPr>
          <w:rStyle w:val="16"/>
          <w:rFonts w:hint="eastAsia" w:ascii="仿宋" w:hAnsi="仿宋" w:eastAsia="仿宋"/>
          <w:b w:val="0"/>
          <w:bCs w:val="0"/>
        </w:rPr>
        <w:t>五、</w:t>
      </w:r>
      <w:r>
        <w:rPr>
          <w:rFonts w:hint="eastAsia" w:ascii="仿宋" w:hAnsi="仿宋" w:eastAsia="仿宋"/>
          <w:b w:val="0"/>
        </w:rPr>
        <w:t>财</w:t>
      </w:r>
      <w:r>
        <w:rPr>
          <w:rStyle w:val="16"/>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16"/>
          <w:rFonts w:hint="eastAsia" w:ascii="仿宋" w:hAnsi="仿宋" w:eastAsia="仿宋"/>
          <w:b w:val="0"/>
          <w:bCs w:val="0"/>
        </w:rPr>
        <w:t>六、</w:t>
      </w:r>
      <w:r>
        <w:rPr>
          <w:rFonts w:hint="eastAsia" w:ascii="仿宋" w:hAnsi="仿宋" w:eastAsia="仿宋"/>
          <w:b w:val="0"/>
        </w:rPr>
        <w:t>一</w:t>
      </w:r>
      <w:r>
        <w:rPr>
          <w:rStyle w:val="16"/>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16"/>
          <w:rFonts w:hint="eastAsia" w:ascii="仿宋" w:hAnsi="仿宋" w:eastAsia="仿宋"/>
          <w:b w:val="0"/>
          <w:bCs w:val="0"/>
        </w:rPr>
        <w:t>七、</w:t>
      </w:r>
      <w:r>
        <w:rPr>
          <w:rFonts w:hint="eastAsia" w:ascii="仿宋" w:hAnsi="仿宋" w:eastAsia="仿宋"/>
          <w:b w:val="0"/>
        </w:rPr>
        <w:t>一</w:t>
      </w:r>
      <w:r>
        <w:rPr>
          <w:rStyle w:val="16"/>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16"/>
          <w:rFonts w:hint="eastAsia" w:ascii="仿宋" w:hAnsi="仿宋" w:eastAsia="仿宋"/>
          <w:b w:val="0"/>
          <w:bCs w:val="0"/>
        </w:rPr>
        <w:t>八、</w:t>
      </w:r>
      <w:r>
        <w:rPr>
          <w:rFonts w:hint="eastAsia" w:ascii="仿宋" w:hAnsi="仿宋" w:eastAsia="仿宋"/>
          <w:b w:val="0"/>
        </w:rPr>
        <w:t>一</w:t>
      </w:r>
      <w:r>
        <w:rPr>
          <w:rStyle w:val="16"/>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16"/>
          <w:rFonts w:hint="eastAsia" w:ascii="仿宋" w:hAnsi="仿宋" w:eastAsia="仿宋"/>
          <w:b w:val="0"/>
          <w:bCs w:val="0"/>
        </w:rPr>
        <w:t>九、</w:t>
      </w:r>
      <w:r>
        <w:rPr>
          <w:rFonts w:hint="eastAsia" w:ascii="仿宋" w:hAnsi="仿宋" w:eastAsia="仿宋"/>
          <w:b w:val="0"/>
        </w:rPr>
        <w:t>一</w:t>
      </w:r>
      <w:r>
        <w:rPr>
          <w:rStyle w:val="16"/>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16"/>
          <w:rFonts w:hint="eastAsia" w:ascii="仿宋" w:hAnsi="仿宋" w:eastAsia="仿宋"/>
          <w:b w:val="0"/>
          <w:bCs w:val="0"/>
        </w:rPr>
        <w:t>十、</w:t>
      </w:r>
      <w:bookmarkEnd w:id="63"/>
      <w:r>
        <w:rPr>
          <w:rFonts w:hint="eastAsia" w:ascii="仿宋" w:hAnsi="仿宋" w:eastAsia="仿宋"/>
          <w:b w:val="0"/>
        </w:rPr>
        <w:t>政</w:t>
      </w:r>
      <w:r>
        <w:rPr>
          <w:rStyle w:val="16"/>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16"/>
          <w:rFonts w:hint="eastAsia" w:ascii="仿宋" w:hAnsi="仿宋" w:eastAsia="仿宋"/>
          <w:b w:val="0"/>
          <w:bCs w:val="0"/>
        </w:rPr>
        <w:t>十一、</w:t>
      </w:r>
      <w:bookmarkEnd w:id="64"/>
      <w:r>
        <w:rPr>
          <w:rFonts w:hint="eastAsia" w:ascii="仿宋" w:hAnsi="仿宋" w:eastAsia="仿宋"/>
          <w:b w:val="0"/>
        </w:rPr>
        <w:t>国</w:t>
      </w:r>
      <w:r>
        <w:rPr>
          <w:rStyle w:val="16"/>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16"/>
          <w:rFonts w:hint="eastAsia" w:ascii="仿宋" w:hAnsi="仿宋" w:eastAsia="仿宋"/>
          <w:b w:val="0"/>
          <w:bCs w:val="0"/>
        </w:rPr>
        <w:t>十二、</w:t>
      </w:r>
      <w:bookmarkEnd w:id="65"/>
      <w:r>
        <w:rPr>
          <w:rStyle w:val="16"/>
          <w:rFonts w:hint="eastAsia" w:ascii="仿宋" w:hAnsi="仿宋" w:eastAsia="仿宋"/>
          <w:b w:val="0"/>
          <w:bCs w:val="0"/>
        </w:rPr>
        <w:t>国有资本经营预算财政拨款支出决算表</w:t>
      </w:r>
    </w:p>
    <w:p>
      <w:pPr>
        <w:pStyle w:val="4"/>
        <w:rPr>
          <w:rFonts w:eastAsia="仿宋"/>
        </w:rPr>
      </w:pPr>
      <w:bookmarkStart w:id="66" w:name="_Toc15396631"/>
      <w:r>
        <w:rPr>
          <w:rStyle w:val="16"/>
          <w:rFonts w:hint="eastAsia" w:ascii="仿宋" w:hAnsi="仿宋" w:eastAsia="仿宋"/>
          <w:b w:val="0"/>
          <w:bCs w:val="0"/>
        </w:rPr>
        <w:t>十三、</w:t>
      </w:r>
      <w:bookmarkEnd w:id="66"/>
      <w:r>
        <w:rPr>
          <w:rStyle w:val="16"/>
          <w:rFonts w:hint="eastAsia" w:ascii="仿宋" w:hAnsi="仿宋" w:eastAsia="仿宋"/>
          <w:b w:val="0"/>
          <w:bCs w:val="0"/>
        </w:rPr>
        <w:t>财政拨款“三公”经费支出决算表</w:t>
      </w:r>
    </w:p>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200A73-4E4F-48E4-B08C-3069AE8A2A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0ADFF52-7F95-43DD-87B9-75BEACA9440B}"/>
  </w:font>
  <w:font w:name="Calibri Light">
    <w:panose1 w:val="020F0302020204030204"/>
    <w:charset w:val="00"/>
    <w:family w:val="auto"/>
    <w:pitch w:val="default"/>
    <w:sig w:usb0="E4002EFF" w:usb1="C000247B" w:usb2="00000009" w:usb3="00000000" w:csb0="200001FF" w:csb1="00000000"/>
    <w:embedRegular r:id="rId3" w:fontKey="{6B863FC5-AC28-46A3-B035-D36D7F5C891A}"/>
  </w:font>
  <w:font w:name="仿宋_GB2312">
    <w:altName w:val="仿宋"/>
    <w:panose1 w:val="02010609030101010101"/>
    <w:charset w:val="86"/>
    <w:family w:val="modern"/>
    <w:pitch w:val="default"/>
    <w:sig w:usb0="00000000" w:usb1="00000000" w:usb2="00000000" w:usb3="00000000" w:csb0="00040000" w:csb1="00000000"/>
    <w:embedRegular r:id="rId4" w:fontKey="{46374A2E-2BC2-4C4E-92C5-6BC1843D6A97}"/>
  </w:font>
  <w:font w:name="仿宋">
    <w:panose1 w:val="02010609060101010101"/>
    <w:charset w:val="86"/>
    <w:family w:val="modern"/>
    <w:pitch w:val="default"/>
    <w:sig w:usb0="800002BF" w:usb1="38CF7CFA" w:usb2="00000016" w:usb3="00000000" w:csb0="00040001" w:csb1="00000000"/>
    <w:embedRegular r:id="rId5" w:fontKey="{6CB0FA25-AD85-4BD7-A47B-34F0AA1D1D43}"/>
  </w:font>
  <w:font w:name="方正小标宋简体">
    <w:panose1 w:val="02000000000000000000"/>
    <w:charset w:val="86"/>
    <w:family w:val="script"/>
    <w:pitch w:val="default"/>
    <w:sig w:usb0="00000001" w:usb1="08000000" w:usb2="00000000" w:usb3="00000000" w:csb0="00040000" w:csb1="00000000"/>
    <w:embedRegular r:id="rId6" w:fontKey="{129C46F9-FBCF-4E49-85C9-DA838D487E28}"/>
  </w:font>
  <w:font w:name="微软雅黑">
    <w:panose1 w:val="020B0503020204020204"/>
    <w:charset w:val="86"/>
    <w:family w:val="auto"/>
    <w:pitch w:val="default"/>
    <w:sig w:usb0="80000287" w:usb1="2ACF3C50" w:usb2="00000016" w:usb3="00000000" w:csb0="0004001F" w:csb1="00000000"/>
    <w:embedRegular r:id="rId7" w:fontKey="{3B038249-0EBC-412A-8AB7-B5A990A581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1D1453A9"/>
    <w:multiLevelType w:val="singleLevel"/>
    <w:tmpl w:val="1D1453A9"/>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2283231D"/>
    <w:rsid w:val="2283231D"/>
    <w:rsid w:val="31077413"/>
    <w:rsid w:val="4B107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5">
    <w:name w:val="Body Text Indent"/>
    <w:basedOn w:val="1"/>
    <w:qFormat/>
    <w:uiPriority w:val="0"/>
    <w:pPr>
      <w:spacing w:afterLines="0" w:afterAutospacing="0"/>
      <w:ind w:left="420" w:leftChars="200"/>
    </w:pPr>
  </w:style>
  <w:style w:type="paragraph" w:styleId="6">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paragraph" w:styleId="10">
    <w:name w:val="Body Text First Indent"/>
    <w:basedOn w:val="2"/>
    <w:qFormat/>
    <w:uiPriority w:val="0"/>
    <w:pPr>
      <w:ind w:firstLine="420" w:firstLineChars="100"/>
    </w:pPr>
  </w:style>
  <w:style w:type="paragraph" w:styleId="11">
    <w:name w:val="Body Text First Indent 2"/>
    <w:basedOn w:val="5"/>
    <w:next w:val="10"/>
    <w:qFormat/>
    <w:uiPriority w:val="0"/>
    <w:pPr>
      <w:ind w:firstLine="420" w:firstLineChars="200"/>
    </w:pPr>
  </w:style>
  <w:style w:type="character" w:styleId="14">
    <w:name w:val="Strong"/>
    <w:basedOn w:val="13"/>
    <w:qFormat/>
    <w:uiPriority w:val="99"/>
    <w:rPr>
      <w:b/>
    </w:rPr>
  </w:style>
  <w:style w:type="character" w:customStyle="1" w:styleId="15">
    <w:name w:val="标题 1 字符"/>
    <w:basedOn w:val="13"/>
    <w:link w:val="3"/>
    <w:qFormat/>
    <w:uiPriority w:val="9"/>
    <w:rPr>
      <w:b/>
      <w:bCs/>
      <w:kern w:val="44"/>
      <w:sz w:val="44"/>
      <w:szCs w:val="44"/>
    </w:rPr>
  </w:style>
  <w:style w:type="character" w:customStyle="1" w:styleId="16">
    <w:name w:val="标题 2 字符"/>
    <w:basedOn w:val="13"/>
    <w:link w:val="4"/>
    <w:qFormat/>
    <w:uiPriority w:val="9"/>
    <w:rPr>
      <w:rFonts w:asciiTheme="majorHAnsi" w:hAnsiTheme="majorHAnsi" w:eastAsiaTheme="majorEastAsia" w:cstheme="majorBidi"/>
      <w:b/>
      <w:bCs/>
      <w:sz w:val="32"/>
      <w:szCs w:val="32"/>
    </w:rPr>
  </w:style>
  <w:style w:type="paragraph" w:styleId="17">
    <w:name w:val="List Paragraph"/>
    <w:basedOn w:val="1"/>
    <w:qFormat/>
    <w:uiPriority w:val="34"/>
    <w:pPr>
      <w:ind w:firstLine="420" w:firstLineChars="200"/>
    </w:pPr>
  </w:style>
  <w:style w:type="paragraph" w:customStyle="1" w:styleId="1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2023-10-25T09:36:00Z</dcterms:created>
  <dc:creator>张小艳1398344092</dc:creator>
  <cp:lastModifiedBy>罗汉</cp:lastModifiedBy>
  <dcterms:modified xsi:type="dcterms:W3CDTF">2023-11-28T03:02:36Z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057CFDC11B9C4BDFABAC85B235CD61C8_13</vt:lpwstr>
  </property>
</Properties>
</file>