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96476"/>
      <w:bookmarkStart w:id="10" w:name="_Toc15377194"/>
      <w:r>
        <w:rPr>
          <w:rFonts w:hint="eastAsia" w:ascii="方正小标宋简体" w:hAnsi="方正小标宋简体" w:eastAsia="方正小标宋简体" w:cs="方正小标宋简体"/>
          <w:sz w:val="72"/>
          <w:szCs w:val="72"/>
        </w:rPr>
        <w:t>剑阁县</w:t>
      </w:r>
      <w:bookmarkStart w:id="11" w:name="_Toc15306268"/>
      <w:r>
        <w:rPr>
          <w:rFonts w:hint="eastAsia" w:ascii="方正小标宋简体" w:hAnsi="方正小标宋简体" w:eastAsia="方正小标宋简体" w:cs="方正小标宋简体"/>
          <w:sz w:val="72"/>
          <w:szCs w:val="72"/>
          <w:lang w:eastAsia="zh-CN"/>
        </w:rPr>
        <w:t>柳沟小学校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hint="eastAsia" w:ascii="方正小标宋简体" w:hAnsi="方正小标宋简体" w:eastAsia="方正小标宋简体" w:cs="方正小标宋简体"/>
          <w:sz w:val="72"/>
          <w:szCs w:val="72"/>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both"/>
        <w:rPr>
          <w:rFonts w:asciiTheme="minorEastAsia" w:hAnsiTheme="minorEastAsia" w:eastAsiaTheme="minorEastAsia"/>
          <w:sz w:val="24"/>
          <w:szCs w:val="24"/>
        </w:rPr>
      </w:pPr>
      <w:bookmarkStart w:id="12" w:name="_Toc15396599"/>
      <w:bookmarkStart w:id="13" w:name="_Toc15377196"/>
      <w:r>
        <w:rPr>
          <w:rFonts w:hint="eastAsia" w:asciiTheme="minorEastAsia" w:hAnsiTheme="minorEastAsia" w:eastAsiaTheme="minorEastAsia"/>
          <w:sz w:val="24"/>
          <w:szCs w:val="24"/>
        </w:rPr>
        <w:t>第一部分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部门概况</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p>
    <w:p>
      <w:pPr>
        <w:pStyle w:val="13"/>
        <w:adjustRightInd w:val="0"/>
        <w:snapToGrid w:val="0"/>
        <w:spacing w:line="440" w:lineRule="exact"/>
        <w:ind w:left="0" w:leftChars="0"/>
        <w:rPr>
          <w:rFonts w:asciiTheme="minorEastAsia" w:hAnsiTheme="minorEastAsia" w:eastAsiaTheme="minorEastAsia"/>
          <w:sz w:val="24"/>
          <w:szCs w:val="24"/>
        </w:rPr>
      </w:pPr>
      <w:r>
        <w:rPr>
          <w:rFonts w:hint="eastAsia" w:asciiTheme="minorEastAsia" w:hAnsiTheme="minorEastAsia" w:eastAsiaTheme="minorEastAsia"/>
          <w:sz w:val="24"/>
          <w:szCs w:val="24"/>
        </w:rPr>
        <w:t>一、基本职能及主要工作</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p>
    <w:p>
      <w:pPr>
        <w:pStyle w:val="13"/>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二、机构设置</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w:t>
      </w:r>
    </w:p>
    <w:p>
      <w:pPr>
        <w:pStyle w:val="12"/>
        <w:adjustRightInd w:val="0"/>
        <w:snapToGrid w:val="0"/>
        <w:spacing w:before="0" w:line="440" w:lineRule="exact"/>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第二部分度部门决算情况说明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1</w:t>
      </w:r>
    </w:p>
    <w:p>
      <w:pPr>
        <w:pStyle w:val="13"/>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一、收入支出决算总体情况说明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2</w:t>
      </w:r>
    </w:p>
    <w:p>
      <w:pPr>
        <w:pStyle w:val="13"/>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二、收入决算情况说明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2</w:t>
      </w:r>
    </w:p>
    <w:p>
      <w:pPr>
        <w:pStyle w:val="13"/>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三、支出决算情况说明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3</w:t>
      </w:r>
    </w:p>
    <w:p>
      <w:pPr>
        <w:pStyle w:val="13"/>
        <w:adjustRightInd w:val="0"/>
        <w:snapToGrid w:val="0"/>
        <w:spacing w:line="440" w:lineRule="exact"/>
        <w:ind w:left="0" w:leftChars="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四、财政拨款收入支出决算总体情况说明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4</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五、一般公共预算财政拨款支出决算情况说明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04</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六、一般公共预算财政拨款基本支出决算情况说明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06</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七、</w:t>
      </w:r>
      <w:r>
        <w:rPr>
          <w:rFonts w:asciiTheme="minorEastAsia" w:hAnsiTheme="minorEastAsia" w:eastAsiaTheme="minorEastAsia"/>
          <w:sz w:val="24"/>
          <w:szCs w:val="24"/>
        </w:rPr>
        <w:t>“</w:t>
      </w:r>
      <w:r>
        <w:rPr>
          <w:rFonts w:hint="eastAsia" w:asciiTheme="minorEastAsia" w:hAnsiTheme="minorEastAsia" w:eastAsiaTheme="minorEastAsia"/>
          <w:sz w:val="24"/>
          <w:szCs w:val="24"/>
        </w:rPr>
        <w:t>三公”经费财政拨款支出决算情况说明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07</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八、政府性基金预算支出决算情况说明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08</w:t>
      </w:r>
    </w:p>
    <w:p>
      <w:pPr>
        <w:pStyle w:val="13"/>
        <w:adjustRightInd w:val="0"/>
        <w:snapToGrid w:val="0"/>
        <w:spacing w:line="440" w:lineRule="exact"/>
        <w:ind w:left="0" w:leftChars="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九、</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国有资本经营预算支出决算情况说明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08</w:t>
      </w:r>
    </w:p>
    <w:p>
      <w:pPr>
        <w:pStyle w:val="13"/>
        <w:adjustRightInd w:val="0"/>
        <w:snapToGrid w:val="0"/>
        <w:spacing w:line="440" w:lineRule="exact"/>
        <w:ind w:left="0" w:leftChars="0"/>
        <w:rPr>
          <w:rFonts w:asciiTheme="minorEastAsia" w:hAnsiTheme="minorEastAsia" w:eastAsiaTheme="minorEastAsia"/>
          <w:sz w:val="24"/>
          <w:szCs w:val="24"/>
        </w:rPr>
      </w:pPr>
      <w:r>
        <w:rPr>
          <w:rFonts w:hint="eastAsia" w:asciiTheme="minorEastAsia" w:hAnsiTheme="minorEastAsia" w:eastAsiaTheme="minorEastAsia"/>
          <w:sz w:val="24"/>
          <w:szCs w:val="24"/>
        </w:rPr>
        <w:t>十、其他重要事项的情况说明</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09</w:t>
      </w:r>
    </w:p>
    <w:p>
      <w:pPr>
        <w:pStyle w:val="12"/>
        <w:adjustRightInd w:val="0"/>
        <w:snapToGrid w:val="0"/>
        <w:spacing w:before="0" w:line="440" w:lineRule="exact"/>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第三部分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名词解释</w:t>
      </w:r>
      <w:r>
        <w:rPr>
          <w:rFonts w:asciiTheme="minorEastAsia" w:hAnsiTheme="minorEastAsia" w:eastAsiaTheme="minorEastAsia"/>
          <w:sz w:val="24"/>
          <w:szCs w:val="24"/>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p>
    <w:p>
      <w:pPr>
        <w:pStyle w:val="12"/>
        <w:adjustRightInd w:val="0"/>
        <w:snapToGrid w:val="0"/>
        <w:spacing w:before="0" w:line="440" w:lineRule="exac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第四部分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附件</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14</w:t>
      </w:r>
    </w:p>
    <w:p>
      <w:pPr>
        <w:pStyle w:val="13"/>
        <w:adjustRightInd w:val="0"/>
        <w:snapToGrid w:val="0"/>
        <w:spacing w:line="440" w:lineRule="exact"/>
        <w:ind w:left="0" w:left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14</w:t>
      </w:r>
    </w:p>
    <w:p>
      <w:pPr>
        <w:rPr>
          <w:rFonts w:hint="default" w:eastAsiaTheme="minorEastAsia"/>
          <w:lang w:val="en-US" w:eastAsia="zh-CN"/>
        </w:rPr>
      </w:pPr>
      <w:r>
        <w:rPr>
          <w:rFonts w:hint="eastAsia" w:asciiTheme="minorEastAsia" w:hAnsiTheme="minorEastAsia" w:eastAsiaTheme="minorEastAsia"/>
          <w:sz w:val="24"/>
          <w:szCs w:val="24"/>
        </w:rPr>
        <w:t>附件</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17</w:t>
      </w:r>
    </w:p>
    <w:p>
      <w:pPr>
        <w:pStyle w:val="12"/>
        <w:adjustRightInd w:val="0"/>
        <w:snapToGrid w:val="0"/>
        <w:spacing w:before="0" w:line="440" w:lineRule="exac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第五部分</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附表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一、收入支出决算总表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二、收入决算表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三、支出决算表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四、财政拨款收入支出决算总表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五、财政拨款支出决算明细表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六、一般公共预算财政拨款支出决算表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eastAsia" w:asciiTheme="minorEastAsia" w:hAnsiTheme="minorEastAsia" w:eastAsiaTheme="minorEastAsia"/>
          <w:sz w:val="24"/>
          <w:szCs w:val="2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七、一般公共预算财政拨款支出决算明细表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八、一般公共预算财政拨款基本支出决算表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九、一般公共预算财政拨款项目支出决算表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十、政府性基金预算财政拨款收入支出决算表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z w:val="24"/>
          <w:szCs w:val="24"/>
        </w:rPr>
        <w:t>、国有资本经营预算财政拨款收入支出决算表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z w:val="24"/>
          <w:szCs w:val="24"/>
        </w:rPr>
        <w:t>、国有资本经营预算财政拨款支出决算表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13"/>
        <w:adjustRightInd w:val="0"/>
        <w:snapToGrid w:val="0"/>
        <w:spacing w:line="440" w:lineRule="exact"/>
        <w:ind w:left="0" w:leftChars="0"/>
        <w:rPr>
          <w:rFonts w:hint="default"/>
          <w:lang w:val="en-US"/>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Theme="minorEastAsia" w:hAnsiTheme="minorEastAsia" w:eastAsiaTheme="minorEastAsia"/>
          <w:sz w:val="24"/>
          <w:szCs w:val="24"/>
        </w:rPr>
        <w:t>十</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财政拨款“三公”经费支</w:t>
      </w:r>
      <w:r>
        <w:rPr>
          <w:rFonts w:hint="eastAsia" w:asciiTheme="minorEastAsia" w:hAnsiTheme="minorEastAsia" w:eastAsiaTheme="minorEastAsia"/>
          <w:sz w:val="24"/>
          <w:szCs w:val="24"/>
        </w:rPr>
        <w:t>出决算表</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20</w:t>
      </w:r>
    </w:p>
    <w:p>
      <w:pPr>
        <w:pStyle w:val="4"/>
        <w:ind w:firstLine="1760" w:firstLineChars="400"/>
        <w:jc w:val="both"/>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5"/>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widowControl/>
        <w:shd w:val="clear" w:color="auto" w:fill="FFFFFF"/>
        <w:spacing w:line="600" w:lineRule="exact"/>
        <w:ind w:firstLine="480"/>
        <w:jc w:val="left"/>
        <w:rPr>
          <w:rFonts w:hint="eastAsia" w:ascii="仿宋" w:hAnsi="仿宋" w:eastAsia="仿宋"/>
          <w:bCs/>
          <w:sz w:val="32"/>
          <w:szCs w:val="32"/>
        </w:rPr>
      </w:pPr>
      <w:r>
        <w:rPr>
          <w:rFonts w:hint="eastAsia" w:ascii="仿宋" w:hAnsi="仿宋" w:eastAsia="仿宋"/>
          <w:bCs/>
          <w:sz w:val="32"/>
          <w:szCs w:val="32"/>
        </w:rPr>
        <w:t>（一）主要职能。</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1.实施小学义务教育，促进基础教育全面均衡发展，认真贯彻执行党和国家的教育方针、政策、法规。</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2.根据学校规模，设置学校管理机构，建立健全各项规章制度和岗位责任制。</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3.坚持教书育人，服务育人，环境育人方针，加强对学生的思想品德教育，使学生的德智体全面发展。</w:t>
      </w:r>
    </w:p>
    <w:p>
      <w:pPr>
        <w:widowControl/>
        <w:shd w:val="clear" w:color="auto" w:fill="FFFFFF"/>
        <w:spacing w:line="600" w:lineRule="exact"/>
        <w:ind w:firstLine="480"/>
        <w:jc w:val="left"/>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4.做好学校安全防范工作，保证师生的人身安全。</w:t>
      </w:r>
    </w:p>
    <w:p>
      <w:pPr>
        <w:pStyle w:val="7"/>
        <w:adjustRightInd w:val="0"/>
        <w:snapToGrid w:val="0"/>
        <w:spacing w:before="93" w:line="600" w:lineRule="exact"/>
        <w:outlineLvl w:val="2"/>
        <w:rPr>
          <w:rFonts w:hint="eastAsia" w:ascii="仿宋" w:hAnsi="仿宋" w:eastAsia="仿宋"/>
          <w:bCs/>
          <w:sz w:val="32"/>
          <w:szCs w:val="32"/>
        </w:rPr>
      </w:pPr>
      <w:bookmarkStart w:id="16" w:name="_Toc15378446"/>
      <w:bookmarkStart w:id="17"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w:t>
      </w:r>
      <w:r>
        <w:rPr>
          <w:rFonts w:hint="eastAsia" w:ascii="仿宋" w:hAnsi="仿宋" w:eastAsia="仿宋"/>
          <w:bCs/>
          <w:sz w:val="32"/>
          <w:szCs w:val="32"/>
          <w:lang w:val="en-US" w:eastAsia="zh-CN"/>
        </w:rPr>
        <w:t>2</w:t>
      </w:r>
      <w:r>
        <w:rPr>
          <w:rFonts w:hint="eastAsia" w:ascii="仿宋" w:hAnsi="仿宋" w:eastAsia="仿宋"/>
          <w:bCs/>
          <w:sz w:val="32"/>
          <w:szCs w:val="32"/>
        </w:rPr>
        <w:t>年重点工作完成情况。</w:t>
      </w:r>
      <w:bookmarkEnd w:id="16"/>
      <w:bookmarkEnd w:id="17"/>
    </w:p>
    <w:p>
      <w:pPr>
        <w:pStyle w:val="7"/>
        <w:adjustRightInd w:val="0"/>
        <w:snapToGrid w:val="0"/>
        <w:spacing w:before="93" w:line="600" w:lineRule="exact"/>
        <w:ind w:firstLine="672" w:firstLineChars="210"/>
        <w:outlineLvl w:val="2"/>
        <w:rPr>
          <w:rFonts w:hint="default"/>
          <w:lang w:val="en-US"/>
        </w:rPr>
      </w:pPr>
      <w:r>
        <w:rPr>
          <w:rFonts w:hint="eastAsia" w:ascii="仿宋" w:hAnsi="仿宋" w:eastAsia="仿宋"/>
          <w:bCs/>
          <w:color w:val="000000"/>
          <w:sz w:val="32"/>
          <w:szCs w:val="32"/>
        </w:rPr>
        <w:t>坚持教书育人，服务育人，环境育人方针，加强对学生的思想品德教育，使学生的德智体美全面发展。</w:t>
      </w:r>
      <w:r>
        <w:rPr>
          <w:rFonts w:hint="eastAsia" w:ascii="仿宋" w:hAnsi="仿宋" w:eastAsia="仿宋" w:cs="宋体"/>
          <w:color w:val="333333"/>
          <w:sz w:val="32"/>
          <w:szCs w:val="32"/>
        </w:rPr>
        <w:t>完善制度建立，规范后勤管理工作，大幅提升教学质量</w:t>
      </w:r>
      <w:r>
        <w:rPr>
          <w:rFonts w:hint="eastAsia" w:ascii="仿宋" w:hAnsi="仿宋" w:eastAsia="仿宋" w:cs="宋体"/>
          <w:color w:val="333333"/>
          <w:sz w:val="32"/>
          <w:szCs w:val="32"/>
          <w:lang w:eastAsia="zh-CN"/>
        </w:rPr>
        <w:t>，</w:t>
      </w:r>
      <w:r>
        <w:rPr>
          <w:rFonts w:hint="eastAsia" w:ascii="仿宋" w:hAnsi="仿宋" w:eastAsia="仿宋" w:cs="宋体"/>
          <w:color w:val="333333"/>
          <w:sz w:val="32"/>
          <w:szCs w:val="32"/>
        </w:rPr>
        <w:t xml:space="preserve"> 顺利完成了20</w:t>
      </w:r>
      <w:r>
        <w:rPr>
          <w:rFonts w:hint="eastAsia" w:ascii="仿宋" w:hAnsi="仿宋" w:eastAsia="仿宋" w:cs="宋体"/>
          <w:color w:val="333333"/>
          <w:sz w:val="32"/>
          <w:szCs w:val="32"/>
          <w:lang w:val="en-US" w:eastAsia="zh-CN"/>
        </w:rPr>
        <w:t>22</w:t>
      </w:r>
      <w:r>
        <w:rPr>
          <w:rFonts w:hint="eastAsia" w:ascii="仿宋" w:hAnsi="仿宋" w:eastAsia="仿宋" w:cs="宋体"/>
          <w:color w:val="333333"/>
          <w:sz w:val="32"/>
          <w:szCs w:val="32"/>
        </w:rPr>
        <w:t>年学校各项教学目标任务，同时配合政府完成了本年度</w:t>
      </w:r>
      <w:r>
        <w:rPr>
          <w:rFonts w:hint="eastAsia" w:ascii="仿宋" w:hAnsi="仿宋" w:eastAsia="仿宋" w:cs="宋体"/>
          <w:color w:val="333333"/>
          <w:sz w:val="32"/>
          <w:szCs w:val="32"/>
          <w:lang w:val="en-US" w:eastAsia="zh-CN"/>
        </w:rPr>
        <w:t>乡村振兴工作</w:t>
      </w:r>
      <w:r>
        <w:rPr>
          <w:rFonts w:hint="eastAsia" w:ascii="仿宋" w:hAnsi="仿宋" w:eastAsia="仿宋" w:cs="宋体"/>
          <w:color w:val="333333"/>
          <w:sz w:val="32"/>
          <w:szCs w:val="32"/>
        </w:rPr>
        <w:t>任务。</w:t>
      </w:r>
      <w:r>
        <w:rPr>
          <w:rFonts w:hint="eastAsia" w:ascii="仿宋" w:hAnsi="仿宋" w:eastAsia="仿宋" w:cs="宋体"/>
          <w:color w:val="333333"/>
          <w:kern w:val="0"/>
          <w:sz w:val="32"/>
          <w:szCs w:val="32"/>
          <w:lang w:val="en-US" w:eastAsia="zh-CN" w:bidi="ar-SA"/>
        </w:rPr>
        <w:t>我校2022年被县教育局评为目标考核优秀单位，实现了学校优质全面发展。</w:t>
      </w:r>
    </w:p>
    <w:p>
      <w:pPr>
        <w:pStyle w:val="5"/>
        <w:rPr>
          <w:rFonts w:ascii="黑体" w:hAnsi="黑体" w:eastAsia="黑体"/>
          <w:b w:val="0"/>
        </w:rPr>
      </w:pPr>
      <w:r>
        <w:rPr>
          <w:rFonts w:hint="eastAsia" w:ascii="黑体" w:hAnsi="黑体" w:eastAsia="黑体"/>
          <w:b w:val="0"/>
        </w:rPr>
        <w:t>二、机构设置</w:t>
      </w:r>
    </w:p>
    <w:bookmarkEnd w:id="14"/>
    <w:bookmarkEnd w:id="15"/>
    <w:p>
      <w:pPr>
        <w:widowControl/>
        <w:ind w:firstLine="640" w:firstLineChars="200"/>
        <w:jc w:val="left"/>
        <w:rPr>
          <w:rFonts w:ascii="仿宋" w:hAnsi="仿宋" w:eastAsia="仿宋" w:cs="宋体"/>
          <w:color w:val="000000" w:themeColor="text1"/>
          <w:kern w:val="0"/>
          <w:sz w:val="32"/>
          <w:szCs w:val="32"/>
          <w14:textFill>
            <w14:solidFill>
              <w14:schemeClr w14:val="tx1"/>
            </w14:solidFill>
          </w14:textFill>
        </w:rPr>
      </w:pPr>
      <w:bookmarkStart w:id="18" w:name="_Toc15396602"/>
      <w:bookmarkStart w:id="19" w:name="_Toc15377204"/>
      <w:r>
        <w:rPr>
          <w:rFonts w:hint="eastAsia" w:ascii="仿宋" w:hAnsi="仿宋" w:eastAsia="仿宋" w:cs="宋体"/>
          <w:color w:val="000000" w:themeColor="text1"/>
          <w:kern w:val="0"/>
          <w:sz w:val="32"/>
          <w:szCs w:val="32"/>
          <w14:textFill>
            <w14:solidFill>
              <w14:schemeClr w14:val="tx1"/>
            </w14:solidFill>
          </w14:textFill>
        </w:rPr>
        <w:t>本单位无下属二级决算单位.</w:t>
      </w:r>
    </w:p>
    <w:p>
      <w:pPr>
        <w:pStyle w:val="4"/>
        <w:ind w:right="440"/>
        <w:jc w:val="center"/>
        <w:rPr>
          <w:rStyle w:val="26"/>
          <w:rFonts w:ascii="黑体" w:hAnsi="黑体" w:eastAsia="黑体"/>
          <w:b w:val="0"/>
          <w:bCs/>
        </w:rPr>
      </w:pPr>
      <w:r>
        <w:rPr>
          <w:rFonts w:hint="eastAsia" w:ascii="黑体" w:hAnsi="黑体" w:eastAsia="黑体"/>
          <w:b w:val="0"/>
        </w:rPr>
        <w:t>第二部分 2022年度</w:t>
      </w:r>
      <w:r>
        <w:rPr>
          <w:rStyle w:val="26"/>
          <w:rFonts w:hint="eastAsia" w:ascii="黑体" w:hAnsi="黑体" w:eastAsia="黑体"/>
          <w:b w:val="0"/>
          <w:bCs/>
        </w:rPr>
        <w:t>单位决算情况说明</w:t>
      </w:r>
      <w:bookmarkEnd w:id="18"/>
      <w:bookmarkEnd w:id="19"/>
    </w:p>
    <w:p/>
    <w:p>
      <w:pPr>
        <w:pStyle w:val="25"/>
        <w:numPr>
          <w:ilvl w:val="0"/>
          <w:numId w:val="2"/>
        </w:numPr>
        <w:spacing w:line="600" w:lineRule="exact"/>
        <w:ind w:firstLineChars="0"/>
        <w:outlineLvl w:val="1"/>
        <w:rPr>
          <w:rStyle w:val="27"/>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0"/>
      <w:bookmarkEnd w:id="21"/>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584.15</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216.66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27.06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本年无结转。</w:t>
      </w:r>
    </w:p>
    <w:p>
      <w:pPr>
        <w:pStyle w:val="7"/>
      </w:pPr>
      <w:r>
        <w:drawing>
          <wp:inline distT="0" distB="0" distL="114300" distR="114300">
            <wp:extent cx="4672330" cy="260604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672330" cy="2606040"/>
                    </a:xfrm>
                    <a:prstGeom prst="rect">
                      <a:avLst/>
                    </a:prstGeom>
                    <a:noFill/>
                    <a:ln>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7"/>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584.15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583.15</w:t>
      </w:r>
      <w:r>
        <w:rPr>
          <w:rFonts w:hint="eastAsia" w:ascii="仿宋" w:hAnsi="仿宋" w:eastAsia="仿宋"/>
          <w:sz w:val="32"/>
          <w:szCs w:val="32"/>
        </w:rPr>
        <w:t>万元，占</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0.17</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r>
        <w:drawing>
          <wp:inline distT="0" distB="0" distL="114300" distR="114300">
            <wp:extent cx="5438140" cy="29413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438140" cy="2941320"/>
                    </a:xfrm>
                    <a:prstGeom prst="rect">
                      <a:avLst/>
                    </a:prstGeom>
                    <a:noFill/>
                    <a:ln>
                      <a:noFill/>
                    </a:ln>
                  </pic:spPr>
                </pic:pic>
              </a:graphicData>
            </a:graphic>
          </wp:inline>
        </w:drawing>
      </w:r>
    </w:p>
    <w:p>
      <w:pPr>
        <w:pStyle w:val="7"/>
        <w:rPr>
          <w:rFonts w:ascii="仿宋" w:hAnsi="仿宋" w:eastAsia="仿宋"/>
          <w:sz w:val="32"/>
          <w:szCs w:val="32"/>
        </w:rPr>
      </w:pP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5"/>
        <w:numPr>
          <w:ilvl w:val="0"/>
          <w:numId w:val="2"/>
        </w:numPr>
        <w:spacing w:line="600" w:lineRule="exact"/>
        <w:ind w:firstLineChars="0"/>
        <w:outlineLvl w:val="1"/>
        <w:rPr>
          <w:rStyle w:val="27"/>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7"/>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584.15</w:t>
      </w:r>
      <w:r>
        <w:rPr>
          <w:rFonts w:hint="eastAsia" w:ascii="仿宋" w:hAnsi="仿宋" w:eastAsia="仿宋"/>
          <w:sz w:val="32"/>
          <w:szCs w:val="32"/>
        </w:rPr>
        <w:t>万元，其中：基本支出583.15万元，占</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7"/>
        <w:rPr>
          <w:rFonts w:hint="eastAsia" w:ascii="仿宋" w:hAnsi="仿宋" w:eastAsia="仿宋"/>
          <w:b/>
          <w:sz w:val="32"/>
          <w:szCs w:val="32"/>
        </w:rPr>
      </w:pPr>
      <w:r>
        <w:drawing>
          <wp:inline distT="0" distB="0" distL="114300" distR="114300">
            <wp:extent cx="4987290" cy="2941320"/>
            <wp:effectExtent l="0" t="0" r="1143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987290" cy="2941320"/>
                    </a:xfrm>
                    <a:prstGeom prst="rect">
                      <a:avLst/>
                    </a:prstGeom>
                    <a:noFill/>
                    <a:ln>
                      <a:noFill/>
                    </a:ln>
                  </pic:spPr>
                </pic:pic>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6"/>
      <w:bookmarkEnd w:id="27"/>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584.15</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216.66</w:t>
      </w:r>
      <w:r>
        <w:rPr>
          <w:rFonts w:hint="eastAsia" w:ascii="仿宋" w:hAnsi="仿宋" w:eastAsia="仿宋"/>
          <w:sz w:val="32"/>
          <w:szCs w:val="32"/>
        </w:rPr>
        <w:t>万元，下降</w:t>
      </w:r>
      <w:r>
        <w:rPr>
          <w:rFonts w:hint="eastAsia" w:ascii="仿宋" w:hAnsi="仿宋" w:eastAsia="仿宋"/>
          <w:sz w:val="32"/>
          <w:szCs w:val="32"/>
          <w:lang w:val="en-US" w:eastAsia="zh-CN"/>
        </w:rPr>
        <w:t>27.06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本年无结转。</w:t>
      </w:r>
    </w:p>
    <w:p>
      <w:pPr>
        <w:pStyle w:val="7"/>
      </w:pPr>
      <w:r>
        <w:drawing>
          <wp:inline distT="0" distB="0" distL="114300" distR="114300">
            <wp:extent cx="5243830" cy="2941320"/>
            <wp:effectExtent l="0" t="0" r="139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43830" cy="2941320"/>
                    </a:xfrm>
                    <a:prstGeom prst="rect">
                      <a:avLst/>
                    </a:prstGeom>
                    <a:noFill/>
                    <a:ln>
                      <a:noFill/>
                    </a:ln>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7"/>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22年一般公共预算财政拨款支出583.15万元，占本年支出合计的</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202.36</w:t>
      </w:r>
      <w:r>
        <w:rPr>
          <w:rFonts w:hint="eastAsia" w:ascii="仿宋" w:hAnsi="仿宋" w:eastAsia="仿宋"/>
          <w:sz w:val="32"/>
          <w:szCs w:val="32"/>
        </w:rPr>
        <w:t>万元，下降</w:t>
      </w:r>
      <w:r>
        <w:rPr>
          <w:rFonts w:hint="eastAsia" w:ascii="仿宋" w:hAnsi="仿宋" w:eastAsia="仿宋"/>
          <w:sz w:val="32"/>
          <w:szCs w:val="32"/>
          <w:lang w:val="en-US" w:eastAsia="zh-CN"/>
        </w:rPr>
        <w:t>25.76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本年无结转。</w:t>
      </w:r>
    </w:p>
    <w:p>
      <w:pPr>
        <w:pStyle w:val="7"/>
        <w:rPr>
          <w:rFonts w:hint="eastAsia" w:ascii="仿宋" w:hAnsi="仿宋" w:eastAsia="仿宋"/>
          <w:sz w:val="32"/>
          <w:szCs w:val="32"/>
          <w:lang w:eastAsia="zh-CN"/>
        </w:rPr>
      </w:pPr>
      <w:r>
        <w:drawing>
          <wp:inline distT="0" distB="0" distL="114300" distR="114300">
            <wp:extent cx="5133975" cy="29413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133975" cy="2941320"/>
                    </a:xfrm>
                    <a:prstGeom prst="rect">
                      <a:avLst/>
                    </a:prstGeom>
                    <a:noFill/>
                    <a:ln>
                      <a:noFill/>
                    </a:ln>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22年一般公共预算财政拨款支出583.15万元，主要用于以下方面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483.61万元，占</w:t>
      </w:r>
      <w:r>
        <w:rPr>
          <w:rFonts w:hint="eastAsia" w:ascii="仿宋" w:hAnsi="仿宋" w:eastAsia="仿宋"/>
          <w:sz w:val="32"/>
          <w:szCs w:val="32"/>
          <w:lang w:val="en-US" w:eastAsia="zh-CN"/>
        </w:rPr>
        <w:t>82.93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44.24万元，占</w:t>
      </w:r>
      <w:r>
        <w:rPr>
          <w:rFonts w:hint="eastAsia" w:ascii="仿宋" w:hAnsi="仿宋" w:eastAsia="仿宋"/>
          <w:sz w:val="32"/>
          <w:szCs w:val="32"/>
          <w:lang w:val="en-US" w:eastAsia="zh-CN"/>
        </w:rPr>
        <w:t>7.59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22.12万元，占</w:t>
      </w:r>
      <w:r>
        <w:rPr>
          <w:rFonts w:hint="eastAsia" w:ascii="仿宋" w:hAnsi="仿宋" w:eastAsia="仿宋"/>
          <w:sz w:val="32"/>
          <w:szCs w:val="32"/>
          <w:lang w:val="en-US" w:eastAsia="zh-CN"/>
        </w:rPr>
        <w:t>3.79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33.18万元，占</w:t>
      </w:r>
      <w:r>
        <w:rPr>
          <w:rFonts w:hint="eastAsia" w:ascii="仿宋" w:hAnsi="仿宋" w:eastAsia="仿宋"/>
          <w:sz w:val="32"/>
          <w:szCs w:val="32"/>
          <w:lang w:val="en-US" w:eastAsia="zh-CN"/>
        </w:rPr>
        <w:t>5.69</w:t>
      </w:r>
      <w:r>
        <w:rPr>
          <w:rFonts w:ascii="仿宋" w:hAnsi="仿宋" w:eastAsia="仿宋"/>
          <w:sz w:val="32"/>
          <w:szCs w:val="32"/>
        </w:rPr>
        <w:t>%</w:t>
      </w:r>
      <w:r>
        <w:rPr>
          <w:rFonts w:hint="eastAsia" w:ascii="仿宋" w:hAnsi="仿宋" w:eastAsia="仿宋"/>
          <w:sz w:val="32"/>
          <w:szCs w:val="32"/>
        </w:rPr>
        <w:t>。</w:t>
      </w:r>
    </w:p>
    <w:p>
      <w:pPr>
        <w:pStyle w:val="7"/>
        <w:rPr>
          <w:rFonts w:hint="eastAsia" w:ascii="仿宋" w:hAnsi="仿宋" w:eastAsia="仿宋"/>
          <w:sz w:val="32"/>
          <w:szCs w:val="32"/>
        </w:rPr>
      </w:pPr>
      <w:r>
        <w:drawing>
          <wp:inline distT="0" distB="0" distL="114300" distR="114300">
            <wp:extent cx="5041900" cy="294132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041900" cy="2941320"/>
                    </a:xfrm>
                    <a:prstGeom prst="rect">
                      <a:avLst/>
                    </a:prstGeom>
                    <a:noFill/>
                    <a:ln>
                      <a:noFill/>
                    </a:ln>
                  </pic:spPr>
                </pic:pic>
              </a:graphicData>
            </a:graphic>
          </wp:inline>
        </w:drawing>
      </w:r>
    </w:p>
    <w:p>
      <w:pPr>
        <w:spacing w:line="600" w:lineRule="exact"/>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b/>
          <w:sz w:val="32"/>
          <w:szCs w:val="32"/>
        </w:rPr>
      </w:pPr>
      <w:bookmarkStart w:id="33" w:name="_Toc15377444"/>
      <w:bookmarkStart w:id="34" w:name="_Toc15377213"/>
      <w:bookmarkStart w:id="35" w:name="_Toc15378460"/>
      <w:r>
        <w:rPr>
          <w:rFonts w:hint="eastAsia" w:ascii="仿宋" w:hAnsi="仿宋" w:eastAsia="仿宋"/>
          <w:b/>
          <w:sz w:val="32"/>
          <w:szCs w:val="32"/>
        </w:rPr>
        <w:t>2022年一般公共预算支出决算数为</w:t>
      </w:r>
      <w:r>
        <w:rPr>
          <w:rFonts w:hint="eastAsia" w:ascii="仿宋" w:hAnsi="仿宋" w:eastAsia="仿宋"/>
          <w:sz w:val="32"/>
          <w:szCs w:val="32"/>
        </w:rPr>
        <w:t>583.15，</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普通教育</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小学教育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rPr>
        <w:t>483.61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机关事业单位养老保险支出</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Fonts w:hint="eastAsia" w:ascii="仿宋" w:hAnsi="仿宋" w:eastAsia="仿宋"/>
          <w:sz w:val="32"/>
          <w:szCs w:val="32"/>
        </w:rPr>
        <w:t>44.24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事业单位医疗</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rPr>
        <w:t>22.12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 w:hAnsi="仿宋" w:eastAsia="仿宋"/>
          <w:b/>
          <w:bCs/>
          <w:sz w:val="32"/>
          <w:szCs w:val="32"/>
          <w:lang w:eastAsia="zh-CN"/>
        </w:rPr>
        <w:t>住房保障支出</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住房改革支出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住房公积金</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Fonts w:hint="eastAsia" w:ascii="仿宋" w:hAnsi="仿宋" w:eastAsia="仿宋"/>
          <w:sz w:val="32"/>
          <w:szCs w:val="32"/>
        </w:rPr>
        <w:t>33.18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tabs>
          <w:tab w:val="right" w:pos="8306"/>
        </w:tabs>
        <w:spacing w:line="600" w:lineRule="exact"/>
        <w:ind w:firstLine="640"/>
        <w:outlineLvl w:val="1"/>
        <w:rPr>
          <w:rStyle w:val="27"/>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6"/>
      <w:bookmarkEnd w:id="37"/>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583.15</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人员经费543.34万元，主要包括：基本工资185.6</w:t>
      </w:r>
      <w:r>
        <w:rPr>
          <w:rFonts w:hint="eastAsia" w:ascii="仿宋" w:hAnsi="仿宋" w:eastAsia="仿宋"/>
          <w:sz w:val="32"/>
          <w:szCs w:val="32"/>
          <w:lang w:eastAsia="zh-CN"/>
        </w:rPr>
        <w:t>万元</w:t>
      </w:r>
      <w:r>
        <w:rPr>
          <w:rFonts w:hint="eastAsia" w:ascii="仿宋" w:hAnsi="仿宋" w:eastAsia="仿宋"/>
          <w:sz w:val="32"/>
          <w:szCs w:val="32"/>
        </w:rPr>
        <w:t>、津贴补贴22.28</w:t>
      </w:r>
      <w:r>
        <w:rPr>
          <w:rFonts w:hint="eastAsia" w:ascii="仿宋" w:hAnsi="仿宋" w:eastAsia="仿宋"/>
          <w:sz w:val="32"/>
          <w:szCs w:val="32"/>
          <w:lang w:eastAsia="zh-CN"/>
        </w:rPr>
        <w:t>万元</w:t>
      </w:r>
      <w:r>
        <w:rPr>
          <w:rFonts w:hint="eastAsia" w:ascii="仿宋" w:hAnsi="仿宋" w:eastAsia="仿宋"/>
          <w:sz w:val="32"/>
          <w:szCs w:val="32"/>
        </w:rPr>
        <w:t>、奖金57.2</w:t>
      </w:r>
      <w:r>
        <w:rPr>
          <w:rFonts w:hint="eastAsia" w:ascii="仿宋" w:hAnsi="仿宋" w:eastAsia="仿宋"/>
          <w:sz w:val="32"/>
          <w:szCs w:val="32"/>
          <w:lang w:eastAsia="zh-CN"/>
        </w:rPr>
        <w:t>万元</w:t>
      </w:r>
      <w:r>
        <w:rPr>
          <w:rFonts w:hint="eastAsia" w:ascii="仿宋" w:hAnsi="仿宋" w:eastAsia="仿宋"/>
          <w:sz w:val="32"/>
          <w:szCs w:val="32"/>
        </w:rPr>
        <w:t>、绩效工资108.33</w:t>
      </w:r>
      <w:r>
        <w:rPr>
          <w:rFonts w:hint="eastAsia" w:ascii="仿宋" w:hAnsi="仿宋" w:eastAsia="仿宋"/>
          <w:sz w:val="32"/>
          <w:szCs w:val="32"/>
          <w:lang w:eastAsia="zh-CN"/>
        </w:rPr>
        <w:t>万元</w:t>
      </w:r>
      <w:r>
        <w:rPr>
          <w:rFonts w:hint="eastAsia" w:ascii="仿宋" w:hAnsi="仿宋" w:eastAsia="仿宋"/>
          <w:sz w:val="32"/>
          <w:szCs w:val="32"/>
        </w:rPr>
        <w:t>、机关事业单位基本养老保险缴费44.24</w:t>
      </w:r>
      <w:r>
        <w:rPr>
          <w:rFonts w:hint="eastAsia" w:ascii="仿宋" w:hAnsi="仿宋" w:eastAsia="仿宋"/>
          <w:sz w:val="32"/>
          <w:szCs w:val="32"/>
          <w:lang w:eastAsia="zh-CN"/>
        </w:rPr>
        <w:t>万元</w:t>
      </w:r>
      <w:r>
        <w:rPr>
          <w:rFonts w:hint="eastAsia" w:ascii="仿宋" w:hAnsi="仿宋" w:eastAsia="仿宋"/>
          <w:sz w:val="32"/>
          <w:szCs w:val="32"/>
        </w:rPr>
        <w:t>、其他社会保障缴费3.04</w:t>
      </w:r>
      <w:r>
        <w:rPr>
          <w:rFonts w:hint="eastAsia" w:ascii="仿宋" w:hAnsi="仿宋" w:eastAsia="仿宋"/>
          <w:sz w:val="32"/>
          <w:szCs w:val="32"/>
          <w:lang w:eastAsia="zh-CN"/>
        </w:rPr>
        <w:t>万元</w:t>
      </w:r>
      <w:r>
        <w:rPr>
          <w:rFonts w:hint="eastAsia" w:ascii="仿宋" w:hAnsi="仿宋" w:eastAsia="仿宋"/>
          <w:sz w:val="32"/>
          <w:szCs w:val="32"/>
        </w:rPr>
        <w:t>、其他工资福利支出5.78</w:t>
      </w:r>
      <w:r>
        <w:rPr>
          <w:rFonts w:hint="eastAsia" w:ascii="仿宋" w:hAnsi="仿宋" w:eastAsia="仿宋"/>
          <w:sz w:val="32"/>
          <w:szCs w:val="32"/>
          <w:lang w:eastAsia="zh-CN"/>
        </w:rPr>
        <w:t>万元</w:t>
      </w:r>
      <w:r>
        <w:rPr>
          <w:rFonts w:hint="eastAsia" w:ascii="仿宋" w:hAnsi="仿宋" w:eastAsia="仿宋"/>
          <w:sz w:val="32"/>
          <w:szCs w:val="32"/>
        </w:rPr>
        <w:t>、生活补助60.27</w:t>
      </w:r>
      <w:r>
        <w:rPr>
          <w:rFonts w:hint="eastAsia" w:ascii="仿宋" w:hAnsi="仿宋" w:eastAsia="仿宋"/>
          <w:sz w:val="32"/>
          <w:szCs w:val="32"/>
          <w:lang w:eastAsia="zh-CN"/>
        </w:rPr>
        <w:t>万元</w:t>
      </w:r>
      <w:r>
        <w:rPr>
          <w:rFonts w:hint="eastAsia" w:ascii="仿宋" w:hAnsi="仿宋" w:eastAsia="仿宋"/>
          <w:sz w:val="32"/>
          <w:szCs w:val="32"/>
        </w:rPr>
        <w:t>、医疗费补助22.12</w:t>
      </w:r>
      <w:r>
        <w:rPr>
          <w:rFonts w:hint="eastAsia" w:ascii="仿宋" w:hAnsi="仿宋" w:eastAsia="仿宋"/>
          <w:sz w:val="32"/>
          <w:szCs w:val="32"/>
          <w:lang w:eastAsia="zh-CN"/>
        </w:rPr>
        <w:t>万元</w:t>
      </w:r>
      <w:r>
        <w:rPr>
          <w:rFonts w:hint="eastAsia" w:ascii="仿宋" w:hAnsi="仿宋" w:eastAsia="仿宋"/>
          <w:sz w:val="32"/>
          <w:szCs w:val="32"/>
        </w:rPr>
        <w:t>、住房公积金33.18</w:t>
      </w:r>
      <w:r>
        <w:rPr>
          <w:rFonts w:hint="eastAsia" w:ascii="仿宋" w:hAnsi="仿宋" w:eastAsia="仿宋"/>
          <w:sz w:val="32"/>
          <w:szCs w:val="32"/>
          <w:lang w:eastAsia="zh-CN"/>
        </w:rPr>
        <w:t>万元</w:t>
      </w:r>
      <w:r>
        <w:rPr>
          <w:rFonts w:hint="eastAsia" w:ascii="仿宋" w:hAnsi="仿宋" w:eastAsia="仿宋"/>
          <w:sz w:val="32"/>
          <w:szCs w:val="32"/>
        </w:rPr>
        <w:t>、其他对个人和家庭的补助支出1.31</w:t>
      </w:r>
      <w:r>
        <w:rPr>
          <w:rFonts w:hint="eastAsia" w:ascii="仿宋" w:hAnsi="仿宋" w:eastAsia="仿宋"/>
          <w:sz w:val="32"/>
          <w:szCs w:val="32"/>
          <w:lang w:eastAsia="zh-CN"/>
        </w:rPr>
        <w:t>万元</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仿宋" w:hAnsi="仿宋" w:eastAsia="仿宋"/>
          <w:sz w:val="32"/>
          <w:szCs w:val="32"/>
        </w:rPr>
        <w:t>公用经费39.81万元，主要包括：办公费13.38</w:t>
      </w:r>
      <w:r>
        <w:rPr>
          <w:rFonts w:hint="eastAsia" w:ascii="仿宋" w:hAnsi="仿宋" w:eastAsia="仿宋"/>
          <w:sz w:val="32"/>
          <w:szCs w:val="32"/>
          <w:lang w:eastAsia="zh-CN"/>
        </w:rPr>
        <w:t>万元</w:t>
      </w:r>
      <w:r>
        <w:rPr>
          <w:rFonts w:hint="eastAsia" w:ascii="仿宋" w:hAnsi="仿宋" w:eastAsia="仿宋"/>
          <w:sz w:val="32"/>
          <w:szCs w:val="32"/>
        </w:rPr>
        <w:t>、印刷费3.2</w:t>
      </w:r>
      <w:r>
        <w:rPr>
          <w:rFonts w:hint="eastAsia" w:ascii="仿宋" w:hAnsi="仿宋" w:eastAsia="仿宋"/>
          <w:sz w:val="32"/>
          <w:szCs w:val="32"/>
          <w:lang w:eastAsia="zh-CN"/>
        </w:rPr>
        <w:t>万元</w:t>
      </w:r>
      <w:r>
        <w:rPr>
          <w:rFonts w:hint="eastAsia" w:ascii="仿宋" w:hAnsi="仿宋" w:eastAsia="仿宋"/>
          <w:sz w:val="32"/>
          <w:szCs w:val="32"/>
        </w:rPr>
        <w:t>、水费2.5</w:t>
      </w:r>
      <w:r>
        <w:rPr>
          <w:rFonts w:hint="eastAsia" w:ascii="仿宋" w:hAnsi="仿宋" w:eastAsia="仿宋"/>
          <w:sz w:val="32"/>
          <w:szCs w:val="32"/>
          <w:lang w:eastAsia="zh-CN"/>
        </w:rPr>
        <w:t>万元</w:t>
      </w:r>
      <w:r>
        <w:rPr>
          <w:rFonts w:hint="eastAsia" w:ascii="仿宋" w:hAnsi="仿宋" w:eastAsia="仿宋"/>
          <w:sz w:val="32"/>
          <w:szCs w:val="32"/>
        </w:rPr>
        <w:t>、电费</w:t>
      </w:r>
      <w:r>
        <w:rPr>
          <w:rFonts w:hint="eastAsia" w:ascii="仿宋" w:hAnsi="仿宋" w:eastAsia="仿宋"/>
          <w:sz w:val="32"/>
          <w:szCs w:val="32"/>
          <w:lang w:val="en-US" w:eastAsia="zh-CN"/>
        </w:rPr>
        <w:t>4万元</w:t>
      </w:r>
      <w:r>
        <w:rPr>
          <w:rFonts w:hint="eastAsia" w:ascii="仿宋" w:hAnsi="仿宋" w:eastAsia="仿宋"/>
          <w:sz w:val="32"/>
          <w:szCs w:val="32"/>
        </w:rPr>
        <w:t>、差旅费7.2</w:t>
      </w:r>
      <w:r>
        <w:rPr>
          <w:rFonts w:hint="eastAsia" w:ascii="仿宋" w:hAnsi="仿宋" w:eastAsia="仿宋"/>
          <w:sz w:val="32"/>
          <w:szCs w:val="32"/>
          <w:lang w:eastAsia="zh-CN"/>
        </w:rPr>
        <w:t>万元</w:t>
      </w:r>
      <w:r>
        <w:rPr>
          <w:rFonts w:hint="eastAsia" w:ascii="仿宋" w:hAnsi="仿宋" w:eastAsia="仿宋"/>
          <w:sz w:val="32"/>
          <w:szCs w:val="32"/>
        </w:rPr>
        <w:t>、维修（护）费</w:t>
      </w:r>
      <w:r>
        <w:rPr>
          <w:rFonts w:hint="eastAsia" w:ascii="仿宋" w:hAnsi="仿宋" w:eastAsia="仿宋"/>
          <w:sz w:val="32"/>
          <w:szCs w:val="32"/>
          <w:lang w:val="en-US" w:eastAsia="zh-CN"/>
        </w:rPr>
        <w:t>5万元</w:t>
      </w:r>
      <w:r>
        <w:rPr>
          <w:rFonts w:hint="eastAsia" w:ascii="仿宋" w:hAnsi="仿宋" w:eastAsia="仿宋"/>
          <w:sz w:val="32"/>
          <w:szCs w:val="32"/>
        </w:rPr>
        <w:t>、培训费</w:t>
      </w:r>
      <w:r>
        <w:rPr>
          <w:rFonts w:hint="eastAsia" w:ascii="仿宋" w:hAnsi="仿宋" w:eastAsia="仿宋"/>
          <w:sz w:val="32"/>
          <w:szCs w:val="32"/>
          <w:lang w:val="en-US" w:eastAsia="zh-CN"/>
        </w:rPr>
        <w:t>2.5万元</w:t>
      </w:r>
      <w:r>
        <w:rPr>
          <w:rFonts w:hint="eastAsia" w:ascii="仿宋" w:hAnsi="仿宋" w:eastAsia="仿宋"/>
          <w:sz w:val="32"/>
          <w:szCs w:val="32"/>
        </w:rPr>
        <w:t>、公务接待费</w:t>
      </w:r>
      <w:r>
        <w:rPr>
          <w:rFonts w:hint="eastAsia" w:ascii="仿宋" w:hAnsi="仿宋" w:eastAsia="仿宋"/>
          <w:sz w:val="32"/>
          <w:szCs w:val="32"/>
          <w:lang w:val="en-US" w:eastAsia="zh-CN"/>
        </w:rPr>
        <w:t>0.38万元</w:t>
      </w:r>
      <w:r>
        <w:rPr>
          <w:rFonts w:hint="eastAsia" w:ascii="仿宋" w:hAnsi="仿宋" w:eastAsia="仿宋"/>
          <w:sz w:val="32"/>
          <w:szCs w:val="32"/>
        </w:rPr>
        <w:t>、工会经费</w:t>
      </w:r>
      <w:r>
        <w:rPr>
          <w:rFonts w:hint="eastAsia" w:ascii="仿宋" w:hAnsi="仿宋" w:eastAsia="仿宋"/>
          <w:sz w:val="32"/>
          <w:szCs w:val="32"/>
          <w:lang w:val="en-US" w:eastAsia="zh-CN"/>
        </w:rPr>
        <w:t>1.65万元</w:t>
      </w:r>
      <w:r>
        <w:rPr>
          <w:rFonts w:hint="eastAsia" w:ascii="仿宋" w:hAnsi="仿宋" w:eastAsia="仿宋"/>
          <w:sz w:val="32"/>
          <w:szCs w:val="32"/>
        </w:rPr>
        <w:t>。</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7"/>
          <w:rFonts w:ascii="黑体" w:hAnsi="黑体" w:eastAsia="黑体"/>
          <w:b w:val="0"/>
        </w:rPr>
      </w:pPr>
      <w:bookmarkStart w:id="38" w:name="_Toc15396609"/>
      <w:bookmarkStart w:id="39"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sz w:val="32"/>
          <w:szCs w:val="32"/>
        </w:rPr>
      </w:pPr>
      <w:r>
        <w:drawing>
          <wp:anchor distT="0" distB="0" distL="114300" distR="114300" simplePos="0" relativeHeight="251659264" behindDoc="1" locked="0" layoutInCell="1" allowOverlap="1">
            <wp:simplePos x="0" y="0"/>
            <wp:positionH relativeFrom="column">
              <wp:posOffset>410845</wp:posOffset>
            </wp:positionH>
            <wp:positionV relativeFrom="paragraph">
              <wp:posOffset>120015</wp:posOffset>
            </wp:positionV>
            <wp:extent cx="4591050" cy="3189605"/>
            <wp:effectExtent l="4445" t="4445" r="6985" b="6350"/>
            <wp:wrapNone/>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20年持平，主要原因是无因公出国（境）安排。</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0</w:t>
      </w:r>
      <w:r>
        <w:rPr>
          <w:rFonts w:hint="eastAsia" w:ascii="仿宋" w:hAnsi="仿宋" w:eastAsia="仿宋"/>
          <w:sz w:val="32"/>
          <w:szCs w:val="32"/>
        </w:rPr>
        <w:t>辆，其中：轿车</w:t>
      </w:r>
      <w:r>
        <w:rPr>
          <w:rFonts w:hint="eastAsia" w:ascii="仿宋" w:hAnsi="仿宋" w:eastAsia="仿宋"/>
          <w:sz w:val="32"/>
          <w:szCs w:val="32"/>
          <w:lang w:val="en-US" w:eastAsia="zh-CN"/>
        </w:rPr>
        <w:t>0</w:t>
      </w:r>
      <w:r>
        <w:rPr>
          <w:rFonts w:hint="eastAsia" w:ascii="仿宋" w:hAnsi="仿宋" w:eastAsia="仿宋"/>
          <w:sz w:val="32"/>
          <w:szCs w:val="32"/>
        </w:rPr>
        <w:t>辆、越野车0辆、载客汽车0辆。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万元。主要用于全县交通安全管理等所需的公务用车燃料费、维修费、过路过桥费、保险费等支出。</w:t>
      </w:r>
    </w:p>
    <w:p>
      <w:pPr>
        <w:spacing w:line="600" w:lineRule="exact"/>
        <w:ind w:firstLine="640"/>
        <w:rPr>
          <w:rFonts w:ascii="仿宋_GB2312" w:eastAsia="仿宋_GB2312"/>
          <w:sz w:val="32"/>
          <w:szCs w:val="32"/>
        </w:rPr>
      </w:pPr>
      <w:bookmarkStart w:id="42" w:name="_Toc15396610"/>
      <w:bookmarkStart w:id="43" w:name="_Toc15377218"/>
      <w:bookmarkStart w:id="44" w:name="_Toc15377221"/>
      <w:bookmarkStart w:id="45" w:name="_Toc15396612"/>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bookmarkStart w:id="66" w:name="_GoBack"/>
      <w:bookmarkEnd w:id="66"/>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0.32</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533.33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本年度开展业务活动用餐费</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万元，主要用于开展业务活动用餐费。国内公务接待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76</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eastAsia="zh-CN"/>
        </w:rPr>
        <w:t>兄弟学校来校篮球友谊联盟活动接待用餐，</w:t>
      </w:r>
      <w:r>
        <w:rPr>
          <w:rFonts w:hint="eastAsia" w:ascii="仿宋_GB2312" w:eastAsia="仿宋_GB2312"/>
          <w:sz w:val="32"/>
          <w:szCs w:val="32"/>
          <w:lang w:val="en-US" w:eastAsia="zh-CN"/>
        </w:rPr>
        <w:t>用餐费40元/人</w:t>
      </w:r>
      <w:r>
        <w:rPr>
          <w:rFonts w:hint="eastAsia" w:ascii="仿宋_GB2312" w:eastAsia="仿宋_GB2312"/>
          <w:sz w:val="32"/>
          <w:szCs w:val="32"/>
        </w:rPr>
        <w:t>。</w:t>
      </w:r>
    </w:p>
    <w:p>
      <w:pPr>
        <w:spacing w:line="600" w:lineRule="exact"/>
        <w:ind w:firstLine="640"/>
        <w:outlineLvl w:val="1"/>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7"/>
          <w:rFonts w:ascii="黑体" w:hAnsi="黑体" w:eastAsia="黑体"/>
          <w:b w:val="0"/>
        </w:rPr>
      </w:pPr>
      <w:bookmarkStart w:id="46" w:name="_Toc15377219"/>
      <w:bookmarkStart w:id="47" w:name="_Toc15396611"/>
      <w:r>
        <w:rPr>
          <w:rStyle w:val="27"/>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7"/>
          <w:rFonts w:ascii="黑体" w:hAnsi="黑体" w:eastAsia="黑体"/>
          <w:b w:val="0"/>
        </w:rPr>
      </w:pPr>
      <w:r>
        <w:rPr>
          <w:rStyle w:val="27"/>
          <w:rFonts w:hint="eastAsia" w:ascii="黑体" w:hAnsi="黑体" w:eastAsia="黑体"/>
          <w:b w:val="0"/>
        </w:rPr>
        <w:t>其他重要事项的情况说明</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s="仿宋_GB2312"/>
          <w:color w:val="000000"/>
          <w:sz w:val="32"/>
          <w:szCs w:val="32"/>
        </w:rPr>
        <w:t>我校无机关运行经费</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autoSpaceDE w:val="0"/>
        <w:autoSpaceDN w:val="0"/>
        <w:adjustRightInd w:val="0"/>
        <w:spacing w:line="600" w:lineRule="exact"/>
        <w:ind w:firstLine="640" w:firstLineChars="200"/>
        <w:jc w:val="left"/>
        <w:outlineLvl w:val="2"/>
        <w:rPr>
          <w:rFonts w:hint="eastAsia" w:ascii="仿宋_GB2312" w:eastAsia="仿宋_GB2312" w:cs="仿宋_GB2312"/>
          <w:color w:val="000000"/>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cs="仿宋_GB2312"/>
          <w:color w:val="000000"/>
          <w:sz w:val="32"/>
          <w:szCs w:val="32"/>
        </w:rPr>
        <w:t>我校无政府集中采购</w:t>
      </w:r>
      <w:r>
        <w:rPr>
          <w:rFonts w:hint="eastAsia" w:ascii="仿宋_GB2312" w:eastAsia="仿宋_GB2312" w:cs="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s="仿宋_GB2312"/>
          <w:color w:val="000000"/>
          <w:sz w:val="32"/>
          <w:szCs w:val="32"/>
        </w:rPr>
        <w:t>我校无公用车辆</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根据预算绩效管理要求，</w:t>
      </w:r>
      <w:r>
        <w:rPr>
          <w:rFonts w:hint="eastAsia" w:ascii="仿宋_GB2312" w:eastAsia="仿宋_GB2312"/>
          <w:color w:val="000000"/>
          <w:sz w:val="32"/>
          <w:szCs w:val="32"/>
          <w:lang w:eastAsia="zh-CN"/>
        </w:rPr>
        <w:t>我</w:t>
      </w:r>
      <w:r>
        <w:rPr>
          <w:rFonts w:hint="eastAsia" w:ascii="仿宋_GB2312" w:eastAsia="仿宋_GB2312"/>
          <w:color w:val="000000"/>
          <w:sz w:val="32"/>
          <w:szCs w:val="32"/>
        </w:rPr>
        <w:t>校在202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年度预算编制阶段，组织对</w:t>
      </w:r>
      <w:r>
        <w:rPr>
          <w:rFonts w:hint="eastAsia" w:ascii="仿宋_GB2312" w:eastAsia="仿宋_GB2312"/>
          <w:color w:val="000000"/>
          <w:sz w:val="32"/>
          <w:szCs w:val="32"/>
          <w:lang w:eastAsia="zh-CN"/>
        </w:rPr>
        <w:t>“</w:t>
      </w:r>
      <w:r>
        <w:rPr>
          <w:rFonts w:hint="eastAsia" w:ascii="仿宋_GB2312" w:eastAsia="仿宋_GB2312"/>
          <w:color w:val="000000"/>
          <w:sz w:val="32"/>
          <w:szCs w:val="32"/>
        </w:rPr>
        <w:t>乡村少年宫</w:t>
      </w:r>
      <w:r>
        <w:rPr>
          <w:rFonts w:hint="eastAsia" w:ascii="仿宋_GB2312" w:eastAsia="仿宋_GB2312"/>
          <w:color w:val="000000"/>
          <w:sz w:val="32"/>
          <w:szCs w:val="32"/>
          <w:lang w:eastAsia="zh-CN"/>
        </w:rPr>
        <w:t>”和“教师周转房”</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个项目开展了预算事前绩效评估，对</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个项目编制了绩效目标，预算执行过程中，选取两个项目开展绩效监控，年终执行完毕后，对2个项目开展了绩效自评。同时，本部门对202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年部门整体开展绩效自评，《202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柳沟小</w:t>
      </w:r>
      <w:r>
        <w:rPr>
          <w:rFonts w:hint="eastAsia" w:ascii="仿宋_GB2312" w:eastAsia="仿宋_GB2312"/>
          <w:color w:val="000000"/>
          <w:sz w:val="32"/>
          <w:szCs w:val="32"/>
        </w:rPr>
        <w:t>学校整体绩效评价报告》见附件</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（第四部分）</w:t>
      </w:r>
    </w:p>
    <w:p>
      <w:pPr>
        <w:spacing w:line="56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中央专项彩票公益金支持乡村少年宫项目运转补助资金项目绩效目标完成情况综述。项目全年预算数</w:t>
      </w:r>
      <w:r>
        <w:rPr>
          <w:rFonts w:hint="eastAsia" w:ascii="仿宋_GB2312" w:eastAsia="仿宋_GB2312"/>
          <w:color w:val="000000"/>
          <w:sz w:val="32"/>
          <w:szCs w:val="32"/>
          <w:lang w:val="en-US" w:eastAsia="zh-CN"/>
        </w:rPr>
        <w:t>3.92</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2.92</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74.46</w:t>
      </w:r>
      <w:r>
        <w:rPr>
          <w:rFonts w:hint="eastAsia" w:ascii="仿宋_GB2312" w:eastAsia="仿宋_GB2312"/>
          <w:color w:val="000000"/>
          <w:sz w:val="32"/>
          <w:szCs w:val="32"/>
        </w:rPr>
        <w:t>%。通过项目实施，抓好乡村学校少年宫建设和管理，强化未成年人思想道德建设；使少年宫的活动内容丰富多彩、寓教于乐。发现的主要问题：乡村少年宫因场地的不足，学生参与面不够广，本校教师师资力量有限，又因经费不足无法聘用外来教师。下一步改进措施：需加强资金的投入，用于扩大场地及本校教师的外出专业培训。《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柳沟小</w:t>
      </w:r>
      <w:r>
        <w:rPr>
          <w:rFonts w:hint="eastAsia" w:ascii="仿宋_GB2312" w:eastAsia="仿宋_GB2312"/>
          <w:color w:val="000000"/>
          <w:sz w:val="32"/>
          <w:szCs w:val="32"/>
        </w:rPr>
        <w:t>学校中央专项彩票公益金支持乡村少年宫绩效评价报告》见附件</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（第四部分）</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 w:hAnsi="仿宋" w:eastAsia="仿宋" w:cs="仿宋"/>
          <w:sz w:val="30"/>
          <w:szCs w:val="30"/>
        </w:rPr>
        <w:t>剑阁县</w:t>
      </w:r>
      <w:r>
        <w:rPr>
          <w:rFonts w:hint="eastAsia" w:ascii="仿宋" w:hAnsi="仿宋" w:eastAsia="仿宋" w:cs="仿宋"/>
          <w:sz w:val="30"/>
          <w:szCs w:val="30"/>
          <w:lang w:eastAsia="zh-CN"/>
        </w:rPr>
        <w:t>柳沟小学</w:t>
      </w:r>
      <w:r>
        <w:rPr>
          <w:rFonts w:hint="eastAsia" w:ascii="仿宋" w:hAnsi="仿宋" w:eastAsia="仿宋" w:cs="仿宋"/>
          <w:sz w:val="30"/>
          <w:szCs w:val="30"/>
        </w:rPr>
        <w:t>校202</w:t>
      </w:r>
      <w:r>
        <w:rPr>
          <w:rFonts w:hint="eastAsia" w:ascii="仿宋" w:hAnsi="仿宋" w:eastAsia="仿宋" w:cs="仿宋"/>
          <w:sz w:val="30"/>
          <w:szCs w:val="30"/>
          <w:lang w:val="en-US" w:eastAsia="zh-CN"/>
        </w:rPr>
        <w:t>2</w:t>
      </w:r>
      <w:r>
        <w:rPr>
          <w:rFonts w:hint="eastAsia" w:ascii="仿宋" w:hAnsi="仿宋" w:eastAsia="仿宋" w:cs="仿宋"/>
          <w:sz w:val="30"/>
          <w:szCs w:val="30"/>
        </w:rPr>
        <w:t>年度</w:t>
      </w:r>
      <w:r>
        <w:rPr>
          <w:rFonts w:hint="eastAsia" w:ascii="仿宋_GB2312" w:eastAsia="仿宋_GB2312"/>
          <w:color w:val="000000"/>
          <w:sz w:val="32"/>
          <w:szCs w:val="32"/>
          <w:lang w:eastAsia="zh-CN"/>
        </w:rPr>
        <w:t>教师周转房资金项目</w:t>
      </w:r>
      <w:r>
        <w:rPr>
          <w:rFonts w:hint="eastAsia" w:ascii="仿宋" w:hAnsi="仿宋" w:eastAsia="仿宋" w:cs="仿宋"/>
          <w:sz w:val="30"/>
          <w:szCs w:val="30"/>
        </w:rPr>
        <w:t>绩效目标完成情况综述。项目全年预算数</w:t>
      </w:r>
      <w:r>
        <w:rPr>
          <w:rFonts w:hint="eastAsia" w:ascii="仿宋" w:hAnsi="仿宋" w:eastAsia="仿宋" w:cs="仿宋"/>
          <w:sz w:val="30"/>
          <w:szCs w:val="30"/>
          <w:lang w:val="en-US" w:eastAsia="zh-CN"/>
        </w:rPr>
        <w:t>51</w:t>
      </w:r>
      <w:r>
        <w:rPr>
          <w:rFonts w:hint="eastAsia" w:ascii="仿宋" w:hAnsi="仿宋" w:eastAsia="仿宋" w:cs="仿宋"/>
          <w:sz w:val="30"/>
          <w:szCs w:val="30"/>
        </w:rPr>
        <w:t>万元，执行数为</w:t>
      </w:r>
      <w:r>
        <w:rPr>
          <w:rFonts w:hint="eastAsia" w:ascii="仿宋" w:hAnsi="仿宋" w:eastAsia="仿宋" w:cs="仿宋"/>
          <w:sz w:val="30"/>
          <w:szCs w:val="30"/>
          <w:lang w:val="en-US" w:eastAsia="zh-CN"/>
        </w:rPr>
        <w:t>29.32</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57.5</w:t>
      </w:r>
      <w:r>
        <w:rPr>
          <w:rFonts w:ascii="仿宋" w:hAnsi="仿宋" w:eastAsia="仿宋" w:cs="仿宋"/>
          <w:sz w:val="30"/>
          <w:szCs w:val="30"/>
        </w:rPr>
        <w:t>%</w:t>
      </w:r>
      <w:r>
        <w:rPr>
          <w:rFonts w:hint="eastAsia" w:ascii="仿宋" w:hAnsi="仿宋" w:eastAsia="仿宋" w:cs="仿宋"/>
          <w:sz w:val="30"/>
          <w:szCs w:val="30"/>
        </w:rPr>
        <w:t>。</w:t>
      </w:r>
      <w:r>
        <w:rPr>
          <w:rFonts w:hint="eastAsia" w:ascii="仿宋" w:hAnsi="仿宋" w:eastAsia="仿宋" w:cs="仿宋"/>
          <w:sz w:val="30"/>
          <w:szCs w:val="30"/>
          <w:lang w:eastAsia="zh-CN"/>
        </w:rPr>
        <w:t>工程内容主要包括：新建教师周转宿舍及综合用房 978.3 平方米，满足教师住房需要，保障教师住房安全。</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w:t>
      </w:r>
      <w:r>
        <w:rPr>
          <w:rFonts w:hint="eastAsia" w:ascii="仿宋_GB2312" w:eastAsia="仿宋_GB2312"/>
          <w:color w:val="000000"/>
          <w:sz w:val="32"/>
          <w:szCs w:val="32"/>
          <w:lang w:eastAsia="zh-CN"/>
        </w:rPr>
        <w:t>柳沟小</w:t>
      </w:r>
      <w:r>
        <w:rPr>
          <w:rFonts w:hint="eastAsia" w:ascii="仿宋_GB2312" w:eastAsia="仿宋_GB2312"/>
          <w:color w:val="000000"/>
          <w:sz w:val="32"/>
          <w:szCs w:val="32"/>
        </w:rPr>
        <w:t>学校</w:t>
      </w:r>
      <w:r>
        <w:rPr>
          <w:rFonts w:hint="eastAsia" w:ascii="仿宋" w:hAnsi="仿宋" w:eastAsia="仿宋" w:cs="仿宋"/>
          <w:sz w:val="30"/>
          <w:szCs w:val="30"/>
        </w:rPr>
        <w:t>学生宿舍维修改造项目</w:t>
      </w:r>
      <w:r>
        <w:rPr>
          <w:rFonts w:hint="eastAsia" w:ascii="仿宋_GB2312" w:eastAsia="仿宋_GB2312"/>
          <w:color w:val="000000"/>
          <w:sz w:val="32"/>
          <w:szCs w:val="32"/>
        </w:rPr>
        <w:t>绩效评价报告》见附件</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（第四部分）</w:t>
      </w:r>
    </w:p>
    <w:p>
      <w:pPr>
        <w:widowControl/>
        <w:jc w:val="left"/>
        <w:rPr>
          <w:rFonts w:ascii="仿宋_GB2312" w:eastAsia="仿宋_GB2312"/>
          <w:b/>
          <w:sz w:val="32"/>
          <w:szCs w:val="32"/>
        </w:rPr>
      </w:pPr>
      <w:r>
        <w:rPr>
          <w:rFonts w:ascii="仿宋_GB2312" w:eastAsia="仿宋_GB2312"/>
          <w:b/>
          <w:sz w:val="32"/>
          <w:szCs w:val="32"/>
        </w:rPr>
        <w:br w:type="page"/>
      </w:r>
    </w:p>
    <w:p>
      <w:pPr>
        <w:pStyle w:val="7"/>
        <w:rPr>
          <w:rFonts w:hint="eastAsia"/>
        </w:rPr>
      </w:pPr>
    </w:p>
    <w:bookmarkEnd w:id="44"/>
    <w:bookmarkEnd w:id="45"/>
    <w:p>
      <w:pPr>
        <w:numPr>
          <w:ilvl w:val="0"/>
          <w:numId w:val="4"/>
        </w:numPr>
        <w:spacing w:line="600" w:lineRule="exact"/>
        <w:ind w:firstLine="660" w:firstLineChars="150"/>
        <w:jc w:val="center"/>
        <w:outlineLvl w:val="0"/>
        <w:rPr>
          <w:rStyle w:val="26"/>
          <w:rFonts w:ascii="黑体" w:hAnsi="黑体" w:eastAsia="黑体"/>
          <w:b w:val="0"/>
        </w:rPr>
      </w:pPr>
      <w:bookmarkStart w:id="48" w:name="_Toc15396613"/>
      <w:bookmarkStart w:id="49" w:name="_Toc15377225"/>
      <w:bookmarkStart w:id="50" w:name="_Toc15396614"/>
      <w:bookmarkStart w:id="51" w:name="_Toc15377226"/>
      <w:r>
        <w:rPr>
          <w:rFonts w:hint="eastAsia" w:ascii="黑体" w:hAnsi="黑体" w:eastAsia="黑体"/>
          <w:sz w:val="44"/>
          <w:szCs w:val="44"/>
        </w:rPr>
        <w:t>名</w:t>
      </w:r>
      <w:r>
        <w:rPr>
          <w:rStyle w:val="26"/>
          <w:rFonts w:hint="eastAsia" w:ascii="黑体" w:hAnsi="黑体" w:eastAsia="黑体"/>
          <w:b w:val="0"/>
        </w:rPr>
        <w:t>词解释</w:t>
      </w:r>
      <w:bookmarkEnd w:id="48"/>
      <w:bookmarkEnd w:id="49"/>
    </w:p>
    <w:p>
      <w:pPr>
        <w:spacing w:line="600" w:lineRule="exact"/>
        <w:jc w:val="left"/>
        <w:rPr>
          <w:rFonts w:ascii="宋体"/>
          <w:b/>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.教育支出</w:t>
      </w:r>
      <w:r>
        <w:rPr>
          <w:rFonts w:hint="eastAsia" w:ascii="仿宋_GB2312" w:eastAsia="仿宋_GB2312"/>
          <w:sz w:val="32"/>
          <w:szCs w:val="32"/>
          <w:lang w:eastAsia="zh-CN"/>
        </w:rPr>
        <w:t>（</w:t>
      </w:r>
      <w:r>
        <w:rPr>
          <w:rFonts w:hint="eastAsia" w:ascii="仿宋_GB2312" w:eastAsia="仿宋_GB2312"/>
          <w:sz w:val="32"/>
          <w:szCs w:val="32"/>
          <w:lang w:val="en-US" w:eastAsia="zh-CN"/>
        </w:rPr>
        <w:t>类）普通教育（款）</w:t>
      </w:r>
      <w:r>
        <w:rPr>
          <w:rFonts w:hint="eastAsia" w:ascii="仿宋_GB2312" w:eastAsia="仿宋_GB2312"/>
          <w:sz w:val="32"/>
          <w:szCs w:val="32"/>
        </w:rPr>
        <w:t>学前教育</w:t>
      </w:r>
      <w:r>
        <w:rPr>
          <w:rFonts w:hint="eastAsia" w:ascii="仿宋_GB2312" w:eastAsia="仿宋_GB2312"/>
          <w:sz w:val="32"/>
          <w:szCs w:val="32"/>
          <w:lang w:eastAsia="zh-CN"/>
        </w:rPr>
        <w:t>（</w:t>
      </w:r>
      <w:r>
        <w:rPr>
          <w:rFonts w:hint="eastAsia" w:ascii="仿宋_GB2312" w:eastAsia="仿宋_GB2312"/>
          <w:sz w:val="32"/>
          <w:szCs w:val="32"/>
          <w:lang w:val="en-US" w:eastAsia="zh-CN"/>
        </w:rPr>
        <w:t>项</w:t>
      </w:r>
      <w:r>
        <w:rPr>
          <w:rFonts w:hint="eastAsia" w:ascii="仿宋_GB2312" w:eastAsia="仿宋_GB2312"/>
          <w:sz w:val="32"/>
          <w:szCs w:val="32"/>
          <w:lang w:eastAsia="zh-CN"/>
        </w:rPr>
        <w:t>）</w:t>
      </w:r>
      <w:r>
        <w:rPr>
          <w:rFonts w:hint="eastAsia" w:ascii="仿宋_GB2312" w:eastAsia="仿宋_GB2312"/>
          <w:sz w:val="32"/>
          <w:szCs w:val="32"/>
        </w:rPr>
        <w:t>：反映本单位学前教育支出</w:t>
      </w:r>
      <w:r>
        <w:rPr>
          <w:rFonts w:hint="eastAsia" w:ascii="仿宋_GB2312" w:eastAsia="仿宋_GB2312"/>
          <w:sz w:val="32"/>
          <w:szCs w:val="32"/>
          <w:lang w:eastAsia="zh-CN"/>
        </w:rPr>
        <w:t>；</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.教育支出</w:t>
      </w:r>
      <w:r>
        <w:rPr>
          <w:rFonts w:hint="eastAsia" w:ascii="仿宋_GB2312" w:eastAsia="仿宋_GB2312"/>
          <w:sz w:val="32"/>
          <w:szCs w:val="32"/>
          <w:lang w:eastAsia="zh-CN"/>
        </w:rPr>
        <w:t>（</w:t>
      </w:r>
      <w:r>
        <w:rPr>
          <w:rFonts w:hint="eastAsia" w:ascii="仿宋_GB2312" w:eastAsia="仿宋_GB2312"/>
          <w:sz w:val="32"/>
          <w:szCs w:val="32"/>
          <w:lang w:val="en-US" w:eastAsia="zh-CN"/>
        </w:rPr>
        <w:t>类）普通教育（款）</w:t>
      </w:r>
      <w:r>
        <w:rPr>
          <w:rFonts w:hint="eastAsia" w:ascii="仿宋_GB2312" w:eastAsia="仿宋_GB2312"/>
          <w:sz w:val="32"/>
          <w:szCs w:val="32"/>
        </w:rPr>
        <w:t>小学教育</w:t>
      </w:r>
      <w:r>
        <w:rPr>
          <w:rFonts w:hint="eastAsia" w:ascii="仿宋_GB2312" w:eastAsia="仿宋_GB2312"/>
          <w:sz w:val="32"/>
          <w:szCs w:val="32"/>
          <w:lang w:eastAsia="zh-CN"/>
        </w:rPr>
        <w:t>（</w:t>
      </w:r>
      <w:r>
        <w:rPr>
          <w:rFonts w:hint="eastAsia" w:ascii="仿宋_GB2312" w:eastAsia="仿宋_GB2312"/>
          <w:sz w:val="32"/>
          <w:szCs w:val="32"/>
          <w:lang w:val="en-US" w:eastAsia="zh-CN"/>
        </w:rPr>
        <w:t>项</w:t>
      </w:r>
      <w:r>
        <w:rPr>
          <w:rFonts w:hint="eastAsia" w:ascii="仿宋_GB2312" w:eastAsia="仿宋_GB2312"/>
          <w:sz w:val="32"/>
          <w:szCs w:val="32"/>
          <w:lang w:eastAsia="zh-CN"/>
        </w:rPr>
        <w:t>）</w:t>
      </w:r>
      <w:r>
        <w:rPr>
          <w:rFonts w:hint="eastAsia" w:ascii="仿宋_GB2312" w:eastAsia="仿宋_GB2312"/>
          <w:sz w:val="32"/>
          <w:szCs w:val="32"/>
        </w:rPr>
        <w:t>：反映本单位小学教育支出</w:t>
      </w:r>
      <w:r>
        <w:rPr>
          <w:rFonts w:hint="eastAsia" w:ascii="仿宋_GB2312" w:eastAsia="仿宋_GB2312"/>
          <w:sz w:val="32"/>
          <w:szCs w:val="32"/>
          <w:lang w:eastAsia="zh-CN"/>
        </w:rPr>
        <w:t>；</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val="en-US" w:eastAsia="zh-CN"/>
        </w:rPr>
        <w:t>住房保障支出（类）住房改革支出（款）住房公积金（项）：</w:t>
      </w:r>
      <w:r>
        <w:rPr>
          <w:rFonts w:hint="eastAsia" w:ascii="仿宋_GB2312" w:eastAsia="仿宋_GB2312"/>
          <w:sz w:val="32"/>
          <w:szCs w:val="32"/>
        </w:rPr>
        <w:t>住房公积金反映本单位按人力资源和社会保障部、财政部规定的基本工资和津贴补贴以及规定比例为职工缴纳的住房公积金。</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类）行政事业单位养老保险支出（款）</w:t>
      </w:r>
      <w:r>
        <w:rPr>
          <w:rFonts w:hint="eastAsia" w:ascii="仿宋" w:hAnsi="仿宋" w:eastAsia="仿宋" w:cs="仿宋"/>
          <w:color w:val="000000"/>
          <w:sz w:val="32"/>
          <w:szCs w:val="32"/>
          <w:lang w:val="en-US" w:eastAsia="zh-CN"/>
        </w:rPr>
        <w:t>机关事业单位基本养老保险缴费支出</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项</w:t>
      </w:r>
      <w:r>
        <w:rPr>
          <w:rFonts w:hint="eastAsia" w:hAnsi="仿宋" w:cs="仿宋"/>
          <w:color w:val="000000"/>
          <w:sz w:val="32"/>
          <w:szCs w:val="32"/>
          <w:lang w:val="en-US" w:eastAsia="zh-CN"/>
        </w:rPr>
        <w:t>）</w:t>
      </w:r>
      <w:r>
        <w:rPr>
          <w:rFonts w:hint="eastAsia" w:ascii="仿宋_GB2312" w:eastAsia="仿宋_GB2312"/>
          <w:sz w:val="32"/>
          <w:szCs w:val="32"/>
        </w:rPr>
        <w:t>：机关事业单位基本养老保险缴费支出指机关事业单位实施养老保险制度由单位缴纳的基本养老保险费的支出。</w:t>
      </w:r>
    </w:p>
    <w:p>
      <w:pPr>
        <w:pStyle w:val="24"/>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类）行政事业单位养老保险支出（款）</w:t>
      </w:r>
      <w:r>
        <w:rPr>
          <w:rFonts w:hint="eastAsia" w:ascii="仿宋" w:hAnsi="仿宋" w:eastAsia="仿宋" w:cs="仿宋"/>
          <w:color w:val="000000"/>
          <w:sz w:val="32"/>
          <w:szCs w:val="32"/>
          <w:lang w:val="en-US" w:eastAsia="zh-CN"/>
        </w:rPr>
        <w:t>事业单位离退休</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项</w:t>
      </w:r>
      <w:r>
        <w:rPr>
          <w:rFonts w:hint="eastAsia" w:hAnsi="仿宋" w:cs="仿宋"/>
          <w:color w:val="000000"/>
          <w:sz w:val="32"/>
          <w:szCs w:val="32"/>
          <w:lang w:val="en-US" w:eastAsia="zh-CN"/>
        </w:rPr>
        <w:t>）</w:t>
      </w:r>
      <w:r>
        <w:rPr>
          <w:rFonts w:hint="eastAsia" w:ascii="仿宋" w:hAnsi="仿宋" w:eastAsia="仿宋" w:cs="仿宋"/>
          <w:color w:val="000000"/>
          <w:sz w:val="32"/>
          <w:szCs w:val="32"/>
          <w:lang w:val="en-US" w:eastAsia="zh-CN"/>
        </w:rPr>
        <w:t>：</w:t>
      </w:r>
      <w:r>
        <w:rPr>
          <w:rFonts w:hint="eastAsia" w:hAnsi="仿宋" w:cs="仿宋"/>
          <w:color w:val="000000"/>
          <w:sz w:val="32"/>
          <w:szCs w:val="32"/>
          <w:lang w:val="en-US" w:eastAsia="zh-CN"/>
        </w:rPr>
        <w:t>指单位退休人员一次性补贴以及抚恤金支出。</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ascii="仿宋_GB2312" w:eastAsia="仿宋_GB2312"/>
          <w:sz w:val="32"/>
          <w:szCs w:val="32"/>
          <w:lang w:val="en-US" w:eastAsia="zh-CN"/>
        </w:rPr>
        <w:t>类）行政事业单位医疗（款）事业单位医疗（项）</w:t>
      </w:r>
      <w:r>
        <w:rPr>
          <w:rFonts w:hint="eastAsia" w:ascii="仿宋_GB2312" w:eastAsia="仿宋_GB2312"/>
          <w:sz w:val="32"/>
          <w:szCs w:val="32"/>
        </w:rPr>
        <w:t>：行政单位医疗指财政部门集中安排的行政单位基本医疗保险缴费经费，未参加医疗保险的行政单位的公费医疗经费，按国家规定享受离休人员、红军老战士待遇人员的医疗经费。</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bookmarkEnd w:id="50"/>
    <w:p>
      <w:pPr>
        <w:spacing w:line="600" w:lineRule="exact"/>
        <w:jc w:val="center"/>
        <w:outlineLvl w:val="0"/>
        <w:rPr>
          <w:rStyle w:val="26"/>
          <w:rFonts w:ascii="黑体" w:hAnsi="黑体" w:eastAsia="黑体"/>
          <w:b w:val="0"/>
        </w:rPr>
      </w:pPr>
      <w:bookmarkStart w:id="52" w:name="_Toc15396618"/>
      <w:r>
        <w:rPr>
          <w:rFonts w:hint="eastAsia" w:ascii="黑体" w:hAnsi="黑体" w:eastAsia="黑体"/>
          <w:sz w:val="44"/>
          <w:szCs w:val="44"/>
        </w:rPr>
        <w:t>第</w:t>
      </w:r>
      <w:r>
        <w:rPr>
          <w:rStyle w:val="26"/>
          <w:rFonts w:hint="eastAsia" w:ascii="黑体" w:hAnsi="黑体" w:eastAsia="黑体"/>
          <w:b w:val="0"/>
        </w:rPr>
        <w:t>四部分 附件</w:t>
      </w:r>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72" w:lineRule="exact"/>
        <w:jc w:val="center"/>
        <w:rPr>
          <w:rFonts w:hint="eastAsia" w:ascii="方正小标宋简体" w:hAnsi="宋体" w:eastAsia="方正小标宋简体"/>
          <w:kern w:val="0"/>
          <w:sz w:val="40"/>
          <w:szCs w:val="44"/>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eastAsia="zh-CN"/>
        </w:rPr>
        <w:t>剑阁县柳沟小学校</w:t>
      </w:r>
      <w:r>
        <w:rPr>
          <w:rFonts w:hint="eastAsia" w:ascii="方正小标宋简体" w:hAnsi="宋体" w:eastAsia="方正小标宋简体"/>
          <w:kern w:val="0"/>
          <w:sz w:val="40"/>
          <w:szCs w:val="44"/>
        </w:rPr>
        <w:t>部门整体绩效评价</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spacing w:line="600" w:lineRule="exact"/>
        <w:ind w:firstLine="643" w:firstLineChars="200"/>
        <w:outlineLvl w:val="1"/>
        <w:rPr>
          <w:rFonts w:hint="eastAsia" w:ascii="仿宋" w:hAnsi="仿宋" w:eastAsia="仿宋" w:cs="Times New Roman"/>
          <w:b/>
          <w:bCs/>
          <w:sz w:val="32"/>
          <w:szCs w:val="32"/>
        </w:rPr>
      </w:pPr>
      <w:r>
        <w:rPr>
          <w:rFonts w:hint="eastAsia" w:ascii="仿宋" w:hAnsi="仿宋" w:eastAsia="仿宋" w:cs="Times New Roman"/>
          <w:b/>
          <w:bCs/>
          <w:sz w:val="32"/>
          <w:szCs w:val="32"/>
        </w:rPr>
        <w:t>一、部门（单位）基本情况</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（一）机构组成。</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剑阁县柳沟小学校是全额拨款事业单位，属一级预算单位，无下属二级预算单位。</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（二）机构职能。</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实施小学义务教育，促进基础教育发展</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1、正确贯彻执行党和国家的教育方针、政策、法规。</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2、维护学校的教学秩序，为学生创造良好的学习环境；</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3、积极稳妥地推进教育改革，按教育规律办事，不断提高教育质量；</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4、根据学校规模，设置学校管理机构，建立健全各项规章制度和岗位责任制。</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5、坚持教书育人，服务育人，环境育人方针，加强对学生的思想品德教育，使学生的德智体美全面发展。</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6、抓好教师队伍建设，使每个教师都热心于教育事业；</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7、做好安全防范，保证学生的</w:t>
      </w:r>
      <w:r>
        <w:rPr>
          <w:rFonts w:hint="eastAsia" w:ascii="仿宋" w:hAnsi="仿宋" w:eastAsia="仿宋" w:cs="Times New Roman"/>
          <w:sz w:val="32"/>
          <w:szCs w:val="32"/>
          <w:lang w:eastAsia="zh-CN"/>
        </w:rPr>
        <w:t>人身安全</w:t>
      </w:r>
      <w:r>
        <w:rPr>
          <w:rFonts w:hint="eastAsia" w:ascii="仿宋" w:hAnsi="仿宋" w:eastAsia="仿宋" w:cs="Times New Roman"/>
          <w:sz w:val="32"/>
          <w:szCs w:val="32"/>
        </w:rPr>
        <w:t>。</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（三）人员概况。</w:t>
      </w:r>
    </w:p>
    <w:p>
      <w:pPr>
        <w:spacing w:line="600" w:lineRule="exact"/>
        <w:ind w:firstLine="640" w:firstLineChars="200"/>
        <w:outlineLvl w:val="1"/>
        <w:rPr>
          <w:rFonts w:hint="eastAsia" w:ascii="仿宋" w:hAnsi="仿宋" w:eastAsia="仿宋" w:cs="Times New Roman"/>
          <w:sz w:val="32"/>
          <w:szCs w:val="32"/>
        </w:rPr>
      </w:pPr>
      <w:r>
        <w:rPr>
          <w:rFonts w:hint="eastAsia" w:ascii="仿宋" w:hAnsi="仿宋" w:eastAsia="仿宋" w:cs="Times New Roman"/>
          <w:sz w:val="32"/>
          <w:szCs w:val="32"/>
        </w:rPr>
        <w:t>剑阁县柳沟小学校总编制38名，其中行政编制0名，参公编制0名，管理岗编制1名，专业技术编制26名，事业工勤编制1名。在职人员总数39人，其中行政人员0人，参公人员0人，事业人员37人（专业技术岗位36名、事业工勤1名，），特岗教师1名，工勤人员0人；离休人员0人，退休</w:t>
      </w:r>
      <w:r>
        <w:rPr>
          <w:rFonts w:hint="eastAsia" w:ascii="仿宋" w:hAnsi="仿宋" w:eastAsia="仿宋" w:cs="Times New Roman"/>
          <w:sz w:val="32"/>
          <w:szCs w:val="32"/>
          <w:lang w:eastAsia="zh-CN"/>
        </w:rPr>
        <w:t>人员</w:t>
      </w:r>
      <w:r>
        <w:rPr>
          <w:rFonts w:hint="eastAsia" w:ascii="仿宋" w:hAnsi="仿宋" w:eastAsia="仿宋" w:cs="Times New Roman"/>
          <w:sz w:val="32"/>
          <w:szCs w:val="32"/>
        </w:rPr>
        <w:t>29人。固定资产总额  340.2万元，无形资产总额 0.0001万元。</w:t>
      </w:r>
    </w:p>
    <w:p>
      <w:pPr>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二、部门财政资金收支情况</w:t>
      </w:r>
    </w:p>
    <w:p>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584.15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583.15</w:t>
      </w:r>
      <w:r>
        <w:rPr>
          <w:rFonts w:hint="eastAsia" w:ascii="仿宋" w:hAnsi="仿宋" w:eastAsia="仿宋"/>
          <w:sz w:val="32"/>
          <w:szCs w:val="32"/>
        </w:rPr>
        <w:t>万元，占</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0.17</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widowControl/>
        <w:numPr>
          <w:ilvl w:val="0"/>
          <w:numId w:val="5"/>
        </w:numPr>
        <w:adjustRightInd w:val="0"/>
        <w:snapToGrid w:val="0"/>
        <w:spacing w:line="572" w:lineRule="exact"/>
        <w:ind w:firstLine="320" w:firstLineChars="1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584.15</w:t>
      </w:r>
      <w:r>
        <w:rPr>
          <w:rFonts w:hint="eastAsia" w:ascii="仿宋" w:hAnsi="仿宋" w:eastAsia="仿宋"/>
          <w:sz w:val="32"/>
          <w:szCs w:val="32"/>
        </w:rPr>
        <w:t>万元，其中：基本支出583.15万元，占</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widowControl/>
        <w:numPr>
          <w:ilvl w:val="0"/>
          <w:numId w:val="0"/>
        </w:numPr>
        <w:adjustRightInd w:val="0"/>
        <w:snapToGrid w:val="0"/>
        <w:spacing w:line="572" w:lineRule="exact"/>
        <w:ind w:left="640" w:leftChars="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lang w:eastAsia="zh-CN"/>
        </w:rPr>
        <w:t>三、</w:t>
      </w:r>
      <w:r>
        <w:rPr>
          <w:rFonts w:hint="eastAsia" w:ascii="黑体" w:hAnsi="宋体" w:eastAsia="黑体" w:cs="宋体"/>
          <w:kern w:val="0"/>
          <w:sz w:val="32"/>
          <w:szCs w:val="32"/>
          <w:shd w:val="clear" w:color="auto" w:fill="FFFFFF"/>
        </w:rPr>
        <w:t>部门整体预算绩效管理情况</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（一）部门预算管理。</w:t>
      </w:r>
    </w:p>
    <w:p>
      <w:pPr>
        <w:spacing w:line="600" w:lineRule="exact"/>
        <w:ind w:firstLine="640" w:firstLineChars="200"/>
        <w:outlineLvl w:val="1"/>
        <w:rPr>
          <w:rFonts w:hint="eastAsia" w:ascii="仿宋_GB2312" w:hAnsi="宋体" w:cs="宋体"/>
          <w:color w:val="000000"/>
          <w:kern w:val="0"/>
          <w:szCs w:val="32"/>
          <w:highlight w:val="none"/>
          <w:shd w:val="clear" w:color="auto" w:fill="FFFFFF"/>
          <w:lang w:val="zh-CN"/>
        </w:rPr>
      </w:pPr>
      <w:r>
        <w:rPr>
          <w:rFonts w:hint="eastAsia" w:ascii="仿宋" w:hAnsi="仿宋" w:eastAsia="仿宋" w:cs="Times New Roman"/>
          <w:sz w:val="32"/>
          <w:szCs w:val="32"/>
          <w:lang w:val="zh-CN"/>
        </w:rPr>
        <w:t>剑阁县柳沟小学校部门绩效目标制定评价部门绩效目标要素完整、目标细化量化。绩效目标实际实现程度与预期目标未发生偏离，年初预算编制科学准确。日常公用经费、项目支出中“办公费、印刷费、水费、电费、物业管理费”等科目年初预算数与决算数偏差程度、预决算偏差程度在10%以内，绩效监测调整取消额与结余注销额均为零。部门预算执行进度已达到序时进度，实际支出进度分别达到目</w:t>
      </w:r>
      <w:r>
        <w:rPr>
          <w:rFonts w:hint="eastAsia" w:ascii="仿宋_GB2312" w:hAnsi="宋体" w:cs="宋体"/>
          <w:color w:val="000000"/>
          <w:kern w:val="0"/>
          <w:szCs w:val="32"/>
          <w:highlight w:val="none"/>
          <w:shd w:val="clear" w:color="auto" w:fill="FFFFFF"/>
          <w:lang w:val="zh-CN"/>
        </w:rPr>
        <w:t>标。</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根据审计监督、财政检查结果上一年度部门预算管理合规，未出现部门预算管理方面违纪违规问题。</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（二）结果应用情况。</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按要求已将单位整体绩效自评情况和自行组织的评价情况向社会公开。已在规定时间内向财政部门反馈应用绩效结果报告。</w:t>
      </w:r>
    </w:p>
    <w:p>
      <w:pPr>
        <w:spacing w:line="600" w:lineRule="exact"/>
        <w:ind w:firstLine="640" w:firstLineChars="200"/>
        <w:outlineLvl w:val="1"/>
        <w:rPr>
          <w:rFonts w:hint="eastAsia" w:ascii="仿宋" w:hAnsi="仿宋" w:eastAsia="仿宋" w:cs="Times New Roman"/>
          <w:sz w:val="32"/>
          <w:szCs w:val="32"/>
          <w:lang w:val="zh-CN" w:eastAsia="zh-CN"/>
        </w:rPr>
      </w:pPr>
      <w:r>
        <w:rPr>
          <w:rFonts w:hint="eastAsia" w:ascii="仿宋" w:hAnsi="仿宋" w:eastAsia="仿宋" w:cs="Times New Roman"/>
          <w:sz w:val="32"/>
          <w:szCs w:val="32"/>
          <w:lang w:val="zh-CN" w:eastAsia="zh-CN"/>
        </w:rPr>
        <w:t>四、评价结论及建议</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（一）评价结论。</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本单位预算资金按规定管理使用，较好地完成了任务目标。全面完成了上级主管部门下达我单位的各项工作任务和重点工作计划。</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（二）存在问题。</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1、部分资金支付进度滞后。</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2、内控制度需进一步完善，随着资金管理改革的进一步推进，我单位内部机构进行了相应的优化，建立健全了财务管理制度、固定资产管理制度、费用报销规程等制度，但仍需进一步强化财务约束监督体制。</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（三）改进建议。</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1、科学合理编制预算，严格执行预算。进一步提高预算编制到位率，做准做全基本支出预算，做全项目支出预算，加强预算支出的审核、跟踪及预算执行情况分析，提高预算编制严谨性和可控性。　</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2、进一步加强项目资金管理。严格实行项目管理程序化，实现项目申报、实施、拨付、评价全流程监督与控制，规范专项资金管理，提高专项资金的使用效益。</w:t>
      </w:r>
    </w:p>
    <w:p>
      <w:pPr>
        <w:spacing w:line="600" w:lineRule="exact"/>
        <w:ind w:firstLine="640" w:firstLineChars="200"/>
        <w:outlineLvl w:val="1"/>
        <w:rPr>
          <w:rFonts w:hint="eastAsia" w:ascii="仿宋" w:hAnsi="仿宋" w:eastAsia="仿宋" w:cs="Times New Roman"/>
          <w:sz w:val="32"/>
          <w:szCs w:val="32"/>
          <w:lang w:val="zh-CN"/>
        </w:rPr>
      </w:pPr>
      <w:r>
        <w:rPr>
          <w:rFonts w:hint="eastAsia" w:ascii="仿宋" w:hAnsi="仿宋" w:eastAsia="仿宋" w:cs="Times New Roman"/>
          <w:sz w:val="32"/>
          <w:szCs w:val="32"/>
          <w:lang w:val="zh-CN"/>
        </w:rPr>
        <w:t>3、进一步完善内部管理制度，提升管理效能。</w:t>
      </w:r>
    </w:p>
    <w:p>
      <w:pPr>
        <w:pStyle w:val="2"/>
        <w:rPr>
          <w:rFonts w:hint="eastAsia"/>
          <w:lang w:val="zh-CN"/>
        </w:rPr>
      </w:pPr>
    </w:p>
    <w:p>
      <w:pPr>
        <w:spacing w:line="572" w:lineRule="exact"/>
        <w:jc w:val="left"/>
        <w:outlineLvl w:val="0"/>
        <w:rPr>
          <w:rFonts w:hint="eastAsia" w:ascii="宋体" w:hAnsi="宋体" w:cs="宋体"/>
          <w:kern w:val="0"/>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宋体" w:hAnsi="宋体" w:cs="宋体"/>
          <w:kern w:val="0"/>
          <w:sz w:val="32"/>
          <w:szCs w:val="32"/>
        </w:rPr>
        <w:t>部门预算项目支出绩效自评表（2022年度）</w:t>
      </w:r>
    </w:p>
    <w:tbl>
      <w:tblPr>
        <w:tblStyle w:val="14"/>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1183"/>
        <w:gridCol w:w="898"/>
        <w:gridCol w:w="910"/>
        <w:gridCol w:w="515"/>
        <w:gridCol w:w="1123"/>
        <w:gridCol w:w="911"/>
        <w:gridCol w:w="486"/>
        <w:gridCol w:w="405"/>
        <w:gridCol w:w="2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52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52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74.46%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52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51082322T000005559217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1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剑阁县柳沟小学校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保障教师住房安全。</w:t>
            </w:r>
          </w:p>
        </w:tc>
        <w:tc>
          <w:tcPr>
            <w:tcW w:w="4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52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受益教师人数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工程合格率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64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4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4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4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4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ind w:left="0" w:leftChars="0" w:firstLine="0" w:firstLineChars="0"/>
        <w:rPr>
          <w:rFonts w:hint="eastAsia"/>
          <w:lang w:val="zh-CN" w:eastAsia="zh-CN"/>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ind w:firstLine="3080" w:firstLineChars="700"/>
        <w:jc w:val="both"/>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2"/>
      <w:bookmarkStart w:id="53"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3"/>
    </w:p>
    <w:p>
      <w:pPr>
        <w:pStyle w:val="5"/>
        <w:rPr>
          <w:rFonts w:ascii="仿宋" w:hAnsi="仿宋" w:eastAsia="仿宋"/>
        </w:rPr>
      </w:pPr>
      <w:bookmarkStart w:id="54" w:name="_Toc15396620"/>
      <w:r>
        <w:rPr>
          <w:rFonts w:hint="eastAsia" w:ascii="仿宋" w:hAnsi="仿宋" w:eastAsia="仿宋"/>
          <w:b w:val="0"/>
        </w:rPr>
        <w:t>二、收</w:t>
      </w:r>
      <w:r>
        <w:rPr>
          <w:rStyle w:val="27"/>
          <w:rFonts w:hint="eastAsia" w:ascii="仿宋" w:hAnsi="仿宋" w:eastAsia="仿宋"/>
          <w:b w:val="0"/>
          <w:bCs w:val="0"/>
        </w:rPr>
        <w:t>入决算表</w:t>
      </w:r>
      <w:bookmarkEnd w:id="54"/>
    </w:p>
    <w:p>
      <w:pPr>
        <w:pStyle w:val="5"/>
        <w:rPr>
          <w:rFonts w:ascii="仿宋" w:hAnsi="仿宋" w:eastAsia="仿宋"/>
        </w:rPr>
      </w:pPr>
      <w:bookmarkStart w:id="55"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5"/>
    </w:p>
    <w:p>
      <w:pPr>
        <w:pStyle w:val="5"/>
        <w:rPr>
          <w:rFonts w:ascii="仿宋" w:hAnsi="仿宋" w:eastAsia="仿宋"/>
          <w:b w:val="0"/>
        </w:rPr>
      </w:pPr>
      <w:bookmarkStart w:id="56"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6"/>
    </w:p>
    <w:p>
      <w:pPr>
        <w:pStyle w:val="5"/>
        <w:rPr>
          <w:rStyle w:val="27"/>
          <w:rFonts w:ascii="仿宋" w:hAnsi="仿宋" w:eastAsia="仿宋"/>
          <w:b w:val="0"/>
          <w:bCs w:val="0"/>
        </w:rPr>
      </w:pPr>
      <w:bookmarkStart w:id="57"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7"/>
      <w:bookmarkStart w:id="58"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8"/>
    </w:p>
    <w:p>
      <w:pPr>
        <w:pStyle w:val="5"/>
        <w:rPr>
          <w:rFonts w:ascii="仿宋" w:hAnsi="仿宋" w:eastAsia="仿宋"/>
        </w:rPr>
      </w:pPr>
      <w:bookmarkStart w:id="59"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59"/>
    </w:p>
    <w:p>
      <w:pPr>
        <w:pStyle w:val="5"/>
        <w:rPr>
          <w:rFonts w:ascii="仿宋" w:hAnsi="仿宋" w:eastAsia="仿宋"/>
        </w:rPr>
      </w:pPr>
      <w:bookmarkStart w:id="60"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0"/>
    </w:p>
    <w:p>
      <w:pPr>
        <w:pStyle w:val="5"/>
        <w:rPr>
          <w:rFonts w:ascii="仿宋" w:hAnsi="仿宋" w:eastAsia="仿宋"/>
        </w:rPr>
      </w:pPr>
      <w:bookmarkStart w:id="61"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1"/>
    </w:p>
    <w:p>
      <w:pPr>
        <w:pStyle w:val="5"/>
        <w:rPr>
          <w:rFonts w:ascii="仿宋" w:hAnsi="仿宋" w:eastAsia="仿宋"/>
        </w:rPr>
      </w:pPr>
      <w:bookmarkStart w:id="62" w:name="_Toc15396628"/>
      <w:r>
        <w:rPr>
          <w:rStyle w:val="27"/>
          <w:rFonts w:hint="eastAsia" w:ascii="仿宋" w:hAnsi="仿宋" w:eastAsia="仿宋"/>
          <w:b w:val="0"/>
          <w:bCs w:val="0"/>
        </w:rPr>
        <w:t>十、</w:t>
      </w:r>
      <w:bookmarkEnd w:id="62"/>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3" w:name="_Toc15396629"/>
      <w:r>
        <w:rPr>
          <w:rStyle w:val="27"/>
          <w:rFonts w:hint="eastAsia" w:ascii="仿宋" w:hAnsi="仿宋" w:eastAsia="仿宋"/>
          <w:b w:val="0"/>
          <w:bCs w:val="0"/>
        </w:rPr>
        <w:t>十一、</w:t>
      </w:r>
      <w:bookmarkEnd w:id="63"/>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64" w:name="_Toc15396630"/>
      <w:r>
        <w:rPr>
          <w:rStyle w:val="27"/>
          <w:rFonts w:hint="eastAsia" w:ascii="仿宋" w:hAnsi="仿宋" w:eastAsia="仿宋"/>
          <w:b w:val="0"/>
          <w:bCs w:val="0"/>
        </w:rPr>
        <w:t>十二、</w:t>
      </w:r>
      <w:bookmarkEnd w:id="64"/>
      <w:r>
        <w:rPr>
          <w:rStyle w:val="27"/>
          <w:rFonts w:hint="eastAsia" w:ascii="仿宋" w:hAnsi="仿宋" w:eastAsia="仿宋"/>
          <w:b w:val="0"/>
          <w:bCs w:val="0"/>
        </w:rPr>
        <w:t>国有资本经营预算财政拨款支出决算表</w:t>
      </w:r>
    </w:p>
    <w:p>
      <w:pPr>
        <w:pStyle w:val="5"/>
        <w:rPr>
          <w:rFonts w:eastAsia="仿宋"/>
        </w:rPr>
      </w:pPr>
      <w:bookmarkStart w:id="65" w:name="_Toc15396631"/>
      <w:r>
        <w:rPr>
          <w:rStyle w:val="27"/>
          <w:rFonts w:hint="eastAsia" w:ascii="仿宋" w:hAnsi="仿宋" w:eastAsia="仿宋"/>
          <w:b w:val="0"/>
          <w:bCs w:val="0"/>
        </w:rPr>
        <w:t>十三、</w:t>
      </w:r>
      <w:bookmarkEnd w:id="65"/>
      <w:r>
        <w:rPr>
          <w:rStyle w:val="27"/>
          <w:rFonts w:hint="eastAsia" w:ascii="仿宋" w:hAnsi="仿宋" w:eastAsia="仿宋"/>
          <w:b w:val="0"/>
          <w:bCs w:val="0"/>
        </w:rPr>
        <w:t>财政拨款“三公”经费支出决算表</w:t>
      </w:r>
    </w:p>
    <w:sectPr>
      <w:headerReference r:id="rId7" w:type="defaul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D12A6A-F3E3-4564-A828-2D1D2D357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4B5833-A584-45F1-8E06-065BB82A143B}"/>
  </w:font>
  <w:font w:name="Cambria">
    <w:panose1 w:val="02040503050406030204"/>
    <w:charset w:val="00"/>
    <w:family w:val="roman"/>
    <w:pitch w:val="default"/>
    <w:sig w:usb0="E00006FF" w:usb1="420024FF" w:usb2="02000000" w:usb3="00000000" w:csb0="2000019F" w:csb1="00000000"/>
    <w:embedRegular r:id="rId3" w:fontKey="{69024CB0-8610-489A-B67C-482D9E28FEC6}"/>
  </w:font>
  <w:font w:name="仿宋_GB2312">
    <w:altName w:val="仿宋"/>
    <w:panose1 w:val="00000000000000000000"/>
    <w:charset w:val="86"/>
    <w:family w:val="modern"/>
    <w:pitch w:val="default"/>
    <w:sig w:usb0="00000000" w:usb1="00000000" w:usb2="00000000" w:usb3="00000000" w:csb0="00040000" w:csb1="00000000"/>
    <w:embedRegular r:id="rId4" w:fontKey="{2FD3A8C1-4657-4509-9686-90005443145C}"/>
  </w:font>
  <w:font w:name="仿宋">
    <w:panose1 w:val="02010609060101010101"/>
    <w:charset w:val="86"/>
    <w:family w:val="modern"/>
    <w:pitch w:val="default"/>
    <w:sig w:usb0="800002BF" w:usb1="38CF7CFA" w:usb2="00000016" w:usb3="00000000" w:csb0="00040001" w:csb1="00000000"/>
    <w:embedRegular r:id="rId5" w:fontKey="{5983CCAA-4446-4E57-8ADA-0659F4C1846B}"/>
  </w:font>
  <w:font w:name="方正小标宋简体">
    <w:panose1 w:val="02000000000000000000"/>
    <w:charset w:val="86"/>
    <w:family w:val="script"/>
    <w:pitch w:val="default"/>
    <w:sig w:usb0="00000001" w:usb1="08000000" w:usb2="00000000" w:usb3="00000000" w:csb0="00040000" w:csb1="00000000"/>
    <w:embedRegular r:id="rId6" w:fontKey="{8DA5BD2B-751F-4DE1-9A7E-16AF1280B090}"/>
  </w:font>
  <w:font w:name="楷体_GB2312">
    <w:altName w:val="楷体"/>
    <w:panose1 w:val="00000000000000000000"/>
    <w:charset w:val="86"/>
    <w:family w:val="auto"/>
    <w:pitch w:val="default"/>
    <w:sig w:usb0="00000000" w:usb1="00000000" w:usb2="00000000" w:usb3="00000000" w:csb0="00040000" w:csb1="00000000"/>
    <w:embedRegular r:id="rId7" w:fontKey="{70FDBBDA-CDD0-42B7-AB87-7A861F05ACF6}"/>
  </w:font>
  <w:font w:name="微软雅黑">
    <w:panose1 w:val="020B0503020204020204"/>
    <w:charset w:val="86"/>
    <w:family w:val="auto"/>
    <w:pitch w:val="default"/>
    <w:sig w:usb0="80000287" w:usb1="2ACF3C50" w:usb2="00000016" w:usb3="00000000" w:csb0="0004001F" w:csb1="00000000"/>
    <w:embedRegular r:id="rId8" w:fontKey="{F25C709A-4068-43AF-B730-911BC18651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9A4F85"/>
    <w:multiLevelType w:val="singleLevel"/>
    <w:tmpl w:val="DD9A4F85"/>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4E69"/>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34B7C"/>
    <w:rsid w:val="02EA52D1"/>
    <w:rsid w:val="02FC45A7"/>
    <w:rsid w:val="035F356E"/>
    <w:rsid w:val="043A7135"/>
    <w:rsid w:val="051536FE"/>
    <w:rsid w:val="053A62B5"/>
    <w:rsid w:val="05D90BCF"/>
    <w:rsid w:val="06C76226"/>
    <w:rsid w:val="06F26F1C"/>
    <w:rsid w:val="07D63618"/>
    <w:rsid w:val="0A122902"/>
    <w:rsid w:val="0A2032A3"/>
    <w:rsid w:val="0B8A37D8"/>
    <w:rsid w:val="0D3A63F7"/>
    <w:rsid w:val="0E5E7EC3"/>
    <w:rsid w:val="0F20786F"/>
    <w:rsid w:val="0F274759"/>
    <w:rsid w:val="0FF87EA4"/>
    <w:rsid w:val="10757746"/>
    <w:rsid w:val="10C055FF"/>
    <w:rsid w:val="118107EC"/>
    <w:rsid w:val="11DD6519"/>
    <w:rsid w:val="12527D3F"/>
    <w:rsid w:val="137E6912"/>
    <w:rsid w:val="13B862C8"/>
    <w:rsid w:val="16BB723D"/>
    <w:rsid w:val="18015F3F"/>
    <w:rsid w:val="184D3851"/>
    <w:rsid w:val="1A2758F9"/>
    <w:rsid w:val="1B210BF7"/>
    <w:rsid w:val="1BCD6688"/>
    <w:rsid w:val="1BE8440E"/>
    <w:rsid w:val="1BFD51C0"/>
    <w:rsid w:val="1C3C58C6"/>
    <w:rsid w:val="1C444B9D"/>
    <w:rsid w:val="1D155CEE"/>
    <w:rsid w:val="1DA130A0"/>
    <w:rsid w:val="1DA376A1"/>
    <w:rsid w:val="20855784"/>
    <w:rsid w:val="20A67D0B"/>
    <w:rsid w:val="20F57F95"/>
    <w:rsid w:val="21091A24"/>
    <w:rsid w:val="21EB5ABA"/>
    <w:rsid w:val="225E628C"/>
    <w:rsid w:val="22E5250A"/>
    <w:rsid w:val="240371BF"/>
    <w:rsid w:val="25711CC6"/>
    <w:rsid w:val="258B383C"/>
    <w:rsid w:val="258E473C"/>
    <w:rsid w:val="25C741E6"/>
    <w:rsid w:val="266F6CBA"/>
    <w:rsid w:val="268F110A"/>
    <w:rsid w:val="27514612"/>
    <w:rsid w:val="27787DF0"/>
    <w:rsid w:val="27842671"/>
    <w:rsid w:val="280478D6"/>
    <w:rsid w:val="28137B19"/>
    <w:rsid w:val="29FD04D3"/>
    <w:rsid w:val="2ABE7A3E"/>
    <w:rsid w:val="2AF7727E"/>
    <w:rsid w:val="2AF91248"/>
    <w:rsid w:val="2CA234A8"/>
    <w:rsid w:val="2CCB09C2"/>
    <w:rsid w:val="2D241E80"/>
    <w:rsid w:val="2DEC0BF0"/>
    <w:rsid w:val="2EA8720D"/>
    <w:rsid w:val="2EFA178C"/>
    <w:rsid w:val="2F012479"/>
    <w:rsid w:val="2F1A353B"/>
    <w:rsid w:val="2F7075FF"/>
    <w:rsid w:val="2FCE4684"/>
    <w:rsid w:val="2FD14541"/>
    <w:rsid w:val="30823A8E"/>
    <w:rsid w:val="30B46D73"/>
    <w:rsid w:val="319F7F4E"/>
    <w:rsid w:val="31E22A36"/>
    <w:rsid w:val="32674CE9"/>
    <w:rsid w:val="334B460B"/>
    <w:rsid w:val="33C61EE3"/>
    <w:rsid w:val="33DF4990"/>
    <w:rsid w:val="350C3926"/>
    <w:rsid w:val="36637F1B"/>
    <w:rsid w:val="36E93109"/>
    <w:rsid w:val="383D272C"/>
    <w:rsid w:val="394A2C6F"/>
    <w:rsid w:val="39AE70AB"/>
    <w:rsid w:val="3A647D60"/>
    <w:rsid w:val="3C0C0783"/>
    <w:rsid w:val="3E631371"/>
    <w:rsid w:val="3F9F3A96"/>
    <w:rsid w:val="41D852BC"/>
    <w:rsid w:val="45C1250B"/>
    <w:rsid w:val="47C22C96"/>
    <w:rsid w:val="489D725F"/>
    <w:rsid w:val="48BF60AB"/>
    <w:rsid w:val="493C27E9"/>
    <w:rsid w:val="493F0316"/>
    <w:rsid w:val="496F39ED"/>
    <w:rsid w:val="49FF41D3"/>
    <w:rsid w:val="4B054C48"/>
    <w:rsid w:val="4B92472D"/>
    <w:rsid w:val="4BE068DB"/>
    <w:rsid w:val="4BF6002B"/>
    <w:rsid w:val="4C3677AE"/>
    <w:rsid w:val="4CAC181F"/>
    <w:rsid w:val="4D021D86"/>
    <w:rsid w:val="4DB43081"/>
    <w:rsid w:val="4E630603"/>
    <w:rsid w:val="4ECE2238"/>
    <w:rsid w:val="4ED92673"/>
    <w:rsid w:val="51B353FD"/>
    <w:rsid w:val="51DB4B86"/>
    <w:rsid w:val="52D25D57"/>
    <w:rsid w:val="534D3630"/>
    <w:rsid w:val="534F1156"/>
    <w:rsid w:val="542645AC"/>
    <w:rsid w:val="55333C3E"/>
    <w:rsid w:val="55B654BC"/>
    <w:rsid w:val="57770C7B"/>
    <w:rsid w:val="57C55E8A"/>
    <w:rsid w:val="5827444F"/>
    <w:rsid w:val="592941F7"/>
    <w:rsid w:val="59745DBA"/>
    <w:rsid w:val="5A7C1DA4"/>
    <w:rsid w:val="5A9102A6"/>
    <w:rsid w:val="5AE34FA5"/>
    <w:rsid w:val="5B597015"/>
    <w:rsid w:val="5C5F68AD"/>
    <w:rsid w:val="5C6043D4"/>
    <w:rsid w:val="5D4336AB"/>
    <w:rsid w:val="5F5C5326"/>
    <w:rsid w:val="600D6620"/>
    <w:rsid w:val="62CC27C3"/>
    <w:rsid w:val="64CA39A1"/>
    <w:rsid w:val="67B83316"/>
    <w:rsid w:val="68000819"/>
    <w:rsid w:val="68420E31"/>
    <w:rsid w:val="69256789"/>
    <w:rsid w:val="6951757E"/>
    <w:rsid w:val="69630ADE"/>
    <w:rsid w:val="69DF4B8A"/>
    <w:rsid w:val="6A42336B"/>
    <w:rsid w:val="6AC16985"/>
    <w:rsid w:val="6ADE12E5"/>
    <w:rsid w:val="6C4A05C8"/>
    <w:rsid w:val="6D003795"/>
    <w:rsid w:val="6D3B1A89"/>
    <w:rsid w:val="6D4C69DA"/>
    <w:rsid w:val="6E2A37AB"/>
    <w:rsid w:val="6EAC5256"/>
    <w:rsid w:val="701E3F32"/>
    <w:rsid w:val="70BA1EAD"/>
    <w:rsid w:val="71956476"/>
    <w:rsid w:val="71BF4EC2"/>
    <w:rsid w:val="722E2B52"/>
    <w:rsid w:val="724063E2"/>
    <w:rsid w:val="72734D90"/>
    <w:rsid w:val="7297294F"/>
    <w:rsid w:val="734E2D80"/>
    <w:rsid w:val="7412278C"/>
    <w:rsid w:val="756248C1"/>
    <w:rsid w:val="75BF1D13"/>
    <w:rsid w:val="76067942"/>
    <w:rsid w:val="76946CFC"/>
    <w:rsid w:val="76B850E0"/>
    <w:rsid w:val="773329B9"/>
    <w:rsid w:val="77AF64E3"/>
    <w:rsid w:val="77BF72FA"/>
    <w:rsid w:val="782A3DBC"/>
    <w:rsid w:val="78BE2756"/>
    <w:rsid w:val="78F65A4C"/>
    <w:rsid w:val="79E7B28D"/>
    <w:rsid w:val="7A6D4434"/>
    <w:rsid w:val="7ACD6C80"/>
    <w:rsid w:val="7B6C46EB"/>
    <w:rsid w:val="7D603DDC"/>
    <w:rsid w:val="7E2D0162"/>
    <w:rsid w:val="7E357016"/>
    <w:rsid w:val="7E462FD2"/>
    <w:rsid w:val="7E7F0292"/>
    <w:rsid w:val="7EDC182D"/>
    <w:rsid w:val="7F9F20EE"/>
    <w:rsid w:val="7FAE52D2"/>
    <w:rsid w:val="7FD85EA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2023-12-07T07:36:23Z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D21671B1062B47428EF2D75180A420F1_13</vt:lpwstr>
  </property>
</Properties>
</file>