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szCs w:val="21"/>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8441"/>
      <w:bookmarkStart w:id="2" w:name="_Toc15377425"/>
      <w:bookmarkStart w:id="3" w:name="_Toc15396597"/>
      <w:bookmarkStart w:id="4" w:name="_Toc15396475"/>
      <w:bookmarkStart w:id="5" w:name="_Toc15377193"/>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ascii="方正小标宋简体" w:hAnsi="方正小标宋简体" w:eastAsia="方正小标宋简体" w:cs="方正小标宋简体"/>
          <w:sz w:val="52"/>
          <w:szCs w:val="52"/>
        </w:rPr>
      </w:pPr>
      <w:bookmarkStart w:id="6" w:name="_Toc15396476"/>
      <w:bookmarkStart w:id="7" w:name="_Toc15377194"/>
      <w:bookmarkStart w:id="8" w:name="_Toc15378442"/>
      <w:bookmarkStart w:id="9" w:name="_Toc15377426"/>
      <w:bookmarkStart w:id="10" w:name="_Toc15396598"/>
      <w:r>
        <w:rPr>
          <w:rFonts w:hint="eastAsia" w:ascii="方正小标宋简体" w:hAnsi="方正小标宋简体" w:eastAsia="方正小标宋简体" w:cs="方正小标宋简体"/>
          <w:sz w:val="52"/>
          <w:szCs w:val="52"/>
        </w:rPr>
        <w:t>剑阁县</w:t>
      </w:r>
      <w:bookmarkEnd w:id="0"/>
      <w:bookmarkStart w:id="11" w:name="_Toc15306268"/>
      <w:r>
        <w:rPr>
          <w:rFonts w:hint="eastAsia" w:ascii="方正小标宋简体" w:hAnsi="方正小标宋简体" w:eastAsia="方正小标宋简体" w:cs="方正小标宋简体"/>
          <w:sz w:val="52"/>
          <w:szCs w:val="52"/>
          <w:lang w:eastAsia="zh-CN"/>
        </w:rPr>
        <w:t>剑门关中学</w:t>
      </w:r>
      <w:r>
        <w:rPr>
          <w:rFonts w:hint="eastAsia" w:ascii="方正小标宋简体" w:hAnsi="方正小标宋简体" w:eastAsia="方正小标宋简体" w:cs="方正小标宋简体"/>
          <w:sz w:val="52"/>
          <w:szCs w:val="52"/>
        </w:rPr>
        <w:t>单位决算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sz w:val="52"/>
          <w:szCs w:val="52"/>
        </w:rPr>
      </w:pPr>
      <w:r>
        <w:rPr>
          <w:rFonts w:hint="eastAsia" w:ascii="方正小标宋简体" w:hAnsi="宋体" w:eastAsia="方正小标宋简体"/>
          <w:sz w:val="52"/>
          <w:szCs w:val="52"/>
        </w:rPr>
        <w:t>(单位公开范本)</w:t>
      </w: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0"/>
      </w:pPr>
      <w:r>
        <w:rPr>
          <w:rFonts w:hint="eastAsia"/>
        </w:rPr>
        <w:t>公开时间：2023年</w:t>
      </w:r>
      <w:r>
        <w:rPr>
          <w:rFonts w:hint="eastAsia"/>
          <w:lang w:val="en-US" w:eastAsia="zh-CN"/>
        </w:rPr>
        <w:t>10</w:t>
      </w:r>
      <w:r>
        <w:rPr>
          <w:rFonts w:hint="eastAsia"/>
        </w:rPr>
        <w:t>月</w:t>
      </w:r>
      <w:r>
        <w:rPr>
          <w:rFonts w:hint="eastAsia"/>
          <w:lang w:val="en-US" w:eastAsia="zh-CN"/>
        </w:rPr>
        <w:t>12</w:t>
      </w:r>
      <w:r>
        <w:rPr>
          <w:rFonts w:hint="eastAsia"/>
        </w:rPr>
        <w:t>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1"/>
        <w:adjustRightInd w:val="0"/>
        <w:snapToGrid w:val="0"/>
        <w:spacing w:line="440" w:lineRule="exact"/>
        <w:jc w:val="left"/>
        <w:rPr>
          <w:sz w:val="24"/>
        </w:rPr>
      </w:pPr>
      <w:r>
        <w:rPr>
          <w:rFonts w:hint="eastAsia"/>
          <w:sz w:val="24"/>
        </w:rPr>
        <w:t>一、主要职责及重点</w:t>
      </w:r>
      <w:r>
        <w:rPr>
          <w:sz w:val="24"/>
        </w:rPr>
        <w:t>工作</w:t>
      </w:r>
    </w:p>
    <w:p>
      <w:pPr>
        <w:pStyle w:val="11"/>
        <w:adjustRightInd w:val="0"/>
        <w:snapToGrid w:val="0"/>
        <w:spacing w:line="440" w:lineRule="exact"/>
        <w:jc w:val="left"/>
        <w:rPr>
          <w:rFonts w:hint="eastAsia"/>
          <w:sz w:val="24"/>
        </w:rPr>
      </w:pPr>
      <w:r>
        <w:rPr>
          <w:rFonts w:hint="eastAsia"/>
          <w:sz w:val="24"/>
        </w:rPr>
        <w:t>（一）单位</w:t>
      </w:r>
      <w:r>
        <w:rPr>
          <w:sz w:val="24"/>
        </w:rPr>
        <w:t>职责</w:t>
      </w:r>
    </w:p>
    <w:p>
      <w:pPr>
        <w:pStyle w:val="11"/>
        <w:adjustRightInd w:val="0"/>
        <w:snapToGrid w:val="0"/>
        <w:spacing w:line="440" w:lineRule="exact"/>
        <w:jc w:val="left"/>
        <w:rPr>
          <w:rFonts w:hint="eastAsia"/>
          <w:b/>
          <w:bCs/>
          <w:sz w:val="24"/>
        </w:rPr>
      </w:pPr>
      <w:r>
        <w:rPr>
          <w:rFonts w:hint="eastAsia"/>
          <w:sz w:val="24"/>
        </w:rPr>
        <w:t>（二）2022年重点工作完成情况</w:t>
      </w:r>
    </w:p>
    <w:p>
      <w:pPr>
        <w:pStyle w:val="11"/>
        <w:adjustRightInd w:val="0"/>
        <w:snapToGrid w:val="0"/>
        <w:spacing w:line="440" w:lineRule="exact"/>
        <w:jc w:val="left"/>
        <w:rPr>
          <w:rFonts w:hint="eastAsia"/>
          <w:sz w:val="24"/>
        </w:rPr>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 2022年度单位决算情况说明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jc w:val="left"/>
        <w:rPr>
          <w:sz w:val="24"/>
        </w:rPr>
      </w:pPr>
      <w:r>
        <w:rPr>
          <w:rFonts w:hint="eastAsia"/>
          <w:sz w:val="24"/>
        </w:rPr>
        <w:t>九、国有资本经营预算支出决算情况说明</w:t>
      </w:r>
    </w:p>
    <w:p>
      <w:pPr>
        <w:pStyle w:val="11"/>
        <w:adjustRightInd w:val="0"/>
        <w:snapToGrid w:val="0"/>
        <w:spacing w:line="440" w:lineRule="exact"/>
        <w:jc w:val="left"/>
        <w:rPr>
          <w:sz w:val="24"/>
        </w:rPr>
      </w:pPr>
      <w:r>
        <w:rPr>
          <w:rFonts w:hint="eastAsia"/>
          <w:sz w:val="24"/>
        </w:rPr>
        <w:t>十、其他重要事项的情况说明</w:t>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sz w:val="24"/>
        </w:rPr>
      </w:pPr>
      <w:r>
        <w:rPr>
          <w:rFonts w:hint="eastAsia"/>
          <w:sz w:val="24"/>
        </w:rPr>
        <w:t>一、收入支出决算总表</w:t>
      </w:r>
    </w:p>
    <w:p>
      <w:pPr>
        <w:pStyle w:val="11"/>
        <w:adjustRightInd w:val="0"/>
        <w:snapToGrid w:val="0"/>
        <w:spacing w:line="440" w:lineRule="exact"/>
        <w:jc w:val="left"/>
        <w:rPr>
          <w:sz w:val="24"/>
        </w:rPr>
      </w:pPr>
      <w:r>
        <w:rPr>
          <w:rFonts w:hint="eastAsia"/>
          <w:sz w:val="24"/>
        </w:rPr>
        <w:t>二、收入决算表</w:t>
      </w:r>
    </w:p>
    <w:p>
      <w:pPr>
        <w:pStyle w:val="11"/>
        <w:adjustRightInd w:val="0"/>
        <w:snapToGrid w:val="0"/>
        <w:spacing w:line="440" w:lineRule="exact"/>
        <w:jc w:val="left"/>
        <w:rPr>
          <w:sz w:val="24"/>
        </w:rPr>
      </w:pPr>
      <w:r>
        <w:rPr>
          <w:rFonts w:hint="eastAsia"/>
          <w:sz w:val="24"/>
        </w:rPr>
        <w:t>三、支出决算表</w:t>
      </w:r>
    </w:p>
    <w:p>
      <w:pPr>
        <w:pStyle w:val="11"/>
        <w:adjustRightInd w:val="0"/>
        <w:snapToGrid w:val="0"/>
        <w:spacing w:line="440" w:lineRule="exact"/>
        <w:jc w:val="left"/>
        <w:rPr>
          <w:sz w:val="24"/>
        </w:rPr>
      </w:pPr>
      <w:r>
        <w:rPr>
          <w:rFonts w:hint="eastAsia"/>
          <w:sz w:val="24"/>
        </w:rPr>
        <w:t>四、财政拨款收入支出决算总表</w:t>
      </w:r>
    </w:p>
    <w:p>
      <w:pPr>
        <w:pStyle w:val="11"/>
        <w:adjustRightInd w:val="0"/>
        <w:snapToGrid w:val="0"/>
        <w:spacing w:line="440" w:lineRule="exact"/>
        <w:jc w:val="left"/>
        <w:rPr>
          <w:sz w:val="24"/>
        </w:rPr>
      </w:pPr>
      <w:r>
        <w:rPr>
          <w:rFonts w:hint="eastAsia"/>
          <w:sz w:val="24"/>
        </w:rPr>
        <w:t>五、财政拨款支出决算明细表</w:t>
      </w:r>
    </w:p>
    <w:p>
      <w:pPr>
        <w:pStyle w:val="11"/>
        <w:adjustRightInd w:val="0"/>
        <w:snapToGrid w:val="0"/>
        <w:spacing w:line="440" w:lineRule="exact"/>
        <w:jc w:val="left"/>
        <w:rPr>
          <w:sz w:val="24"/>
        </w:rPr>
      </w:pPr>
      <w:r>
        <w:rPr>
          <w:rFonts w:hint="eastAsia"/>
          <w:sz w:val="24"/>
        </w:rPr>
        <w:t>六、一般公共预算财政拨款支出决算表</w:t>
      </w:r>
    </w:p>
    <w:p>
      <w:pPr>
        <w:pStyle w:val="11"/>
        <w:adjustRightInd w:val="0"/>
        <w:snapToGrid w:val="0"/>
        <w:spacing w:line="440" w:lineRule="exact"/>
        <w:jc w:val="left"/>
        <w:rPr>
          <w:sz w:val="24"/>
        </w:rPr>
      </w:pPr>
      <w:r>
        <w:rPr>
          <w:rFonts w:hint="eastAsia"/>
          <w:sz w:val="24"/>
        </w:rPr>
        <w:t>七、一般公共预算财政拨款支出决算明细表</w:t>
      </w:r>
    </w:p>
    <w:p>
      <w:pPr>
        <w:pStyle w:val="11"/>
        <w:adjustRightInd w:val="0"/>
        <w:snapToGrid w:val="0"/>
        <w:spacing w:line="440" w:lineRule="exact"/>
        <w:jc w:val="left"/>
        <w:rPr>
          <w:sz w:val="24"/>
        </w:rPr>
      </w:pPr>
      <w:r>
        <w:rPr>
          <w:rFonts w:hint="eastAsia"/>
          <w:sz w:val="24"/>
        </w:rPr>
        <w:t>八、一般公共预算财政拨款基本支出决算明细表</w:t>
      </w:r>
    </w:p>
    <w:p>
      <w:pPr>
        <w:pStyle w:val="11"/>
        <w:adjustRightInd w:val="0"/>
        <w:snapToGrid w:val="0"/>
        <w:spacing w:line="440" w:lineRule="exact"/>
        <w:jc w:val="left"/>
        <w:rPr>
          <w:sz w:val="24"/>
        </w:rPr>
      </w:pPr>
      <w:r>
        <w:rPr>
          <w:rFonts w:hint="eastAsia"/>
          <w:sz w:val="24"/>
        </w:rPr>
        <w:t>九、一般公共预算财政拨款项目支出决算表</w:t>
      </w:r>
    </w:p>
    <w:p>
      <w:pPr>
        <w:pStyle w:val="11"/>
        <w:adjustRightInd w:val="0"/>
        <w:snapToGrid w:val="0"/>
        <w:spacing w:line="440" w:lineRule="exact"/>
        <w:jc w:val="left"/>
        <w:rPr>
          <w:sz w:val="24"/>
        </w:rPr>
      </w:pPr>
      <w:r>
        <w:rPr>
          <w:rFonts w:hint="eastAsia"/>
          <w:sz w:val="24"/>
        </w:rPr>
        <w:t>十、政府性基金预算财政拨款收入支出决算表</w:t>
      </w:r>
    </w:p>
    <w:p>
      <w:pPr>
        <w:pStyle w:val="11"/>
        <w:adjustRightInd w:val="0"/>
        <w:snapToGrid w:val="0"/>
        <w:spacing w:line="440" w:lineRule="exact"/>
        <w:jc w:val="left"/>
        <w:rPr>
          <w:sz w:val="24"/>
        </w:rPr>
      </w:pPr>
      <w:r>
        <w:rPr>
          <w:rFonts w:hint="eastAsia"/>
          <w:sz w:val="24"/>
        </w:rPr>
        <w:t>十一、国有资本经营预算财政拨款收入支出决算表</w:t>
      </w:r>
    </w:p>
    <w:p>
      <w:pPr>
        <w:pStyle w:val="11"/>
        <w:adjustRightInd w:val="0"/>
        <w:snapToGrid w:val="0"/>
        <w:spacing w:line="440" w:lineRule="exact"/>
        <w:jc w:val="left"/>
        <w:rPr>
          <w:sz w:val="24"/>
        </w:rPr>
      </w:pPr>
      <w:r>
        <w:rPr>
          <w:rFonts w:hint="eastAsia"/>
          <w:sz w:val="24"/>
        </w:rPr>
        <w:t>十二、国有资本经营预算财政拨款支出决算表</w:t>
      </w:r>
    </w:p>
    <w:p>
      <w:pPr>
        <w:pStyle w:val="11"/>
        <w:adjustRightInd w:val="0"/>
        <w:snapToGrid w:val="0"/>
        <w:spacing w:line="440" w:lineRule="exact"/>
        <w:jc w:val="left"/>
        <w:rPr>
          <w:sz w:val="24"/>
        </w:rPr>
      </w:pPr>
      <w:r>
        <w:rPr>
          <w:rFonts w:hint="eastAsia"/>
          <w:sz w:val="24"/>
        </w:rPr>
        <w:t>十三、财政拨款“三公”经费支出决算表</w:t>
      </w:r>
    </w:p>
    <w:p>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请单位根据实际注明页码</w:t>
      </w:r>
      <w:r>
        <w:rPr>
          <w:rFonts w:ascii="仿宋" w:hAnsi="仿宋" w:eastAsia="仿宋"/>
          <w:sz w:val="24"/>
        </w:rPr>
        <w:t>)</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3"/>
        <w:jc w:val="center"/>
        <w:rPr>
          <w:rStyle w:val="24"/>
          <w:rFonts w:ascii="黑体" w:hAnsi="黑体" w:eastAsia="黑体"/>
          <w:b/>
          <w:bCs w:val="0"/>
        </w:rPr>
      </w:pPr>
      <w:r>
        <w:rPr>
          <w:rFonts w:hint="eastAsia" w:ascii="黑体" w:hAnsi="黑体" w:eastAsia="黑体"/>
          <w:b w:val="0"/>
        </w:rPr>
        <w:t>第一部分 单位</w:t>
      </w:r>
      <w:r>
        <w:rPr>
          <w:rStyle w:val="24"/>
          <w:rFonts w:hint="eastAsia" w:ascii="黑体" w:hAnsi="黑体" w:eastAsia="黑体"/>
          <w:b w:val="0"/>
          <w:bCs w:val="0"/>
        </w:rPr>
        <w:t>概况</w:t>
      </w:r>
      <w:bookmarkEnd w:id="12"/>
      <w:bookmarkEnd w:id="13"/>
    </w:p>
    <w:p>
      <w:pPr>
        <w:widowControl/>
        <w:jc w:val="left"/>
        <w:rPr>
          <w:rFonts w:ascii="黑体" w:eastAsia="黑体"/>
          <w:sz w:val="32"/>
          <w:szCs w:val="32"/>
        </w:rPr>
      </w:pPr>
    </w:p>
    <w:p>
      <w:pPr>
        <w:pStyle w:val="4"/>
        <w:numPr>
          <w:ilvl w:val="0"/>
          <w:numId w:val="1"/>
        </w:numPr>
        <w:rPr>
          <w:rStyle w:val="25"/>
          <w:rFonts w:ascii="黑体" w:hAnsi="黑体" w:eastAsia="黑体"/>
          <w:b w:val="0"/>
          <w:bCs w:val="0"/>
        </w:rPr>
      </w:pPr>
      <w:bookmarkStart w:id="14" w:name="_Toc15396600"/>
      <w:bookmarkStart w:id="15" w:name="_Toc15377197"/>
      <w:r>
        <w:rPr>
          <w:rStyle w:val="25"/>
          <w:rFonts w:hint="eastAsia" w:ascii="黑体" w:hAnsi="黑体" w:eastAsia="黑体"/>
          <w:b w:val="0"/>
          <w:bCs w:val="0"/>
        </w:rPr>
        <w:t>主要职责</w:t>
      </w:r>
    </w:p>
    <w:p>
      <w:pPr>
        <w:snapToGrid w:val="0"/>
        <w:spacing w:line="520" w:lineRule="exact"/>
        <w:ind w:firstLine="640" w:firstLineChars="200"/>
      </w:pPr>
      <w:r>
        <w:rPr>
          <w:rFonts w:hint="eastAsia" w:ascii="仿宋_GB2312" w:hAnsi="仿宋" w:eastAsia="仿宋_GB2312"/>
          <w:sz w:val="32"/>
          <w:szCs w:val="32"/>
        </w:rPr>
        <w:t>四川省剑门关高级中学属财政预算一级单位，执行事业单位会计制度，宗旨和业务范围：实施高中和初中教育业务，促进基础教育发展。</w:t>
      </w:r>
      <w:r>
        <w:rPr>
          <w:rFonts w:hint="eastAsia" w:ascii="仿宋_GB2312" w:hAnsi="仿宋" w:eastAsia="仿宋_GB2312"/>
          <w:sz w:val="32"/>
          <w:szCs w:val="32"/>
        </w:rPr>
        <w:tab/>
      </w:r>
    </w:p>
    <w:p>
      <w:pPr>
        <w:pStyle w:val="4"/>
        <w:numPr>
          <w:ilvl w:val="0"/>
          <w:numId w:val="1"/>
        </w:numPr>
        <w:ind w:left="0" w:leftChars="0" w:firstLine="0" w:firstLineChars="0"/>
        <w:rPr>
          <w:rFonts w:hint="eastAsia" w:ascii="黑体" w:hAnsi="黑体" w:eastAsia="黑体"/>
          <w:b w:val="0"/>
        </w:rPr>
      </w:pPr>
      <w:r>
        <w:rPr>
          <w:rFonts w:hint="eastAsia" w:ascii="黑体" w:hAnsi="黑体" w:eastAsia="黑体"/>
          <w:b w:val="0"/>
        </w:rPr>
        <w:t>机构设置</w:t>
      </w:r>
    </w:p>
    <w:p>
      <w:pPr>
        <w:ind w:firstLine="480" w:firstLineChars="150"/>
        <w:rPr>
          <w:rFonts w:ascii="仿宋_GB2312" w:hAnsi="仿宋" w:eastAsia="仿宋_GB2312"/>
          <w:sz w:val="32"/>
          <w:szCs w:val="32"/>
        </w:rPr>
      </w:pPr>
      <w:r>
        <w:rPr>
          <w:rFonts w:hint="eastAsia" w:ascii="仿宋_GB2312" w:hAnsi="仿宋" w:eastAsia="仿宋_GB2312"/>
          <w:sz w:val="32"/>
          <w:szCs w:val="32"/>
        </w:rPr>
        <w:t>四川省剑门关高级中学独立编制机构数1个，独立核算机构数1个，全年编制机构数和独立核算机构数无变化。</w:t>
      </w:r>
    </w:p>
    <w:p>
      <w:pPr>
        <w:numPr>
          <w:ilvl w:val="0"/>
          <w:numId w:val="0"/>
        </w:numPr>
        <w:ind w:leftChars="0"/>
      </w:pPr>
    </w:p>
    <w:bookmarkEnd w:id="14"/>
    <w:bookmarkEnd w:id="15"/>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4"/>
          <w:rFonts w:ascii="黑体" w:hAnsi="黑体" w:eastAsia="黑体"/>
          <w:b w:val="0"/>
          <w:bCs/>
        </w:rPr>
      </w:pPr>
      <w:bookmarkStart w:id="16" w:name="_Toc15377204"/>
      <w:bookmarkStart w:id="17" w:name="_Toc15396602"/>
      <w:r>
        <w:rPr>
          <w:rFonts w:hint="eastAsia" w:ascii="黑体" w:hAnsi="黑体" w:eastAsia="黑体"/>
          <w:b w:val="0"/>
        </w:rPr>
        <w:t>第二部分 2022年度</w:t>
      </w:r>
      <w:r>
        <w:rPr>
          <w:rStyle w:val="24"/>
          <w:rFonts w:hint="eastAsia" w:ascii="黑体" w:hAnsi="黑体" w:eastAsia="黑体"/>
          <w:b w:val="0"/>
          <w:bCs/>
        </w:rPr>
        <w:t>单位决算情况说明</w:t>
      </w:r>
      <w:bookmarkEnd w:id="16"/>
      <w:bookmarkEnd w:id="17"/>
    </w:p>
    <w:p/>
    <w:p>
      <w:pPr>
        <w:pStyle w:val="23"/>
        <w:numPr>
          <w:ilvl w:val="0"/>
          <w:numId w:val="2"/>
        </w:numPr>
        <w:spacing w:line="600" w:lineRule="exact"/>
        <w:ind w:firstLineChars="0"/>
        <w:outlineLvl w:val="1"/>
        <w:rPr>
          <w:rStyle w:val="25"/>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5"/>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6496.16</w:t>
      </w:r>
      <w:r>
        <w:rPr>
          <w:rFonts w:hint="eastAsia" w:ascii="仿宋" w:hAnsi="仿宋" w:eastAsia="仿宋"/>
          <w:sz w:val="32"/>
          <w:szCs w:val="32"/>
        </w:rPr>
        <w:t>万元。与2021年相比，收、支总计各</w:t>
      </w:r>
      <w:r>
        <w:rPr>
          <w:rFonts w:hint="eastAsia" w:ascii="仿宋" w:hAnsi="仿宋" w:eastAsia="仿宋"/>
          <w:sz w:val="32"/>
          <w:szCs w:val="32"/>
          <w:lang w:eastAsia="zh-CN"/>
        </w:rPr>
        <w:t>减少</w:t>
      </w:r>
      <w:r>
        <w:rPr>
          <w:rFonts w:hint="eastAsia" w:ascii="仿宋" w:hAnsi="仿宋" w:eastAsia="仿宋"/>
          <w:sz w:val="32"/>
          <w:szCs w:val="32"/>
          <w:lang w:val="en-US" w:eastAsia="zh-CN"/>
        </w:rPr>
        <w:t>224.96</w:t>
      </w:r>
      <w:r>
        <w:rPr>
          <w:rFonts w:hint="eastAsia" w:ascii="仿宋" w:hAnsi="仿宋" w:eastAsia="仿宋"/>
          <w:sz w:val="32"/>
          <w:szCs w:val="32"/>
        </w:rPr>
        <w:t>万元，</w:t>
      </w:r>
      <w:r>
        <w:rPr>
          <w:rFonts w:hint="eastAsia" w:ascii="仿宋" w:hAnsi="仿宋" w:eastAsia="仿宋"/>
          <w:sz w:val="32"/>
          <w:szCs w:val="32"/>
          <w:lang w:eastAsia="zh-CN"/>
        </w:rPr>
        <w:t>减少</w:t>
      </w:r>
      <w:r>
        <w:rPr>
          <w:rFonts w:hint="eastAsia" w:ascii="仿宋" w:hAnsi="仿宋" w:eastAsia="仿宋"/>
          <w:sz w:val="32"/>
          <w:szCs w:val="32"/>
          <w:lang w:val="en-US" w:eastAsia="zh-CN"/>
        </w:rPr>
        <w:t>3.59</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事业收入增加，人员增加</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420" w:firstLineChars="200"/>
        <w:jc w:val="left"/>
      </w:pPr>
      <w:r>
        <w:drawing>
          <wp:anchor distT="0" distB="0" distL="114300" distR="114300" simplePos="0" relativeHeight="251661312" behindDoc="0" locked="0" layoutInCell="1" allowOverlap="1">
            <wp:simplePos x="0" y="0"/>
            <wp:positionH relativeFrom="column">
              <wp:posOffset>238125</wp:posOffset>
            </wp:positionH>
            <wp:positionV relativeFrom="paragraph">
              <wp:posOffset>5715</wp:posOffset>
            </wp:positionV>
            <wp:extent cx="4705350" cy="2847975"/>
            <wp:effectExtent l="0" t="0" r="0" b="952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4705350" cy="2847975"/>
                    </a:xfrm>
                    <a:prstGeom prst="rect">
                      <a:avLst/>
                    </a:prstGeom>
                    <a:noFill/>
                    <a:ln>
                      <a:noFill/>
                    </a:ln>
                  </pic:spPr>
                </pic:pic>
              </a:graphicData>
            </a:graphic>
          </wp:anchor>
        </w:drawing>
      </w:r>
    </w:p>
    <w:p>
      <w:pPr>
        <w:pStyle w:val="2"/>
      </w:pPr>
    </w:p>
    <w:p>
      <w:pPr>
        <w:pStyle w:val="2"/>
      </w:pPr>
    </w:p>
    <w:p>
      <w:pPr>
        <w:pStyle w:val="2"/>
      </w:pPr>
    </w:p>
    <w:p>
      <w:pPr>
        <w:pStyle w:val="2"/>
      </w:pPr>
    </w:p>
    <w:p>
      <w:pPr>
        <w:pStyle w:val="2"/>
      </w:pPr>
    </w:p>
    <w:p>
      <w:pPr>
        <w:pStyle w:val="2"/>
      </w:pPr>
    </w:p>
    <w:p>
      <w:pPr>
        <w:pStyle w:val="23"/>
        <w:numPr>
          <w:ilvl w:val="0"/>
          <w:numId w:val="2"/>
        </w:numPr>
        <w:spacing w:line="600" w:lineRule="exact"/>
        <w:ind w:firstLineChars="0"/>
        <w:outlineLvl w:val="1"/>
        <w:rPr>
          <w:rStyle w:val="25"/>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5"/>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6496.16</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6109.47</w:t>
      </w:r>
      <w:r>
        <w:rPr>
          <w:rFonts w:hint="eastAsia" w:ascii="仿宋" w:hAnsi="仿宋" w:eastAsia="仿宋"/>
          <w:sz w:val="32"/>
          <w:szCs w:val="32"/>
        </w:rPr>
        <w:t>万元，占</w:t>
      </w:r>
      <w:r>
        <w:rPr>
          <w:rFonts w:hint="eastAsia" w:ascii="仿宋" w:hAnsi="仿宋" w:eastAsia="仿宋"/>
          <w:sz w:val="32"/>
          <w:szCs w:val="32"/>
          <w:lang w:val="en-US" w:eastAsia="zh-CN"/>
        </w:rPr>
        <w:t>94.04</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386.39</w:t>
      </w:r>
      <w:r>
        <w:rPr>
          <w:rFonts w:hint="eastAsia" w:ascii="仿宋" w:hAnsi="仿宋" w:eastAsia="仿宋"/>
          <w:sz w:val="32"/>
          <w:szCs w:val="32"/>
        </w:rPr>
        <w:t>万元，占</w:t>
      </w:r>
      <w:r>
        <w:rPr>
          <w:rFonts w:hint="eastAsia" w:ascii="仿宋" w:hAnsi="仿宋" w:eastAsia="仿宋"/>
          <w:sz w:val="32"/>
          <w:szCs w:val="32"/>
          <w:lang w:val="en-US" w:eastAsia="zh-CN"/>
        </w:rPr>
        <w:t>5.95</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0.3</w:t>
      </w:r>
      <w:r>
        <w:rPr>
          <w:rFonts w:hint="eastAsia" w:ascii="仿宋" w:hAnsi="仿宋" w:eastAsia="仿宋"/>
          <w:sz w:val="32"/>
          <w:szCs w:val="32"/>
        </w:rPr>
        <w:t>万元，占</w:t>
      </w:r>
      <w:r>
        <w:rPr>
          <w:rFonts w:hint="eastAsia" w:ascii="仿宋" w:hAnsi="仿宋" w:eastAsia="仿宋"/>
          <w:sz w:val="32"/>
          <w:szCs w:val="32"/>
          <w:lang w:val="en-US" w:eastAsia="zh-CN"/>
        </w:rPr>
        <w:t>0.01</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r>
        <w:rPr>
          <w:rFonts w:ascii="仿宋" w:hAnsi="仿宋" w:eastAsia="仿宋"/>
          <w:b/>
          <w:sz w:val="32"/>
          <w:szCs w:val="32"/>
        </w:rPr>
        <w:t>）</w:t>
      </w:r>
    </w:p>
    <w:p>
      <w:pPr>
        <w:spacing w:line="600" w:lineRule="exact"/>
        <w:ind w:firstLine="640" w:firstLineChars="200"/>
        <w:outlineLvl w:val="1"/>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420" w:firstLineChars="200"/>
        <w:rPr>
          <w:rFonts w:ascii="仿宋_GB2312" w:eastAsia="仿宋_GB2312"/>
          <w:sz w:val="32"/>
          <w:szCs w:val="32"/>
        </w:rPr>
      </w:pPr>
      <w:r>
        <w:drawing>
          <wp:anchor distT="0" distB="0" distL="114300" distR="114300" simplePos="0" relativeHeight="251659264" behindDoc="0" locked="0" layoutInCell="1" allowOverlap="1">
            <wp:simplePos x="0" y="0"/>
            <wp:positionH relativeFrom="column">
              <wp:posOffset>164465</wp:posOffset>
            </wp:positionH>
            <wp:positionV relativeFrom="paragraph">
              <wp:posOffset>178435</wp:posOffset>
            </wp:positionV>
            <wp:extent cx="4695825" cy="2828925"/>
            <wp:effectExtent l="0" t="0" r="9525" b="952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4695825" cy="2828925"/>
                    </a:xfrm>
                    <a:prstGeom prst="rect">
                      <a:avLst/>
                    </a:prstGeom>
                    <a:noFill/>
                    <a:ln>
                      <a:noFill/>
                    </a:ln>
                  </pic:spPr>
                </pic:pic>
              </a:graphicData>
            </a:graphic>
          </wp:anchor>
        </w:drawing>
      </w: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3"/>
        <w:numPr>
          <w:ilvl w:val="0"/>
          <w:numId w:val="2"/>
        </w:numPr>
        <w:spacing w:line="600" w:lineRule="exact"/>
        <w:ind w:firstLineChars="0"/>
        <w:outlineLvl w:val="1"/>
        <w:rPr>
          <w:rStyle w:val="25"/>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25"/>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6496.19</w:t>
      </w:r>
      <w:r>
        <w:rPr>
          <w:rFonts w:hint="eastAsia" w:ascii="仿宋" w:hAnsi="仿宋" w:eastAsia="仿宋"/>
          <w:sz w:val="32"/>
          <w:szCs w:val="32"/>
        </w:rPr>
        <w:t>万元，其中：基本支出</w:t>
      </w:r>
      <w:r>
        <w:rPr>
          <w:rFonts w:hint="eastAsia" w:ascii="仿宋" w:hAnsi="仿宋" w:eastAsia="仿宋"/>
          <w:sz w:val="32"/>
          <w:szCs w:val="32"/>
          <w:lang w:val="en-US" w:eastAsia="zh-CN"/>
        </w:rPr>
        <w:t>6151.16</w:t>
      </w:r>
      <w:r>
        <w:rPr>
          <w:rFonts w:hint="eastAsia" w:ascii="仿宋" w:hAnsi="仿宋" w:eastAsia="仿宋"/>
          <w:sz w:val="32"/>
          <w:szCs w:val="32"/>
        </w:rPr>
        <w:t>万元，占</w:t>
      </w:r>
      <w:r>
        <w:rPr>
          <w:rFonts w:hint="eastAsia" w:ascii="仿宋" w:hAnsi="仿宋" w:eastAsia="仿宋"/>
          <w:sz w:val="32"/>
          <w:szCs w:val="32"/>
          <w:lang w:val="en-US" w:eastAsia="zh-CN"/>
        </w:rPr>
        <w:t>94.69</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345</w:t>
      </w:r>
      <w:r>
        <w:rPr>
          <w:rFonts w:hint="eastAsia" w:ascii="仿宋" w:hAnsi="仿宋" w:eastAsia="仿宋"/>
          <w:sz w:val="32"/>
          <w:szCs w:val="32"/>
        </w:rPr>
        <w:t>万元，占</w:t>
      </w:r>
      <w:r>
        <w:rPr>
          <w:rFonts w:hint="eastAsia" w:ascii="仿宋" w:hAnsi="仿宋" w:eastAsia="仿宋"/>
          <w:sz w:val="32"/>
          <w:szCs w:val="32"/>
          <w:lang w:val="en-US" w:eastAsia="zh-CN"/>
        </w:rPr>
        <w:t>5.31</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600" w:lineRule="exact"/>
        <w:ind w:firstLine="643" w:firstLineChars="200"/>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p>
    <w:p>
      <w:pPr>
        <w:spacing w:line="600" w:lineRule="exact"/>
        <w:ind w:firstLine="640"/>
        <w:rPr>
          <w:rFonts w:ascii="仿宋" w:hAnsi="仿宋" w:eastAsia="仿宋"/>
          <w:sz w:val="32"/>
          <w:szCs w:val="32"/>
          <w:shd w:val="pct10" w:color="auto" w:fill="FFFFFF"/>
        </w:rPr>
      </w:pP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（图3：支出决算结构图）（饼状图）</w:t>
      </w:r>
    </w:p>
    <w:p>
      <w:pPr>
        <w:pStyle w:val="2"/>
        <w:rPr>
          <w:rFonts w:hint="eastAsia" w:ascii="仿宋" w:hAnsi="仿宋" w:eastAsia="仿宋"/>
          <w:sz w:val="32"/>
          <w:szCs w:val="32"/>
        </w:rPr>
      </w:pPr>
    </w:p>
    <w:p>
      <w:pPr>
        <w:pStyle w:val="2"/>
        <w:rPr>
          <w:rFonts w:hint="eastAsia" w:ascii="仿宋" w:hAnsi="仿宋" w:eastAsia="仿宋"/>
          <w:sz w:val="32"/>
          <w:szCs w:val="32"/>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95250</wp:posOffset>
            </wp:positionV>
            <wp:extent cx="4610100" cy="2771775"/>
            <wp:effectExtent l="0" t="0" r="0" b="952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4610100" cy="2771775"/>
                    </a:xfrm>
                    <a:prstGeom prst="rect">
                      <a:avLst/>
                    </a:prstGeom>
                    <a:noFill/>
                    <a:ln>
                      <a:noFill/>
                    </a:ln>
                  </pic:spPr>
                </pic:pic>
              </a:graphicData>
            </a:graphic>
          </wp:anchor>
        </w:drawing>
      </w:r>
    </w:p>
    <w:p>
      <w:pPr>
        <w:spacing w:line="600" w:lineRule="exact"/>
        <w:ind w:firstLine="640" w:firstLineChars="200"/>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pStyle w:val="2"/>
        <w:rPr>
          <w:rFonts w:ascii="仿宋_GB2312" w:eastAsia="仿宋_GB2312"/>
          <w:sz w:val="32"/>
          <w:szCs w:val="32"/>
        </w:rPr>
      </w:pPr>
    </w:p>
    <w:p>
      <w:pPr>
        <w:spacing w:line="600" w:lineRule="exact"/>
        <w:ind w:firstLine="640" w:firstLineChars="200"/>
        <w:outlineLvl w:val="1"/>
        <w:rPr>
          <w:rStyle w:val="25"/>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25"/>
          <w:rFonts w:hint="eastAsia" w:ascii="黑体" w:hAnsi="黑体" w:eastAsia="黑体"/>
          <w:b w:val="0"/>
        </w:rPr>
        <w:t>政拨款收入支出决算总体情况说明</w:t>
      </w:r>
      <w:bookmarkEnd w:id="24"/>
      <w:bookmarkEnd w:id="25"/>
    </w:p>
    <w:p>
      <w:pPr>
        <w:spacing w:line="600" w:lineRule="exact"/>
        <w:ind w:firstLine="640"/>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6109.47</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21年相比，财政拨款收、支总计各增加</w:t>
      </w:r>
      <w:r>
        <w:rPr>
          <w:rFonts w:hint="eastAsia" w:ascii="仿宋" w:hAnsi="仿宋" w:eastAsia="仿宋"/>
          <w:sz w:val="32"/>
          <w:szCs w:val="32"/>
          <w:lang w:val="en-US" w:eastAsia="zh-CN"/>
        </w:rPr>
        <w:t>182.87</w:t>
      </w:r>
      <w:r>
        <w:rPr>
          <w:rFonts w:hint="eastAsia" w:ascii="仿宋" w:hAnsi="仿宋" w:eastAsia="仿宋"/>
          <w:sz w:val="32"/>
          <w:szCs w:val="32"/>
        </w:rPr>
        <w:t>万元，增长</w:t>
      </w:r>
      <w:r>
        <w:rPr>
          <w:rFonts w:hint="eastAsia" w:ascii="仿宋" w:hAnsi="仿宋" w:eastAsia="仿宋"/>
          <w:sz w:val="32"/>
          <w:szCs w:val="32"/>
          <w:lang w:val="en-US" w:eastAsia="zh-CN"/>
        </w:rPr>
        <w:t>3.08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人员增加</w:t>
      </w:r>
    </w:p>
    <w:p>
      <w:pPr>
        <w:spacing w:line="600" w:lineRule="exact"/>
        <w:ind w:firstLine="640"/>
        <w:rPr>
          <w:rFonts w:ascii="仿宋" w:hAnsi="仿宋" w:eastAsia="仿宋"/>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r>
        <w:drawing>
          <wp:anchor distT="0" distB="0" distL="114300" distR="114300" simplePos="0" relativeHeight="251662336" behindDoc="0" locked="0" layoutInCell="1" allowOverlap="1">
            <wp:simplePos x="0" y="0"/>
            <wp:positionH relativeFrom="column">
              <wp:posOffset>363220</wp:posOffset>
            </wp:positionH>
            <wp:positionV relativeFrom="paragraph">
              <wp:posOffset>67310</wp:posOffset>
            </wp:positionV>
            <wp:extent cx="4629150" cy="280035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4629150" cy="2800350"/>
                    </a:xfrm>
                    <a:prstGeom prst="rect">
                      <a:avLst/>
                    </a:prstGeom>
                    <a:noFill/>
                    <a:ln>
                      <a:noFill/>
                    </a:ln>
                  </pic:spPr>
                </pic:pic>
              </a:graphicData>
            </a:graphic>
          </wp:anchor>
        </w:drawing>
      </w:r>
    </w:p>
    <w:p>
      <w:pPr>
        <w:pStyle w:val="2"/>
        <w:rPr>
          <w:rFonts w:ascii="仿宋" w:hAnsi="仿宋" w:eastAsia="仿宋"/>
          <w:b/>
          <w:sz w:val="32"/>
          <w:szCs w:val="32"/>
        </w:rPr>
      </w:pPr>
    </w:p>
    <w:p>
      <w:pPr>
        <w:pStyle w:val="2"/>
        <w:rPr>
          <w:rFonts w:ascii="仿宋" w:hAnsi="仿宋" w:eastAsia="仿宋"/>
          <w:b/>
          <w:sz w:val="32"/>
          <w:szCs w:val="32"/>
        </w:rPr>
      </w:pPr>
    </w:p>
    <w:p>
      <w:pPr>
        <w:pStyle w:val="2"/>
        <w:rPr>
          <w:rFonts w:ascii="仿宋" w:hAnsi="仿宋" w:eastAsia="仿宋"/>
          <w:b/>
          <w:sz w:val="32"/>
          <w:szCs w:val="32"/>
        </w:rPr>
      </w:pPr>
    </w:p>
    <w:p>
      <w:pPr>
        <w:pStyle w:val="2"/>
        <w:rPr>
          <w:rFonts w:ascii="仿宋" w:hAnsi="仿宋" w:eastAsia="仿宋"/>
          <w:b/>
          <w:sz w:val="32"/>
          <w:szCs w:val="32"/>
        </w:rPr>
      </w:pPr>
    </w:p>
    <w:p>
      <w:pPr>
        <w:pStyle w:val="2"/>
        <w:rPr>
          <w:rFonts w:ascii="仿宋" w:hAnsi="仿宋" w:eastAsia="仿宋"/>
          <w:b/>
          <w:sz w:val="32"/>
          <w:szCs w:val="32"/>
        </w:rPr>
      </w:pPr>
    </w:p>
    <w:p>
      <w:pPr>
        <w:pStyle w:val="2"/>
        <w:rPr>
          <w:rFonts w:ascii="仿宋" w:hAnsi="仿宋" w:eastAsia="仿宋"/>
          <w:b/>
          <w:sz w:val="32"/>
          <w:szCs w:val="32"/>
        </w:rPr>
      </w:pPr>
    </w:p>
    <w:p>
      <w:pPr>
        <w:spacing w:line="600" w:lineRule="exact"/>
        <w:ind w:firstLine="640" w:firstLineChars="200"/>
        <w:outlineLvl w:val="1"/>
        <w:rPr>
          <w:rStyle w:val="25"/>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5"/>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6109.47</w:t>
      </w:r>
      <w:r>
        <w:rPr>
          <w:rFonts w:hint="eastAsia" w:ascii="仿宋" w:hAnsi="仿宋" w:eastAsia="仿宋"/>
          <w:sz w:val="32"/>
          <w:szCs w:val="32"/>
        </w:rPr>
        <w:t>万元，占本年支出合计的</w:t>
      </w:r>
      <w:r>
        <w:rPr>
          <w:rFonts w:hint="eastAsia" w:ascii="仿宋" w:hAnsi="仿宋" w:eastAsia="仿宋"/>
          <w:sz w:val="32"/>
          <w:szCs w:val="32"/>
          <w:lang w:val="en-US" w:eastAsia="zh-CN"/>
        </w:rPr>
        <w:t>94.05</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hint="eastAsia" w:ascii="仿宋" w:hAnsi="仿宋" w:eastAsia="仿宋"/>
          <w:sz w:val="32"/>
          <w:szCs w:val="32"/>
          <w:lang w:val="en-US" w:eastAsia="zh-CN"/>
        </w:rPr>
        <w:t>182.87</w:t>
      </w:r>
      <w:r>
        <w:rPr>
          <w:rFonts w:hint="eastAsia" w:ascii="仿宋" w:hAnsi="仿宋" w:eastAsia="仿宋"/>
          <w:sz w:val="32"/>
          <w:szCs w:val="32"/>
        </w:rPr>
        <w:t>万元，增长</w:t>
      </w:r>
      <w:r>
        <w:rPr>
          <w:rFonts w:hint="eastAsia" w:ascii="仿宋" w:hAnsi="仿宋" w:eastAsia="仿宋"/>
          <w:sz w:val="32"/>
          <w:szCs w:val="32"/>
          <w:lang w:val="en-US" w:eastAsia="zh-CN"/>
        </w:rPr>
        <w:t>3.08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人员增加。</w:t>
      </w:r>
    </w:p>
    <w:p>
      <w:pPr>
        <w:spacing w:line="600" w:lineRule="exact"/>
        <w:ind w:firstLine="420" w:firstLineChars="200"/>
        <w:rPr>
          <w:rFonts w:hint="eastAsia" w:ascii="仿宋" w:hAnsi="仿宋" w:eastAsia="仿宋"/>
          <w:sz w:val="32"/>
          <w:szCs w:val="32"/>
        </w:rPr>
      </w:pPr>
      <w:r>
        <w:drawing>
          <wp:anchor distT="0" distB="0" distL="114300" distR="114300" simplePos="0" relativeHeight="251663360" behindDoc="0" locked="0" layoutInCell="1" allowOverlap="1">
            <wp:simplePos x="0" y="0"/>
            <wp:positionH relativeFrom="column">
              <wp:posOffset>354965</wp:posOffset>
            </wp:positionH>
            <wp:positionV relativeFrom="paragraph">
              <wp:posOffset>750570</wp:posOffset>
            </wp:positionV>
            <wp:extent cx="4638675" cy="2809875"/>
            <wp:effectExtent l="0" t="0" r="9525" b="9525"/>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4638675" cy="2809875"/>
                    </a:xfrm>
                    <a:prstGeom prst="rect">
                      <a:avLst/>
                    </a:prstGeom>
                    <a:noFill/>
                    <a:ln>
                      <a:noFill/>
                    </a:ln>
                  </pic:spPr>
                </pic:pic>
              </a:graphicData>
            </a:graphic>
          </wp:anchor>
        </w:drawing>
      </w:r>
      <w:r>
        <w:rPr>
          <w:rFonts w:hint="eastAsia" w:ascii="仿宋" w:hAnsi="仿宋" w:eastAsia="仿宋"/>
          <w:sz w:val="32"/>
          <w:szCs w:val="32"/>
        </w:rPr>
        <w:t>（图5：一般公共预算财政拨款支出决算变动情况）（柱状图）</w:t>
      </w: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6109.47</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5097.64</w:t>
      </w:r>
      <w:r>
        <w:rPr>
          <w:rFonts w:hint="eastAsia" w:ascii="仿宋" w:hAnsi="仿宋" w:eastAsia="仿宋"/>
          <w:sz w:val="32"/>
          <w:szCs w:val="32"/>
        </w:rPr>
        <w:t>万元，占</w:t>
      </w:r>
      <w:r>
        <w:rPr>
          <w:rFonts w:hint="eastAsia" w:ascii="仿宋" w:hAnsi="仿宋" w:eastAsia="仿宋"/>
          <w:sz w:val="32"/>
          <w:szCs w:val="32"/>
          <w:lang w:val="en-US" w:eastAsia="zh-CN"/>
        </w:rPr>
        <w:t>83.44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426.59</w:t>
      </w:r>
      <w:r>
        <w:rPr>
          <w:rFonts w:hint="eastAsia" w:ascii="仿宋" w:hAnsi="仿宋" w:eastAsia="仿宋"/>
          <w:sz w:val="32"/>
          <w:szCs w:val="32"/>
        </w:rPr>
        <w:t>万元，占</w:t>
      </w:r>
      <w:r>
        <w:rPr>
          <w:rFonts w:hint="eastAsia" w:ascii="仿宋" w:hAnsi="仿宋" w:eastAsia="仿宋"/>
          <w:sz w:val="32"/>
          <w:szCs w:val="32"/>
          <w:lang w:val="en-US" w:eastAsia="zh-CN"/>
        </w:rPr>
        <w:t>6.98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213.3</w:t>
      </w:r>
      <w:r>
        <w:rPr>
          <w:rFonts w:hint="eastAsia" w:ascii="仿宋" w:hAnsi="仿宋" w:eastAsia="仿宋"/>
          <w:sz w:val="32"/>
          <w:szCs w:val="32"/>
        </w:rPr>
        <w:t>万元，占</w:t>
      </w:r>
      <w:r>
        <w:rPr>
          <w:rFonts w:hint="eastAsia" w:ascii="仿宋" w:hAnsi="仿宋" w:eastAsia="仿宋"/>
          <w:sz w:val="32"/>
          <w:szCs w:val="32"/>
          <w:lang w:val="en-US" w:eastAsia="zh-CN"/>
        </w:rPr>
        <w:t>3.49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319.94</w:t>
      </w:r>
      <w:r>
        <w:rPr>
          <w:rFonts w:hint="eastAsia" w:ascii="仿宋" w:hAnsi="仿宋" w:eastAsia="仿宋"/>
          <w:sz w:val="32"/>
          <w:szCs w:val="32"/>
        </w:rPr>
        <w:t>万元，占</w:t>
      </w:r>
      <w:r>
        <w:rPr>
          <w:rFonts w:hint="eastAsia" w:ascii="仿宋" w:hAnsi="仿宋" w:eastAsia="仿宋"/>
          <w:sz w:val="32"/>
          <w:szCs w:val="32"/>
          <w:lang w:val="en-US" w:eastAsia="zh-CN"/>
        </w:rPr>
        <w:t>5.24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lang w:eastAsia="zh-CN"/>
        </w:rPr>
        <w:t>农林水支出</w:t>
      </w:r>
      <w:r>
        <w:rPr>
          <w:rFonts w:hint="eastAsia" w:ascii="仿宋" w:hAnsi="仿宋" w:eastAsia="仿宋"/>
          <w:sz w:val="32"/>
          <w:szCs w:val="32"/>
          <w:lang w:val="en-US" w:eastAsia="zh-CN"/>
        </w:rPr>
        <w:t>52.00万元，占比0.85%</w:t>
      </w:r>
      <w:r>
        <w:rPr>
          <w:rFonts w:hint="eastAsia" w:ascii="仿宋" w:hAnsi="仿宋" w:eastAsia="仿宋"/>
          <w:sz w:val="32"/>
          <w:szCs w:val="32"/>
        </w:rPr>
        <w:t>。</w:t>
      </w:r>
    </w:p>
    <w:p>
      <w:pPr>
        <w:spacing w:line="600" w:lineRule="exact"/>
        <w:ind w:firstLine="640"/>
        <w:rPr>
          <w:rFonts w:ascii="仿宋" w:hAnsi="仿宋" w:eastAsia="仿宋"/>
          <w:sz w:val="32"/>
          <w:szCs w:val="32"/>
        </w:rPr>
      </w:pPr>
      <w:r>
        <w:rPr>
          <w:rFonts w:hint="eastAsia" w:ascii="仿宋" w:hAnsi="仿宋" w:eastAsia="仿宋"/>
          <w:b/>
          <w:sz w:val="32"/>
          <w:szCs w:val="32"/>
        </w:rPr>
        <w:t>（注：数据来源于财决01-1表，仅罗列本单位涉及的全部功能分类科目，至类级。）</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420" w:firstLineChars="200"/>
        <w:rPr>
          <w:rFonts w:ascii="仿宋" w:hAnsi="仿宋" w:eastAsia="仿宋"/>
          <w:sz w:val="32"/>
          <w:szCs w:val="32"/>
        </w:rPr>
      </w:pPr>
      <w:r>
        <w:drawing>
          <wp:anchor distT="0" distB="0" distL="114300" distR="114300" simplePos="0" relativeHeight="251664384" behindDoc="0" locked="0" layoutInCell="1" allowOverlap="1">
            <wp:simplePos x="0" y="0"/>
            <wp:positionH relativeFrom="column">
              <wp:posOffset>311785</wp:posOffset>
            </wp:positionH>
            <wp:positionV relativeFrom="paragraph">
              <wp:posOffset>214630</wp:posOffset>
            </wp:positionV>
            <wp:extent cx="4648200" cy="280035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4648200" cy="2800350"/>
                    </a:xfrm>
                    <a:prstGeom prst="rect">
                      <a:avLst/>
                    </a:prstGeom>
                    <a:noFill/>
                    <a:ln>
                      <a:noFill/>
                    </a:ln>
                  </pic:spPr>
                </pic:pic>
              </a:graphicData>
            </a:graphic>
          </wp:anchor>
        </w:drawing>
      </w:r>
    </w:p>
    <w:p>
      <w:pPr>
        <w:pStyle w:val="2"/>
        <w:rPr>
          <w:rFonts w:ascii="仿宋" w:hAnsi="仿宋" w:eastAsia="仿宋"/>
          <w:sz w:val="32"/>
          <w:szCs w:val="32"/>
        </w:rPr>
      </w:pPr>
    </w:p>
    <w:p>
      <w:pPr>
        <w:pStyle w:val="2"/>
        <w:rPr>
          <w:rFonts w:ascii="仿宋" w:hAnsi="仿宋" w:eastAsia="仿宋"/>
          <w:sz w:val="32"/>
          <w:szCs w:val="32"/>
        </w:rPr>
      </w:pPr>
    </w:p>
    <w:p>
      <w:pPr>
        <w:pStyle w:val="2"/>
        <w:rPr>
          <w:rFonts w:ascii="仿宋" w:hAnsi="仿宋" w:eastAsia="仿宋"/>
          <w:sz w:val="32"/>
          <w:szCs w:val="32"/>
        </w:rPr>
      </w:pPr>
    </w:p>
    <w:p>
      <w:pPr>
        <w:pStyle w:val="2"/>
        <w:rPr>
          <w:rFonts w:ascii="仿宋" w:hAnsi="仿宋" w:eastAsia="仿宋"/>
          <w:sz w:val="32"/>
          <w:szCs w:val="32"/>
        </w:rPr>
      </w:pPr>
    </w:p>
    <w:p>
      <w:pPr>
        <w:pStyle w:val="2"/>
        <w:rPr>
          <w:rFonts w:ascii="仿宋" w:hAnsi="仿宋" w:eastAsia="仿宋"/>
          <w:sz w:val="32"/>
          <w:szCs w:val="32"/>
        </w:rPr>
      </w:pPr>
    </w:p>
    <w:p>
      <w:pPr>
        <w:pStyle w:val="2"/>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Style w:val="14"/>
          <w:rFonts w:hint="eastAsia" w:ascii="仿宋" w:hAnsi="仿宋" w:eastAsia="仿宋"/>
          <w:bCs/>
          <w:sz w:val="32"/>
          <w:szCs w:val="32"/>
        </w:rPr>
      </w:pPr>
      <w:bookmarkStart w:id="31" w:name="_Toc15377213"/>
      <w:bookmarkStart w:id="32" w:name="_Toc15377444"/>
      <w:bookmarkStart w:id="33" w:name="_Toc15378460"/>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6109.47万元</w:t>
      </w:r>
      <w:r>
        <w:rPr>
          <w:rFonts w:hint="eastAsia" w:ascii="仿宋" w:hAnsi="仿宋" w:eastAsia="仿宋"/>
          <w:sz w:val="32"/>
          <w:szCs w:val="32"/>
        </w:rPr>
        <w:t>，</w:t>
      </w:r>
      <w:r>
        <w:rPr>
          <w:rStyle w:val="14"/>
          <w:rFonts w:hint="eastAsia" w:ascii="仿宋" w:hAnsi="仿宋" w:eastAsia="仿宋"/>
          <w:bCs/>
          <w:sz w:val="32"/>
          <w:szCs w:val="32"/>
        </w:rPr>
        <w:t>完成预算</w:t>
      </w:r>
      <w:r>
        <w:rPr>
          <w:rStyle w:val="14"/>
          <w:rFonts w:hint="eastAsia" w:ascii="仿宋" w:hAnsi="仿宋" w:eastAsia="仿宋"/>
          <w:bCs/>
          <w:sz w:val="32"/>
          <w:szCs w:val="32"/>
          <w:lang w:val="en-US" w:eastAsia="zh-CN"/>
        </w:rPr>
        <w:t>100</w:t>
      </w:r>
      <w:r>
        <w:rPr>
          <w:rStyle w:val="14"/>
          <w:rFonts w:ascii="仿宋" w:hAnsi="仿宋" w:eastAsia="仿宋"/>
          <w:bCs/>
          <w:sz w:val="32"/>
          <w:szCs w:val="32"/>
        </w:rPr>
        <w:t>%</w:t>
      </w:r>
      <w:r>
        <w:rPr>
          <w:rStyle w:val="14"/>
          <w:rFonts w:hint="eastAsia" w:ascii="仿宋" w:hAnsi="仿宋" w:eastAsia="仿宋"/>
          <w:bCs/>
          <w:sz w:val="32"/>
          <w:szCs w:val="32"/>
        </w:rPr>
        <w:t>。其中：</w:t>
      </w:r>
      <w:bookmarkEnd w:id="31"/>
      <w:bookmarkEnd w:id="32"/>
      <w:bookmarkEnd w:id="33"/>
    </w:p>
    <w:p>
      <w:pPr>
        <w:spacing w:line="600" w:lineRule="exact"/>
        <w:ind w:firstLine="643" w:firstLineChars="200"/>
        <w:outlineLvl w:val="2"/>
        <w:rPr>
          <w:rStyle w:val="14"/>
          <w:rFonts w:hint="eastAsia" w:ascii="仿宋" w:hAnsi="仿宋" w:eastAsia="仿宋"/>
          <w:b w:val="0"/>
          <w:bCs/>
          <w:sz w:val="32"/>
          <w:szCs w:val="32"/>
        </w:rPr>
      </w:pPr>
      <w:r>
        <w:rPr>
          <w:rStyle w:val="14"/>
          <w:rFonts w:hint="eastAsia" w:ascii="仿宋" w:hAnsi="仿宋" w:eastAsia="仿宋"/>
          <w:bCs/>
          <w:sz w:val="32"/>
          <w:szCs w:val="32"/>
          <w:lang w:val="en-US" w:eastAsia="zh-CN"/>
        </w:rPr>
        <w:t>1.</w:t>
      </w:r>
      <w:r>
        <w:rPr>
          <w:rStyle w:val="14"/>
          <w:rFonts w:hint="eastAsia" w:ascii="仿宋" w:hAnsi="仿宋" w:eastAsia="仿宋"/>
          <w:bCs/>
          <w:sz w:val="32"/>
          <w:szCs w:val="32"/>
        </w:rPr>
        <w:t>教育（类）</w:t>
      </w:r>
      <w:r>
        <w:rPr>
          <w:rStyle w:val="14"/>
          <w:rFonts w:hint="eastAsia" w:ascii="仿宋" w:hAnsi="仿宋" w:eastAsia="仿宋"/>
          <w:bCs/>
          <w:sz w:val="32"/>
          <w:szCs w:val="32"/>
          <w:lang w:eastAsia="zh-CN"/>
        </w:rPr>
        <w:t>普通教育</w:t>
      </w:r>
      <w:r>
        <w:rPr>
          <w:rStyle w:val="14"/>
          <w:rFonts w:hint="eastAsia" w:ascii="仿宋" w:hAnsi="仿宋" w:eastAsia="仿宋"/>
          <w:bCs/>
          <w:sz w:val="32"/>
          <w:szCs w:val="32"/>
        </w:rPr>
        <w:t>（款）</w:t>
      </w:r>
      <w:r>
        <w:rPr>
          <w:rStyle w:val="14"/>
          <w:rFonts w:hint="eastAsia" w:ascii="仿宋" w:hAnsi="仿宋" w:eastAsia="仿宋"/>
          <w:bCs/>
          <w:sz w:val="32"/>
          <w:szCs w:val="32"/>
          <w:lang w:eastAsia="zh-CN"/>
        </w:rPr>
        <w:t>初中教育</w:t>
      </w:r>
      <w:r>
        <w:rPr>
          <w:rStyle w:val="14"/>
          <w:rFonts w:hint="eastAsia" w:ascii="仿宋" w:hAnsi="仿宋" w:eastAsia="仿宋"/>
          <w:bCs/>
          <w:sz w:val="32"/>
          <w:szCs w:val="32"/>
        </w:rPr>
        <w:t>（项）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1766.51</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pStyle w:val="2"/>
        <w:numPr>
          <w:ilvl w:val="0"/>
          <w:numId w:val="0"/>
        </w:numPr>
        <w:ind w:firstLine="643" w:firstLineChars="200"/>
      </w:pPr>
      <w:r>
        <w:rPr>
          <w:rStyle w:val="14"/>
          <w:rFonts w:hint="eastAsia" w:ascii="仿宋" w:hAnsi="仿宋" w:eastAsia="仿宋"/>
          <w:bCs/>
          <w:sz w:val="32"/>
          <w:szCs w:val="32"/>
          <w:lang w:val="en-US" w:eastAsia="zh-CN"/>
        </w:rPr>
        <w:t>2.</w:t>
      </w:r>
      <w:r>
        <w:rPr>
          <w:rStyle w:val="14"/>
          <w:rFonts w:hint="eastAsia" w:ascii="仿宋" w:hAnsi="仿宋" w:eastAsia="仿宋"/>
          <w:bCs/>
          <w:sz w:val="32"/>
          <w:szCs w:val="32"/>
        </w:rPr>
        <w:t>教育（类）</w:t>
      </w:r>
      <w:r>
        <w:rPr>
          <w:rStyle w:val="14"/>
          <w:rFonts w:hint="eastAsia" w:ascii="仿宋" w:hAnsi="仿宋" w:eastAsia="仿宋"/>
          <w:bCs/>
          <w:sz w:val="32"/>
          <w:szCs w:val="32"/>
          <w:lang w:eastAsia="zh-CN"/>
        </w:rPr>
        <w:t>普通教育</w:t>
      </w:r>
      <w:r>
        <w:rPr>
          <w:rStyle w:val="14"/>
          <w:rFonts w:hint="eastAsia" w:ascii="仿宋" w:hAnsi="仿宋" w:eastAsia="仿宋"/>
          <w:bCs/>
          <w:sz w:val="32"/>
          <w:szCs w:val="32"/>
        </w:rPr>
        <w:t>（款）</w:t>
      </w:r>
      <w:r>
        <w:rPr>
          <w:rStyle w:val="14"/>
          <w:rFonts w:hint="eastAsia" w:ascii="仿宋" w:hAnsi="仿宋" w:eastAsia="仿宋"/>
          <w:bCs/>
          <w:sz w:val="32"/>
          <w:szCs w:val="32"/>
          <w:lang w:eastAsia="zh-CN"/>
        </w:rPr>
        <w:t>高中教育</w:t>
      </w:r>
      <w:r>
        <w:rPr>
          <w:rStyle w:val="14"/>
          <w:rFonts w:hint="eastAsia" w:ascii="仿宋" w:hAnsi="仿宋" w:eastAsia="仿宋"/>
          <w:bCs/>
          <w:sz w:val="32"/>
          <w:szCs w:val="32"/>
        </w:rPr>
        <w:t>（项）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3331.13</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Style w:val="14"/>
          <w:rFonts w:hint="eastAsia" w:ascii="仿宋" w:hAnsi="仿宋" w:eastAsia="仿宋"/>
          <w:bCs/>
          <w:sz w:val="32"/>
          <w:szCs w:val="32"/>
          <w:lang w:val="en-US" w:eastAsia="zh-CN"/>
        </w:rPr>
        <w:t>3.</w:t>
      </w:r>
      <w:r>
        <w:rPr>
          <w:rStyle w:val="14"/>
          <w:rFonts w:hint="eastAsia" w:ascii="仿宋" w:hAnsi="仿宋" w:eastAsia="仿宋"/>
          <w:bCs/>
          <w:sz w:val="32"/>
          <w:szCs w:val="32"/>
        </w:rPr>
        <w:t>社会保障和就业（类）</w:t>
      </w:r>
      <w:r>
        <w:rPr>
          <w:rStyle w:val="14"/>
          <w:rFonts w:hint="eastAsia" w:ascii="仿宋" w:hAnsi="仿宋" w:eastAsia="仿宋"/>
          <w:bCs/>
          <w:sz w:val="32"/>
          <w:szCs w:val="32"/>
          <w:lang w:eastAsia="zh-CN"/>
        </w:rPr>
        <w:t>行政事业单位养老支出</w:t>
      </w:r>
      <w:r>
        <w:rPr>
          <w:rStyle w:val="14"/>
          <w:rFonts w:hint="eastAsia" w:ascii="仿宋" w:hAnsi="仿宋" w:eastAsia="仿宋"/>
          <w:bCs/>
          <w:sz w:val="32"/>
          <w:szCs w:val="32"/>
        </w:rPr>
        <w:t>（款）</w:t>
      </w:r>
      <w:r>
        <w:rPr>
          <w:rStyle w:val="14"/>
          <w:rFonts w:hint="eastAsia" w:ascii="仿宋" w:hAnsi="仿宋" w:eastAsia="仿宋"/>
          <w:bCs/>
          <w:sz w:val="32"/>
          <w:szCs w:val="32"/>
          <w:lang w:eastAsia="zh-CN"/>
        </w:rPr>
        <w:t>机关事业单位基本养老保险缴费支出</w:t>
      </w:r>
      <w:r>
        <w:rPr>
          <w:rStyle w:val="14"/>
          <w:rFonts w:hint="eastAsia" w:ascii="仿宋" w:hAnsi="仿宋" w:eastAsia="仿宋"/>
          <w:bCs/>
          <w:sz w:val="32"/>
          <w:szCs w:val="32"/>
        </w:rPr>
        <w:t>（项）</w:t>
      </w:r>
      <w:r>
        <w:rPr>
          <w:rStyle w:val="14"/>
          <w:rFonts w:ascii="仿宋" w:hAnsi="仿宋" w:eastAsia="仿宋"/>
          <w:bCs/>
          <w:sz w:val="32"/>
          <w:szCs w:val="32"/>
        </w:rPr>
        <w:t>:</w:t>
      </w:r>
      <w:r>
        <w:rPr>
          <w:rStyle w:val="14"/>
          <w:rFonts w:ascii="仿宋" w:hAnsi="仿宋" w:eastAsia="仿宋"/>
          <w:b w:val="0"/>
          <w:bCs/>
          <w:sz w:val="32"/>
          <w:szCs w:val="32"/>
        </w:rPr>
        <w:t xml:space="preserve"> </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426.59</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Fonts w:hint="eastAsia" w:ascii="仿宋" w:hAnsi="仿宋" w:eastAsia="仿宋"/>
          <w:b/>
          <w:bCs/>
          <w:sz w:val="32"/>
          <w:szCs w:val="32"/>
          <w:lang w:val="en-US" w:eastAsia="zh-CN"/>
        </w:rPr>
        <w:t>4.</w:t>
      </w:r>
      <w:r>
        <w:rPr>
          <w:rFonts w:hint="eastAsia" w:ascii="仿宋" w:hAnsi="仿宋" w:eastAsia="仿宋"/>
          <w:b/>
          <w:bCs/>
          <w:sz w:val="32"/>
          <w:szCs w:val="32"/>
        </w:rPr>
        <w:t>卫生健康</w:t>
      </w:r>
      <w:r>
        <w:rPr>
          <w:rStyle w:val="14"/>
          <w:rFonts w:hint="eastAsia" w:ascii="仿宋" w:hAnsi="仿宋" w:eastAsia="仿宋"/>
          <w:bCs/>
          <w:sz w:val="32"/>
          <w:szCs w:val="32"/>
        </w:rPr>
        <w:t>（类）</w:t>
      </w:r>
      <w:r>
        <w:rPr>
          <w:rStyle w:val="14"/>
          <w:rFonts w:hint="eastAsia" w:ascii="仿宋" w:hAnsi="仿宋" w:eastAsia="仿宋"/>
          <w:bCs/>
          <w:sz w:val="32"/>
          <w:szCs w:val="32"/>
          <w:lang w:eastAsia="zh-CN"/>
        </w:rPr>
        <w:t>行政事业单位医疗</w:t>
      </w:r>
      <w:r>
        <w:rPr>
          <w:rStyle w:val="14"/>
          <w:rFonts w:hint="eastAsia" w:ascii="仿宋" w:hAnsi="仿宋" w:eastAsia="仿宋"/>
          <w:bCs/>
          <w:sz w:val="32"/>
          <w:szCs w:val="32"/>
        </w:rPr>
        <w:t>（款）</w:t>
      </w:r>
      <w:r>
        <w:rPr>
          <w:rStyle w:val="14"/>
          <w:rFonts w:hint="eastAsia" w:ascii="仿宋" w:hAnsi="仿宋" w:eastAsia="仿宋"/>
          <w:bCs/>
          <w:sz w:val="32"/>
          <w:szCs w:val="32"/>
          <w:lang w:eastAsia="zh-CN"/>
        </w:rPr>
        <w:t>事业单位医疗</w:t>
      </w:r>
      <w:r>
        <w:rPr>
          <w:rStyle w:val="14"/>
          <w:rFonts w:hint="eastAsia" w:ascii="仿宋" w:hAnsi="仿宋" w:eastAsia="仿宋"/>
          <w:bCs/>
          <w:sz w:val="32"/>
          <w:szCs w:val="32"/>
        </w:rPr>
        <w:t>（项）</w:t>
      </w:r>
      <w:r>
        <w:rPr>
          <w:rStyle w:val="14"/>
          <w:rFonts w:ascii="仿宋" w:hAnsi="仿宋" w:eastAsia="仿宋"/>
          <w:bCs/>
          <w:sz w:val="32"/>
          <w:szCs w:val="32"/>
        </w:rPr>
        <w:t>:</w:t>
      </w:r>
      <w:r>
        <w:rPr>
          <w:rStyle w:val="14"/>
          <w:rFonts w:hint="eastAsia" w:ascii="仿宋" w:hAnsi="仿宋" w:eastAsia="仿宋"/>
          <w:b w:val="0"/>
          <w:bCs/>
          <w:sz w:val="32"/>
          <w:szCs w:val="32"/>
        </w:rPr>
        <w:t>支出决算为</w:t>
      </w:r>
      <w:r>
        <w:rPr>
          <w:rStyle w:val="14"/>
          <w:rFonts w:hint="eastAsia" w:ascii="仿宋" w:hAnsi="仿宋" w:eastAsia="仿宋"/>
          <w:b w:val="0"/>
          <w:bCs/>
          <w:sz w:val="32"/>
          <w:szCs w:val="32"/>
          <w:lang w:val="en-US" w:eastAsia="zh-CN"/>
        </w:rPr>
        <w:t>213.30</w:t>
      </w:r>
      <w:r>
        <w:rPr>
          <w:rStyle w:val="14"/>
          <w:rFonts w:hint="eastAsia" w:ascii="仿宋" w:hAnsi="仿宋" w:eastAsia="仿宋"/>
          <w:b w:val="0"/>
          <w:bCs/>
          <w:sz w:val="32"/>
          <w:szCs w:val="32"/>
        </w:rPr>
        <w:t>万元，完成预算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p>
    <w:p>
      <w:pPr>
        <w:spacing w:line="600" w:lineRule="exact"/>
        <w:ind w:firstLine="643" w:firstLineChars="200"/>
        <w:rPr>
          <w:rFonts w:hint="default" w:ascii="仿宋" w:hAnsi="仿宋" w:eastAsia="仿宋"/>
          <w:b/>
          <w:bCs/>
          <w:sz w:val="32"/>
          <w:szCs w:val="32"/>
          <w:lang w:val="en-US" w:eastAsia="zh-CN"/>
        </w:rPr>
      </w:pPr>
      <w:r>
        <w:rPr>
          <w:rFonts w:hint="eastAsia" w:ascii="仿宋" w:hAnsi="仿宋" w:eastAsia="仿宋"/>
          <w:b/>
          <w:bCs/>
          <w:sz w:val="32"/>
          <w:szCs w:val="32"/>
          <w:lang w:val="en-US" w:eastAsia="zh-CN"/>
        </w:rPr>
        <w:t>5.农林水支出（类）巩固脱贫衔接乡村振兴（款）社会发展（项）：</w:t>
      </w:r>
      <w:r>
        <w:rPr>
          <w:rFonts w:hint="eastAsia" w:ascii="仿宋" w:hAnsi="仿宋" w:eastAsia="仿宋"/>
          <w:b w:val="0"/>
          <w:bCs w:val="0"/>
          <w:sz w:val="32"/>
          <w:szCs w:val="32"/>
          <w:lang w:val="en-US" w:eastAsia="zh-CN"/>
        </w:rPr>
        <w:t>支出决算为52.00万元，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，决算数等于预算数</w:t>
      </w:r>
      <w:r>
        <w:rPr>
          <w:rStyle w:val="14"/>
          <w:rFonts w:hint="eastAsia" w:ascii="仿宋" w:hAnsi="仿宋" w:eastAsia="仿宋"/>
          <w:b w:val="0"/>
          <w:bCs/>
          <w:sz w:val="32"/>
          <w:szCs w:val="32"/>
          <w:lang w:eastAsia="zh-CN"/>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1-1表和财决08表，仅罗列本单位涉及的全部功能分类科目，至项级。）</w:t>
      </w:r>
    </w:p>
    <w:p>
      <w:pPr>
        <w:tabs>
          <w:tab w:val="right" w:pos="8306"/>
        </w:tabs>
        <w:spacing w:line="600" w:lineRule="exact"/>
        <w:ind w:firstLine="640"/>
        <w:outlineLvl w:val="1"/>
        <w:rPr>
          <w:rStyle w:val="25"/>
        </w:rPr>
      </w:pPr>
      <w:bookmarkStart w:id="34" w:name="_Toc15377214"/>
      <w:bookmarkStart w:id="35"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5"/>
          <w:rFonts w:hint="eastAsia" w:ascii="黑体" w:hAnsi="黑体" w:eastAsia="黑体"/>
          <w:b w:val="0"/>
        </w:rPr>
        <w:t>般公共预算财政拨款基本支出决算情况说明</w:t>
      </w:r>
      <w:bookmarkEnd w:id="34"/>
      <w:bookmarkEnd w:id="35"/>
      <w:r>
        <w:rPr>
          <w:rStyle w:val="25"/>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5764.47</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5255.25</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生活补助、医疗费补助、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509.22</w:t>
      </w:r>
      <w:r>
        <w:rPr>
          <w:rFonts w:hint="eastAsia" w:ascii="仿宋" w:hAnsi="仿宋" w:eastAsia="仿宋"/>
          <w:sz w:val="32"/>
          <w:szCs w:val="32"/>
        </w:rPr>
        <w:t>万元，主要包括：办公费、印刷费、咨询费、手续费、水费、电费、邮电费、物业管理费、差旅费、维修（护）费、租赁费、会议费、培训费、公务接待费、劳务费、委托业务费、工会经费、福利费、其他交通费、税金及附加费用、其他商品和服务支出、办公设备购置、专用设备购置、信息网络及软件购置更新、其他资本性支出等。</w:t>
      </w:r>
    </w:p>
    <w:p>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pPr>
        <w:spacing w:line="600" w:lineRule="exact"/>
        <w:ind w:firstLine="640"/>
        <w:rPr>
          <w:rFonts w:ascii="仿宋" w:hAnsi="仿宋" w:eastAsia="仿宋"/>
          <w:b/>
          <w:sz w:val="32"/>
          <w:szCs w:val="32"/>
        </w:rPr>
      </w:pPr>
    </w:p>
    <w:p>
      <w:pPr>
        <w:spacing w:line="600" w:lineRule="exact"/>
        <w:ind w:firstLine="640"/>
        <w:outlineLvl w:val="1"/>
        <w:rPr>
          <w:rStyle w:val="25"/>
          <w:rFonts w:ascii="黑体" w:hAnsi="黑体" w:eastAsia="黑体"/>
          <w:b w:val="0"/>
        </w:rPr>
      </w:pPr>
      <w:bookmarkStart w:id="36" w:name="_Toc15377215"/>
      <w:bookmarkStart w:id="37" w:name="_Toc15396609"/>
      <w:r>
        <w:rPr>
          <w:rFonts w:hint="eastAsia" w:ascii="黑体" w:eastAsia="黑体"/>
          <w:sz w:val="32"/>
          <w:szCs w:val="32"/>
        </w:rPr>
        <w:t>七、</w:t>
      </w:r>
      <w:r>
        <w:rPr>
          <w:rStyle w:val="25"/>
          <w:rFonts w:hint="eastAsia" w:ascii="黑体" w:hAnsi="黑体" w:eastAsia="黑体"/>
          <w:b w:val="0"/>
        </w:rPr>
        <w:t>财政拨款</w:t>
      </w:r>
      <w:r>
        <w:rPr>
          <w:rStyle w:val="25"/>
          <w:rFonts w:hint="eastAsia" w:ascii="黑体" w:hAnsi="黑体" w:eastAsia="黑体"/>
        </w:rPr>
        <w:t>“</w:t>
      </w:r>
      <w:r>
        <w:rPr>
          <w:rStyle w:val="25"/>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1.52</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，与预算数持平。</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1.52</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（图7：“三公”经费财政拨款支出结构）（饼状图）</w:t>
      </w:r>
    </w:p>
    <w:p>
      <w:pPr>
        <w:pStyle w:val="2"/>
        <w:rPr>
          <w:rFonts w:hint="eastAsia" w:ascii="仿宋" w:hAnsi="仿宋" w:eastAsia="仿宋"/>
          <w:sz w:val="32"/>
          <w:szCs w:val="32"/>
        </w:rPr>
      </w:pPr>
      <w:r>
        <w:drawing>
          <wp:anchor distT="0" distB="0" distL="114300" distR="114300" simplePos="0" relativeHeight="251665408" behindDoc="0" locked="0" layoutInCell="1" allowOverlap="1">
            <wp:simplePos x="0" y="0"/>
            <wp:positionH relativeFrom="column">
              <wp:posOffset>242570</wp:posOffset>
            </wp:positionH>
            <wp:positionV relativeFrom="paragraph">
              <wp:posOffset>212090</wp:posOffset>
            </wp:positionV>
            <wp:extent cx="4905375" cy="2771775"/>
            <wp:effectExtent l="0" t="0" r="9525" b="9525"/>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4905375" cy="2771775"/>
                    </a:xfrm>
                    <a:prstGeom prst="rect">
                      <a:avLst/>
                    </a:prstGeom>
                    <a:noFill/>
                    <a:ln>
                      <a:noFill/>
                    </a:ln>
                  </pic:spPr>
                </pic:pic>
              </a:graphicData>
            </a:graphic>
          </wp:anchor>
        </w:drawing>
      </w: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rPr>
          <w:rFonts w:hint="eastAsia" w:ascii="仿宋" w:hAnsi="仿宋" w:eastAsia="仿宋"/>
          <w:sz w:val="32"/>
          <w:szCs w:val="32"/>
        </w:rPr>
      </w:pPr>
    </w:p>
    <w:p>
      <w:pPr>
        <w:spacing w:line="600" w:lineRule="exact"/>
        <w:ind w:firstLine="640"/>
        <w:rPr>
          <w:rFonts w:hint="eastAsia" w:ascii="仿宋_GB2312" w:eastAsia="仿宋_GB2312"/>
          <w:sz w:val="32"/>
          <w:szCs w:val="32"/>
          <w:lang w:val="en-US" w:eastAsia="zh-CN"/>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w:t>
      </w:r>
      <w:r>
        <w:rPr>
          <w:rFonts w:hint="eastAsia" w:ascii="仿宋_GB2312" w:eastAsia="仿宋_GB2312"/>
          <w:sz w:val="32"/>
          <w:szCs w:val="32"/>
          <w:lang w:val="en-US" w:eastAsia="zh-CN"/>
        </w:rPr>
        <w:t>0</w:t>
      </w:r>
    </w:p>
    <w:p>
      <w:pPr>
        <w:spacing w:line="600" w:lineRule="exact"/>
        <w:ind w:firstLine="640"/>
        <w:rPr>
          <w:rFonts w:ascii="仿宋_GB2312" w:eastAsia="仿宋_GB2312"/>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600" w:lineRule="exact"/>
        <w:ind w:firstLine="640"/>
        <w:rPr>
          <w:rFonts w:hint="eastAsia" w:ascii="仿宋_GB2312" w:eastAsia="仿宋_GB2312"/>
          <w:sz w:val="32"/>
          <w:szCs w:val="32"/>
          <w:lang w:eastAsia="zh-CN"/>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1.52</w:t>
      </w:r>
      <w:r>
        <w:rPr>
          <w:rFonts w:hint="eastAsia" w:ascii="仿宋_GB2312" w:eastAsia="仿宋_GB2312"/>
          <w:sz w:val="32"/>
          <w:szCs w:val="32"/>
        </w:rPr>
        <w:t>万元，</w:t>
      </w:r>
      <w:r>
        <w:rPr>
          <w:rStyle w:val="14"/>
          <w:rFonts w:hint="eastAsia" w:ascii="仿宋" w:hAnsi="仿宋" w:eastAsia="仿宋"/>
          <w:b w:val="0"/>
          <w:bCs/>
          <w:sz w:val="32"/>
          <w:szCs w:val="32"/>
        </w:rPr>
        <w:t>完成预算</w:t>
      </w:r>
      <w:r>
        <w:rPr>
          <w:rStyle w:val="14"/>
          <w:rFonts w:hint="eastAsia" w:ascii="仿宋" w:hAnsi="仿宋" w:eastAsia="仿宋"/>
          <w:b w:val="0"/>
          <w:bCs/>
          <w:sz w:val="32"/>
          <w:szCs w:val="32"/>
          <w:lang w:val="en-US" w:eastAsia="zh-CN"/>
        </w:rPr>
        <w:t>100</w:t>
      </w:r>
      <w:r>
        <w:rPr>
          <w:rStyle w:val="14"/>
          <w:rFonts w:ascii="仿宋" w:hAnsi="仿宋" w:eastAsia="仿宋"/>
          <w:b w:val="0"/>
          <w:bCs/>
          <w:sz w:val="32"/>
          <w:szCs w:val="32"/>
        </w:rPr>
        <w:t>%</w:t>
      </w:r>
      <w:r>
        <w:rPr>
          <w:rStyle w:val="14"/>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待平</w:t>
      </w:r>
    </w:p>
    <w:p>
      <w:pPr>
        <w:spacing w:line="600" w:lineRule="exact"/>
        <w:ind w:firstLine="640"/>
        <w:rPr>
          <w:rFonts w:ascii="黑体" w:eastAsia="黑体"/>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1.52</w:t>
      </w:r>
      <w:r>
        <w:rPr>
          <w:rFonts w:hint="eastAsia" w:ascii="仿宋_GB2312" w:eastAsia="仿宋_GB2312"/>
          <w:sz w:val="32"/>
          <w:szCs w:val="32"/>
        </w:rPr>
        <w:t>万元，主要用于开展业务活动开支的交通费、住宿费、用餐费等。国内公务接待</w:t>
      </w:r>
      <w:r>
        <w:rPr>
          <w:rFonts w:hint="eastAsia" w:ascii="仿宋_GB2312" w:eastAsia="仿宋_GB2312"/>
          <w:sz w:val="32"/>
          <w:szCs w:val="32"/>
          <w:lang w:val="en-US" w:eastAsia="zh-CN"/>
        </w:rPr>
        <w:t>18</w:t>
      </w:r>
      <w:r>
        <w:rPr>
          <w:rFonts w:hint="eastAsia" w:ascii="仿宋_GB2312" w:eastAsia="仿宋_GB2312"/>
          <w:sz w:val="32"/>
          <w:szCs w:val="32"/>
        </w:rPr>
        <w:t>批次，</w:t>
      </w:r>
      <w:r>
        <w:rPr>
          <w:rFonts w:hint="eastAsia" w:ascii="仿宋_GB2312" w:eastAsia="仿宋_GB2312"/>
          <w:sz w:val="32"/>
          <w:szCs w:val="32"/>
          <w:lang w:val="en-US" w:eastAsia="zh-CN"/>
        </w:rPr>
        <w:t>190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1.52</w:t>
      </w:r>
      <w:r>
        <w:rPr>
          <w:rFonts w:hint="eastAsia" w:ascii="仿宋_GB2312" w:eastAsia="仿宋_GB2312"/>
          <w:sz w:val="32"/>
          <w:szCs w:val="32"/>
        </w:rPr>
        <w:t>万元，具体内容包括：</w:t>
      </w:r>
      <w:r>
        <w:rPr>
          <w:rFonts w:hint="eastAsia" w:ascii="仿宋_GB2312" w:eastAsia="仿宋_GB2312"/>
          <w:sz w:val="32"/>
          <w:szCs w:val="32"/>
          <w:lang w:eastAsia="zh-CN"/>
        </w:rPr>
        <w:t>广安对口帮扶人员生活住宿接待</w:t>
      </w:r>
      <w:r>
        <w:rPr>
          <w:rFonts w:hint="eastAsia" w:ascii="仿宋_GB2312" w:eastAsia="仿宋_GB2312"/>
          <w:sz w:val="32"/>
          <w:szCs w:val="32"/>
          <w:lang w:val="en-US" w:eastAsia="zh-CN"/>
        </w:rPr>
        <w:t>35人次0.55万元</w:t>
      </w:r>
      <w:r>
        <w:rPr>
          <w:rFonts w:hint="eastAsia" w:ascii="仿宋_GB2312" w:eastAsia="仿宋_GB2312"/>
          <w:sz w:val="32"/>
          <w:szCs w:val="32"/>
          <w:lang w:eastAsia="zh-CN"/>
        </w:rPr>
        <w:t>，高考接送考生驾驶员住宿</w:t>
      </w:r>
      <w:r>
        <w:rPr>
          <w:rFonts w:hint="eastAsia" w:ascii="仿宋_GB2312" w:eastAsia="仿宋_GB2312"/>
          <w:sz w:val="32"/>
          <w:szCs w:val="32"/>
          <w:lang w:val="en-US" w:eastAsia="zh-CN"/>
        </w:rPr>
        <w:t>40人次0.48万元，邀请高校学生回母校宣讲生活、住宿接待25人次0.33万元</w:t>
      </w:r>
      <w:r>
        <w:rPr>
          <w:rFonts w:hint="eastAsia" w:ascii="仿宋_GB2312" w:eastAsia="仿宋_GB2312"/>
          <w:sz w:val="32"/>
          <w:szCs w:val="32"/>
        </w:rPr>
        <w:t>。</w:t>
      </w:r>
      <w:r>
        <w:rPr>
          <w:rFonts w:hint="eastAsia" w:ascii="仿宋_GB2312" w:eastAsia="仿宋_GB2312"/>
          <w:sz w:val="32"/>
          <w:szCs w:val="32"/>
          <w:lang w:eastAsia="zh-CN"/>
        </w:rPr>
        <w:t>统一组织监考阅卷教师接待</w:t>
      </w:r>
      <w:r>
        <w:rPr>
          <w:rFonts w:hint="eastAsia" w:ascii="仿宋_GB2312" w:eastAsia="仿宋_GB2312"/>
          <w:sz w:val="32"/>
          <w:szCs w:val="32"/>
          <w:lang w:val="en-US" w:eastAsia="zh-CN"/>
        </w:rPr>
        <w:t>90人次0.16万元</w:t>
      </w:r>
      <w:bookmarkStart w:id="40" w:name="_Toc15377218"/>
      <w:bookmarkStart w:id="41" w:name="_Toc15396610"/>
    </w:p>
    <w:p>
      <w:pPr>
        <w:spacing w:line="600" w:lineRule="exact"/>
        <w:ind w:firstLine="640"/>
        <w:outlineLvl w:val="1"/>
        <w:rPr>
          <w:rStyle w:val="25"/>
          <w:rFonts w:ascii="黑体" w:hAnsi="黑体" w:eastAsia="黑体"/>
        </w:rPr>
      </w:pPr>
      <w:r>
        <w:rPr>
          <w:rFonts w:hint="eastAsia" w:ascii="黑体" w:eastAsia="黑体"/>
          <w:sz w:val="32"/>
          <w:szCs w:val="32"/>
        </w:rPr>
        <w:t>八、</w:t>
      </w:r>
      <w:r>
        <w:rPr>
          <w:rStyle w:val="25"/>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25"/>
          <w:rFonts w:ascii="黑体" w:hAnsi="黑体" w:eastAsia="黑体"/>
          <w:b w:val="0"/>
        </w:rPr>
      </w:pPr>
      <w:bookmarkStart w:id="42" w:name="_Toc15396611"/>
      <w:bookmarkStart w:id="43" w:name="_Toc15377219"/>
      <w:r>
        <w:rPr>
          <w:rStyle w:val="25"/>
          <w:rFonts w:hint="eastAsia" w:ascii="黑体" w:hAnsi="黑体" w:eastAsia="黑体"/>
          <w:b w:val="0"/>
        </w:rPr>
        <w:t>国有资本经营预算支出决算情况说明</w:t>
      </w:r>
      <w:bookmarkEnd w:id="42"/>
      <w:bookmarkEnd w:id="43"/>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25"/>
          <w:rFonts w:ascii="黑体" w:hAnsi="黑体" w:eastAsia="黑体"/>
          <w:b w:val="0"/>
        </w:rPr>
      </w:pPr>
      <w:bookmarkStart w:id="44" w:name="_Toc15377221"/>
      <w:bookmarkStart w:id="45" w:name="_Toc15396612"/>
      <w:r>
        <w:rPr>
          <w:rStyle w:val="25"/>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四川省剑门关高级中学</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万元，与</w:t>
      </w:r>
      <w:r>
        <w:rPr>
          <w:rFonts w:ascii="仿宋_GB2312" w:eastAsia="仿宋_GB2312"/>
          <w:sz w:val="32"/>
          <w:szCs w:val="32"/>
        </w:rPr>
        <w:t>20</w:t>
      </w:r>
      <w:r>
        <w:rPr>
          <w:rFonts w:hint="eastAsia" w:ascii="仿宋_GB2312" w:eastAsia="仿宋_GB2312"/>
          <w:sz w:val="32"/>
          <w:szCs w:val="32"/>
        </w:rPr>
        <w:t>21年决算数持平。</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四川省剑门关高级中学</w:t>
      </w:r>
      <w:r>
        <w:rPr>
          <w:rFonts w:hint="eastAsia" w:ascii="仿宋_GB2312" w:eastAsia="仿宋_GB2312"/>
          <w:sz w:val="32"/>
          <w:szCs w:val="32"/>
        </w:rPr>
        <w:t>政府采购支出总额</w:t>
      </w:r>
      <w:r>
        <w:rPr>
          <w:rFonts w:ascii="仿宋_GB2312" w:eastAsia="仿宋_GB2312"/>
          <w:sz w:val="32"/>
          <w:szCs w:val="32"/>
        </w:rPr>
        <w:t>**</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38.96</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hint="eastAsia" w:ascii="仿宋_GB2312" w:eastAsia="仿宋_GB2312"/>
          <w:sz w:val="32"/>
          <w:szCs w:val="32"/>
          <w:lang w:eastAsia="zh-CN"/>
        </w:rPr>
        <w:t>采购学生住宿双层铁床</w:t>
      </w:r>
      <w:r>
        <w:rPr>
          <w:rFonts w:hint="eastAsia" w:ascii="仿宋_GB2312" w:eastAsia="仿宋_GB2312"/>
          <w:sz w:val="32"/>
          <w:szCs w:val="32"/>
        </w:rPr>
        <w:t>。授予中小企业合同金额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四川省剑门关高级中学</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辆，其他用车主要是用于……。单价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2"/>
        <w:spacing w:before="93"/>
        <w:ind w:firstLine="640" w:firstLineChars="200"/>
        <w:rPr>
          <w:highlight w:val="none"/>
        </w:rPr>
      </w:pPr>
      <w:r>
        <w:rPr>
          <w:rFonts w:hint="eastAsia" w:hAnsi="仿宋_GB2312" w:cs="仿宋_GB2312"/>
          <w:sz w:val="32"/>
          <w:szCs w:val="32"/>
          <w:highlight w:val="none"/>
        </w:rPr>
        <w:t>根据预算绩效管理要求，本单位在2022年度预算编制阶段，组织对基层党组织活动经费</w:t>
      </w:r>
      <w:r>
        <w:rPr>
          <w:rFonts w:hint="eastAsia" w:hAnsi="仿宋_GB2312" w:cs="仿宋_GB2312"/>
          <w:sz w:val="32"/>
          <w:szCs w:val="32"/>
          <w:highlight w:val="none"/>
          <w:lang w:eastAsia="zh-CN"/>
        </w:rPr>
        <w:t>、青少年校园足球及学校体育发展</w:t>
      </w:r>
      <w:r>
        <w:rPr>
          <w:rFonts w:hint="eastAsia" w:hAnsi="仿宋_GB2312" w:cs="仿宋_GB2312"/>
          <w:sz w:val="32"/>
          <w:szCs w:val="32"/>
          <w:highlight w:val="none"/>
        </w:rPr>
        <w:t>项目等</w:t>
      </w:r>
      <w:r>
        <w:rPr>
          <w:rFonts w:hint="eastAsia" w:hAnsi="仿宋_GB2312" w:cs="仿宋_GB2312"/>
          <w:sz w:val="32"/>
          <w:szCs w:val="32"/>
          <w:highlight w:val="none"/>
          <w:lang w:val="en-US" w:eastAsia="zh-CN"/>
        </w:rPr>
        <w:t>23</w:t>
      </w:r>
      <w:r>
        <w:rPr>
          <w:rFonts w:hint="eastAsia" w:hAnsi="仿宋_GB2312" w:cs="仿宋_GB2312"/>
          <w:sz w:val="32"/>
          <w:szCs w:val="32"/>
          <w:highlight w:val="none"/>
        </w:rPr>
        <w:t>个项目开展了预算事前绩效评估，对</w:t>
      </w:r>
      <w:r>
        <w:rPr>
          <w:rFonts w:hint="eastAsia" w:hAnsi="仿宋_GB2312" w:cs="仿宋_GB2312"/>
          <w:sz w:val="32"/>
          <w:szCs w:val="32"/>
          <w:highlight w:val="none"/>
          <w:lang w:val="en-US" w:eastAsia="zh-CN"/>
        </w:rPr>
        <w:t>23</w:t>
      </w:r>
      <w:r>
        <w:rPr>
          <w:rFonts w:hint="eastAsia" w:hAnsi="仿宋_GB2312" w:cs="仿宋_GB2312"/>
          <w:sz w:val="32"/>
          <w:szCs w:val="32"/>
          <w:highlight w:val="none"/>
        </w:rPr>
        <w:t>个项目编制了绩效目标，预算执行过程中，选取</w:t>
      </w:r>
      <w:r>
        <w:rPr>
          <w:rFonts w:hint="eastAsia" w:hAnsi="仿宋_GB2312" w:cs="仿宋_GB2312"/>
          <w:sz w:val="32"/>
          <w:szCs w:val="32"/>
          <w:highlight w:val="none"/>
          <w:lang w:val="en-US" w:eastAsia="zh-CN"/>
        </w:rPr>
        <w:t>4</w:t>
      </w:r>
      <w:r>
        <w:rPr>
          <w:rFonts w:hint="eastAsia" w:hAnsi="仿宋_GB2312" w:cs="仿宋_GB2312"/>
          <w:sz w:val="32"/>
          <w:szCs w:val="32"/>
          <w:highlight w:val="none"/>
        </w:rPr>
        <w:t>个项目开展绩效监控，组织对</w:t>
      </w:r>
      <w:r>
        <w:rPr>
          <w:rFonts w:hint="eastAsia" w:hAnsi="仿宋_GB2312" w:cs="仿宋_GB2312"/>
          <w:sz w:val="32"/>
          <w:szCs w:val="32"/>
          <w:highlight w:val="none"/>
          <w:lang w:val="en-US" w:eastAsia="zh-CN"/>
        </w:rPr>
        <w:t>4</w:t>
      </w:r>
      <w:r>
        <w:rPr>
          <w:rFonts w:hint="eastAsia" w:hAnsi="仿宋_GB2312" w:cs="仿宋_GB2312"/>
          <w:sz w:val="32"/>
          <w:szCs w:val="32"/>
          <w:highlight w:val="none"/>
        </w:rPr>
        <w:t>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4"/>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24"/>
          <w:rFonts w:hint="eastAsia" w:ascii="黑体" w:hAnsi="黑体" w:eastAsia="黑体"/>
          <w:b w:val="0"/>
        </w:rPr>
        <w:t>词解释</w:t>
      </w:r>
      <w:bookmarkEnd w:id="49"/>
      <w:bookmarkEnd w:id="50"/>
    </w:p>
    <w:p>
      <w:pPr>
        <w:spacing w:line="600" w:lineRule="exact"/>
        <w:jc w:val="left"/>
        <w:rPr>
          <w:rFonts w:ascii="宋体"/>
          <w:b/>
          <w:sz w:val="44"/>
          <w:szCs w:val="44"/>
        </w:rPr>
      </w:pP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w:t>
      </w:r>
      <w:r>
        <w:rPr>
          <w:rFonts w:hint="eastAsia" w:ascii="仿宋_GB2312" w:eastAsia="仿宋_GB2312"/>
          <w:color w:val="auto"/>
          <w:sz w:val="32"/>
          <w:szCs w:val="32"/>
          <w:lang w:eastAsia="zh-CN"/>
        </w:rPr>
        <w:t>高中学费和住宿费</w:t>
      </w:r>
      <w:r>
        <w:rPr>
          <w:rFonts w:hint="eastAsia" w:ascii="仿宋_GB2312" w:eastAsia="仿宋_GB2312"/>
          <w:color w:val="auto"/>
          <w:sz w:val="32"/>
          <w:szCs w:val="32"/>
        </w:rPr>
        <w:t>。</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经营收入：指事业单位在专业业务活动及其辅助活动之外开展非独立核算经营活动取得的收入。如…（二级预算单位经营收入情况）等。</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其他收入：指单位取得的除上述收入以外的各项收入。主要是</w:t>
      </w:r>
      <w:r>
        <w:rPr>
          <w:rFonts w:hint="eastAsia" w:ascii="仿宋_GB2312" w:eastAsia="仿宋_GB2312"/>
          <w:color w:val="auto"/>
          <w:sz w:val="32"/>
          <w:szCs w:val="32"/>
          <w:lang w:eastAsia="zh-CN"/>
        </w:rPr>
        <w:t>利息收入</w:t>
      </w:r>
      <w:r>
        <w:rPr>
          <w:rFonts w:hint="eastAsia" w:ascii="仿宋_GB2312" w:eastAsia="仿宋_GB2312"/>
          <w:color w:val="auto"/>
          <w:sz w:val="32"/>
          <w:szCs w:val="32"/>
        </w:rPr>
        <w:t>等。</w:t>
      </w:r>
      <w:r>
        <w:rPr>
          <w:rFonts w:ascii="仿宋_GB2312" w:eastAsia="仿宋_GB2312"/>
          <w:color w:val="auto"/>
          <w:sz w:val="32"/>
          <w:szCs w:val="32"/>
        </w:rPr>
        <w:t xml:space="preserve"> </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2"/>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教育（类）普通教育（款）初中教育（项）：指部门实施初中教育过程中的人员工资，运行保障等支出。 高中教育（项）：指部门实施高中教育过程中的人员工资，运行保障等支出。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ascii="仿宋_GB2312" w:eastAsia="仿宋_GB2312"/>
          <w:sz w:val="32"/>
          <w:szCs w:val="32"/>
        </w:rPr>
        <w:t>.</w:t>
      </w:r>
      <w:r>
        <w:rPr>
          <w:rFonts w:hint="eastAsia" w:ascii="仿宋_GB2312" w:eastAsia="仿宋_GB2312"/>
          <w:sz w:val="32"/>
          <w:szCs w:val="32"/>
        </w:rPr>
        <w:t>社会保障和就业（类）行政事业单位</w:t>
      </w:r>
      <w:r>
        <w:rPr>
          <w:rFonts w:hint="eastAsia" w:ascii="仿宋_GB2312" w:eastAsia="仿宋_GB2312"/>
          <w:sz w:val="32"/>
          <w:szCs w:val="32"/>
          <w:lang w:eastAsia="zh-CN"/>
        </w:rPr>
        <w:t>养老支出</w:t>
      </w:r>
      <w:r>
        <w:rPr>
          <w:rFonts w:hint="eastAsia" w:ascii="仿宋_GB2312" w:eastAsia="仿宋_GB2312"/>
          <w:sz w:val="32"/>
          <w:szCs w:val="32"/>
        </w:rPr>
        <w:t xml:space="preserve">（款）机关事业单位基本养老保险缴费支出（项）：指部门实施养老保险制度由单位缴纳的养老保险费的支出。 </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卫生健康（类）行政事业单位医疗（款）事业单位医疗（项）：指事业单位用于缴纳单位基本医疗保险支出</w:t>
      </w:r>
      <w:r>
        <w:rPr>
          <w:rFonts w:hint="eastAsia" w:ascii="仿宋_GB2312" w:eastAsia="仿宋_GB2312"/>
          <w:sz w:val="32"/>
          <w:szCs w:val="32"/>
          <w:lang w:eastAsia="zh-CN"/>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农林水（类）</w:t>
      </w:r>
      <w:r>
        <w:rPr>
          <w:rFonts w:hint="eastAsia" w:ascii="仿宋_GB2312" w:eastAsia="仿宋_GB2312"/>
          <w:sz w:val="32"/>
          <w:szCs w:val="32"/>
          <w:lang w:eastAsia="zh-CN"/>
        </w:rPr>
        <w:t>巩固脱贫衔接乡村振兴</w:t>
      </w:r>
      <w:r>
        <w:rPr>
          <w:rFonts w:hint="eastAsia" w:ascii="仿宋_GB2312" w:eastAsia="仿宋_GB2312"/>
          <w:sz w:val="32"/>
          <w:szCs w:val="32"/>
        </w:rPr>
        <w:t>（款）</w:t>
      </w:r>
      <w:r>
        <w:rPr>
          <w:rFonts w:hint="eastAsia" w:ascii="仿宋_GB2312" w:eastAsia="仿宋_GB2312"/>
          <w:sz w:val="32"/>
          <w:szCs w:val="32"/>
          <w:lang w:eastAsia="zh-CN"/>
        </w:rPr>
        <w:t>社会发展</w:t>
      </w:r>
      <w:r>
        <w:rPr>
          <w:rFonts w:hint="eastAsia" w:ascii="仿宋_GB2312" w:eastAsia="仿宋_GB2312"/>
          <w:sz w:val="32"/>
          <w:szCs w:val="32"/>
        </w:rPr>
        <w:t>（项）：指</w:t>
      </w:r>
      <w:r>
        <w:rPr>
          <w:rFonts w:hint="eastAsia" w:ascii="仿宋_GB2312" w:eastAsia="仿宋_GB2312"/>
          <w:sz w:val="32"/>
          <w:szCs w:val="32"/>
          <w:lang w:eastAsia="zh-CN"/>
        </w:rPr>
        <w:t>用于农村欠发达地区中小学教育、文化、广播电视、卫生健康等方面的项目支出。</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住房保障（类）住房改革支出（款）住房公积金（项）：指按照《住房公积金管理条例》的规定，由单位及其在职职工缴存的长期住房储金。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14</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17</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cs="黑体"/>
          <w:color w:val="auto"/>
          <w:sz w:val="32"/>
          <w:szCs w:val="32"/>
        </w:rPr>
      </w:pPr>
    </w:p>
    <w:p>
      <w:pPr>
        <w:ind w:firstLine="643" w:firstLineChars="200"/>
        <w:sectPr>
          <w:headerReference r:id="rId3" w:type="default"/>
          <w:footerReference r:id="rId4" w:type="default"/>
          <w:pgSz w:w="11906" w:h="16838"/>
          <w:pgMar w:top="1440" w:right="1803" w:bottom="1440" w:left="1803" w:header="851" w:footer="992" w:gutter="0"/>
          <w:pgNumType w:start="1"/>
          <w:cols w:space="0" w:num="1"/>
          <w:titlePg/>
          <w:rtlGutter w:val="0"/>
          <w:docGrid w:type="lines" w:linePitch="317" w:charSpace="0"/>
        </w:sectPr>
      </w:pPr>
      <w:r>
        <w:rPr>
          <w:rFonts w:hint="eastAsia" w:ascii="仿宋" w:hAnsi="仿宋" w:eastAsia="仿宋"/>
          <w:b/>
          <w:sz w:val="32"/>
          <w:szCs w:val="32"/>
        </w:rPr>
        <w:t>（名词解释部分请根据各单位实际列支情况罗列，并根据本单位职责职能增减名词解释内容。</w:t>
      </w:r>
      <w:bookmarkStart w:id="51" w:name="_Toc15377226"/>
    </w:p>
    <w:p>
      <w:pPr>
        <w:spacing w:line="600" w:lineRule="exact"/>
        <w:jc w:val="both"/>
        <w:outlineLvl w:val="0"/>
        <w:rPr>
          <w:rFonts w:hint="eastAsia" w:ascii="黑体" w:hAnsi="黑体" w:eastAsia="黑体"/>
          <w:sz w:val="44"/>
          <w:szCs w:val="44"/>
        </w:rPr>
      </w:pPr>
      <w:bookmarkStart w:id="52" w:name="_Toc15396614"/>
      <w:r>
        <w:rPr>
          <w:rFonts w:hint="eastAsia" w:ascii="黑体" w:hAnsi="黑体" w:eastAsia="黑体"/>
          <w:sz w:val="44"/>
          <w:szCs w:val="44"/>
        </w:rPr>
        <w:t>第</w:t>
      </w:r>
      <w:r>
        <w:rPr>
          <w:rStyle w:val="24"/>
          <w:rFonts w:hint="eastAsia" w:ascii="黑体" w:hAnsi="黑体" w:eastAsia="黑体"/>
          <w:b w:val="0"/>
        </w:rPr>
        <w:t>四部分 附件</w:t>
      </w:r>
    </w:p>
    <w:p>
      <w:pPr>
        <w:spacing w:line="600" w:lineRule="exact"/>
        <w:jc w:val="both"/>
        <w:outlineLvl w:val="0"/>
        <w:rPr>
          <w:rFonts w:hint="eastAsia" w:ascii="黑体" w:hAnsi="黑体" w:eastAsia="黑体"/>
          <w:sz w:val="44"/>
          <w:szCs w:val="44"/>
        </w:rPr>
      </w:pPr>
    </w:p>
    <w:bookmarkEnd w:id="52"/>
    <w:tbl>
      <w:tblPr>
        <w:tblStyle w:val="12"/>
        <w:tblpPr w:leftFromText="180" w:rightFromText="180" w:vertAnchor="text" w:horzAnchor="page" w:tblpX="1669" w:tblpY="-159"/>
        <w:tblOverlap w:val="never"/>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4"/>
        <w:gridCol w:w="858"/>
        <w:gridCol w:w="554"/>
        <w:gridCol w:w="877"/>
        <w:gridCol w:w="492"/>
        <w:gridCol w:w="511"/>
        <w:gridCol w:w="496"/>
        <w:gridCol w:w="473"/>
        <w:gridCol w:w="542"/>
        <w:gridCol w:w="542"/>
        <w:gridCol w:w="26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项目名称</w:t>
            </w:r>
          </w:p>
        </w:tc>
        <w:tc>
          <w:tcPr>
            <w:tcW w:w="419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51082322Y000005351426-基层党组织活动经费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0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主管部门</w:t>
            </w:r>
          </w:p>
        </w:tc>
        <w:tc>
          <w:tcPr>
            <w:tcW w:w="17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剑阁县教育局部门</w:t>
            </w:r>
          </w:p>
        </w:tc>
        <w:tc>
          <w:tcPr>
            <w:tcW w:w="277" w:type="pct"/>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ascii="黑体" w:hAnsi="黑体" w:eastAsia="黑体" w:cs="黑体"/>
                <w:i w:val="0"/>
                <w:iCs w:val="0"/>
                <w:color w:val="000000"/>
                <w:sz w:val="15"/>
                <w:szCs w:val="15"/>
                <w:u w:val="none"/>
              </w:rPr>
            </w:pPr>
            <w:r>
              <w:rPr>
                <w:rFonts w:hint="eastAsia" w:ascii="黑体" w:hAnsi="黑体" w:eastAsia="黑体" w:cs="黑体"/>
                <w:i w:val="0"/>
                <w:iCs w:val="0"/>
                <w:color w:val="000000"/>
                <w:kern w:val="0"/>
                <w:sz w:val="11"/>
                <w:szCs w:val="11"/>
                <w:u w:val="none"/>
                <w:lang w:val="en-US" w:eastAsia="zh-CN" w:bidi="ar"/>
              </w:rPr>
              <w:t xml:space="preserve">实施单位 </w:t>
            </w:r>
          </w:p>
        </w:tc>
        <w:tc>
          <w:tcPr>
            <w:tcW w:w="219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四川省剑门关高级中学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项目基本情况</w:t>
            </w:r>
          </w:p>
        </w:tc>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1.项目年度目标完成情况</w:t>
            </w:r>
          </w:p>
        </w:tc>
        <w:tc>
          <w:tcPr>
            <w:tcW w:w="17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项目年度目标</w:t>
            </w:r>
          </w:p>
        </w:tc>
        <w:tc>
          <w:tcPr>
            <w:tcW w:w="24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iCs w:val="0"/>
                <w:color w:val="000000"/>
                <w:sz w:val="15"/>
                <w:szCs w:val="15"/>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5"/>
                <w:szCs w:val="15"/>
                <w:u w:val="none"/>
              </w:rPr>
            </w:pPr>
          </w:p>
        </w:tc>
        <w:tc>
          <w:tcPr>
            <w:tcW w:w="17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加强组织建设，做好党务工作</w:t>
            </w:r>
          </w:p>
        </w:tc>
        <w:tc>
          <w:tcPr>
            <w:tcW w:w="247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黑体" w:hAnsi="黑体" w:eastAsia="黑体" w:cs="黑体"/>
                <w:i w:val="0"/>
                <w:iCs w:val="0"/>
                <w:color w:val="000000"/>
                <w:sz w:val="15"/>
                <w:szCs w:val="15"/>
                <w:u w:val="none"/>
                <w:lang w:val="en-US" w:eastAsia="zh-CN"/>
              </w:rPr>
            </w:pPr>
            <w:r>
              <w:rPr>
                <w:rFonts w:hint="eastAsia" w:ascii="黑体" w:hAnsi="黑体" w:eastAsia="黑体" w:cs="黑体"/>
                <w:i w:val="0"/>
                <w:iCs w:val="0"/>
                <w:color w:val="000000"/>
                <w:sz w:val="15"/>
                <w:szCs w:val="15"/>
                <w:u w:val="none"/>
                <w:lang w:eastAsia="zh-CN"/>
              </w:rPr>
              <w:t>本年度中，我校党组织开展组织生活及民主生活会达</w:t>
            </w:r>
            <w:r>
              <w:rPr>
                <w:rFonts w:hint="eastAsia" w:ascii="黑体" w:hAnsi="黑体" w:eastAsia="黑体" w:cs="黑体"/>
                <w:i w:val="0"/>
                <w:iCs w:val="0"/>
                <w:color w:val="000000"/>
                <w:sz w:val="15"/>
                <w:szCs w:val="15"/>
                <w:u w:val="none"/>
                <w:lang w:val="en-US" w:eastAsia="zh-CN"/>
              </w:rPr>
              <w:t>12次，发展新党员2人，继组织增添新鲜血液，更多更好地为群众服务。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iCs w:val="0"/>
                <w:color w:val="000000"/>
                <w:sz w:val="15"/>
                <w:szCs w:val="15"/>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2.项目实施内容及过程概述</w:t>
            </w:r>
          </w:p>
        </w:tc>
        <w:tc>
          <w:tcPr>
            <w:tcW w:w="4194"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5"/>
                <w:szCs w:val="15"/>
                <w:u w:val="none"/>
              </w:rPr>
            </w:pPr>
            <w:r>
              <w:rPr>
                <w:rFonts w:hint="eastAsia" w:ascii="黑体" w:hAnsi="黑体" w:eastAsia="黑体" w:cs="黑体"/>
                <w:i w:val="0"/>
                <w:iCs w:val="0"/>
                <w:color w:val="000000"/>
                <w:sz w:val="15"/>
                <w:szCs w:val="15"/>
                <w:u w:val="none"/>
                <w:lang w:eastAsia="zh-CN"/>
              </w:rPr>
              <w:t>我校党组织开展组织生活</w:t>
            </w:r>
            <w:r>
              <w:rPr>
                <w:rFonts w:hint="eastAsia" w:ascii="黑体" w:hAnsi="黑体" w:eastAsia="黑体" w:cs="黑体"/>
                <w:i w:val="0"/>
                <w:iCs w:val="0"/>
                <w:color w:val="000000"/>
                <w:sz w:val="15"/>
                <w:szCs w:val="15"/>
                <w:u w:val="none"/>
                <w:lang w:val="en-US" w:eastAsia="zh-CN"/>
              </w:rPr>
              <w:t>10次，学习党的政策，召开</w:t>
            </w:r>
            <w:r>
              <w:rPr>
                <w:rFonts w:hint="eastAsia" w:ascii="黑体" w:hAnsi="黑体" w:eastAsia="黑体" w:cs="黑体"/>
                <w:i w:val="0"/>
                <w:iCs w:val="0"/>
                <w:color w:val="000000"/>
                <w:sz w:val="15"/>
                <w:szCs w:val="15"/>
                <w:u w:val="none"/>
                <w:lang w:eastAsia="zh-CN"/>
              </w:rPr>
              <w:t>民主生活会达</w:t>
            </w:r>
            <w:r>
              <w:rPr>
                <w:rFonts w:hint="eastAsia" w:ascii="黑体" w:hAnsi="黑体" w:eastAsia="黑体" w:cs="黑体"/>
                <w:i w:val="0"/>
                <w:iCs w:val="0"/>
                <w:color w:val="000000"/>
                <w:sz w:val="15"/>
                <w:szCs w:val="15"/>
                <w:u w:val="none"/>
                <w:lang w:val="en-US" w:eastAsia="zh-CN"/>
              </w:rPr>
              <w:t>2次，进行组织内的批评和自我批评，发展新党员2人，继组织增添新鲜血液，更多更好地为群众服务。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预算执行情况（10分）</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年度预算数（万元）</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年初预算</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调整后预算数</w:t>
            </w:r>
          </w:p>
        </w:tc>
        <w:tc>
          <w:tcPr>
            <w:tcW w:w="8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预算执行数</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1"/>
                <w:szCs w:val="11"/>
                <w:u w:val="none"/>
                <w:lang w:val="en-US" w:eastAsia="zh-CN" w:bidi="ar"/>
              </w:rPr>
              <w:t>预算执行率</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1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宋体" w:hAnsi="宋体" w:eastAsia="宋体" w:cs="宋体"/>
                <w:i w:val="0"/>
                <w:iCs w:val="0"/>
                <w:color w:val="000000"/>
                <w:sz w:val="15"/>
                <w:szCs w:val="15"/>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总额</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8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w:t>
            </w:r>
          </w:p>
        </w:tc>
        <w:tc>
          <w:tcPr>
            <w:tcW w:w="15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宋体" w:hAnsi="宋体" w:eastAsia="宋体" w:cs="宋体"/>
                <w:i w:val="0"/>
                <w:iCs w:val="0"/>
                <w:color w:val="000000"/>
                <w:sz w:val="15"/>
                <w:szCs w:val="15"/>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其中：财政资金</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8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100.00%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宋体" w:hAnsi="宋体" w:eastAsia="宋体" w:cs="宋体"/>
                <w:i w:val="0"/>
                <w:iCs w:val="0"/>
                <w:color w:val="000000"/>
                <w:sz w:val="15"/>
                <w:szCs w:val="15"/>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财政专户管理资金</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8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宋体" w:hAnsi="宋体" w:eastAsia="宋体" w:cs="宋体"/>
                <w:i w:val="0"/>
                <w:iCs w:val="0"/>
                <w:color w:val="000000"/>
                <w:sz w:val="15"/>
                <w:szCs w:val="15"/>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单位资金</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8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0.00%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宋体" w:hAnsi="宋体" w:eastAsia="宋体" w:cs="宋体"/>
                <w:i w:val="0"/>
                <w:iCs w:val="0"/>
                <w:color w:val="000000"/>
                <w:sz w:val="15"/>
                <w:szCs w:val="15"/>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其他资金</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微软雅黑" w:hAnsi="微软雅黑" w:eastAsia="微软雅黑" w:cs="微软雅黑"/>
                <w:i/>
                <w:iCs/>
                <w:color w:val="000000"/>
                <w:sz w:val="15"/>
                <w:szCs w:val="15"/>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微软雅黑" w:hAnsi="微软雅黑" w:eastAsia="微软雅黑" w:cs="微软雅黑"/>
                <w:i/>
                <w:iCs/>
                <w:color w:val="000000"/>
                <w:sz w:val="15"/>
                <w:szCs w:val="15"/>
                <w:u w:val="none"/>
              </w:rPr>
            </w:pPr>
          </w:p>
        </w:tc>
        <w:tc>
          <w:tcPr>
            <w:tcW w:w="88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微软雅黑" w:hAnsi="微软雅黑" w:eastAsia="微软雅黑" w:cs="微软雅黑"/>
                <w:i/>
                <w:iCs/>
                <w:color w:val="000000"/>
                <w:sz w:val="15"/>
                <w:szCs w:val="15"/>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微软雅黑" w:hAnsi="微软雅黑" w:eastAsia="微软雅黑" w:cs="微软雅黑"/>
                <w:i/>
                <w:iCs/>
                <w:color w:val="000000"/>
                <w:sz w:val="15"/>
                <w:szCs w:val="15"/>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15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黑体" w:hAnsi="黑体" w:eastAsia="黑体" w:cs="黑体"/>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绩效指标（90分）</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一级指标</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二级指标</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三级指标</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指标性质</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指标值</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度量单位</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3"/>
                <w:szCs w:val="13"/>
                <w:u w:val="none"/>
              </w:rPr>
            </w:pPr>
            <w:r>
              <w:rPr>
                <w:rFonts w:ascii="宋体" w:hAnsi="宋体" w:eastAsia="宋体" w:cs="宋体"/>
                <w:i w:val="0"/>
                <w:iCs w:val="0"/>
                <w:color w:val="000000"/>
                <w:kern w:val="0"/>
                <w:sz w:val="13"/>
                <w:szCs w:val="13"/>
                <w:u w:val="none"/>
                <w:lang w:val="en-US" w:eastAsia="zh-CN" w:bidi="ar"/>
              </w:rPr>
              <w:t>完成值</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权重</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得分</w:t>
            </w:r>
          </w:p>
        </w:tc>
        <w:tc>
          <w:tcPr>
            <w:tcW w:w="1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宋体" w:hAnsi="宋体" w:eastAsia="宋体" w:cs="宋体"/>
                <w:i w:val="0"/>
                <w:iCs w:val="0"/>
                <w:color w:val="000000"/>
                <w:sz w:val="15"/>
                <w:szCs w:val="15"/>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产出指标</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数量指标</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开展组织生活次数</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次</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微软雅黑" w:hAnsi="微软雅黑" w:eastAsia="微软雅黑" w:cs="微软雅黑"/>
                <w:i/>
                <w:iCs/>
                <w:color w:val="000000"/>
                <w:sz w:val="15"/>
                <w:szCs w:val="15"/>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40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40</w:t>
            </w:r>
          </w:p>
        </w:tc>
        <w:tc>
          <w:tcPr>
            <w:tcW w:w="1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宋体" w:hAnsi="宋体" w:eastAsia="宋体" w:cs="宋体"/>
                <w:i w:val="0"/>
                <w:iCs w:val="0"/>
                <w:color w:val="000000"/>
                <w:sz w:val="15"/>
                <w:szCs w:val="15"/>
                <w:u w:val="none"/>
              </w:rPr>
            </w:pPr>
          </w:p>
        </w:tc>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效益指标</w:t>
            </w: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可持续发展指标</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加强党的组织建设，发展新党员</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2</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人</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微软雅黑" w:hAnsi="微软雅黑" w:eastAsia="微软雅黑" w:cs="微软雅黑"/>
                <w:i/>
                <w:iCs/>
                <w:color w:val="000000"/>
                <w:sz w:val="15"/>
                <w:szCs w:val="15"/>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15</w:t>
            </w:r>
          </w:p>
        </w:tc>
        <w:tc>
          <w:tcPr>
            <w:tcW w:w="1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宋体" w:hAnsi="宋体" w:eastAsia="宋体" w:cs="宋体"/>
                <w:i w:val="0"/>
                <w:iCs w:val="0"/>
                <w:color w:val="000000"/>
                <w:sz w:val="15"/>
                <w:szCs w:val="15"/>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宋体" w:hAnsi="宋体" w:eastAsia="宋体" w:cs="宋体"/>
                <w:i w:val="0"/>
                <w:iCs w:val="0"/>
                <w:color w:val="000000"/>
                <w:sz w:val="15"/>
                <w:szCs w:val="15"/>
                <w:u w:val="none"/>
              </w:rPr>
            </w:pPr>
          </w:p>
        </w:tc>
        <w:tc>
          <w:tcPr>
            <w:tcW w:w="3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可持续影响指标</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加强组织的凝聚力，更好的服务群众</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定性</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优良中低差</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宋体" w:hAnsi="宋体" w:eastAsia="宋体" w:cs="宋体"/>
                <w:i w:val="0"/>
                <w:iCs w:val="0"/>
                <w:color w:val="000000"/>
                <w:sz w:val="15"/>
                <w:szCs w:val="15"/>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微软雅黑" w:hAnsi="微软雅黑" w:eastAsia="微软雅黑" w:cs="微软雅黑"/>
                <w:i/>
                <w:iCs/>
                <w:color w:val="000000"/>
                <w:sz w:val="15"/>
                <w:szCs w:val="15"/>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15</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15</w:t>
            </w:r>
          </w:p>
        </w:tc>
        <w:tc>
          <w:tcPr>
            <w:tcW w:w="1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宋体" w:hAnsi="宋体" w:eastAsia="宋体" w:cs="宋体"/>
                <w:i w:val="0"/>
                <w:iCs w:val="0"/>
                <w:color w:val="000000"/>
                <w:sz w:val="15"/>
                <w:szCs w:val="15"/>
                <w:u w:val="none"/>
              </w:rPr>
            </w:pPr>
          </w:p>
        </w:tc>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满意度指标</w:t>
            </w:r>
          </w:p>
        </w:tc>
        <w:tc>
          <w:tcPr>
            <w:tcW w:w="3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服务对象满意度指标</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上级组织满意度</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微软雅黑" w:hAnsi="微软雅黑" w:eastAsia="微软雅黑" w:cs="微软雅黑"/>
                <w:i/>
                <w:iCs/>
                <w:color w:val="000000"/>
                <w:sz w:val="15"/>
                <w:szCs w:val="15"/>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w:t>
            </w:r>
          </w:p>
        </w:tc>
        <w:tc>
          <w:tcPr>
            <w:tcW w:w="1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宋体" w:hAnsi="宋体" w:eastAsia="宋体" w:cs="宋体"/>
                <w:i w:val="0"/>
                <w:iCs w:val="0"/>
                <w:color w:val="000000"/>
                <w:sz w:val="15"/>
                <w:szCs w:val="15"/>
                <w:u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宋体" w:hAnsi="宋体" w:eastAsia="宋体" w:cs="宋体"/>
                <w:i w:val="0"/>
                <w:iCs w:val="0"/>
                <w:color w:val="000000"/>
                <w:sz w:val="15"/>
                <w:szCs w:val="15"/>
                <w:u w:val="none"/>
              </w:rPr>
            </w:pPr>
          </w:p>
        </w:tc>
        <w:tc>
          <w:tcPr>
            <w:tcW w:w="3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宋体" w:hAnsi="宋体" w:eastAsia="宋体" w:cs="宋体"/>
                <w:i w:val="0"/>
                <w:iCs w:val="0"/>
                <w:color w:val="000000"/>
                <w:sz w:val="15"/>
                <w:szCs w:val="15"/>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职工满意度</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定性</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好坏</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宋体" w:hAnsi="宋体" w:eastAsia="宋体" w:cs="宋体"/>
                <w:i w:val="0"/>
                <w:iCs w:val="0"/>
                <w:color w:val="000000"/>
                <w:sz w:val="15"/>
                <w:szCs w:val="15"/>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微软雅黑" w:hAnsi="微软雅黑" w:eastAsia="微软雅黑" w:cs="微软雅黑"/>
                <w:i/>
                <w:iCs/>
                <w:color w:val="000000"/>
                <w:sz w:val="15"/>
                <w:szCs w:val="15"/>
                <w:u w:val="none"/>
              </w:rPr>
            </w:pP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w:t>
            </w:r>
          </w:p>
        </w:tc>
        <w:tc>
          <w:tcPr>
            <w:tcW w:w="1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jc w:val="center"/>
              <w:rPr>
                <w:rFonts w:hint="eastAsia" w:ascii="微软雅黑" w:hAnsi="微软雅黑" w:eastAsia="微软雅黑" w:cs="微软雅黑"/>
                <w:i/>
                <w:iCs/>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80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合计</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100</w:t>
            </w:r>
          </w:p>
        </w:tc>
        <w:tc>
          <w:tcPr>
            <w:tcW w:w="15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160" w:lineRule="exact"/>
              <w:rPr>
                <w:rFonts w:hint="eastAsia" w:ascii="宋体" w:hAnsi="宋体" w:eastAsia="宋体" w:cs="宋体"/>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评价结论</w:t>
            </w:r>
          </w:p>
        </w:tc>
        <w:tc>
          <w:tcPr>
            <w:tcW w:w="469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微软雅黑" w:hAnsi="微软雅黑" w:eastAsia="微软雅黑" w:cs="微软雅黑"/>
                <w:i/>
                <w:iCs/>
                <w:color w:val="000000"/>
                <w:sz w:val="15"/>
                <w:szCs w:val="15"/>
                <w:u w:val="none"/>
              </w:rPr>
            </w:pPr>
            <w:r>
              <w:rPr>
                <w:rFonts w:hint="eastAsia" w:ascii="黑体" w:hAnsi="黑体" w:eastAsia="黑体" w:cs="黑体"/>
                <w:i w:val="0"/>
                <w:iCs w:val="0"/>
                <w:color w:val="000000"/>
                <w:sz w:val="15"/>
                <w:szCs w:val="15"/>
                <w:u w:val="none"/>
                <w:lang w:eastAsia="zh-CN"/>
              </w:rPr>
              <w:t>我校党组织开展组织生活及民主生活会达</w:t>
            </w:r>
            <w:r>
              <w:rPr>
                <w:rFonts w:hint="eastAsia" w:ascii="黑体" w:hAnsi="黑体" w:eastAsia="黑体" w:cs="黑体"/>
                <w:i w:val="0"/>
                <w:iCs w:val="0"/>
                <w:color w:val="000000"/>
                <w:sz w:val="15"/>
                <w:szCs w:val="15"/>
                <w:u w:val="none"/>
                <w:lang w:val="en-US" w:eastAsia="zh-CN"/>
              </w:rPr>
              <w:t>12次，发展新党员2人，继组织增添新鲜血液，更多更好地为群众服务。按时足额完成任选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存在问题</w:t>
            </w:r>
          </w:p>
        </w:tc>
        <w:tc>
          <w:tcPr>
            <w:tcW w:w="469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改进措施</w:t>
            </w:r>
          </w:p>
        </w:tc>
        <w:tc>
          <w:tcPr>
            <w:tcW w:w="4698"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19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项目负责人：岳剑东</w:t>
            </w:r>
          </w:p>
        </w:tc>
        <w:tc>
          <w:tcPr>
            <w:tcW w:w="306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160" w:lineRule="exact"/>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财务负责人：徐兴明</w:t>
            </w:r>
          </w:p>
        </w:tc>
      </w:tr>
    </w:tbl>
    <w:p>
      <w:pPr>
        <w:pStyle w:val="2"/>
        <w:rPr>
          <w:rFonts w:ascii="仿宋_GB2312" w:hAnsi="仿宋_GB2312" w:eastAsia="仿宋_GB2312" w:cs="仿宋_GB2312"/>
          <w:sz w:val="32"/>
          <w:szCs w:val="32"/>
        </w:rPr>
      </w:pP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102"/>
        <w:gridCol w:w="968"/>
        <w:gridCol w:w="1203"/>
        <w:gridCol w:w="8"/>
        <w:gridCol w:w="388"/>
        <w:gridCol w:w="885"/>
        <w:gridCol w:w="396"/>
        <w:gridCol w:w="666"/>
        <w:gridCol w:w="486"/>
        <w:gridCol w:w="531"/>
        <w:gridCol w:w="13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851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8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51082322T000007030142-“校对校”结对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0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659" w:type="dxa"/>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实施单位 </w:t>
            </w:r>
          </w:p>
        </w:tc>
        <w:tc>
          <w:tcPr>
            <w:tcW w:w="2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四川省剑门关高级中学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0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27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40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校级互访，中层交流，年级组、学科组、教师一对一帮肤，创新拔尖培养，全面提升教学质量</w:t>
            </w:r>
          </w:p>
        </w:tc>
        <w:tc>
          <w:tcPr>
            <w:tcW w:w="27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黑体" w:hAnsi="黑体" w:eastAsia="黑体" w:cs="黑体"/>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本年度的，我校派骨干老师28人次前往广安中学进行交流学习，接待广安中学七人次交流回访，为提高我校教学质量打基础。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86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我校派骨干老师28人次前往广安中学进行交流、听课、座谈，接待广安中学七人次交流回访，对课堂教学、人才培训等方面进行指导，为提高我校教学质量打基础。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6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p>
        </w:tc>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6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2</w:t>
            </w:r>
          </w:p>
        </w:tc>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c>
          <w:tcPr>
            <w:tcW w:w="16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pPr>
            <w:r>
              <w:rPr>
                <w:rFonts w:ascii="宋体" w:hAnsi="宋体" w:eastAsia="宋体" w:cs="宋体"/>
                <w:i w:val="0"/>
                <w:iCs w:val="0"/>
                <w:color w:val="000000"/>
                <w:kern w:val="0"/>
                <w:sz w:val="18"/>
                <w:szCs w:val="18"/>
                <w:u w:val="none"/>
                <w:lang w:val="en-US" w:eastAsia="zh-CN" w:bidi="ar"/>
              </w:rPr>
              <w:t>权重</w:t>
            </w: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12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人才培养</w:t>
            </w:r>
          </w:p>
        </w:tc>
        <w:tc>
          <w:tcPr>
            <w:tcW w:w="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人次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28</w:t>
            </w:r>
          </w:p>
        </w:tc>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pPr>
            <w:r>
              <w:rPr>
                <w:rFonts w:ascii="宋体" w:hAnsi="宋体" w:eastAsia="宋体" w:cs="宋体"/>
                <w:i w:val="0"/>
                <w:iCs w:val="0"/>
                <w:color w:val="000000"/>
                <w:kern w:val="0"/>
                <w:sz w:val="18"/>
                <w:szCs w:val="18"/>
                <w:u w:val="none"/>
                <w:lang w:val="en-US" w:eastAsia="zh-CN" w:bidi="ar"/>
              </w:rPr>
              <w:t>10</w:t>
            </w: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ascii="宋体" w:hAnsi="宋体" w:eastAsia="宋体" w:cs="宋体"/>
                <w:i w:val="0"/>
                <w:iCs w:val="0"/>
                <w:color w:val="000000"/>
                <w:sz w:val="18"/>
                <w:szCs w:val="18"/>
                <w:u w:val="none"/>
              </w:rPr>
            </w:pPr>
          </w:p>
        </w:tc>
        <w:tc>
          <w:tcPr>
            <w:tcW w:w="12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pPr>
            <w:r>
              <w:rPr>
                <w:rFonts w:ascii="宋体" w:hAnsi="宋体" w:eastAsia="宋体" w:cs="宋体"/>
                <w:i w:val="0"/>
                <w:iCs w:val="0"/>
                <w:color w:val="000000"/>
                <w:kern w:val="0"/>
                <w:sz w:val="18"/>
                <w:szCs w:val="18"/>
                <w:u w:val="none"/>
                <w:lang w:val="en-US" w:eastAsia="zh-CN" w:bidi="ar"/>
              </w:rPr>
              <w:t>时效指标</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pPr>
            <w:r>
              <w:rPr>
                <w:rFonts w:ascii="宋体" w:hAnsi="宋体" w:eastAsia="宋体" w:cs="宋体"/>
                <w:i w:val="0"/>
                <w:iCs w:val="0"/>
                <w:color w:val="000000"/>
                <w:kern w:val="0"/>
                <w:sz w:val="18"/>
                <w:szCs w:val="18"/>
                <w:u w:val="none"/>
                <w:lang w:val="en-US" w:eastAsia="zh-CN" w:bidi="ar"/>
              </w:rPr>
              <w:t>完成时间 2022年12月31日</w:t>
            </w:r>
          </w:p>
        </w:tc>
        <w:tc>
          <w:tcPr>
            <w:tcW w:w="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pPr>
            <w:r>
              <w:rPr>
                <w:rFonts w:ascii="宋体" w:hAnsi="宋体" w:eastAsia="宋体" w:cs="宋体"/>
                <w:i w:val="0"/>
                <w:iCs w:val="0"/>
                <w:color w:val="000000"/>
                <w:kern w:val="0"/>
                <w:sz w:val="18"/>
                <w:szCs w:val="18"/>
                <w:u w:val="none"/>
                <w:lang w:val="en-US" w:eastAsia="zh-CN" w:bidi="ar"/>
              </w:rPr>
              <w:t>定性</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pPr>
            <w:r>
              <w:rPr>
                <w:rFonts w:ascii="宋体" w:hAnsi="宋体" w:eastAsia="宋体" w:cs="宋体"/>
                <w:i w:val="0"/>
                <w:iCs w:val="0"/>
                <w:color w:val="000000"/>
                <w:kern w:val="0"/>
                <w:sz w:val="18"/>
                <w:szCs w:val="18"/>
                <w:u w:val="none"/>
                <w:lang w:val="en-US" w:eastAsia="zh-CN" w:bidi="ar"/>
              </w:rPr>
              <w:t>优良中低差</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pP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lang w:eastAsia="zh-CN"/>
              </w:rPr>
            </w:pPr>
            <w:r>
              <w:rPr>
                <w:rFonts w:hint="eastAsia" w:ascii="宋体" w:hAnsi="宋体" w:cs="宋体"/>
                <w:i w:val="0"/>
                <w:iCs w:val="0"/>
                <w:color w:val="000000"/>
                <w:sz w:val="18"/>
                <w:szCs w:val="18"/>
                <w:u w:val="none"/>
                <w:lang w:eastAsia="zh-CN"/>
              </w:rPr>
              <w:t>优</w:t>
            </w:r>
          </w:p>
        </w:tc>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pPr>
            <w:r>
              <w:rPr>
                <w:rFonts w:ascii="宋体" w:hAnsi="宋体" w:eastAsia="宋体" w:cs="宋体"/>
                <w:i w:val="0"/>
                <w:iCs w:val="0"/>
                <w:color w:val="000000"/>
                <w:kern w:val="0"/>
                <w:sz w:val="18"/>
                <w:szCs w:val="18"/>
                <w:u w:val="none"/>
                <w:lang w:val="en-US" w:eastAsia="zh-CN" w:bidi="ar"/>
              </w:rPr>
              <w:t>30</w:t>
            </w: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lang w:val="en-US" w:eastAsia="zh-CN"/>
              </w:rPr>
            </w:pPr>
            <w:r>
              <w:rPr>
                <w:rFonts w:hint="eastAsia" w:ascii="宋体" w:hAnsi="宋体" w:cs="宋体"/>
                <w:i w:val="0"/>
                <w:iCs w:val="0"/>
                <w:color w:val="000000"/>
                <w:sz w:val="18"/>
                <w:szCs w:val="18"/>
                <w:u w:val="none"/>
                <w:lang w:val="en-US" w:eastAsia="zh-CN"/>
              </w:rPr>
              <w:t>30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ascii="宋体" w:hAnsi="宋体" w:eastAsia="宋体" w:cs="宋体"/>
                <w:i w:val="0"/>
                <w:iCs w:val="0"/>
                <w:color w:val="000000"/>
                <w:sz w:val="18"/>
                <w:szCs w:val="18"/>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效益指标</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pPr>
            <w:r>
              <w:rPr>
                <w:rFonts w:ascii="宋体" w:hAnsi="宋体" w:eastAsia="宋体" w:cs="宋体"/>
                <w:i w:val="0"/>
                <w:iCs w:val="0"/>
                <w:color w:val="000000"/>
                <w:kern w:val="0"/>
                <w:sz w:val="18"/>
                <w:szCs w:val="18"/>
                <w:u w:val="none"/>
                <w:lang w:val="en-US" w:eastAsia="zh-CN" w:bidi="ar"/>
              </w:rPr>
              <w:t>社会效益指标</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pPr>
            <w:r>
              <w:rPr>
                <w:rFonts w:ascii="宋体" w:hAnsi="宋体" w:eastAsia="宋体" w:cs="宋体"/>
                <w:i w:val="0"/>
                <w:iCs w:val="0"/>
                <w:color w:val="000000"/>
                <w:kern w:val="0"/>
                <w:sz w:val="18"/>
                <w:szCs w:val="18"/>
                <w:u w:val="none"/>
                <w:lang w:val="en-US" w:eastAsia="zh-CN" w:bidi="ar"/>
              </w:rPr>
              <w:t>创新拔尖培优</w:t>
            </w:r>
          </w:p>
        </w:tc>
        <w:tc>
          <w:tcPr>
            <w:tcW w:w="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pPr>
            <w:r>
              <w:rPr>
                <w:rFonts w:ascii="宋体" w:hAnsi="宋体" w:eastAsia="宋体" w:cs="宋体"/>
                <w:i w:val="0"/>
                <w:iCs w:val="0"/>
                <w:color w:val="000000"/>
                <w:kern w:val="0"/>
                <w:sz w:val="18"/>
                <w:szCs w:val="18"/>
                <w:u w:val="none"/>
                <w:lang w:val="en-US" w:eastAsia="zh-CN" w:bidi="ar"/>
              </w:rPr>
              <w:t>≥</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pPr>
            <w:r>
              <w:rPr>
                <w:rFonts w:ascii="宋体" w:hAnsi="宋体" w:eastAsia="宋体" w:cs="宋体"/>
                <w:i w:val="0"/>
                <w:iCs w:val="0"/>
                <w:color w:val="000000"/>
                <w:kern w:val="0"/>
                <w:sz w:val="18"/>
                <w:szCs w:val="18"/>
                <w:u w:val="none"/>
                <w:lang w:val="en-US" w:eastAsia="zh-CN" w:bidi="ar"/>
              </w:rPr>
              <w:t>10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pPr>
            <w:r>
              <w:rPr>
                <w:rFonts w:ascii="宋体" w:hAnsi="宋体" w:eastAsia="宋体" w:cs="宋体"/>
                <w:i w:val="0"/>
                <w:iCs w:val="0"/>
                <w:color w:val="000000"/>
                <w:kern w:val="0"/>
                <w:sz w:val="18"/>
                <w:szCs w:val="18"/>
                <w:u w:val="none"/>
                <w:lang w:val="en-US" w:eastAsia="zh-CN" w:bidi="ar"/>
              </w:rPr>
              <w:t>人次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eastAsia="宋体"/>
                <w:lang w:val="en-US" w:eastAsia="zh-CN"/>
              </w:rPr>
            </w:pPr>
            <w:r>
              <w:rPr>
                <w:rFonts w:hint="eastAsia"/>
                <w:lang w:val="en-US" w:eastAsia="zh-CN"/>
              </w:rPr>
              <w:t>15</w:t>
            </w:r>
          </w:p>
        </w:tc>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pPr>
            <w:r>
              <w:rPr>
                <w:rFonts w:ascii="宋体" w:hAnsi="宋体" w:eastAsia="宋体" w:cs="宋体"/>
                <w:i w:val="0"/>
                <w:iCs w:val="0"/>
                <w:color w:val="000000"/>
                <w:kern w:val="0"/>
                <w:sz w:val="18"/>
                <w:szCs w:val="18"/>
                <w:u w:val="none"/>
                <w:lang w:val="en-US" w:eastAsia="zh-CN" w:bidi="ar"/>
              </w:rPr>
              <w:t>30</w:t>
            </w: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eastAsia="宋体"/>
                <w:lang w:val="en-US" w:eastAsia="zh-CN"/>
              </w:rPr>
            </w:pPr>
            <w:r>
              <w:rPr>
                <w:rFonts w:hint="eastAsia"/>
                <w:lang w:val="en-US" w:eastAsia="zh-CN"/>
              </w:rPr>
              <w:t>30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ascii="宋体" w:hAnsi="宋体" w:eastAsia="宋体" w:cs="宋体"/>
                <w:i w:val="0"/>
                <w:iCs w:val="0"/>
                <w:color w:val="000000"/>
                <w:sz w:val="18"/>
                <w:szCs w:val="18"/>
                <w:u w:val="none"/>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满意度指标</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pPr>
            <w:r>
              <w:rPr>
                <w:rFonts w:ascii="宋体" w:hAnsi="宋体" w:eastAsia="宋体" w:cs="宋体"/>
                <w:i w:val="0"/>
                <w:iCs w:val="0"/>
                <w:color w:val="000000"/>
                <w:kern w:val="0"/>
                <w:sz w:val="18"/>
                <w:szCs w:val="18"/>
                <w:u w:val="none"/>
                <w:lang w:val="en-US" w:eastAsia="zh-CN" w:bidi="ar"/>
              </w:rPr>
              <w:t>服务对象满意度指标</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pPr>
            <w:r>
              <w:rPr>
                <w:rFonts w:ascii="宋体" w:hAnsi="宋体" w:eastAsia="宋体" w:cs="宋体"/>
                <w:i w:val="0"/>
                <w:iCs w:val="0"/>
                <w:color w:val="000000"/>
                <w:kern w:val="0"/>
                <w:sz w:val="18"/>
                <w:szCs w:val="18"/>
                <w:u w:val="none"/>
                <w:lang w:val="en-US" w:eastAsia="zh-CN" w:bidi="ar"/>
              </w:rPr>
              <w:t>培训人员满意度</w:t>
            </w:r>
          </w:p>
        </w:tc>
        <w:tc>
          <w:tcPr>
            <w:tcW w:w="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pPr>
            <w:r>
              <w:rPr>
                <w:rFonts w:ascii="宋体" w:hAnsi="宋体" w:eastAsia="宋体" w:cs="宋体"/>
                <w:i w:val="0"/>
                <w:iCs w:val="0"/>
                <w:color w:val="000000"/>
                <w:kern w:val="0"/>
                <w:sz w:val="18"/>
                <w:szCs w:val="18"/>
                <w:u w:val="none"/>
                <w:lang w:val="en-US" w:eastAsia="zh-CN" w:bidi="ar"/>
              </w:rPr>
              <w:t>≥</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pPr>
            <w:r>
              <w:rPr>
                <w:rFonts w:ascii="宋体" w:hAnsi="宋体" w:eastAsia="宋体" w:cs="宋体"/>
                <w:i w:val="0"/>
                <w:iCs w:val="0"/>
                <w:color w:val="000000"/>
                <w:kern w:val="0"/>
                <w:sz w:val="18"/>
                <w:szCs w:val="18"/>
                <w:u w:val="none"/>
                <w:lang w:val="en-US" w:eastAsia="zh-CN" w:bidi="ar"/>
              </w:rPr>
              <w:t>95</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pPr>
            <w:r>
              <w:rPr>
                <w:rFonts w:ascii="宋体" w:hAnsi="宋体" w:eastAsia="宋体" w:cs="宋体"/>
                <w:i w:val="0"/>
                <w:iCs w:val="0"/>
                <w:color w:val="000000"/>
                <w:kern w:val="0"/>
                <w:sz w:val="18"/>
                <w:szCs w:val="18"/>
                <w:u w:val="none"/>
                <w:lang w:val="en-US" w:eastAsia="zh-CN" w:bidi="ar"/>
              </w:rPr>
              <w:t>人次</w:t>
            </w:r>
          </w:p>
        </w:tc>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eastAsia="宋体"/>
                <w:lang w:val="en-US" w:eastAsia="zh-CN"/>
              </w:rPr>
            </w:pPr>
            <w:r>
              <w:rPr>
                <w:rFonts w:hint="eastAsia"/>
                <w:lang w:val="en-US" w:eastAsia="zh-CN"/>
              </w:rPr>
              <w:t>95%</w:t>
            </w:r>
          </w:p>
        </w:tc>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pPr>
            <w:r>
              <w:rPr>
                <w:rFonts w:ascii="宋体" w:hAnsi="宋体" w:eastAsia="宋体" w:cs="宋体"/>
                <w:i w:val="0"/>
                <w:iCs w:val="0"/>
                <w:color w:val="000000"/>
                <w:kern w:val="0"/>
                <w:sz w:val="18"/>
                <w:szCs w:val="18"/>
                <w:u w:val="none"/>
                <w:lang w:val="en-US" w:eastAsia="zh-CN" w:bidi="ar"/>
              </w:rPr>
              <w:t>10</w:t>
            </w: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eastAsia="宋体"/>
                <w:lang w:val="en-US" w:eastAsia="zh-CN"/>
              </w:rPr>
            </w:pPr>
            <w:r>
              <w:rPr>
                <w:rFonts w:hint="eastAsia"/>
                <w:lang w:val="en-US" w:eastAsia="zh-CN"/>
              </w:rPr>
              <w:t>10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39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微软雅黑" w:hAnsi="微软雅黑" w:eastAsia="微软雅黑" w:cs="微软雅黑"/>
                <w:i/>
                <w:iCs/>
                <w:color w:val="000000"/>
                <w:sz w:val="16"/>
                <w:szCs w:val="16"/>
                <w:u w:val="none"/>
              </w:rPr>
            </w:pPr>
            <w:r>
              <w:rPr>
                <w:rFonts w:ascii="宋体" w:hAnsi="宋体" w:eastAsia="宋体" w:cs="宋体"/>
                <w:i w:val="0"/>
                <w:iCs w:val="0"/>
                <w:color w:val="000000"/>
                <w:kern w:val="0"/>
                <w:sz w:val="18"/>
                <w:szCs w:val="18"/>
                <w:u w:val="none"/>
                <w:lang w:val="en-US" w:eastAsia="zh-CN" w:bidi="ar"/>
              </w:rPr>
              <w:t>100</w:t>
            </w:r>
          </w:p>
        </w:tc>
        <w:tc>
          <w:tcPr>
            <w:tcW w:w="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rPr>
                <w:rFonts w:hint="default" w:eastAsia="宋体"/>
                <w:lang w:val="en-US" w:eastAsia="zh-CN"/>
              </w:rPr>
            </w:pPr>
            <w:r>
              <w:rPr>
                <w:rFonts w:hint="eastAsia"/>
                <w:lang w:val="en-US" w:eastAsia="zh-CN"/>
              </w:rPr>
              <w:t>100</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val="0"/>
                <w:iCs w:val="0"/>
                <w:color w:val="000000"/>
                <w:sz w:val="18"/>
                <w:szCs w:val="18"/>
                <w:u w:val="none"/>
                <w:lang w:eastAsia="zh-CN"/>
              </w:rPr>
            </w:pPr>
            <w:r>
              <w:rPr>
                <w:rFonts w:hint="eastAsia" w:ascii="黑体" w:hAnsi="黑体" w:eastAsia="黑体" w:cs="黑体"/>
                <w:i w:val="0"/>
                <w:iCs w:val="0"/>
                <w:color w:val="000000"/>
                <w:sz w:val="18"/>
                <w:szCs w:val="18"/>
                <w:u w:val="none"/>
                <w:lang w:eastAsia="zh-CN"/>
              </w:rPr>
              <w:t>该项目实施过程中，进度适宜，效果明显，按时间节点完成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9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资金支付进度略有滞后。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94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eastAsia="zh-CN"/>
              </w:rPr>
              <w:t>加快资金支付进度。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2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rPr>
            </w:pPr>
            <w:r>
              <w:rPr>
                <w:rFonts w:hint="eastAsia" w:ascii="黑体" w:hAnsi="黑体" w:eastAsia="黑体" w:cs="黑体"/>
                <w:i w:val="0"/>
                <w:iCs w:val="0"/>
                <w:color w:val="000000"/>
                <w:kern w:val="0"/>
                <w:sz w:val="18"/>
                <w:szCs w:val="18"/>
                <w:u w:val="none"/>
                <w:lang w:val="en-US" w:eastAsia="zh-CN" w:bidi="ar"/>
              </w:rPr>
              <w:t>项</w:t>
            </w:r>
            <w:r>
              <w:rPr>
                <w:rFonts w:hint="eastAsia"/>
                <w:lang w:val="en-US" w:eastAsia="zh-CN"/>
              </w:rPr>
              <w:t>目负责人：岳剑东</w:t>
            </w:r>
          </w:p>
        </w:tc>
        <w:tc>
          <w:tcPr>
            <w:tcW w:w="425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lang w:val="en-US" w:eastAsia="zh-CN"/>
              </w:rPr>
            </w:pPr>
            <w:r>
              <w:rPr>
                <w:rFonts w:hint="eastAsia"/>
                <w:lang w:val="en-US" w:eastAsia="zh-CN"/>
              </w:rPr>
              <w:t>财务负责人：徐兴明</w:t>
            </w:r>
          </w:p>
        </w:tc>
      </w:tr>
    </w:tbl>
    <w:p>
      <w:pPr>
        <w:pStyle w:val="2"/>
        <w:keepNext w:val="0"/>
        <w:keepLines w:val="0"/>
        <w:pageBreakBefore w:val="0"/>
        <w:kinsoku/>
        <w:wordWrap/>
        <w:overflowPunct/>
        <w:topLinePunct w:val="0"/>
        <w:autoSpaceDE/>
        <w:autoSpaceDN/>
        <w:bidi w:val="0"/>
        <w:adjustRightInd/>
        <w:snapToGrid/>
        <w:spacing w:line="200" w:lineRule="exact"/>
        <w:rPr>
          <w:rFonts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line="200" w:lineRule="exact"/>
        <w:rPr>
          <w:rFonts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line="200" w:lineRule="exact"/>
        <w:rPr>
          <w:rFonts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line="200" w:lineRule="exact"/>
        <w:rPr>
          <w:rFonts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line="200" w:lineRule="exact"/>
        <w:rPr>
          <w:rFonts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line="200" w:lineRule="exact"/>
        <w:rPr>
          <w:rFonts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line="200" w:lineRule="exact"/>
        <w:rPr>
          <w:rFonts w:ascii="仿宋_GB2312" w:hAnsi="仿宋_GB2312" w:eastAsia="仿宋_GB2312" w:cs="仿宋_GB2312"/>
          <w:sz w:val="32"/>
          <w:szCs w:val="32"/>
        </w:rPr>
      </w:pPr>
    </w:p>
    <w:tbl>
      <w:tblPr>
        <w:tblStyle w:val="12"/>
        <w:tblpPr w:leftFromText="180" w:rightFromText="180" w:vertAnchor="text" w:horzAnchor="page" w:tblpX="1895" w:tblpY="193"/>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33"/>
        <w:gridCol w:w="868"/>
        <w:gridCol w:w="1157"/>
        <w:gridCol w:w="396"/>
        <w:gridCol w:w="787"/>
        <w:gridCol w:w="396"/>
        <w:gridCol w:w="846"/>
        <w:gridCol w:w="576"/>
        <w:gridCol w:w="576"/>
        <w:gridCol w:w="13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51000021R000000019958-其他支出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17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496" w:type="pct"/>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3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四川省剑门关高级中学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17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8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217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187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黑体" w:hAnsi="黑体" w:eastAsia="黑体" w:cs="黑体"/>
                <w:i w:val="0"/>
                <w:iCs w:val="0"/>
                <w:color w:val="000000"/>
                <w:sz w:val="18"/>
                <w:szCs w:val="18"/>
                <w:u w:val="none"/>
                <w:lang w:val="en-US" w:eastAsia="zh-CN"/>
              </w:rPr>
            </w:pPr>
            <w:r>
              <w:rPr>
                <w:rFonts w:hint="eastAsia" w:ascii="黑体" w:hAnsi="黑体" w:eastAsia="黑体" w:cs="黑体"/>
                <w:i w:val="0"/>
                <w:iCs w:val="0"/>
                <w:color w:val="000000"/>
                <w:sz w:val="18"/>
                <w:szCs w:val="18"/>
                <w:u w:val="none"/>
                <w:lang w:eastAsia="zh-CN"/>
              </w:rPr>
              <w:t>本年度中我校按月足额及时支付遗属生活补助</w:t>
            </w:r>
            <w:r>
              <w:rPr>
                <w:rFonts w:hint="eastAsia" w:ascii="黑体" w:hAnsi="黑体" w:eastAsia="黑体" w:cs="黑体"/>
                <w:i w:val="0"/>
                <w:iCs w:val="0"/>
                <w:color w:val="000000"/>
                <w:sz w:val="18"/>
                <w:szCs w:val="18"/>
                <w:u w:val="none"/>
                <w:lang w:val="en-US" w:eastAsia="zh-CN"/>
              </w:rPr>
              <w:t>1.62万元，保障遗属人员基本生活保障，年末无结余。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41"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r>
              <w:rPr>
                <w:rFonts w:hint="eastAsia" w:ascii="黑体" w:hAnsi="黑体" w:eastAsia="黑体" w:cs="黑体"/>
                <w:i w:val="0"/>
                <w:iCs w:val="0"/>
                <w:color w:val="000000"/>
                <w:sz w:val="18"/>
                <w:szCs w:val="18"/>
                <w:u w:val="none"/>
                <w:lang w:eastAsia="zh-CN"/>
              </w:rPr>
              <w:t>我校按月足额及时支付遗属生活补助</w:t>
            </w:r>
            <w:r>
              <w:rPr>
                <w:rFonts w:hint="eastAsia" w:ascii="黑体" w:hAnsi="黑体" w:eastAsia="黑体" w:cs="黑体"/>
                <w:i w:val="0"/>
                <w:iCs w:val="0"/>
                <w:color w:val="000000"/>
                <w:sz w:val="18"/>
                <w:szCs w:val="18"/>
                <w:u w:val="none"/>
                <w:lang w:val="en-US" w:eastAsia="zh-CN"/>
              </w:rPr>
              <w:t>0.135万元，全年支付1.62万元，保障遗属人员基本生活保障，年末无结余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w:t>
            </w:r>
          </w:p>
        </w:tc>
        <w:tc>
          <w:tcPr>
            <w:tcW w:w="9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8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w:t>
            </w:r>
          </w:p>
        </w:tc>
        <w:tc>
          <w:tcPr>
            <w:tcW w:w="9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1.62</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c>
          <w:tcPr>
            <w:tcW w:w="9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12</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22.5</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5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22.5</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22.5</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6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5%</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22.5</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362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项目按时完成，无遗留问题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项目按时完成，无遗留问题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24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项目负责人：徐兴明</w:t>
            </w:r>
          </w:p>
        </w:tc>
        <w:tc>
          <w:tcPr>
            <w:tcW w:w="259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财务负责人：徐兴明</w:t>
            </w:r>
          </w:p>
        </w:tc>
      </w:tr>
    </w:tbl>
    <w:p>
      <w:pPr>
        <w:pStyle w:val="2"/>
        <w:keepNext w:val="0"/>
        <w:keepLines w:val="0"/>
        <w:pageBreakBefore w:val="0"/>
        <w:kinsoku/>
        <w:wordWrap/>
        <w:overflowPunct/>
        <w:topLinePunct w:val="0"/>
        <w:autoSpaceDE/>
        <w:autoSpaceDN/>
        <w:bidi w:val="0"/>
        <w:adjustRightInd/>
        <w:snapToGrid/>
        <w:spacing w:line="200" w:lineRule="exact"/>
        <w:rPr>
          <w:rFonts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line="200" w:lineRule="exact"/>
        <w:rPr>
          <w:rFonts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line="200" w:lineRule="exact"/>
        <w:rPr>
          <w:rFonts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line="200" w:lineRule="exact"/>
        <w:rPr>
          <w:rFonts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line="200" w:lineRule="exact"/>
        <w:rPr>
          <w:rFonts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line="200" w:lineRule="exact"/>
        <w:rPr>
          <w:rFonts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line="200" w:lineRule="exact"/>
        <w:rPr>
          <w:rFonts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line="200" w:lineRule="exact"/>
        <w:rPr>
          <w:rFonts w:ascii="仿宋_GB2312" w:hAnsi="仿宋_GB2312" w:eastAsia="仿宋_GB2312" w:cs="仿宋_GB2312"/>
          <w:sz w:val="32"/>
          <w:szCs w:val="32"/>
        </w:rPr>
      </w:pPr>
    </w:p>
    <w:p>
      <w:pPr>
        <w:pStyle w:val="2"/>
        <w:keepNext w:val="0"/>
        <w:keepLines w:val="0"/>
        <w:pageBreakBefore w:val="0"/>
        <w:kinsoku/>
        <w:wordWrap/>
        <w:overflowPunct/>
        <w:topLinePunct w:val="0"/>
        <w:autoSpaceDE/>
        <w:autoSpaceDN/>
        <w:bidi w:val="0"/>
        <w:adjustRightInd/>
        <w:snapToGrid/>
        <w:spacing w:before="93" w:line="200" w:lineRule="exact"/>
        <w:rPr>
          <w:rFonts w:hAnsi="Calibri" w:cs="仿宋"/>
          <w:sz w:val="32"/>
          <w:szCs w:val="32"/>
        </w:rPr>
      </w:pPr>
      <w:bookmarkStart w:id="53" w:name="_Toc15396618"/>
    </w:p>
    <w:p>
      <w:pPr>
        <w:pStyle w:val="2"/>
        <w:keepNext w:val="0"/>
        <w:keepLines w:val="0"/>
        <w:pageBreakBefore w:val="0"/>
        <w:kinsoku/>
        <w:wordWrap/>
        <w:overflowPunct/>
        <w:topLinePunct w:val="0"/>
        <w:autoSpaceDE/>
        <w:autoSpaceDN/>
        <w:bidi w:val="0"/>
        <w:adjustRightInd/>
        <w:snapToGrid/>
        <w:spacing w:before="93" w:line="200" w:lineRule="exact"/>
        <w:rPr>
          <w:rFonts w:hAnsi="Calibri" w:cs="仿宋"/>
          <w:sz w:val="32"/>
          <w:szCs w:val="32"/>
        </w:rPr>
      </w:pP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6"/>
        <w:gridCol w:w="1075"/>
        <w:gridCol w:w="908"/>
        <w:gridCol w:w="1203"/>
        <w:gridCol w:w="396"/>
        <w:gridCol w:w="849"/>
        <w:gridCol w:w="396"/>
        <w:gridCol w:w="756"/>
        <w:gridCol w:w="486"/>
        <w:gridCol w:w="486"/>
        <w:gridCol w:w="13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51082321R000000025238-目标绩效考核奖励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9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剑阁县教育局部门</w:t>
            </w:r>
          </w:p>
        </w:tc>
        <w:tc>
          <w:tcPr>
            <w:tcW w:w="386" w:type="pct"/>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val="0"/>
                <w:iCs w:val="0"/>
                <w:color w:val="000000"/>
                <w:kern w:val="0"/>
                <w:sz w:val="18"/>
                <w:szCs w:val="18"/>
                <w:u w:val="none"/>
                <w:lang w:val="en-US" w:eastAsia="zh-CN" w:bidi="ar"/>
              </w:rPr>
            </w:pPr>
            <w:r>
              <w:rPr>
                <w:rFonts w:hint="eastAsia" w:ascii="黑体" w:hAnsi="黑体" w:eastAsia="黑体" w:cs="黑体"/>
                <w:i w:val="0"/>
                <w:iCs w:val="0"/>
                <w:color w:val="000000"/>
                <w:kern w:val="0"/>
                <w:sz w:val="18"/>
                <w:szCs w:val="18"/>
                <w:u w:val="none"/>
                <w:lang w:val="en-US" w:eastAsia="zh-CN" w:bidi="ar"/>
              </w:rPr>
              <w:t>实施</w:t>
            </w:r>
          </w:p>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单位 </w:t>
            </w:r>
          </w:p>
        </w:tc>
        <w:tc>
          <w:tcPr>
            <w:tcW w:w="124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四川省剑门关高级中学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7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7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23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63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eastAsia="zh-CN"/>
              </w:rPr>
              <w:t>本年度，我校按时足额发放教职工目标绩效奖励</w:t>
            </w:r>
            <w:r>
              <w:rPr>
                <w:rFonts w:hint="eastAsia" w:asciiTheme="minorEastAsia" w:hAnsiTheme="minorEastAsia" w:eastAsiaTheme="minorEastAsia" w:cstheme="minorEastAsia"/>
                <w:i w:val="0"/>
                <w:iCs w:val="0"/>
                <w:color w:val="000000"/>
                <w:sz w:val="18"/>
                <w:szCs w:val="18"/>
                <w:u w:val="none"/>
                <w:lang w:val="en-US" w:eastAsia="zh-CN"/>
              </w:rPr>
              <w:t>773.38万元，保障职工的基本工资福利。年末无结余。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03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eastAsia="zh-CN"/>
              </w:rPr>
              <w:t>我校按月足额发放教职工目标绩效奖励</w:t>
            </w:r>
            <w:r>
              <w:rPr>
                <w:rFonts w:hint="eastAsia" w:asciiTheme="minorEastAsia" w:hAnsiTheme="minorEastAsia" w:eastAsiaTheme="minorEastAsia" w:cstheme="minorEastAsia"/>
                <w:i w:val="0"/>
                <w:iCs w:val="0"/>
                <w:color w:val="000000"/>
                <w:sz w:val="18"/>
                <w:szCs w:val="18"/>
                <w:u w:val="none"/>
                <w:lang w:val="en-US" w:eastAsia="zh-CN"/>
              </w:rPr>
              <w:t>64.49万元，全年发放773.88万元，保障职工的基本工资福利，年末无结余。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773.38</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721.26</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93.26%</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w:t>
            </w: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773.38</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721.26</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93.26%</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c>
          <w:tcPr>
            <w:tcW w:w="96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2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60</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2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8"/>
                <w:szCs w:val="18"/>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8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微软雅黑" w:hAnsi="微软雅黑" w:eastAsia="微软雅黑" w:cs="微软雅黑"/>
                <w:i/>
                <w:iCs/>
                <w:color w:val="000000"/>
                <w:sz w:val="16"/>
                <w:szCs w:val="16"/>
                <w:u w:val="none"/>
                <w:lang w:val="en-US" w:eastAsia="zh-CN"/>
              </w:rPr>
            </w:pPr>
            <w:r>
              <w:rPr>
                <w:rFonts w:hint="eastAsia" w:ascii="微软雅黑" w:hAnsi="微软雅黑" w:eastAsia="微软雅黑" w:cs="微软雅黑"/>
                <w:i/>
                <w:iCs/>
                <w:color w:val="000000"/>
                <w:sz w:val="16"/>
                <w:szCs w:val="16"/>
                <w:u w:val="none"/>
                <w:lang w:val="en-US" w:eastAsia="zh-CN"/>
              </w:rPr>
              <w:t>100%</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30</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jc w:val="center"/>
              <w:rPr>
                <w:rFonts w:hint="eastAsia" w:ascii="微软雅黑" w:hAnsi="微软雅黑" w:eastAsia="微软雅黑" w:cs="微软雅黑"/>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375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00" w:lineRule="exac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iCs/>
                <w:color w:val="000000"/>
                <w:sz w:val="16"/>
                <w:szCs w:val="16"/>
                <w:u w:val="none"/>
              </w:rPr>
            </w:pPr>
            <w:r>
              <w:rPr>
                <w:rFonts w:hint="eastAsia" w:asciiTheme="minorEastAsia" w:hAnsiTheme="minorEastAsia" w:eastAsiaTheme="minorEastAsia" w:cstheme="minorEastAsia"/>
                <w:i w:val="0"/>
                <w:iCs w:val="0"/>
                <w:color w:val="000000"/>
                <w:sz w:val="18"/>
                <w:szCs w:val="18"/>
                <w:u w:val="none"/>
                <w:lang w:eastAsia="zh-CN"/>
              </w:rPr>
              <w:t>我校按时足额发放教职工目标绩效奖励</w:t>
            </w:r>
            <w:r>
              <w:rPr>
                <w:rFonts w:hint="eastAsia" w:asciiTheme="minorEastAsia" w:hAnsiTheme="minorEastAsia" w:eastAsiaTheme="minorEastAsia" w:cstheme="minorEastAsia"/>
                <w:i w:val="0"/>
                <w:iCs w:val="0"/>
                <w:color w:val="000000"/>
                <w:sz w:val="18"/>
                <w:szCs w:val="18"/>
                <w:u w:val="none"/>
                <w:lang w:val="en-US" w:eastAsia="zh-CN"/>
              </w:rPr>
              <w:t>773.38万元，保障职工的基本工资福利，年末无结余。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75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bookmarkStart w:id="67" w:name="_GoBack"/>
            <w:bookmarkEnd w:id="67"/>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25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项目负责人：徐兴明</w:t>
            </w:r>
          </w:p>
        </w:tc>
        <w:tc>
          <w:tcPr>
            <w:tcW w:w="2414"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财务负责人：徐兴明</w:t>
            </w:r>
          </w:p>
        </w:tc>
      </w:tr>
    </w:tbl>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pStyle w:val="2"/>
        <w:spacing w:before="93"/>
        <w:rPr>
          <w:rFonts w:hAnsi="Calibri" w:cs="仿宋"/>
          <w:sz w:val="32"/>
          <w:szCs w:val="32"/>
        </w:rPr>
      </w:pPr>
    </w:p>
    <w:p>
      <w:pPr>
        <w:spacing w:line="600" w:lineRule="exact"/>
        <w:jc w:val="center"/>
        <w:outlineLvl w:val="0"/>
        <w:rPr>
          <w:rFonts w:ascii="仿宋" w:hAnsi="仿宋" w:eastAsia="仿宋"/>
        </w:rPr>
      </w:pPr>
      <w:r>
        <w:rPr>
          <w:rFonts w:hint="eastAsia" w:ascii="黑体" w:hAnsi="黑体" w:eastAsia="黑体"/>
          <w:sz w:val="44"/>
          <w:szCs w:val="44"/>
        </w:rPr>
        <w:t>第</w:t>
      </w:r>
      <w:r>
        <w:rPr>
          <w:rStyle w:val="24"/>
          <w:rFonts w:hint="eastAsia" w:ascii="黑体" w:hAnsi="黑体" w:eastAsia="黑体"/>
          <w:b w:val="0"/>
        </w:rPr>
        <w:t>五部分 附表</w:t>
      </w:r>
      <w:bookmarkEnd w:id="51"/>
      <w:bookmarkEnd w:id="53"/>
      <w:bookmarkStart w:id="54" w:name="_Toc15396619"/>
    </w:p>
    <w:p>
      <w:pPr>
        <w:pStyle w:val="4"/>
        <w:rPr>
          <w:rFonts w:ascii="仿宋" w:hAnsi="仿宋" w:eastAsia="仿宋"/>
        </w:rPr>
      </w:pPr>
      <w:r>
        <w:rPr>
          <w:rFonts w:hint="eastAsia" w:ascii="仿宋" w:hAnsi="仿宋" w:eastAsia="仿宋"/>
          <w:b w:val="0"/>
        </w:rPr>
        <w:t>一、收</w:t>
      </w:r>
      <w:r>
        <w:rPr>
          <w:rStyle w:val="25"/>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25"/>
          <w:rFonts w:hint="eastAsia" w:ascii="仿宋" w:hAnsi="仿宋" w:eastAsia="仿宋"/>
          <w:b w:val="0"/>
          <w:bCs w:val="0"/>
        </w:rPr>
        <w:t>入决算表</w:t>
      </w:r>
      <w:bookmarkEnd w:id="55"/>
    </w:p>
    <w:p>
      <w:pPr>
        <w:pStyle w:val="4"/>
        <w:rPr>
          <w:rFonts w:ascii="仿宋" w:hAnsi="仿宋" w:eastAsia="仿宋"/>
        </w:rPr>
      </w:pPr>
      <w:bookmarkStart w:id="56" w:name="_Toc15396621"/>
      <w:r>
        <w:rPr>
          <w:rStyle w:val="25"/>
          <w:rFonts w:hint="eastAsia" w:ascii="仿宋" w:hAnsi="仿宋" w:eastAsia="仿宋"/>
          <w:b w:val="0"/>
          <w:bCs w:val="0"/>
        </w:rPr>
        <w:t>三、</w:t>
      </w:r>
      <w:r>
        <w:rPr>
          <w:rFonts w:hint="eastAsia" w:ascii="仿宋" w:hAnsi="仿宋" w:eastAsia="仿宋"/>
          <w:b w:val="0"/>
        </w:rPr>
        <w:t>支</w:t>
      </w:r>
      <w:r>
        <w:rPr>
          <w:rStyle w:val="25"/>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25"/>
          <w:rFonts w:hint="eastAsia" w:ascii="仿宋" w:hAnsi="仿宋" w:eastAsia="仿宋"/>
          <w:b w:val="0"/>
          <w:bCs w:val="0"/>
        </w:rPr>
        <w:t>四、</w:t>
      </w:r>
      <w:r>
        <w:rPr>
          <w:rFonts w:hint="eastAsia" w:ascii="仿宋" w:hAnsi="仿宋" w:eastAsia="仿宋"/>
          <w:b w:val="0"/>
        </w:rPr>
        <w:t>财</w:t>
      </w:r>
      <w:r>
        <w:rPr>
          <w:rStyle w:val="25"/>
          <w:rFonts w:hint="eastAsia" w:ascii="仿宋" w:hAnsi="仿宋" w:eastAsia="仿宋"/>
          <w:b w:val="0"/>
          <w:bCs w:val="0"/>
        </w:rPr>
        <w:t>政拨款收入支出决算总表</w:t>
      </w:r>
      <w:bookmarkEnd w:id="57"/>
    </w:p>
    <w:p>
      <w:pPr>
        <w:pStyle w:val="4"/>
        <w:rPr>
          <w:rStyle w:val="25"/>
          <w:rFonts w:ascii="仿宋" w:hAnsi="仿宋" w:eastAsia="仿宋"/>
          <w:b w:val="0"/>
          <w:bCs w:val="0"/>
        </w:rPr>
      </w:pPr>
      <w:bookmarkStart w:id="58" w:name="_Toc15396623"/>
      <w:r>
        <w:rPr>
          <w:rStyle w:val="25"/>
          <w:rFonts w:hint="eastAsia" w:ascii="仿宋" w:hAnsi="仿宋" w:eastAsia="仿宋"/>
          <w:b w:val="0"/>
          <w:bCs w:val="0"/>
        </w:rPr>
        <w:t>五、</w:t>
      </w:r>
      <w:r>
        <w:rPr>
          <w:rFonts w:hint="eastAsia" w:ascii="仿宋" w:hAnsi="仿宋" w:eastAsia="仿宋"/>
          <w:b w:val="0"/>
        </w:rPr>
        <w:t>财</w:t>
      </w:r>
      <w:r>
        <w:rPr>
          <w:rStyle w:val="25"/>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25"/>
          <w:rFonts w:hint="eastAsia" w:ascii="仿宋" w:hAnsi="仿宋" w:eastAsia="仿宋"/>
          <w:b w:val="0"/>
          <w:bCs w:val="0"/>
        </w:rPr>
        <w:t>六、</w:t>
      </w:r>
      <w:r>
        <w:rPr>
          <w:rFonts w:hint="eastAsia" w:ascii="仿宋" w:hAnsi="仿宋" w:eastAsia="仿宋"/>
          <w:b w:val="0"/>
        </w:rPr>
        <w:t>一</w:t>
      </w:r>
      <w:r>
        <w:rPr>
          <w:rStyle w:val="25"/>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25"/>
          <w:rFonts w:hint="eastAsia" w:ascii="仿宋" w:hAnsi="仿宋" w:eastAsia="仿宋"/>
          <w:b w:val="0"/>
          <w:bCs w:val="0"/>
        </w:rPr>
        <w:t>七、</w:t>
      </w:r>
      <w:r>
        <w:rPr>
          <w:rFonts w:hint="eastAsia" w:ascii="仿宋" w:hAnsi="仿宋" w:eastAsia="仿宋"/>
          <w:b w:val="0"/>
        </w:rPr>
        <w:t>一</w:t>
      </w:r>
      <w:r>
        <w:rPr>
          <w:rStyle w:val="25"/>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25"/>
          <w:rFonts w:hint="eastAsia" w:ascii="仿宋" w:hAnsi="仿宋" w:eastAsia="仿宋"/>
          <w:b w:val="0"/>
          <w:bCs w:val="0"/>
        </w:rPr>
        <w:t>八、</w:t>
      </w:r>
      <w:r>
        <w:rPr>
          <w:rFonts w:hint="eastAsia" w:ascii="仿宋" w:hAnsi="仿宋" w:eastAsia="仿宋"/>
          <w:b w:val="0"/>
        </w:rPr>
        <w:t>一</w:t>
      </w:r>
      <w:r>
        <w:rPr>
          <w:rStyle w:val="25"/>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25"/>
          <w:rFonts w:hint="eastAsia" w:ascii="仿宋" w:hAnsi="仿宋" w:eastAsia="仿宋"/>
          <w:b w:val="0"/>
          <w:bCs w:val="0"/>
        </w:rPr>
        <w:t>九、</w:t>
      </w:r>
      <w:r>
        <w:rPr>
          <w:rFonts w:hint="eastAsia" w:ascii="仿宋" w:hAnsi="仿宋" w:eastAsia="仿宋"/>
          <w:b w:val="0"/>
        </w:rPr>
        <w:t>一</w:t>
      </w:r>
      <w:r>
        <w:rPr>
          <w:rStyle w:val="25"/>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25"/>
          <w:rFonts w:hint="eastAsia" w:ascii="仿宋" w:hAnsi="仿宋" w:eastAsia="仿宋"/>
          <w:b w:val="0"/>
          <w:bCs w:val="0"/>
        </w:rPr>
        <w:t>十、</w:t>
      </w:r>
      <w:bookmarkEnd w:id="63"/>
      <w:r>
        <w:rPr>
          <w:rFonts w:hint="eastAsia" w:ascii="仿宋" w:hAnsi="仿宋" w:eastAsia="仿宋"/>
          <w:b w:val="0"/>
        </w:rPr>
        <w:t>政</w:t>
      </w:r>
      <w:r>
        <w:rPr>
          <w:rStyle w:val="25"/>
          <w:rFonts w:hint="eastAsia" w:ascii="仿宋" w:hAnsi="仿宋" w:eastAsia="仿宋"/>
          <w:b w:val="0"/>
          <w:bCs w:val="0"/>
        </w:rPr>
        <w:t>府性基金预算财政拨款收入支出决算表</w:t>
      </w:r>
    </w:p>
    <w:p>
      <w:pPr>
        <w:pStyle w:val="4"/>
        <w:rPr>
          <w:rFonts w:ascii="仿宋" w:hAnsi="仿宋" w:eastAsia="仿宋"/>
        </w:rPr>
      </w:pPr>
      <w:bookmarkStart w:id="64" w:name="_Toc15396629"/>
      <w:r>
        <w:rPr>
          <w:rStyle w:val="25"/>
          <w:rFonts w:hint="eastAsia" w:ascii="仿宋" w:hAnsi="仿宋" w:eastAsia="仿宋"/>
          <w:b w:val="0"/>
          <w:bCs w:val="0"/>
        </w:rPr>
        <w:t>十一、</w:t>
      </w:r>
      <w:bookmarkEnd w:id="64"/>
      <w:r>
        <w:rPr>
          <w:rFonts w:hint="eastAsia" w:ascii="仿宋" w:hAnsi="仿宋" w:eastAsia="仿宋"/>
          <w:b w:val="0"/>
        </w:rPr>
        <w:t>国</w:t>
      </w:r>
      <w:r>
        <w:rPr>
          <w:rStyle w:val="25"/>
          <w:rFonts w:hint="eastAsia" w:ascii="仿宋" w:hAnsi="仿宋" w:eastAsia="仿宋"/>
          <w:b w:val="0"/>
          <w:bCs w:val="0"/>
        </w:rPr>
        <w:t>有资本经营预算财政拨款收入支出决算表</w:t>
      </w:r>
    </w:p>
    <w:p>
      <w:pPr>
        <w:pStyle w:val="4"/>
        <w:rPr>
          <w:rFonts w:ascii="仿宋" w:hAnsi="仿宋" w:eastAsia="仿宋"/>
        </w:rPr>
      </w:pPr>
      <w:bookmarkStart w:id="65" w:name="_Toc15396630"/>
      <w:r>
        <w:rPr>
          <w:rStyle w:val="25"/>
          <w:rFonts w:hint="eastAsia" w:ascii="仿宋" w:hAnsi="仿宋" w:eastAsia="仿宋"/>
          <w:b w:val="0"/>
          <w:bCs w:val="0"/>
        </w:rPr>
        <w:t>十二、</w:t>
      </w:r>
      <w:bookmarkEnd w:id="65"/>
      <w:r>
        <w:rPr>
          <w:rStyle w:val="25"/>
          <w:rFonts w:hint="eastAsia" w:ascii="仿宋" w:hAnsi="仿宋" w:eastAsia="仿宋"/>
          <w:b w:val="0"/>
          <w:bCs w:val="0"/>
        </w:rPr>
        <w:t>国有资本经营预算财政拨款支出决算表</w:t>
      </w:r>
    </w:p>
    <w:p>
      <w:pPr>
        <w:pStyle w:val="4"/>
        <w:rPr>
          <w:rFonts w:eastAsia="仿宋"/>
        </w:rPr>
      </w:pPr>
      <w:bookmarkStart w:id="66" w:name="_Toc15396631"/>
      <w:r>
        <w:rPr>
          <w:rStyle w:val="25"/>
          <w:rFonts w:hint="eastAsia" w:ascii="仿宋" w:hAnsi="仿宋" w:eastAsia="仿宋"/>
          <w:b w:val="0"/>
          <w:bCs w:val="0"/>
        </w:rPr>
        <w:t>十三、</w:t>
      </w:r>
      <w:bookmarkEnd w:id="66"/>
      <w:r>
        <w:rPr>
          <w:rStyle w:val="25"/>
          <w:rFonts w:hint="eastAsia" w:ascii="仿宋" w:hAnsi="仿宋" w:eastAsia="仿宋"/>
          <w:b w:val="0"/>
          <w:bCs w:val="0"/>
        </w:rPr>
        <w:t>财政拨款“三公”经费支出决算表</w:t>
      </w:r>
    </w:p>
    <w:sectPr>
      <w:pgSz w:w="11906" w:h="16838"/>
      <w:pgMar w:top="1440" w:right="1803" w:bottom="1440" w:left="1803" w:header="851" w:footer="992" w:gutter="0"/>
      <w:pgNumType w:start="1"/>
      <w:cols w:space="0" w:num="1"/>
      <w:titlePg/>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0YWViZDZjOTVmZGVlZWU5MTc0ZGI2MWYxYTNmMTAifQ=="/>
  </w:docVars>
  <w:rsids>
    <w:rsidRoot w:val="00172A27"/>
    <w:rsid w:val="000222C6"/>
    <w:rsid w:val="0002549F"/>
    <w:rsid w:val="000409D9"/>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D7BF4"/>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1671B"/>
    <w:rsid w:val="00C33E72"/>
    <w:rsid w:val="00C354B2"/>
    <w:rsid w:val="00C35554"/>
    <w:rsid w:val="00C42709"/>
    <w:rsid w:val="00C533CC"/>
    <w:rsid w:val="00C56F3A"/>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3A62B5"/>
    <w:rsid w:val="0A2032A3"/>
    <w:rsid w:val="0B8A37D8"/>
    <w:rsid w:val="10C055FF"/>
    <w:rsid w:val="118107EC"/>
    <w:rsid w:val="11DD6519"/>
    <w:rsid w:val="16BB723D"/>
    <w:rsid w:val="18015F3F"/>
    <w:rsid w:val="1B0E25C0"/>
    <w:rsid w:val="1BE8440E"/>
    <w:rsid w:val="1D155CEE"/>
    <w:rsid w:val="20F57F95"/>
    <w:rsid w:val="240371BF"/>
    <w:rsid w:val="25711CC6"/>
    <w:rsid w:val="25C741E6"/>
    <w:rsid w:val="27842671"/>
    <w:rsid w:val="29FD04D3"/>
    <w:rsid w:val="2ABE7A3E"/>
    <w:rsid w:val="2CA234A8"/>
    <w:rsid w:val="2EFA178C"/>
    <w:rsid w:val="30B46D73"/>
    <w:rsid w:val="319F7F4E"/>
    <w:rsid w:val="383D272C"/>
    <w:rsid w:val="39AE70AB"/>
    <w:rsid w:val="3C0C0783"/>
    <w:rsid w:val="3F9F3A96"/>
    <w:rsid w:val="48BF60AB"/>
    <w:rsid w:val="493C27E9"/>
    <w:rsid w:val="496F39ED"/>
    <w:rsid w:val="49FF41D3"/>
    <w:rsid w:val="4BE068DB"/>
    <w:rsid w:val="4BF6002B"/>
    <w:rsid w:val="4ECE2238"/>
    <w:rsid w:val="51DB4B86"/>
    <w:rsid w:val="55333C3E"/>
    <w:rsid w:val="61AB5C2B"/>
    <w:rsid w:val="64CA39A1"/>
    <w:rsid w:val="69630ADE"/>
    <w:rsid w:val="6C2D45F5"/>
    <w:rsid w:val="6C4A05C8"/>
    <w:rsid w:val="6D3B1A89"/>
    <w:rsid w:val="71BF4EC2"/>
    <w:rsid w:val="72734D90"/>
    <w:rsid w:val="7412278C"/>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字符"/>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字符"/>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字符"/>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字符"/>
    <w:basedOn w:val="13"/>
    <w:link w:val="3"/>
    <w:qFormat/>
    <w:uiPriority w:val="9"/>
    <w:rPr>
      <w:rFonts w:ascii="Times New Roman" w:hAnsi="Times New Roman"/>
      <w:b/>
      <w:bCs/>
      <w:kern w:val="44"/>
      <w:sz w:val="44"/>
      <w:szCs w:val="44"/>
    </w:rPr>
  </w:style>
  <w:style w:type="character" w:customStyle="1" w:styleId="25">
    <w:name w:val="标题 2 字符"/>
    <w:basedOn w:val="13"/>
    <w:link w:val="4"/>
    <w:qFormat/>
    <w:uiPriority w:val="9"/>
    <w:rPr>
      <w:rFonts w:asciiTheme="majorHAnsi" w:hAnsiTheme="majorHAnsi" w:eastAsiaTheme="majorEastAsia" w:cstheme="majorBidi"/>
      <w:b/>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字符"/>
    <w:basedOn w:val="13"/>
    <w:link w:val="7"/>
    <w:semiHidden/>
    <w:qFormat/>
    <w:uiPriority w:val="99"/>
    <w:rPr>
      <w:rFonts w:ascii="Times New Roman" w:hAnsi="Times New Roman"/>
      <w:kern w:val="2"/>
      <w:sz w:val="18"/>
      <w:szCs w:val="18"/>
    </w:rPr>
  </w:style>
  <w:style w:type="character" w:customStyle="1" w:styleId="28">
    <w:name w:val="标题 3 字符"/>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5274</Words>
  <Characters>626</Characters>
  <Lines>5</Lines>
  <Paragraphs>11</Paragraphs>
  <TotalTime>34</TotalTime>
  <ScaleCrop>false</ScaleCrop>
  <LinksUpToDate>false</LinksUpToDate>
  <CharactersWithSpaces>5889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火狐狸</cp:lastModifiedBy>
  <cp:lastPrinted>2023-07-31T02:35:00Z</cp:lastPrinted>
  <dcterms:modified xsi:type="dcterms:W3CDTF">2023-10-31T01:24:00Z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2CB19E2F412D43978C187DBC988BC4F6_12</vt:lpwstr>
  </property>
</Properties>
</file>