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style1.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nts/font7.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ascii="方正小标宋简体" w:hAnsi="宋体" w:eastAsia="方正小标宋简体"/>
          <w:szCs w:val="21"/>
        </w:rPr>
      </w:pPr>
      <w:bookmarkStart w:id="0" w:name="_Toc15306267"/>
    </w:p>
    <w:p>
      <w:pPr>
        <w:spacing w:line="600" w:lineRule="exact"/>
        <w:jc w:val="center"/>
        <w:outlineLvl w:val="0"/>
        <w:rPr>
          <w:rFonts w:ascii="方正小标宋简体" w:hAnsi="宋体" w:eastAsia="方正小标宋简体"/>
          <w:sz w:val="72"/>
          <w:szCs w:val="72"/>
        </w:rPr>
      </w:pPr>
    </w:p>
    <w:p>
      <w:pPr>
        <w:spacing w:line="600" w:lineRule="exact"/>
        <w:jc w:val="center"/>
        <w:outlineLvl w:val="0"/>
        <w:rPr>
          <w:rFonts w:ascii="方正小标宋简体" w:hAnsi="宋体" w:eastAsia="方正小标宋简体"/>
          <w:sz w:val="72"/>
          <w:szCs w:val="72"/>
        </w:rPr>
      </w:pPr>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1" w:name="_Toc15377193"/>
      <w:bookmarkStart w:id="2" w:name="_Toc15377425"/>
      <w:bookmarkStart w:id="3" w:name="_Toc15396597"/>
      <w:bookmarkStart w:id="4" w:name="_Toc15378441"/>
      <w:bookmarkStart w:id="5" w:name="_Toc15396475"/>
      <w:r>
        <w:rPr>
          <w:rFonts w:hint="eastAsia" w:ascii="方正小标宋简体" w:hAnsi="方正小标宋简体" w:eastAsia="方正小标宋简体" w:cs="方正小标宋简体"/>
          <w:sz w:val="72"/>
          <w:szCs w:val="72"/>
        </w:rPr>
        <w:t>2022年度</w:t>
      </w:r>
      <w:bookmarkEnd w:id="1"/>
      <w:bookmarkEnd w:id="2"/>
      <w:bookmarkEnd w:id="3"/>
      <w:bookmarkEnd w:id="4"/>
      <w:bookmarkEnd w:id="5"/>
    </w:p>
    <w:p>
      <w:pPr>
        <w:adjustRightInd w:val="0"/>
        <w:snapToGrid w:val="0"/>
        <w:spacing w:line="360" w:lineRule="auto"/>
        <w:jc w:val="center"/>
        <w:outlineLvl w:val="0"/>
        <w:rPr>
          <w:rFonts w:ascii="方正小标宋简体" w:hAnsi="方正小标宋简体" w:eastAsia="方正小标宋简体" w:cs="方正小标宋简体"/>
          <w:sz w:val="72"/>
          <w:szCs w:val="72"/>
        </w:rPr>
      </w:pPr>
      <w:bookmarkStart w:id="6" w:name="_Toc15378442"/>
      <w:bookmarkStart w:id="7" w:name="_Toc15396476"/>
      <w:bookmarkStart w:id="8" w:name="_Toc15377194"/>
      <w:bookmarkStart w:id="9" w:name="_Toc15396598"/>
      <w:bookmarkStart w:id="10" w:name="_Toc15377426"/>
      <w:r>
        <w:rPr>
          <w:rFonts w:hint="eastAsia" w:ascii="方正小标宋简体" w:hAnsi="方正小标宋简体" w:eastAsia="方正小标宋简体" w:cs="方正小标宋简体"/>
          <w:sz w:val="72"/>
          <w:szCs w:val="72"/>
        </w:rPr>
        <w:t>剑阁县</w:t>
      </w:r>
      <w:bookmarkEnd w:id="0"/>
      <w:bookmarkStart w:id="11" w:name="_Toc15306268"/>
      <w:r>
        <w:rPr>
          <w:rFonts w:hint="eastAsia" w:ascii="方正小标宋简体" w:hAnsi="方正小标宋简体" w:eastAsia="方正小标宋简体" w:cs="方正小标宋简体"/>
          <w:sz w:val="72"/>
          <w:szCs w:val="72"/>
          <w:lang w:eastAsia="zh-CN"/>
        </w:rPr>
        <w:t>文化馆</w:t>
      </w:r>
      <w:r>
        <w:rPr>
          <w:rFonts w:hint="eastAsia" w:ascii="方正小标宋简体" w:hAnsi="方正小标宋简体" w:eastAsia="方正小标宋简体" w:cs="方正小标宋简体"/>
          <w:sz w:val="72"/>
          <w:szCs w:val="72"/>
        </w:rPr>
        <w:t>单位决算</w:t>
      </w:r>
      <w:bookmarkEnd w:id="6"/>
      <w:bookmarkEnd w:id="7"/>
      <w:bookmarkEnd w:id="8"/>
      <w:bookmarkEnd w:id="9"/>
      <w:bookmarkEnd w:id="10"/>
      <w:bookmarkEnd w:id="11"/>
    </w:p>
    <w:p>
      <w:pPr>
        <w:widowControl/>
        <w:jc w:val="center"/>
        <w:rPr>
          <w:rFonts w:ascii="黑体" w:hAnsi="黑体" w:eastAsia="黑体" w:cstheme="minorBidi"/>
          <w:sz w:val="28"/>
          <w:szCs w:val="28"/>
        </w:rPr>
      </w:pPr>
      <w:r>
        <w:rPr>
          <w:rFonts w:ascii="方正小标宋简体" w:hAnsi="宋体" w:eastAsia="方正小标宋简体"/>
          <w:sz w:val="36"/>
          <w:szCs w:val="36"/>
        </w:rPr>
        <w:br w:type="page"/>
      </w:r>
      <w:r>
        <w:rPr>
          <w:rFonts w:hint="eastAsia" w:ascii="黑体" w:hAnsi="黑体" w:eastAsia="黑体"/>
          <w:sz w:val="48"/>
          <w:szCs w:val="48"/>
        </w:rPr>
        <w:t>目录</w:t>
      </w:r>
    </w:p>
    <w:p>
      <w:pPr>
        <w:pStyle w:val="11"/>
      </w:pPr>
      <w:r>
        <w:rPr>
          <w:rFonts w:hint="eastAsia"/>
        </w:rPr>
        <w:t>公开时间：2023年</w:t>
      </w:r>
      <w:r>
        <w:rPr>
          <w:rFonts w:hint="eastAsia"/>
          <w:lang w:val="en-US" w:eastAsia="zh-CN"/>
        </w:rPr>
        <w:t>11</w:t>
      </w:r>
      <w:r>
        <w:rPr>
          <w:rFonts w:hint="eastAsia"/>
        </w:rPr>
        <w:t>月</w:t>
      </w:r>
      <w:r>
        <w:rPr>
          <w:rFonts w:hint="eastAsia"/>
          <w:lang w:val="en-US" w:eastAsia="zh-CN"/>
        </w:rPr>
        <w:t>28</w:t>
      </w:r>
      <w:r>
        <w:rPr>
          <w:rFonts w:hint="eastAsia"/>
        </w:rPr>
        <w:t>日</w:t>
      </w:r>
    </w:p>
    <w:p/>
    <w:p>
      <w:pPr>
        <w:pStyle w:val="11"/>
        <w:adjustRightInd w:val="0"/>
        <w:snapToGrid w:val="0"/>
        <w:spacing w:before="0" w:line="440" w:lineRule="exact"/>
        <w:jc w:val="left"/>
        <w:rPr>
          <w:rFonts w:cstheme="minorBidi"/>
          <w:sz w:val="24"/>
          <w:szCs w:val="24"/>
        </w:rPr>
      </w:pPr>
      <w:r>
        <w:rPr>
          <w:rFonts w:hint="eastAsia"/>
          <w:sz w:val="24"/>
        </w:rPr>
        <w:t>第一部分</w:t>
      </w:r>
      <w:r>
        <w:rPr>
          <w:sz w:val="24"/>
        </w:rPr>
        <w:t xml:space="preserve"> </w:t>
      </w:r>
      <w:r>
        <w:rPr>
          <w:rFonts w:hint="eastAsia"/>
          <w:sz w:val="24"/>
        </w:rPr>
        <w:t>单位概况</w:t>
      </w:r>
    </w:p>
    <w:p>
      <w:pPr>
        <w:pStyle w:val="12"/>
        <w:adjustRightInd w:val="0"/>
        <w:snapToGrid w:val="0"/>
        <w:spacing w:line="440" w:lineRule="exact"/>
        <w:jc w:val="left"/>
        <w:rPr>
          <w:sz w:val="24"/>
        </w:rPr>
      </w:pPr>
      <w:r>
        <w:rPr>
          <w:rFonts w:hint="eastAsia"/>
          <w:sz w:val="24"/>
        </w:rPr>
        <w:t>一、主要职责及重点</w:t>
      </w:r>
      <w:r>
        <w:rPr>
          <w:sz w:val="24"/>
        </w:rPr>
        <w:t>工作</w:t>
      </w:r>
    </w:p>
    <w:p>
      <w:pPr>
        <w:pStyle w:val="12"/>
        <w:adjustRightInd w:val="0"/>
        <w:snapToGrid w:val="0"/>
        <w:spacing w:line="440" w:lineRule="exact"/>
        <w:jc w:val="left"/>
        <w:rPr>
          <w:sz w:val="24"/>
        </w:rPr>
      </w:pPr>
      <w:r>
        <w:rPr>
          <w:rFonts w:hint="eastAsia"/>
          <w:sz w:val="24"/>
        </w:rPr>
        <w:t>（一）单位</w:t>
      </w:r>
      <w:r>
        <w:rPr>
          <w:sz w:val="24"/>
        </w:rPr>
        <w:t>职责</w:t>
      </w:r>
    </w:p>
    <w:p>
      <w:pPr>
        <w:pStyle w:val="12"/>
        <w:adjustRightInd w:val="0"/>
        <w:snapToGrid w:val="0"/>
        <w:spacing w:line="440" w:lineRule="exact"/>
        <w:jc w:val="left"/>
        <w:rPr>
          <w:rFonts w:hint="eastAsia"/>
          <w:sz w:val="24"/>
        </w:rPr>
      </w:pPr>
      <w:r>
        <w:rPr>
          <w:rFonts w:hint="eastAsia"/>
          <w:sz w:val="24"/>
        </w:rPr>
        <w:t>（二）2022年重点工作完成情况</w:t>
      </w:r>
    </w:p>
    <w:p>
      <w:pPr>
        <w:pStyle w:val="12"/>
        <w:adjustRightInd w:val="0"/>
        <w:snapToGrid w:val="0"/>
        <w:spacing w:line="440" w:lineRule="exact"/>
        <w:jc w:val="left"/>
      </w:pPr>
      <w:r>
        <w:rPr>
          <w:rFonts w:hint="eastAsia"/>
          <w:sz w:val="24"/>
        </w:rPr>
        <w:t>二、机构设置</w:t>
      </w:r>
    </w:p>
    <w:p>
      <w:pPr>
        <w:pStyle w:val="11"/>
        <w:adjustRightInd w:val="0"/>
        <w:snapToGrid w:val="0"/>
        <w:spacing w:before="0" w:line="440" w:lineRule="exact"/>
        <w:jc w:val="left"/>
        <w:rPr>
          <w:sz w:val="24"/>
          <w:szCs w:val="24"/>
        </w:rPr>
      </w:pPr>
      <w:r>
        <w:rPr>
          <w:rFonts w:hint="eastAsia"/>
          <w:sz w:val="24"/>
        </w:rPr>
        <w:t>第二部分 2022年度单位决算情况说明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一、收入支出决算总体情况说明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二、收入决算情况说明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三、支出决算情况说明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四、财政拨款收入支出决算总体情况说明</w:t>
      </w:r>
    </w:p>
    <w:p>
      <w:pPr>
        <w:pStyle w:val="12"/>
        <w:adjustRightInd w:val="0"/>
        <w:snapToGrid w:val="0"/>
        <w:spacing w:line="440" w:lineRule="exact"/>
        <w:jc w:val="left"/>
        <w:rPr>
          <w:rFonts w:ascii="仿宋" w:hAnsi="仿宋" w:eastAsia="仿宋" w:cstheme="minorBidi"/>
          <w:sz w:val="24"/>
        </w:rPr>
      </w:pPr>
      <w:r>
        <w:rPr>
          <w:rFonts w:hint="eastAsia"/>
          <w:sz w:val="24"/>
        </w:rPr>
        <w:t>五、一般公共预算财政拨款支出决算情况说明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六、一般公共预算财政拨款基本支出决算情况说明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七、财政拨款“三公”经费支出决算情况说明</w:t>
      </w:r>
    </w:p>
    <w:p>
      <w:pPr>
        <w:pStyle w:val="12"/>
        <w:adjustRightInd w:val="0"/>
        <w:snapToGrid w:val="0"/>
        <w:spacing w:line="440" w:lineRule="exact"/>
        <w:jc w:val="left"/>
        <w:rPr>
          <w:rFonts w:ascii="仿宋" w:hAnsi="仿宋" w:eastAsia="仿宋" w:cstheme="minorBidi"/>
          <w:sz w:val="24"/>
        </w:rPr>
      </w:pPr>
      <w:r>
        <w:rPr>
          <w:rFonts w:hint="eastAsia"/>
          <w:sz w:val="24"/>
        </w:rPr>
        <w:t>八、政府性基金预算支出决算情况说明</w:t>
      </w:r>
    </w:p>
    <w:p>
      <w:pPr>
        <w:pStyle w:val="12"/>
        <w:adjustRightInd w:val="0"/>
        <w:snapToGrid w:val="0"/>
        <w:spacing w:line="440" w:lineRule="exact"/>
        <w:jc w:val="left"/>
        <w:rPr>
          <w:sz w:val="24"/>
        </w:rPr>
      </w:pPr>
      <w:r>
        <w:rPr>
          <w:rFonts w:hint="eastAsia"/>
          <w:sz w:val="24"/>
        </w:rPr>
        <w:t>九、国有资本经营预算支出决算情况说明</w:t>
      </w:r>
    </w:p>
    <w:p>
      <w:pPr>
        <w:pStyle w:val="12"/>
        <w:adjustRightInd w:val="0"/>
        <w:snapToGrid w:val="0"/>
        <w:spacing w:line="440" w:lineRule="exact"/>
        <w:jc w:val="left"/>
        <w:rPr>
          <w:sz w:val="24"/>
        </w:rPr>
      </w:pPr>
      <w:r>
        <w:rPr>
          <w:rFonts w:hint="eastAsia"/>
          <w:sz w:val="24"/>
        </w:rPr>
        <w:t>十、其他重要事项的情况说明</w:t>
      </w:r>
    </w:p>
    <w:p>
      <w:pPr>
        <w:pStyle w:val="11"/>
        <w:adjustRightInd w:val="0"/>
        <w:snapToGrid w:val="0"/>
        <w:spacing w:before="0" w:line="440" w:lineRule="exact"/>
        <w:jc w:val="left"/>
        <w:rPr>
          <w:rFonts w:cstheme="minorBidi"/>
          <w:sz w:val="24"/>
          <w:szCs w:val="24"/>
        </w:rPr>
      </w:pPr>
      <w:r>
        <w:rPr>
          <w:rFonts w:hint="eastAsia"/>
          <w:sz w:val="24"/>
        </w:rPr>
        <w:t>第三部分</w:t>
      </w:r>
      <w:r>
        <w:rPr>
          <w:sz w:val="24"/>
        </w:rPr>
        <w:t xml:space="preserve"> </w:t>
      </w:r>
      <w:r>
        <w:rPr>
          <w:rFonts w:hint="eastAsia"/>
          <w:sz w:val="24"/>
        </w:rPr>
        <w:t>名词解释</w:t>
      </w:r>
    </w:p>
    <w:p>
      <w:pPr>
        <w:pStyle w:val="11"/>
        <w:adjustRightInd w:val="0"/>
        <w:snapToGrid w:val="0"/>
        <w:spacing w:before="0" w:line="440" w:lineRule="exact"/>
        <w:jc w:val="left"/>
        <w:rPr>
          <w:rFonts w:cstheme="minorBidi"/>
          <w:sz w:val="24"/>
          <w:szCs w:val="24"/>
        </w:rPr>
      </w:pPr>
      <w:r>
        <w:rPr>
          <w:rFonts w:hint="eastAsia"/>
          <w:sz w:val="24"/>
        </w:rPr>
        <w:t>第四部分</w:t>
      </w:r>
      <w:r>
        <w:rPr>
          <w:sz w:val="24"/>
        </w:rPr>
        <w:t xml:space="preserve"> </w:t>
      </w:r>
      <w:r>
        <w:rPr>
          <w:rFonts w:hint="eastAsia"/>
          <w:sz w:val="24"/>
        </w:rPr>
        <w:t>附件</w:t>
      </w:r>
    </w:p>
    <w:p>
      <w:pPr>
        <w:pStyle w:val="11"/>
        <w:adjustRightInd w:val="0"/>
        <w:snapToGrid w:val="0"/>
        <w:spacing w:before="0" w:line="440" w:lineRule="exact"/>
        <w:jc w:val="left"/>
        <w:rPr>
          <w:rFonts w:cstheme="minorBidi"/>
          <w:sz w:val="24"/>
          <w:szCs w:val="24"/>
        </w:rPr>
      </w:pPr>
      <w:r>
        <w:rPr>
          <w:rFonts w:hint="eastAsia"/>
          <w:sz w:val="24"/>
        </w:rPr>
        <w:t>第五部分</w:t>
      </w:r>
      <w:r>
        <w:rPr>
          <w:sz w:val="24"/>
        </w:rPr>
        <w:t xml:space="preserve"> </w:t>
      </w:r>
      <w:r>
        <w:rPr>
          <w:rFonts w:hint="eastAsia"/>
          <w:sz w:val="24"/>
        </w:rPr>
        <w:t>附表</w:t>
      </w:r>
    </w:p>
    <w:p>
      <w:pPr>
        <w:pStyle w:val="12"/>
        <w:adjustRightInd w:val="0"/>
        <w:snapToGrid w:val="0"/>
        <w:spacing w:line="440" w:lineRule="exact"/>
        <w:jc w:val="left"/>
        <w:rPr>
          <w:sz w:val="24"/>
        </w:rPr>
      </w:pPr>
      <w:r>
        <w:rPr>
          <w:rFonts w:hint="eastAsia"/>
          <w:sz w:val="24"/>
        </w:rPr>
        <w:t>一、收入支出决算总表</w:t>
      </w:r>
    </w:p>
    <w:p>
      <w:pPr>
        <w:pStyle w:val="12"/>
        <w:adjustRightInd w:val="0"/>
        <w:snapToGrid w:val="0"/>
        <w:spacing w:line="440" w:lineRule="exact"/>
        <w:jc w:val="left"/>
        <w:rPr>
          <w:sz w:val="24"/>
        </w:rPr>
      </w:pPr>
      <w:r>
        <w:rPr>
          <w:rFonts w:hint="eastAsia"/>
          <w:sz w:val="24"/>
        </w:rPr>
        <w:t>二、收入决算表</w:t>
      </w:r>
    </w:p>
    <w:p>
      <w:pPr>
        <w:pStyle w:val="12"/>
        <w:adjustRightInd w:val="0"/>
        <w:snapToGrid w:val="0"/>
        <w:spacing w:line="440" w:lineRule="exact"/>
        <w:jc w:val="left"/>
        <w:rPr>
          <w:sz w:val="24"/>
        </w:rPr>
      </w:pPr>
      <w:r>
        <w:rPr>
          <w:rFonts w:hint="eastAsia"/>
          <w:sz w:val="24"/>
        </w:rPr>
        <w:t>三、支出决算表</w:t>
      </w:r>
    </w:p>
    <w:p>
      <w:pPr>
        <w:pStyle w:val="12"/>
        <w:adjustRightInd w:val="0"/>
        <w:snapToGrid w:val="0"/>
        <w:spacing w:line="440" w:lineRule="exact"/>
        <w:jc w:val="left"/>
        <w:rPr>
          <w:sz w:val="24"/>
        </w:rPr>
      </w:pPr>
      <w:r>
        <w:rPr>
          <w:rFonts w:hint="eastAsia"/>
          <w:sz w:val="24"/>
        </w:rPr>
        <w:t>四、财政拨款收入支出决算总表</w:t>
      </w:r>
    </w:p>
    <w:p>
      <w:pPr>
        <w:pStyle w:val="12"/>
        <w:adjustRightInd w:val="0"/>
        <w:snapToGrid w:val="0"/>
        <w:spacing w:line="440" w:lineRule="exact"/>
        <w:jc w:val="left"/>
        <w:rPr>
          <w:sz w:val="24"/>
        </w:rPr>
      </w:pPr>
      <w:r>
        <w:rPr>
          <w:rFonts w:hint="eastAsia"/>
          <w:sz w:val="24"/>
        </w:rPr>
        <w:t>五、财政拨款支出决算明细表</w:t>
      </w:r>
    </w:p>
    <w:p>
      <w:pPr>
        <w:pStyle w:val="12"/>
        <w:adjustRightInd w:val="0"/>
        <w:snapToGrid w:val="0"/>
        <w:spacing w:line="440" w:lineRule="exact"/>
        <w:jc w:val="left"/>
        <w:rPr>
          <w:sz w:val="24"/>
        </w:rPr>
      </w:pPr>
      <w:r>
        <w:rPr>
          <w:rFonts w:hint="eastAsia"/>
          <w:sz w:val="24"/>
        </w:rPr>
        <w:t>六、一般公共预算财政拨款支出决算表</w:t>
      </w:r>
    </w:p>
    <w:p>
      <w:pPr>
        <w:pStyle w:val="12"/>
        <w:adjustRightInd w:val="0"/>
        <w:snapToGrid w:val="0"/>
        <w:spacing w:line="440" w:lineRule="exact"/>
        <w:jc w:val="left"/>
        <w:rPr>
          <w:sz w:val="24"/>
        </w:rPr>
      </w:pPr>
      <w:r>
        <w:rPr>
          <w:rFonts w:hint="eastAsia"/>
          <w:sz w:val="24"/>
        </w:rPr>
        <w:t>七、一般公共预算财政拨款支出决算明细表</w:t>
      </w:r>
    </w:p>
    <w:p>
      <w:pPr>
        <w:pStyle w:val="12"/>
        <w:adjustRightInd w:val="0"/>
        <w:snapToGrid w:val="0"/>
        <w:spacing w:line="440" w:lineRule="exact"/>
        <w:jc w:val="left"/>
        <w:rPr>
          <w:sz w:val="24"/>
        </w:rPr>
      </w:pPr>
      <w:r>
        <w:rPr>
          <w:rFonts w:hint="eastAsia"/>
          <w:sz w:val="24"/>
        </w:rPr>
        <w:t>八、一般公共预算财政拨款基本支出决算明细表</w:t>
      </w:r>
    </w:p>
    <w:p>
      <w:pPr>
        <w:pStyle w:val="12"/>
        <w:adjustRightInd w:val="0"/>
        <w:snapToGrid w:val="0"/>
        <w:spacing w:line="440" w:lineRule="exact"/>
        <w:jc w:val="left"/>
        <w:rPr>
          <w:sz w:val="24"/>
        </w:rPr>
      </w:pPr>
      <w:r>
        <w:rPr>
          <w:rFonts w:hint="eastAsia"/>
          <w:sz w:val="24"/>
        </w:rPr>
        <w:t>九、一般公共预算财政拨款项目支出决算表</w:t>
      </w:r>
    </w:p>
    <w:p>
      <w:pPr>
        <w:pStyle w:val="12"/>
        <w:adjustRightInd w:val="0"/>
        <w:snapToGrid w:val="0"/>
        <w:spacing w:line="440" w:lineRule="exact"/>
        <w:jc w:val="left"/>
        <w:rPr>
          <w:sz w:val="24"/>
        </w:rPr>
      </w:pPr>
      <w:r>
        <w:rPr>
          <w:rFonts w:hint="eastAsia"/>
          <w:sz w:val="24"/>
        </w:rPr>
        <w:t>十、政府性基金预算财政拨款收入支出决算表</w:t>
      </w:r>
    </w:p>
    <w:p>
      <w:pPr>
        <w:pStyle w:val="12"/>
        <w:adjustRightInd w:val="0"/>
        <w:snapToGrid w:val="0"/>
        <w:spacing w:line="440" w:lineRule="exact"/>
        <w:jc w:val="left"/>
        <w:rPr>
          <w:sz w:val="24"/>
        </w:rPr>
      </w:pPr>
      <w:r>
        <w:rPr>
          <w:rFonts w:hint="eastAsia"/>
          <w:sz w:val="24"/>
        </w:rPr>
        <w:t>十一、国有资本经营预算财政拨款收入支出决算表</w:t>
      </w:r>
    </w:p>
    <w:p>
      <w:pPr>
        <w:pStyle w:val="12"/>
        <w:adjustRightInd w:val="0"/>
        <w:snapToGrid w:val="0"/>
        <w:spacing w:line="440" w:lineRule="exact"/>
        <w:jc w:val="left"/>
        <w:rPr>
          <w:sz w:val="24"/>
        </w:rPr>
      </w:pPr>
      <w:r>
        <w:rPr>
          <w:rFonts w:hint="eastAsia"/>
          <w:sz w:val="24"/>
        </w:rPr>
        <w:t>十二、国有资本经营预算财政拨款支出决算表</w:t>
      </w:r>
    </w:p>
    <w:p>
      <w:pPr>
        <w:pStyle w:val="12"/>
        <w:adjustRightInd w:val="0"/>
        <w:snapToGrid w:val="0"/>
        <w:spacing w:line="440" w:lineRule="exact"/>
        <w:jc w:val="left"/>
        <w:rPr>
          <w:sz w:val="24"/>
        </w:rPr>
      </w:pPr>
      <w:r>
        <w:rPr>
          <w:rFonts w:hint="eastAsia"/>
          <w:sz w:val="24"/>
        </w:rPr>
        <w:t>十三、财政拨款“三公”经费支出决算表</w:t>
      </w:r>
    </w:p>
    <w:p>
      <w:pPr>
        <w:widowControl/>
        <w:adjustRightInd w:val="0"/>
        <w:snapToGrid w:val="0"/>
        <w:spacing w:line="440" w:lineRule="exact"/>
        <w:ind w:firstLine="1320" w:firstLineChars="550"/>
        <w:jc w:val="left"/>
        <w:rPr>
          <w:rFonts w:ascii="仿宋" w:hAnsi="仿宋" w:eastAsia="仿宋"/>
          <w:sz w:val="24"/>
        </w:rPr>
      </w:pPr>
      <w:r>
        <w:rPr>
          <w:rFonts w:ascii="仿宋" w:hAnsi="仿宋" w:eastAsia="仿宋"/>
          <w:sz w:val="24"/>
        </w:rPr>
        <w:t>(注：</w:t>
      </w:r>
      <w:r>
        <w:rPr>
          <w:rFonts w:hint="eastAsia" w:ascii="仿宋" w:hAnsi="仿宋" w:eastAsia="仿宋"/>
          <w:sz w:val="24"/>
        </w:rPr>
        <w:t>请单位根据实际注明页码</w:t>
      </w:r>
      <w:r>
        <w:rPr>
          <w:rFonts w:ascii="仿宋" w:hAnsi="仿宋" w:eastAsia="仿宋"/>
          <w:sz w:val="24"/>
        </w:rPr>
        <w:t>)</w:t>
      </w:r>
    </w:p>
    <w:p>
      <w:pPr>
        <w:widowControl/>
        <w:spacing w:line="440" w:lineRule="exact"/>
        <w:jc w:val="left"/>
        <w:rPr>
          <w:rFonts w:ascii="仿宋" w:hAnsi="仿宋" w:eastAsia="仿宋"/>
          <w:bCs/>
          <w:kern w:val="44"/>
          <w:sz w:val="24"/>
        </w:rPr>
      </w:pPr>
      <w:bookmarkStart w:id="12" w:name="_Toc15396599"/>
      <w:bookmarkStart w:id="13" w:name="_Toc15377196"/>
      <w:r>
        <w:rPr>
          <w:rFonts w:ascii="仿宋" w:hAnsi="仿宋" w:eastAsia="仿宋"/>
          <w:b/>
          <w:sz w:val="24"/>
        </w:rPr>
        <w:br w:type="page"/>
      </w:r>
    </w:p>
    <w:p>
      <w:pPr>
        <w:pStyle w:val="3"/>
        <w:numPr>
          <w:ilvl w:val="0"/>
          <w:numId w:val="1"/>
        </w:numPr>
        <w:jc w:val="center"/>
        <w:rPr>
          <w:rStyle w:val="26"/>
          <w:rFonts w:hint="eastAsia" w:ascii="黑体" w:hAnsi="黑体" w:eastAsia="黑体"/>
          <w:b w:val="0"/>
          <w:bCs w:val="0"/>
        </w:rPr>
      </w:pPr>
      <w:r>
        <w:rPr>
          <w:rFonts w:hint="eastAsia" w:ascii="黑体" w:hAnsi="黑体" w:eastAsia="黑体"/>
          <w:b w:val="0"/>
        </w:rPr>
        <w:t>单位</w:t>
      </w:r>
      <w:r>
        <w:rPr>
          <w:rStyle w:val="26"/>
          <w:rFonts w:hint="eastAsia" w:ascii="黑体" w:hAnsi="黑体" w:eastAsia="黑体"/>
          <w:b w:val="0"/>
          <w:bCs w:val="0"/>
        </w:rPr>
        <w:t>概况</w:t>
      </w:r>
      <w:bookmarkEnd w:id="12"/>
      <w:bookmarkEnd w:id="13"/>
    </w:p>
    <w:p>
      <w:pPr>
        <w:numPr>
          <w:ilvl w:val="0"/>
          <w:numId w:val="0"/>
        </w:numPr>
      </w:pPr>
    </w:p>
    <w:p>
      <w:pPr>
        <w:pStyle w:val="2"/>
        <w:numPr>
          <w:ilvl w:val="0"/>
          <w:numId w:val="2"/>
        </w:numPr>
        <w:rPr>
          <w:rStyle w:val="27"/>
          <w:rFonts w:ascii="黑体" w:hAnsi="黑体" w:eastAsia="黑体"/>
          <w:b w:val="0"/>
          <w:bCs w:val="0"/>
        </w:rPr>
      </w:pPr>
      <w:bookmarkStart w:id="14" w:name="_Toc15396600"/>
      <w:bookmarkStart w:id="15" w:name="_Toc15377197"/>
      <w:r>
        <w:rPr>
          <w:rStyle w:val="27"/>
          <w:rFonts w:hint="eastAsia" w:ascii="黑体" w:hAnsi="黑体" w:eastAsia="黑体"/>
          <w:b w:val="0"/>
          <w:bCs w:val="0"/>
        </w:rPr>
        <w:t>主要职责</w:t>
      </w:r>
      <w:r>
        <w:rPr>
          <w:rStyle w:val="27"/>
          <w:rFonts w:hint="eastAsia" w:ascii="黑体" w:hAnsi="黑体" w:eastAsia="黑体"/>
          <w:b w:val="0"/>
          <w:bCs w:val="0"/>
          <w:lang w:eastAsia="zh-CN"/>
        </w:rPr>
        <w:t>及重点工作</w:t>
      </w:r>
    </w:p>
    <w:p>
      <w:pPr>
        <w:pStyle w:val="12"/>
        <w:keepNext w:val="0"/>
        <w:keepLines w:val="0"/>
        <w:pageBreakBefore w:val="0"/>
        <w:kinsoku/>
        <w:wordWrap/>
        <w:overflowPunct/>
        <w:topLinePunct w:val="0"/>
        <w:autoSpaceDE/>
        <w:autoSpaceDN/>
        <w:bidi w:val="0"/>
        <w:adjustRightInd w:val="0"/>
        <w:snapToGrid w:val="0"/>
        <w:spacing w:line="576" w:lineRule="exact"/>
        <w:jc w:val="left"/>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（一）单位职责</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1、举办各类展览、讲座、培训等，普及科学文化知识，开展社会教育，提高</w:t>
      </w:r>
      <w:r>
        <w:rPr>
          <w:rFonts w:hint="eastAsia" w:ascii="仿宋" w:hAnsi="仿宋" w:eastAsia="仿宋" w:cs="仿宋"/>
          <w:color w:val="auto"/>
          <w:kern w:val="0"/>
          <w:sz w:val="32"/>
          <w:szCs w:val="32"/>
          <w:lang w:val="en-US" w:eastAsia="zh-CN"/>
        </w:rPr>
        <w:fldChar w:fldCharType="begin"/>
      </w:r>
      <w:r>
        <w:rPr>
          <w:rFonts w:hint="eastAsia" w:ascii="仿宋" w:hAnsi="仿宋" w:eastAsia="仿宋" w:cs="仿宋"/>
          <w:color w:val="auto"/>
          <w:kern w:val="0"/>
          <w:sz w:val="32"/>
          <w:szCs w:val="32"/>
          <w:lang w:val="en-US" w:eastAsia="zh-CN"/>
        </w:rPr>
        <w:instrText xml:space="preserve"> HYPERLINK "https://baike.so.com/doc/4936308-5156808.html" \t "https://baike.so.com/doc/_blank" </w:instrText>
      </w:r>
      <w:r>
        <w:rPr>
          <w:rFonts w:hint="eastAsia" w:ascii="仿宋" w:hAnsi="仿宋" w:eastAsia="仿宋" w:cs="仿宋"/>
          <w:color w:val="auto"/>
          <w:kern w:val="0"/>
          <w:sz w:val="32"/>
          <w:szCs w:val="32"/>
          <w:lang w:val="en-US" w:eastAsia="zh-CN"/>
        </w:rPr>
        <w:fldChar w:fldCharType="separate"/>
      </w:r>
      <w:r>
        <w:rPr>
          <w:rFonts w:hint="eastAsia" w:ascii="仿宋" w:hAnsi="仿宋" w:eastAsia="仿宋" w:cs="仿宋"/>
          <w:color w:val="auto"/>
          <w:kern w:val="0"/>
          <w:sz w:val="32"/>
          <w:szCs w:val="32"/>
          <w:lang w:val="en-US" w:eastAsia="zh-CN"/>
        </w:rPr>
        <w:t>群众文化</w:t>
      </w:r>
      <w:r>
        <w:rPr>
          <w:rFonts w:hint="eastAsia" w:ascii="仿宋" w:hAnsi="仿宋" w:eastAsia="仿宋" w:cs="仿宋"/>
          <w:color w:val="auto"/>
          <w:kern w:val="0"/>
          <w:sz w:val="32"/>
          <w:szCs w:val="32"/>
          <w:lang w:val="en-US" w:eastAsia="zh-CN"/>
        </w:rPr>
        <w:fldChar w:fldCharType="end"/>
      </w:r>
      <w:r>
        <w:rPr>
          <w:rFonts w:hint="eastAsia" w:ascii="仿宋" w:hAnsi="仿宋" w:eastAsia="仿宋" w:cs="仿宋"/>
          <w:color w:val="auto"/>
          <w:kern w:val="0"/>
          <w:sz w:val="32"/>
          <w:szCs w:val="32"/>
          <w:lang w:val="en-US" w:eastAsia="zh-CN"/>
        </w:rPr>
        <w:t>素质，促进当地精神文明建设。</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2、组织开展丰富多彩的、群众喜闻乐见的文化活动；开展流动文化服务；指导群众业余文艺团队建设，辅导和培训群众文艺骨干。</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3、组织并指导群众文艺创作，开展群众文化工作理论研究。</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4、收集、整理、研究</w:t>
      </w:r>
      <w:r>
        <w:rPr>
          <w:rFonts w:hint="eastAsia" w:ascii="仿宋" w:hAnsi="仿宋" w:eastAsia="仿宋" w:cs="仿宋"/>
          <w:color w:val="auto"/>
          <w:kern w:val="0"/>
          <w:sz w:val="32"/>
          <w:szCs w:val="32"/>
          <w:lang w:val="en-US" w:eastAsia="zh-CN"/>
        </w:rPr>
        <w:fldChar w:fldCharType="begin"/>
      </w:r>
      <w:r>
        <w:rPr>
          <w:rFonts w:hint="eastAsia" w:ascii="仿宋" w:hAnsi="仿宋" w:eastAsia="仿宋" w:cs="仿宋"/>
          <w:color w:val="auto"/>
          <w:kern w:val="0"/>
          <w:sz w:val="32"/>
          <w:szCs w:val="32"/>
          <w:lang w:val="en-US" w:eastAsia="zh-CN"/>
        </w:rPr>
        <w:instrText xml:space="preserve"> HYPERLINK "https://baike.so.com/doc/227948-241114.html" \t "https://baike.so.com/doc/_blank" </w:instrText>
      </w:r>
      <w:r>
        <w:rPr>
          <w:rFonts w:hint="eastAsia" w:ascii="仿宋" w:hAnsi="仿宋" w:eastAsia="仿宋" w:cs="仿宋"/>
          <w:color w:val="auto"/>
          <w:kern w:val="0"/>
          <w:sz w:val="32"/>
          <w:szCs w:val="32"/>
          <w:lang w:val="en-US" w:eastAsia="zh-CN"/>
        </w:rPr>
        <w:fldChar w:fldCharType="separate"/>
      </w:r>
      <w:r>
        <w:rPr>
          <w:rFonts w:hint="eastAsia" w:ascii="仿宋" w:hAnsi="仿宋" w:eastAsia="仿宋" w:cs="仿宋"/>
          <w:color w:val="auto"/>
          <w:kern w:val="0"/>
          <w:sz w:val="32"/>
          <w:szCs w:val="32"/>
          <w:lang w:val="en-US" w:eastAsia="zh-CN"/>
        </w:rPr>
        <w:t>非物质文化遗产</w:t>
      </w:r>
      <w:r>
        <w:rPr>
          <w:rFonts w:hint="eastAsia" w:ascii="仿宋" w:hAnsi="仿宋" w:eastAsia="仿宋" w:cs="仿宋"/>
          <w:color w:val="auto"/>
          <w:kern w:val="0"/>
          <w:sz w:val="32"/>
          <w:szCs w:val="32"/>
          <w:lang w:val="en-US" w:eastAsia="zh-CN"/>
        </w:rPr>
        <w:fldChar w:fldCharType="end"/>
      </w:r>
      <w:r>
        <w:rPr>
          <w:rFonts w:hint="eastAsia" w:ascii="仿宋" w:hAnsi="仿宋" w:eastAsia="仿宋" w:cs="仿宋"/>
          <w:color w:val="auto"/>
          <w:kern w:val="0"/>
          <w:sz w:val="32"/>
          <w:szCs w:val="32"/>
          <w:lang w:val="en-US" w:eastAsia="zh-CN"/>
        </w:rPr>
        <w:t>，开展非物质文化遗产的普查、展示、宣传活动，指导传承人开展传习活动。</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5、建成全国文化信息资源共享工程基层服务点，开展数字文化信息服务。</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6、指导下一级文化馆(文化站、社区文化中心)工作，为下一级文化馆(文化站、社区文化中心)培训人员，并向下一级文化馆(文化站、社区文化中心)配送文化资源和文化服务。</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7、指导本地区老年文化、老年教育、少儿文化工作。</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 w:hAnsi="仿宋" w:eastAsia="仿宋" w:cs="仿宋"/>
          <w:color w:val="auto"/>
          <w:kern w:val="0"/>
          <w:sz w:val="32"/>
          <w:szCs w:val="32"/>
          <w:lang w:val="en-US" w:eastAsia="zh-CN"/>
        </w:rPr>
      </w:pPr>
      <w:r>
        <w:rPr>
          <w:rFonts w:hint="eastAsia" w:ascii="仿宋" w:hAnsi="仿宋" w:eastAsia="仿宋" w:cs="仿宋"/>
          <w:color w:val="auto"/>
          <w:kern w:val="0"/>
          <w:sz w:val="32"/>
          <w:szCs w:val="32"/>
          <w:lang w:val="en-US" w:eastAsia="zh-CN"/>
        </w:rPr>
        <w:t>8、开展对外民间文化交流。</w:t>
      </w:r>
    </w:p>
    <w:p>
      <w:pPr>
        <w:pStyle w:val="5"/>
        <w:keepNext w:val="0"/>
        <w:keepLines w:val="0"/>
        <w:pageBreakBefore w:val="0"/>
        <w:kinsoku/>
        <w:wordWrap/>
        <w:overflowPunct/>
        <w:topLinePunct w:val="0"/>
        <w:autoSpaceDE/>
        <w:autoSpaceDN/>
        <w:bidi w:val="0"/>
        <w:adjustRightInd w:val="0"/>
        <w:snapToGrid w:val="0"/>
        <w:spacing w:beforeLines="0" w:line="576" w:lineRule="exact"/>
        <w:ind w:firstLine="640" w:firstLineChars="200"/>
        <w:textAlignment w:val="auto"/>
        <w:outlineLvl w:val="2"/>
        <w:rPr>
          <w:rFonts w:hint="eastAsia" w:ascii="仿宋" w:hAnsi="仿宋" w:eastAsia="仿宋" w:cs="仿宋"/>
          <w:bCs/>
          <w:color w:val="000000"/>
          <w:sz w:val="32"/>
          <w:szCs w:val="32"/>
        </w:rPr>
      </w:pPr>
      <w:r>
        <w:rPr>
          <w:rFonts w:hint="eastAsia" w:ascii="仿宋" w:hAnsi="仿宋" w:eastAsia="仿宋" w:cs="仿宋"/>
          <w:color w:val="auto"/>
          <w:kern w:val="0"/>
          <w:sz w:val="32"/>
          <w:szCs w:val="32"/>
          <w:lang w:val="en-US" w:eastAsia="zh-CN"/>
        </w:rPr>
        <w:t>9、</w:t>
      </w:r>
      <w:r>
        <w:rPr>
          <w:rFonts w:hint="eastAsia" w:ascii="仿宋" w:hAnsi="仿宋" w:eastAsia="仿宋" w:cs="仿宋"/>
          <w:color w:val="auto"/>
          <w:kern w:val="0"/>
          <w:sz w:val="32"/>
          <w:szCs w:val="32"/>
          <w:lang w:eastAsia="zh-CN"/>
        </w:rPr>
        <w:t>参与并完成上级主管部门组织和交办的其他工作。</w:t>
      </w:r>
    </w:p>
    <w:p>
      <w:pPr>
        <w:pStyle w:val="12"/>
        <w:adjustRightInd w:val="0"/>
        <w:snapToGrid w:val="0"/>
        <w:spacing w:line="440" w:lineRule="exact"/>
        <w:jc w:val="left"/>
        <w:rPr>
          <w:rFonts w:hint="eastAsia" w:asciiTheme="minorEastAsia" w:hAnsiTheme="minorEastAsia" w:eastAsiaTheme="minorEastAsia" w:cstheme="minorEastAsia"/>
          <w:sz w:val="32"/>
          <w:szCs w:val="32"/>
        </w:rPr>
      </w:pPr>
    </w:p>
    <w:p>
      <w:pPr>
        <w:pStyle w:val="12"/>
        <w:adjustRightInd w:val="0"/>
        <w:snapToGrid w:val="0"/>
        <w:spacing w:line="440" w:lineRule="exact"/>
        <w:ind w:left="0" w:leftChars="0" w:firstLine="0" w:firstLineChars="0"/>
        <w:jc w:val="left"/>
        <w:rPr>
          <w:rFonts w:hint="eastAsia" w:asciiTheme="minorEastAsia" w:hAnsiTheme="minorEastAsia" w:eastAsiaTheme="minorEastAsia" w:cstheme="minorEastAsia"/>
          <w:sz w:val="32"/>
          <w:szCs w:val="32"/>
        </w:rPr>
      </w:pPr>
    </w:p>
    <w:p>
      <w:pPr>
        <w:pStyle w:val="12"/>
        <w:adjustRightInd w:val="0"/>
        <w:snapToGrid w:val="0"/>
        <w:spacing w:line="440" w:lineRule="exact"/>
        <w:jc w:val="left"/>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rPr>
        <w:t>（二）2022年重点工作完成情况</w:t>
      </w:r>
    </w:p>
    <w:p>
      <w:pPr>
        <w:keepNext w:val="0"/>
        <w:keepLines w:val="0"/>
        <w:pageBreakBefore w:val="0"/>
        <w:widowControl/>
        <w:shd w:val="clear" w:color="auto" w:fill="FFFFFF"/>
        <w:kinsoku/>
        <w:wordWrap/>
        <w:overflowPunct/>
        <w:topLinePunct w:val="0"/>
        <w:autoSpaceDE/>
        <w:autoSpaceDN/>
        <w:bidi w:val="0"/>
        <w:adjustRightInd/>
        <w:snapToGrid/>
        <w:spacing w:line="576" w:lineRule="exact"/>
        <w:ind w:firstLine="640" w:firstLineChars="200"/>
        <w:jc w:val="left"/>
        <w:textAlignment w:val="auto"/>
        <w:rPr>
          <w:rFonts w:hint="eastAsia" w:ascii="仿宋_GB2312" w:hAnsi="宋体" w:eastAsia="仿宋_GB2312" w:cs="宋体"/>
          <w:sz w:val="32"/>
          <w:szCs w:val="32"/>
        </w:rPr>
      </w:pPr>
      <w:r>
        <w:rPr>
          <w:rFonts w:hint="eastAsia" w:ascii="仿宋" w:hAnsi="仿宋" w:eastAsia="仿宋" w:cs="仿宋"/>
          <w:color w:val="auto"/>
          <w:kern w:val="0"/>
          <w:sz w:val="32"/>
          <w:szCs w:val="32"/>
          <w:lang w:val="en-US" w:eastAsia="zh-CN"/>
        </w:rPr>
        <w:t>1、文化活动丰富多彩。</w:t>
      </w:r>
      <w:r>
        <w:rPr>
          <w:rFonts w:hint="eastAsia" w:ascii="仿宋_GB2312" w:hAnsi="宋体" w:eastAsia="仿宋_GB2312" w:cs="宋体"/>
          <w:sz w:val="32"/>
          <w:szCs w:val="32"/>
        </w:rPr>
        <w:t>全年共开展线下线上各类文化活动72场次，一是开展文化进万家</w:t>
      </w:r>
      <w:r>
        <w:rPr>
          <w:rFonts w:hint="eastAsia" w:ascii="仿宋_GB2312" w:hAnsi="宋体" w:eastAsia="仿宋_GB2312" w:cs="宋体"/>
          <w:sz w:val="32"/>
          <w:szCs w:val="32"/>
          <w:lang w:eastAsia="zh-CN"/>
        </w:rPr>
        <w:t>－－</w:t>
      </w:r>
      <w:bookmarkStart w:id="67" w:name="_GoBack"/>
      <w:bookmarkEnd w:id="67"/>
      <w:r>
        <w:rPr>
          <w:rFonts w:hint="eastAsia" w:ascii="仿宋_GB2312" w:hAnsi="宋体" w:eastAsia="仿宋_GB2312" w:cs="宋体"/>
          <w:sz w:val="32"/>
          <w:szCs w:val="32"/>
        </w:rPr>
        <w:t>视频直播家乡年、“喜迎二十大 书香进万家”全民阅读活动、喜迎党的二十大·2022年文化和自然遗产日活动、“喜迎二十大，共建文明城”剑阁县2022年庆七一音乐晚会、宣传第十二次党代会、庆国庆摄影展等线下活动23场次；二是开展美术、书法、摄影展，云上庆国庆文艺晚会，云上庆国庆音乐会等线上活动49场次。其中</w:t>
      </w:r>
      <w:r>
        <w:rPr>
          <w:rFonts w:hint="eastAsia" w:ascii="仿宋_GB2312" w:eastAsia="仿宋_GB2312" w:cs="Calibri"/>
          <w:sz w:val="32"/>
          <w:szCs w:val="32"/>
        </w:rPr>
        <w:t>《走蜀道 观非遗 品豆腐宴 热热闹闹过大年》与央视13台直播连线，把剑门关景区、剑阁非遗美食推向全国</w:t>
      </w:r>
      <w:r>
        <w:rPr>
          <w:rFonts w:hint="eastAsia" w:ascii="仿宋_GB2312" w:hAnsi="宋体" w:eastAsia="仿宋_GB2312" w:cs="宋体"/>
          <w:sz w:val="32"/>
          <w:szCs w:val="32"/>
        </w:rPr>
        <w:t>。</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hAnsi="宋体" w:eastAsia="仿宋_GB2312" w:cs="宋体"/>
          <w:sz w:val="32"/>
          <w:szCs w:val="32"/>
        </w:rPr>
      </w:pPr>
      <w:r>
        <w:rPr>
          <w:rFonts w:hint="eastAsia" w:ascii="仿宋_GB2312" w:hAnsi="宋体" w:eastAsia="仿宋_GB2312" w:cs="宋体"/>
          <w:sz w:val="32"/>
          <w:szCs w:val="32"/>
          <w:lang w:val="en-US" w:eastAsia="zh-CN"/>
        </w:rPr>
        <w:t>2、</w:t>
      </w:r>
      <w:r>
        <w:rPr>
          <w:rFonts w:hint="eastAsia" w:ascii="仿宋_GB2312" w:hAnsi="宋体" w:eastAsia="仿宋_GB2312" w:cs="宋体"/>
          <w:sz w:val="32"/>
          <w:szCs w:val="32"/>
        </w:rPr>
        <w:t>文艺精品成绩突出</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共创作文艺精品21件。其中组织创作的快板《疫情防控我来说》、傩傩《剑阁县安全说》、莲箫《森林防火》，并在剑阁融媒体上播出。组织编排手语舞蹈《感谢有你》并拍摄MV视频参加四川省人民银行三八妇女节演出活动获得优秀奖。创作编排女生组合唱《美丽翠云廊》参加广元市国家电网广元分公司组织的文艺比赛获得优秀奖。</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ascii="仿宋_GB2312" w:hAnsi="宋体" w:eastAsia="仿宋_GB2312" w:cs="宋体"/>
          <w:sz w:val="32"/>
          <w:szCs w:val="32"/>
        </w:rPr>
      </w:pPr>
      <w:r>
        <w:rPr>
          <w:rFonts w:hint="eastAsia" w:ascii="仿宋_GB2312" w:hAnsi="宋体" w:eastAsia="仿宋_GB2312" w:cs="宋体"/>
          <w:sz w:val="32"/>
          <w:szCs w:val="32"/>
        </w:rPr>
        <w:t>组织摄影作品参加各类大型比赛、展览。在由四川省文化和旅游厅主办的“礼赞新时代·奋进新征程——四川省首届公共空间视觉艺术宣传展览中”，《蜀道光晖》获得二等奖、《乡村旅游·化林》《关山云海》获得三等奖、《金色田园》获得优秀奖。《晨牧</w:t>
      </w:r>
      <w:r>
        <w:rPr>
          <w:rFonts w:hint="eastAsia" w:ascii="仿宋_GB2312" w:hAnsi="宋体" w:eastAsia="仿宋_GB2312" w:cs="宋体"/>
          <w:sz w:val="32"/>
          <w:szCs w:val="32"/>
          <w:lang w:eastAsia="zh-CN"/>
        </w:rPr>
        <w:t>》《</w:t>
      </w:r>
      <w:r>
        <w:rPr>
          <w:rFonts w:hint="eastAsia" w:ascii="仿宋_GB2312" w:hAnsi="宋体" w:eastAsia="仿宋_GB2312" w:cs="宋体"/>
          <w:sz w:val="32"/>
          <w:szCs w:val="32"/>
        </w:rPr>
        <w:t>百年大计精益求精》等12件作品在全国、全省的各项展览、赛事中均取得了优异成绩。</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s="Calibri"/>
          <w:sz w:val="32"/>
          <w:szCs w:val="32"/>
        </w:rPr>
      </w:pPr>
      <w:r>
        <w:rPr>
          <w:rFonts w:hint="eastAsia" w:ascii="仿宋_GB2312" w:eastAsia="仿宋_GB2312" w:cs="Calibri"/>
          <w:sz w:val="32"/>
          <w:szCs w:val="32"/>
          <w:lang w:val="en-US" w:eastAsia="zh-CN"/>
        </w:rPr>
        <w:t>3、</w:t>
      </w:r>
      <w:r>
        <w:rPr>
          <w:rFonts w:hint="eastAsia" w:ascii="仿宋_GB2312" w:eastAsia="仿宋_GB2312" w:cs="Calibri"/>
          <w:sz w:val="32"/>
          <w:szCs w:val="32"/>
        </w:rPr>
        <w:t>免费开放服务百姓</w:t>
      </w:r>
      <w:r>
        <w:rPr>
          <w:rFonts w:hint="eastAsia" w:ascii="仿宋_GB2312" w:eastAsia="仿宋_GB2312" w:cs="Calibri"/>
          <w:sz w:val="32"/>
          <w:szCs w:val="32"/>
          <w:lang w:eastAsia="zh-CN"/>
        </w:rPr>
        <w:t>。</w:t>
      </w:r>
      <w:r>
        <w:rPr>
          <w:rFonts w:hint="eastAsia" w:ascii="仿宋_GB2312" w:eastAsia="仿宋_GB2312" w:cs="Calibri"/>
          <w:sz w:val="32"/>
          <w:szCs w:val="32"/>
        </w:rPr>
        <w:t>为</w:t>
      </w:r>
      <w:r>
        <w:rPr>
          <w:rFonts w:hint="eastAsia" w:ascii="仿宋" w:hAnsi="仿宋" w:eastAsia="仿宋" w:cs="微软雅黑"/>
          <w:color w:val="333333"/>
          <w:sz w:val="32"/>
          <w:szCs w:val="32"/>
          <w:shd w:val="clear" w:color="auto" w:fill="FFFFFF"/>
        </w:rPr>
        <w:t>进一步落实文化惠民工程，大力推进全民艺术普及，提高全民艺术文化水平，提升公共文化服务效能，今年我馆</w:t>
      </w:r>
      <w:r>
        <w:rPr>
          <w:rFonts w:hint="eastAsia" w:ascii="仿宋_GB2312" w:eastAsia="仿宋_GB2312" w:cs="Calibri"/>
          <w:sz w:val="32"/>
          <w:szCs w:val="32"/>
        </w:rPr>
        <w:t>共开设古典舞、广场舞蹈、书法、美术、合唱、葫芦丝、旗袍秀、洞箫、剪纸等免费培训班9个，培训近3000人次，场馆正常免费开放，全年共接待人员2000余人次。</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rPr>
          <w:rFonts w:hint="eastAsia" w:ascii="仿宋_GB2312" w:eastAsia="仿宋_GB2312" w:cs="Calibri"/>
          <w:sz w:val="32"/>
          <w:szCs w:val="32"/>
        </w:rPr>
      </w:pPr>
      <w:r>
        <w:rPr>
          <w:rFonts w:hint="eastAsia" w:ascii="仿宋_GB2312" w:eastAsia="仿宋_GB2312" w:cs="Calibri"/>
          <w:sz w:val="32"/>
          <w:szCs w:val="32"/>
          <w:lang w:val="en-US" w:eastAsia="zh-CN"/>
        </w:rPr>
        <w:t>4、</w:t>
      </w:r>
      <w:r>
        <w:rPr>
          <w:rFonts w:hint="eastAsia" w:ascii="仿宋_GB2312" w:eastAsia="仿宋_GB2312" w:cs="Calibri"/>
          <w:sz w:val="32"/>
          <w:szCs w:val="32"/>
        </w:rPr>
        <w:t>非遗工作成效显著</w:t>
      </w:r>
      <w:r>
        <w:rPr>
          <w:rFonts w:hint="eastAsia" w:ascii="仿宋_GB2312" w:eastAsia="仿宋_GB2312" w:cs="Calibri"/>
          <w:sz w:val="32"/>
          <w:szCs w:val="32"/>
          <w:lang w:eastAsia="zh-CN"/>
        </w:rPr>
        <w:t>。</w:t>
      </w:r>
      <w:r>
        <w:rPr>
          <w:rFonts w:hint="eastAsia" w:ascii="仿宋_GB2312" w:eastAsia="仿宋_GB2312" w:cs="Calibri"/>
          <w:sz w:val="32"/>
          <w:szCs w:val="32"/>
        </w:rPr>
        <w:t>一是组织剑门手杖、锯山垭大肉会、杨村傩戏3个项目申报省级非物质文化遗产，并成功进入公示；二是组织剑门火腿、剑门豆腐、凉山牛肉等非遗美食分别在成都市和阆中市参加四川省天府旅游美食荟，线上线下销售额达4.2余万元，并与8家单位初步达成合作意向，与主办方四川文旅、直播南充、部分网红等联合开展线上宣传销售，观看人数近千万人次；三是组织开展“2022文化和自然遗产日”，全面展示我县非遗各项成果；四是组织相关部门评定命名凉山龚牛肉，上陈匠酒非遗工坊2个；五是抢救我县口述类非遗项目2个，申报市级非遗传承人2名；六是联合县教育局开展白龙纸偶、高观皮影、鹤龄唢呐、元山川剧、羊岭布艺童帽、雄关花鸟字画等8个非遗项目进校园活动，培训学生近1000人次。</w:t>
      </w:r>
    </w:p>
    <w:p>
      <w:pPr>
        <w:keepNext w:val="0"/>
        <w:keepLines w:val="0"/>
        <w:pageBreakBefore w:val="0"/>
        <w:kinsoku/>
        <w:wordWrap/>
        <w:overflowPunct/>
        <w:topLinePunct w:val="0"/>
        <w:autoSpaceDE/>
        <w:autoSpaceDN/>
        <w:bidi w:val="0"/>
        <w:adjustRightInd/>
        <w:snapToGrid/>
        <w:spacing w:line="576" w:lineRule="exact"/>
        <w:ind w:firstLine="640" w:firstLineChars="200"/>
        <w:textAlignment w:val="auto"/>
      </w:pPr>
      <w:r>
        <w:rPr>
          <w:rFonts w:hint="eastAsia" w:ascii="仿宋_GB2312" w:eastAsia="仿宋_GB2312" w:cs="Calibri"/>
          <w:sz w:val="32"/>
          <w:szCs w:val="32"/>
          <w:lang w:val="en-US" w:eastAsia="zh-CN"/>
        </w:rPr>
        <w:t>5、</w:t>
      </w:r>
      <w:r>
        <w:rPr>
          <w:rFonts w:hint="eastAsia" w:ascii="仿宋_GB2312" w:eastAsia="仿宋_GB2312" w:cs="Calibri"/>
          <w:sz w:val="32"/>
          <w:szCs w:val="32"/>
        </w:rPr>
        <w:t>数字馆建设实现新突破</w:t>
      </w:r>
      <w:r>
        <w:rPr>
          <w:rFonts w:hint="eastAsia" w:ascii="仿宋_GB2312" w:eastAsia="仿宋_GB2312" w:cs="Calibri"/>
          <w:sz w:val="32"/>
          <w:szCs w:val="32"/>
          <w:lang w:eastAsia="zh-CN"/>
        </w:rPr>
        <w:t>。</w:t>
      </w:r>
      <w:r>
        <w:rPr>
          <w:rFonts w:hint="eastAsia" w:ascii="仿宋_GB2312" w:eastAsia="仿宋_GB2312" w:cs="Calibri"/>
          <w:sz w:val="32"/>
          <w:szCs w:val="32"/>
        </w:rPr>
        <w:t>一是在原有的剑阁县文化馆美术馆微信公众号基础上，开通了剑阁县文化馆美术馆微信小程序，同时在国家公共文化云平台上开通了剑阁县文化馆美术馆网站；二是充分结合春节、元旦、国庆等国家重要节日和党的二十大、省第十二次党代会等国家重大事件，通过剑阁县文化馆美术馆微信公众号开展美术、书法、摄影展和发布推送剑阁本土资源文化信息等共122条，平均每条点击量450余次。其中《传承非遗，守护匠心----羊岭传统布艺童帽</w:t>
      </w:r>
      <w:r>
        <w:rPr>
          <w:rFonts w:hint="eastAsia" w:ascii="仿宋_GB2312" w:eastAsia="仿宋_GB2312" w:cs="Calibri"/>
          <w:sz w:val="32"/>
          <w:szCs w:val="32"/>
          <w:lang w:eastAsia="zh-CN"/>
        </w:rPr>
        <w:t>》《</w:t>
      </w:r>
      <w:r>
        <w:rPr>
          <w:rFonts w:hint="eastAsia" w:ascii="仿宋_GB2312" w:eastAsia="仿宋_GB2312" w:cs="Calibri"/>
          <w:sz w:val="32"/>
          <w:szCs w:val="32"/>
        </w:rPr>
        <w:t>国之瑰宝--觉苑寺壁画》被学习强国四川平台采用，《献礼党的二十大农业经济蓬勃发展</w:t>
      </w:r>
      <w:r>
        <w:rPr>
          <w:rFonts w:hint="eastAsia" w:ascii="仿宋_GB2312" w:eastAsia="仿宋_GB2312" w:cs="Calibri"/>
          <w:sz w:val="32"/>
          <w:szCs w:val="32"/>
          <w:lang w:eastAsia="zh-CN"/>
        </w:rPr>
        <w:t>》《</w:t>
      </w:r>
      <w:r>
        <w:rPr>
          <w:rFonts w:hint="eastAsia" w:ascii="仿宋_GB2312" w:eastAsia="仿宋_GB2312" w:cs="Calibri"/>
          <w:sz w:val="32"/>
          <w:szCs w:val="32"/>
        </w:rPr>
        <w:t>精彩纷呈！2022年剑阁县文化和自然遗产日宣传展示活动正式启动！》被今日头条采用，被广元市文广旅、剑阁发布、畅游剑阁转载信息13条、视频8条。</w:t>
      </w:r>
    </w:p>
    <w:p>
      <w:pPr>
        <w:pStyle w:val="2"/>
        <w:rPr>
          <w:rFonts w:ascii="黑体" w:hAnsi="黑体" w:eastAsia="黑体"/>
          <w:b w:val="0"/>
        </w:rPr>
      </w:pPr>
      <w:r>
        <w:rPr>
          <w:rFonts w:hint="eastAsia" w:ascii="黑体" w:hAnsi="黑体" w:eastAsia="黑体"/>
          <w:b w:val="0"/>
        </w:rPr>
        <w:t>二、机构设置</w:t>
      </w:r>
    </w:p>
    <w:bookmarkEnd w:id="14"/>
    <w:bookmarkEnd w:id="15"/>
    <w:p>
      <w:pPr>
        <w:pageBreakBefore w:val="0"/>
        <w:kinsoku/>
        <w:wordWrap/>
        <w:overflowPunct/>
        <w:topLinePunct w:val="0"/>
        <w:bidi w:val="0"/>
        <w:spacing w:line="240" w:lineRule="auto"/>
        <w:ind w:firstLine="640" w:firstLineChars="200"/>
        <w:jc w:val="both"/>
        <w:textAlignment w:val="auto"/>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剑阁县文化馆为县文化旅游和体育局直属的事业单位，无下属事业单位。</w:t>
      </w:r>
    </w:p>
    <w:p>
      <w:pPr>
        <w:widowControl/>
        <w:jc w:val="left"/>
        <w:rPr>
          <w:rFonts w:ascii="仿宋" w:hAnsi="仿宋" w:eastAsia="仿宋"/>
          <w:kern w:val="0"/>
          <w:sz w:val="32"/>
          <w:szCs w:val="32"/>
        </w:rPr>
      </w:pPr>
      <w:r>
        <w:rPr>
          <w:rFonts w:ascii="仿宋" w:hAnsi="仿宋" w:eastAsia="仿宋"/>
          <w:sz w:val="32"/>
          <w:szCs w:val="32"/>
        </w:rPr>
        <w:br w:type="page"/>
      </w:r>
    </w:p>
    <w:p>
      <w:pPr>
        <w:pStyle w:val="3"/>
        <w:ind w:right="440"/>
        <w:jc w:val="center"/>
        <w:rPr>
          <w:rStyle w:val="26"/>
          <w:rFonts w:ascii="黑体" w:hAnsi="黑体" w:eastAsia="黑体"/>
          <w:b w:val="0"/>
          <w:bCs/>
        </w:rPr>
      </w:pPr>
      <w:bookmarkStart w:id="16" w:name="_Toc15396602"/>
      <w:bookmarkStart w:id="17" w:name="_Toc15377204"/>
      <w:r>
        <w:rPr>
          <w:rFonts w:hint="eastAsia" w:ascii="黑体" w:hAnsi="黑体" w:eastAsia="黑体"/>
          <w:b w:val="0"/>
        </w:rPr>
        <w:t>第二部分 2022年度</w:t>
      </w:r>
      <w:r>
        <w:rPr>
          <w:rStyle w:val="26"/>
          <w:rFonts w:hint="eastAsia" w:ascii="黑体" w:hAnsi="黑体" w:eastAsia="黑体"/>
          <w:b w:val="0"/>
          <w:bCs/>
        </w:rPr>
        <w:t>单位决算情况说明</w:t>
      </w:r>
      <w:bookmarkEnd w:id="16"/>
      <w:bookmarkEnd w:id="17"/>
    </w:p>
    <w:p/>
    <w:p>
      <w:pPr>
        <w:pStyle w:val="25"/>
        <w:numPr>
          <w:ilvl w:val="0"/>
          <w:numId w:val="3"/>
        </w:numPr>
        <w:spacing w:line="600" w:lineRule="exact"/>
        <w:ind w:firstLineChars="0"/>
        <w:outlineLvl w:val="1"/>
        <w:rPr>
          <w:rStyle w:val="27"/>
          <w:rFonts w:ascii="黑体" w:hAnsi="黑体" w:eastAsia="黑体"/>
          <w:b w:val="0"/>
        </w:rPr>
      </w:pPr>
      <w:bookmarkStart w:id="18" w:name="_Toc15396603"/>
      <w:bookmarkStart w:id="19" w:name="_Toc15377205"/>
      <w:r>
        <w:rPr>
          <w:rFonts w:hint="eastAsia" w:ascii="黑体" w:hAnsi="黑体" w:eastAsia="黑体"/>
          <w:sz w:val="32"/>
          <w:szCs w:val="32"/>
        </w:rPr>
        <w:t>收</w:t>
      </w:r>
      <w:r>
        <w:rPr>
          <w:rStyle w:val="27"/>
          <w:rFonts w:hint="eastAsia" w:ascii="黑体" w:hAnsi="黑体" w:eastAsia="黑体"/>
          <w:b w:val="0"/>
        </w:rPr>
        <w:t>入支出决算总体情况说明</w:t>
      </w:r>
      <w:bookmarkEnd w:id="18"/>
      <w:bookmarkEnd w:id="19"/>
    </w:p>
    <w:p>
      <w:pPr>
        <w:spacing w:line="600" w:lineRule="exact"/>
        <w:ind w:firstLine="640" w:firstLineChars="200"/>
        <w:rPr>
          <w:rFonts w:ascii="仿宋" w:hAnsi="仿宋" w:eastAsia="仿宋"/>
          <w:sz w:val="32"/>
          <w:szCs w:val="32"/>
        </w:rPr>
      </w:pPr>
      <w:r>
        <w:rPr>
          <w:rFonts w:hint="eastAsia" w:ascii="仿宋" w:hAnsi="仿宋" w:eastAsia="仿宋"/>
          <w:sz w:val="32"/>
          <w:szCs w:val="32"/>
        </w:rPr>
        <w:t>2022年度收、支总计</w:t>
      </w:r>
      <w:r>
        <w:rPr>
          <w:rFonts w:hint="eastAsia" w:ascii="仿宋" w:hAnsi="仿宋" w:eastAsia="仿宋"/>
          <w:sz w:val="32"/>
          <w:szCs w:val="32"/>
          <w:lang w:val="en-US" w:eastAsia="zh-CN"/>
        </w:rPr>
        <w:t>202.62</w:t>
      </w:r>
      <w:r>
        <w:rPr>
          <w:rFonts w:hint="eastAsia" w:ascii="仿宋" w:hAnsi="仿宋" w:eastAsia="仿宋"/>
          <w:sz w:val="32"/>
          <w:szCs w:val="32"/>
        </w:rPr>
        <w:t>万元。与2021年相比，收、支总计各减少</w:t>
      </w:r>
      <w:r>
        <w:rPr>
          <w:rFonts w:hint="eastAsia" w:ascii="仿宋" w:hAnsi="仿宋" w:eastAsia="仿宋"/>
          <w:sz w:val="32"/>
          <w:szCs w:val="32"/>
          <w:lang w:val="en-US" w:eastAsia="zh-CN"/>
        </w:rPr>
        <w:t>60.54</w:t>
      </w:r>
      <w:r>
        <w:rPr>
          <w:rFonts w:hint="eastAsia" w:ascii="仿宋" w:hAnsi="仿宋" w:eastAsia="仿宋"/>
          <w:sz w:val="32"/>
          <w:szCs w:val="32"/>
        </w:rPr>
        <w:t>万元，下降</w:t>
      </w:r>
      <w:r>
        <w:rPr>
          <w:rFonts w:hint="eastAsia" w:ascii="仿宋" w:hAnsi="仿宋" w:eastAsia="仿宋"/>
          <w:sz w:val="32"/>
          <w:szCs w:val="32"/>
          <w:lang w:val="en-US" w:eastAsia="zh-CN"/>
        </w:rPr>
        <w:t>23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项目支出和人员经费减少</w:t>
      </w:r>
      <w:r>
        <w:rPr>
          <w:rFonts w:hint="eastAsia" w:ascii="仿宋" w:hAnsi="仿宋" w:eastAsia="仿宋"/>
          <w:sz w:val="32"/>
          <w:szCs w:val="32"/>
        </w:rPr>
        <w:t>。</w:t>
      </w:r>
    </w:p>
    <w:p>
      <w:r>
        <w:drawing>
          <wp:inline distT="0" distB="0" distL="114300" distR="114300">
            <wp:extent cx="4924425" cy="2743200"/>
            <wp:effectExtent l="4445" t="4445" r="5080" b="14605"/>
            <wp:docPr id="2"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pPr>
        <w:spacing w:line="600" w:lineRule="exact"/>
        <w:ind w:firstLine="640" w:firstLineChars="200"/>
      </w:pPr>
      <w:r>
        <w:rPr>
          <w:rFonts w:hint="eastAsia" w:ascii="仿宋" w:hAnsi="仿宋" w:eastAsia="仿宋"/>
          <w:sz w:val="32"/>
          <w:szCs w:val="32"/>
        </w:rPr>
        <w:t>（图</w:t>
      </w:r>
      <w:r>
        <w:rPr>
          <w:rFonts w:ascii="仿宋" w:hAnsi="仿宋" w:eastAsia="仿宋"/>
          <w:sz w:val="32"/>
          <w:szCs w:val="32"/>
        </w:rPr>
        <w:t>1</w:t>
      </w:r>
      <w:r>
        <w:rPr>
          <w:rFonts w:hint="eastAsia" w:ascii="仿宋" w:hAnsi="仿宋" w:eastAsia="仿宋"/>
          <w:sz w:val="32"/>
          <w:szCs w:val="32"/>
        </w:rPr>
        <w:t>：收、支决算总计变动情况图）（柱状图）</w:t>
      </w:r>
    </w:p>
    <w:p/>
    <w:p>
      <w:pPr>
        <w:pStyle w:val="25"/>
        <w:numPr>
          <w:ilvl w:val="0"/>
          <w:numId w:val="3"/>
        </w:numPr>
        <w:spacing w:line="600" w:lineRule="exact"/>
        <w:ind w:firstLineChars="0"/>
        <w:outlineLvl w:val="1"/>
        <w:rPr>
          <w:rStyle w:val="27"/>
          <w:rFonts w:ascii="黑体" w:hAnsi="黑体" w:eastAsia="黑体"/>
          <w:b w:val="0"/>
        </w:rPr>
      </w:pPr>
      <w:bookmarkStart w:id="20" w:name="_Toc15396604"/>
      <w:bookmarkStart w:id="21" w:name="_Toc15377206"/>
      <w:r>
        <w:rPr>
          <w:rFonts w:hint="eastAsia" w:ascii="黑体" w:hAnsi="黑体" w:eastAsia="黑体"/>
          <w:sz w:val="32"/>
          <w:szCs w:val="32"/>
        </w:rPr>
        <w:t>收</w:t>
      </w:r>
      <w:r>
        <w:rPr>
          <w:rStyle w:val="27"/>
          <w:rFonts w:hint="eastAsia" w:ascii="黑体" w:hAnsi="黑体" w:eastAsia="黑体"/>
          <w:b w:val="0"/>
        </w:rPr>
        <w:t>入决算情况说明</w:t>
      </w:r>
      <w:bookmarkEnd w:id="20"/>
      <w:bookmarkEnd w:id="21"/>
    </w:p>
    <w:p>
      <w:pPr>
        <w:spacing w:line="600" w:lineRule="exact"/>
        <w:ind w:firstLine="640" w:firstLineChars="200"/>
        <w:outlineLvl w:val="1"/>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22年本年收入合计</w:t>
      </w:r>
      <w:r>
        <w:rPr>
          <w:rFonts w:hint="eastAsia" w:ascii="仿宋" w:hAnsi="仿宋" w:eastAsia="仿宋"/>
          <w:sz w:val="32"/>
          <w:szCs w:val="32"/>
          <w:lang w:val="en-US" w:eastAsia="zh-CN"/>
        </w:rPr>
        <w:t>202.62</w:t>
      </w:r>
      <w:r>
        <w:rPr>
          <w:rFonts w:hint="eastAsia" w:ascii="仿宋" w:hAnsi="仿宋" w:eastAsia="仿宋"/>
          <w:sz w:val="32"/>
          <w:szCs w:val="32"/>
        </w:rPr>
        <w:t>万元，其中：一般公共预算财政拨款收入</w:t>
      </w:r>
      <w:r>
        <w:rPr>
          <w:rFonts w:hint="eastAsia" w:ascii="仿宋" w:hAnsi="仿宋" w:eastAsia="仿宋"/>
          <w:sz w:val="32"/>
          <w:szCs w:val="32"/>
          <w:lang w:val="en-US" w:eastAsia="zh-CN"/>
        </w:rPr>
        <w:t>202.62</w:t>
      </w:r>
      <w:r>
        <w:rPr>
          <w:rFonts w:hint="eastAsia" w:ascii="仿宋" w:hAnsi="仿宋" w:eastAsia="仿宋"/>
          <w:sz w:val="32"/>
          <w:szCs w:val="32"/>
        </w:rPr>
        <w:t>万元，占</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；政府性基金预算财政拨款收入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；国有资本经营预算财政拨款收入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；上级补助收入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；事业收入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；附属单位上缴收入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；其他收入</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spacing w:line="600" w:lineRule="exact"/>
        <w:ind w:firstLine="640" w:firstLineChars="200"/>
        <w:outlineLvl w:val="1"/>
        <w:rPr>
          <w:rFonts w:ascii="仿宋" w:hAnsi="仿宋" w:eastAsia="仿宋"/>
          <w:sz w:val="32"/>
          <w:szCs w:val="32"/>
        </w:rPr>
      </w:pPr>
    </w:p>
    <w:p>
      <w:pPr>
        <w:spacing w:line="600" w:lineRule="exact"/>
        <w:ind w:firstLine="640" w:firstLineChars="200"/>
        <w:rPr>
          <w:rFonts w:ascii="仿宋_GB2312" w:eastAsia="仿宋_GB2312"/>
          <w:sz w:val="32"/>
          <w:szCs w:val="32"/>
        </w:rPr>
      </w:pPr>
    </w:p>
    <w:p>
      <w:pPr>
        <w:pStyle w:val="2"/>
      </w:pPr>
      <w:r>
        <w:drawing>
          <wp:inline distT="0" distB="0" distL="114300" distR="114300">
            <wp:extent cx="4572000" cy="2743200"/>
            <wp:effectExtent l="4445" t="4445" r="14605" b="14605"/>
            <wp:docPr id="3"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（图2：收入决算结构图）（饼状图）</w:t>
      </w:r>
    </w:p>
    <w:p/>
    <w:p>
      <w:pPr>
        <w:pStyle w:val="25"/>
        <w:numPr>
          <w:ilvl w:val="0"/>
          <w:numId w:val="3"/>
        </w:numPr>
        <w:spacing w:line="600" w:lineRule="exact"/>
        <w:ind w:firstLineChars="0"/>
        <w:outlineLvl w:val="1"/>
        <w:rPr>
          <w:rStyle w:val="27"/>
          <w:rFonts w:ascii="黑体" w:hAnsi="黑体" w:eastAsia="黑体"/>
          <w:b w:val="0"/>
        </w:rPr>
      </w:pPr>
      <w:bookmarkStart w:id="22" w:name="_Toc15396605"/>
      <w:bookmarkStart w:id="23" w:name="_Toc15377207"/>
      <w:r>
        <w:rPr>
          <w:rFonts w:hint="eastAsia" w:ascii="黑体" w:hAnsi="黑体" w:eastAsia="黑体"/>
          <w:sz w:val="32"/>
          <w:szCs w:val="32"/>
        </w:rPr>
        <w:t>支</w:t>
      </w:r>
      <w:r>
        <w:rPr>
          <w:rStyle w:val="27"/>
          <w:rFonts w:hint="eastAsia" w:ascii="黑体" w:hAnsi="黑体" w:eastAsia="黑体"/>
          <w:b w:val="0"/>
        </w:rPr>
        <w:t>出决算情况说明</w:t>
      </w:r>
      <w:bookmarkEnd w:id="22"/>
      <w:bookmarkEnd w:id="23"/>
    </w:p>
    <w:p>
      <w:pPr>
        <w:spacing w:line="600" w:lineRule="exact"/>
        <w:ind w:firstLine="640" w:firstLineChars="200"/>
        <w:outlineLvl w:val="1"/>
        <w:rPr>
          <w:rFonts w:ascii="仿宋_GB2312" w:eastAsia="仿宋_GB2312"/>
          <w:sz w:val="32"/>
          <w:szCs w:val="32"/>
        </w:rPr>
      </w:pPr>
      <w:r>
        <w:rPr>
          <w:rFonts w:ascii="仿宋" w:hAnsi="仿宋" w:eastAsia="仿宋"/>
          <w:sz w:val="32"/>
          <w:szCs w:val="32"/>
        </w:rPr>
        <w:t>20</w:t>
      </w:r>
      <w:r>
        <w:rPr>
          <w:rFonts w:hint="eastAsia" w:ascii="仿宋" w:hAnsi="仿宋" w:eastAsia="仿宋"/>
          <w:sz w:val="32"/>
          <w:szCs w:val="32"/>
        </w:rPr>
        <w:t>22年本年支出合计</w:t>
      </w:r>
      <w:r>
        <w:rPr>
          <w:rFonts w:hint="eastAsia" w:ascii="仿宋" w:hAnsi="仿宋" w:eastAsia="仿宋"/>
          <w:sz w:val="32"/>
          <w:szCs w:val="32"/>
          <w:lang w:val="en-US" w:eastAsia="zh-CN"/>
        </w:rPr>
        <w:t>202.62</w:t>
      </w:r>
      <w:r>
        <w:rPr>
          <w:rFonts w:hint="eastAsia" w:ascii="仿宋" w:hAnsi="仿宋" w:eastAsia="仿宋"/>
          <w:sz w:val="32"/>
          <w:szCs w:val="32"/>
        </w:rPr>
        <w:t>万元，其中：基本支出</w:t>
      </w:r>
      <w:r>
        <w:rPr>
          <w:rFonts w:hint="eastAsia" w:ascii="仿宋" w:hAnsi="仿宋" w:eastAsia="仿宋"/>
          <w:sz w:val="32"/>
          <w:szCs w:val="32"/>
          <w:lang w:val="en-US" w:eastAsia="zh-CN"/>
        </w:rPr>
        <w:t>159.92</w:t>
      </w:r>
      <w:r>
        <w:rPr>
          <w:rFonts w:hint="eastAsia" w:ascii="仿宋" w:hAnsi="仿宋" w:eastAsia="仿宋"/>
          <w:sz w:val="32"/>
          <w:szCs w:val="32"/>
        </w:rPr>
        <w:t>万元，占</w:t>
      </w:r>
      <w:r>
        <w:rPr>
          <w:rFonts w:hint="eastAsia" w:ascii="仿宋" w:hAnsi="仿宋" w:eastAsia="仿宋"/>
          <w:sz w:val="32"/>
          <w:szCs w:val="32"/>
          <w:lang w:val="en-US" w:eastAsia="zh-CN"/>
        </w:rPr>
        <w:t>78.93</w:t>
      </w:r>
      <w:r>
        <w:rPr>
          <w:rFonts w:ascii="仿宋" w:hAnsi="仿宋" w:eastAsia="仿宋"/>
          <w:sz w:val="32"/>
          <w:szCs w:val="32"/>
        </w:rPr>
        <w:t>%</w:t>
      </w:r>
      <w:r>
        <w:rPr>
          <w:rFonts w:hint="eastAsia" w:ascii="仿宋" w:hAnsi="仿宋" w:eastAsia="仿宋"/>
          <w:sz w:val="32"/>
          <w:szCs w:val="32"/>
        </w:rPr>
        <w:t>；项目支出</w:t>
      </w:r>
      <w:r>
        <w:rPr>
          <w:rFonts w:hint="eastAsia" w:ascii="仿宋" w:hAnsi="仿宋" w:eastAsia="仿宋"/>
          <w:sz w:val="32"/>
          <w:szCs w:val="32"/>
          <w:lang w:val="en-US" w:eastAsia="zh-CN"/>
        </w:rPr>
        <w:t>42.7</w:t>
      </w:r>
      <w:r>
        <w:rPr>
          <w:rFonts w:hint="eastAsia" w:ascii="仿宋" w:hAnsi="仿宋" w:eastAsia="仿宋"/>
          <w:sz w:val="32"/>
          <w:szCs w:val="32"/>
        </w:rPr>
        <w:t>万元，占</w:t>
      </w:r>
      <w:r>
        <w:rPr>
          <w:rFonts w:hint="eastAsia" w:ascii="仿宋" w:hAnsi="仿宋" w:eastAsia="仿宋"/>
          <w:sz w:val="32"/>
          <w:szCs w:val="32"/>
          <w:lang w:val="en-US" w:eastAsia="zh-CN"/>
        </w:rPr>
        <w:t>21.07</w:t>
      </w:r>
      <w:r>
        <w:rPr>
          <w:rFonts w:ascii="仿宋" w:hAnsi="仿宋" w:eastAsia="仿宋"/>
          <w:sz w:val="32"/>
          <w:szCs w:val="32"/>
        </w:rPr>
        <w:t>%</w:t>
      </w:r>
      <w:r>
        <w:rPr>
          <w:rFonts w:hint="eastAsia" w:ascii="仿宋" w:hAnsi="仿宋" w:eastAsia="仿宋"/>
          <w:sz w:val="32"/>
          <w:szCs w:val="32"/>
        </w:rPr>
        <w:t>；上缴上级支出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；经营支出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；对附属单位补助支出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p>
    <w:p>
      <w:pPr>
        <w:pStyle w:val="2"/>
      </w:pPr>
      <w:r>
        <w:drawing>
          <wp:inline distT="0" distB="0" distL="114300" distR="114300">
            <wp:extent cx="4572000" cy="2145030"/>
            <wp:effectExtent l="4445" t="4445" r="14605" b="22225"/>
            <wp:docPr id="5"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（图3：支出决算结构图）（饼状图）</w:t>
      </w:r>
    </w:p>
    <w:p/>
    <w:p>
      <w:pPr>
        <w:spacing w:line="600" w:lineRule="exact"/>
        <w:ind w:firstLine="640" w:firstLineChars="200"/>
        <w:outlineLvl w:val="1"/>
        <w:rPr>
          <w:rStyle w:val="27"/>
          <w:rFonts w:ascii="黑体" w:hAnsi="黑体" w:eastAsia="黑体"/>
          <w:b w:val="0"/>
        </w:rPr>
      </w:pPr>
      <w:bookmarkStart w:id="24" w:name="_Toc15377208"/>
      <w:bookmarkStart w:id="25" w:name="_Toc15396606"/>
      <w:r>
        <w:rPr>
          <w:rFonts w:hint="eastAsia" w:ascii="黑体" w:hAnsi="黑体" w:eastAsia="黑体"/>
          <w:sz w:val="32"/>
          <w:szCs w:val="32"/>
        </w:rPr>
        <w:t>四、财</w:t>
      </w:r>
      <w:r>
        <w:rPr>
          <w:rStyle w:val="27"/>
          <w:rFonts w:hint="eastAsia" w:ascii="黑体" w:hAnsi="黑体" w:eastAsia="黑体"/>
          <w:b w:val="0"/>
        </w:rPr>
        <w:t>政拨款收入支出决算总体情况说明</w:t>
      </w:r>
      <w:bookmarkEnd w:id="24"/>
      <w:bookmarkEnd w:id="25"/>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22年财政拨款收、支总计</w:t>
      </w:r>
      <w:r>
        <w:rPr>
          <w:rFonts w:hint="eastAsia" w:ascii="仿宋" w:hAnsi="仿宋" w:eastAsia="仿宋"/>
          <w:sz w:val="32"/>
          <w:szCs w:val="32"/>
          <w:lang w:val="en-US" w:eastAsia="zh-CN"/>
        </w:rPr>
        <w:t>202.62</w:t>
      </w:r>
      <w:r>
        <w:rPr>
          <w:rFonts w:hint="eastAsia" w:ascii="仿宋" w:hAnsi="仿宋" w:eastAsia="仿宋"/>
          <w:sz w:val="32"/>
          <w:szCs w:val="32"/>
        </w:rPr>
        <w:t>万元。与</w:t>
      </w:r>
      <w:r>
        <w:rPr>
          <w:rFonts w:ascii="仿宋" w:hAnsi="仿宋" w:eastAsia="仿宋"/>
          <w:sz w:val="32"/>
          <w:szCs w:val="32"/>
        </w:rPr>
        <w:t>20</w:t>
      </w:r>
      <w:r>
        <w:rPr>
          <w:rFonts w:hint="eastAsia" w:ascii="仿宋" w:hAnsi="仿宋" w:eastAsia="仿宋"/>
          <w:sz w:val="32"/>
          <w:szCs w:val="32"/>
        </w:rPr>
        <w:t>21年相比，财政拨款收、支总计各减少</w:t>
      </w:r>
      <w:r>
        <w:rPr>
          <w:rFonts w:hint="eastAsia" w:ascii="仿宋" w:hAnsi="仿宋" w:eastAsia="仿宋"/>
          <w:sz w:val="32"/>
          <w:szCs w:val="32"/>
          <w:lang w:val="en-US" w:eastAsia="zh-CN"/>
        </w:rPr>
        <w:t>60.54</w:t>
      </w:r>
      <w:r>
        <w:rPr>
          <w:rFonts w:hint="eastAsia" w:ascii="仿宋" w:hAnsi="仿宋" w:eastAsia="仿宋"/>
          <w:sz w:val="32"/>
          <w:szCs w:val="32"/>
        </w:rPr>
        <w:t>万元，下降</w:t>
      </w:r>
      <w:r>
        <w:rPr>
          <w:rFonts w:hint="eastAsia" w:ascii="仿宋" w:hAnsi="仿宋" w:eastAsia="仿宋"/>
          <w:sz w:val="32"/>
          <w:szCs w:val="32"/>
          <w:lang w:val="en-US" w:eastAsia="zh-CN"/>
        </w:rPr>
        <w:t>23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项目支出和人员经费减少</w:t>
      </w:r>
      <w:r>
        <w:rPr>
          <w:rFonts w:hint="eastAsia" w:ascii="仿宋" w:hAnsi="仿宋" w:eastAsia="仿宋"/>
          <w:sz w:val="32"/>
          <w:szCs w:val="32"/>
        </w:rPr>
        <w:t>。</w:t>
      </w:r>
    </w:p>
    <w:p>
      <w:pPr>
        <w:pStyle w:val="2"/>
      </w:pPr>
      <w:r>
        <w:drawing>
          <wp:inline distT="0" distB="0" distL="114300" distR="114300">
            <wp:extent cx="4828540" cy="2828925"/>
            <wp:effectExtent l="4445" t="4445" r="5715" b="5080"/>
            <wp:docPr id="7"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pPr>
        <w:spacing w:line="600" w:lineRule="exact"/>
        <w:ind w:firstLine="640" w:firstLineChars="200"/>
        <w:rPr>
          <w:rFonts w:ascii="仿宋" w:hAnsi="仿宋" w:eastAsia="仿宋"/>
          <w:b/>
          <w:sz w:val="32"/>
          <w:szCs w:val="32"/>
        </w:rPr>
      </w:pPr>
      <w:r>
        <w:rPr>
          <w:rFonts w:hint="eastAsia" w:ascii="仿宋" w:hAnsi="仿宋" w:eastAsia="仿宋"/>
          <w:sz w:val="32"/>
          <w:szCs w:val="32"/>
        </w:rPr>
        <w:t>（图4：财政拨款收、支决算总计变动情况）（柱状图）</w:t>
      </w:r>
    </w:p>
    <w:p/>
    <w:p>
      <w:pPr>
        <w:spacing w:line="600" w:lineRule="exact"/>
        <w:ind w:firstLine="640" w:firstLineChars="200"/>
        <w:outlineLvl w:val="1"/>
        <w:rPr>
          <w:rStyle w:val="27"/>
          <w:rFonts w:ascii="黑体" w:hAnsi="黑体" w:eastAsia="黑体"/>
          <w:b w:val="0"/>
        </w:rPr>
      </w:pPr>
      <w:bookmarkStart w:id="26" w:name="_Toc15396607"/>
      <w:bookmarkStart w:id="27" w:name="_Toc15377209"/>
      <w:r>
        <w:rPr>
          <w:rFonts w:hint="eastAsia" w:ascii="黑体" w:hAnsi="黑体" w:eastAsia="黑体"/>
          <w:sz w:val="32"/>
          <w:szCs w:val="32"/>
        </w:rPr>
        <w:t>五、</w:t>
      </w:r>
      <w:r>
        <w:rPr>
          <w:rFonts w:hint="eastAsia" w:ascii="黑体" w:hAnsi="黑体" w:eastAsia="黑体"/>
          <w:b/>
          <w:sz w:val="32"/>
          <w:szCs w:val="32"/>
        </w:rPr>
        <w:t>一</w:t>
      </w:r>
      <w:r>
        <w:rPr>
          <w:rStyle w:val="27"/>
          <w:rFonts w:hint="eastAsia" w:ascii="黑体" w:hAnsi="黑体" w:eastAsia="黑体"/>
          <w:b w:val="0"/>
        </w:rPr>
        <w:t>般公共预算财政拨款支出决算情况说明</w:t>
      </w:r>
      <w:bookmarkEnd w:id="26"/>
      <w:bookmarkEnd w:id="27"/>
    </w:p>
    <w:p>
      <w:pPr>
        <w:spacing w:line="600" w:lineRule="exact"/>
        <w:ind w:firstLine="643" w:firstLineChars="200"/>
        <w:outlineLvl w:val="2"/>
        <w:rPr>
          <w:rFonts w:ascii="仿宋" w:hAnsi="仿宋" w:eastAsia="仿宋"/>
          <w:b/>
          <w:sz w:val="32"/>
          <w:szCs w:val="32"/>
        </w:rPr>
      </w:pPr>
      <w:bookmarkStart w:id="28" w:name="_Toc15377210"/>
      <w:r>
        <w:rPr>
          <w:rFonts w:hint="eastAsia" w:ascii="仿宋" w:hAnsi="仿宋" w:eastAsia="仿宋"/>
          <w:b/>
          <w:sz w:val="32"/>
          <w:szCs w:val="32"/>
        </w:rPr>
        <w:t>（一）一般公共预算财政拨款支出决算总体情况</w:t>
      </w:r>
      <w:bookmarkEnd w:id="28"/>
    </w:p>
    <w:p>
      <w:pPr>
        <w:spacing w:line="600" w:lineRule="exact"/>
        <w:ind w:firstLine="640" w:firstLineChars="20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202.62</w:t>
      </w:r>
      <w:r>
        <w:rPr>
          <w:rFonts w:hint="eastAsia" w:ascii="仿宋" w:hAnsi="仿宋" w:eastAsia="仿宋"/>
          <w:sz w:val="32"/>
          <w:szCs w:val="32"/>
        </w:rPr>
        <w:t>万元，占本年支出合计的</w:t>
      </w:r>
      <w:r>
        <w:rPr>
          <w:rFonts w:hint="eastAsia" w:ascii="仿宋" w:hAnsi="仿宋" w:eastAsia="仿宋"/>
          <w:sz w:val="32"/>
          <w:szCs w:val="32"/>
          <w:lang w:val="en-US" w:eastAsia="zh-CN"/>
        </w:rPr>
        <w:t>100</w:t>
      </w:r>
      <w:r>
        <w:rPr>
          <w:rFonts w:ascii="仿宋" w:hAnsi="仿宋" w:eastAsia="仿宋"/>
          <w:sz w:val="32"/>
          <w:szCs w:val="32"/>
        </w:rPr>
        <w:t>%</w:t>
      </w:r>
      <w:r>
        <w:rPr>
          <w:rFonts w:hint="eastAsia" w:ascii="仿宋" w:hAnsi="仿宋" w:eastAsia="仿宋"/>
          <w:sz w:val="32"/>
          <w:szCs w:val="32"/>
        </w:rPr>
        <w:t>。与</w:t>
      </w:r>
      <w:r>
        <w:rPr>
          <w:rFonts w:ascii="仿宋" w:hAnsi="仿宋" w:eastAsia="仿宋"/>
          <w:sz w:val="32"/>
          <w:szCs w:val="32"/>
        </w:rPr>
        <w:t>20</w:t>
      </w:r>
      <w:r>
        <w:rPr>
          <w:rFonts w:hint="eastAsia" w:ascii="仿宋" w:hAnsi="仿宋" w:eastAsia="仿宋"/>
          <w:sz w:val="32"/>
          <w:szCs w:val="32"/>
        </w:rPr>
        <w:t>21年相比，一般公共预算财政拨款支出减少</w:t>
      </w:r>
      <w:r>
        <w:rPr>
          <w:rFonts w:hint="eastAsia" w:ascii="仿宋" w:hAnsi="仿宋" w:eastAsia="仿宋"/>
          <w:sz w:val="32"/>
          <w:szCs w:val="32"/>
          <w:lang w:val="en-US" w:eastAsia="zh-CN"/>
        </w:rPr>
        <w:t>60.54</w:t>
      </w:r>
      <w:r>
        <w:rPr>
          <w:rFonts w:hint="eastAsia" w:ascii="仿宋" w:hAnsi="仿宋" w:eastAsia="仿宋"/>
          <w:sz w:val="32"/>
          <w:szCs w:val="32"/>
        </w:rPr>
        <w:t>万元，下降</w:t>
      </w:r>
      <w:r>
        <w:rPr>
          <w:rFonts w:hint="eastAsia" w:ascii="仿宋" w:hAnsi="仿宋" w:eastAsia="仿宋"/>
          <w:sz w:val="32"/>
          <w:szCs w:val="32"/>
          <w:lang w:val="en-US" w:eastAsia="zh-CN"/>
        </w:rPr>
        <w:t>23</w:t>
      </w:r>
      <w:r>
        <w:rPr>
          <w:rFonts w:ascii="仿宋" w:hAnsi="仿宋" w:eastAsia="仿宋"/>
          <w:sz w:val="32"/>
          <w:szCs w:val="32"/>
        </w:rPr>
        <w:t>%</w:t>
      </w:r>
      <w:r>
        <w:rPr>
          <w:rFonts w:hint="eastAsia" w:ascii="仿宋" w:hAnsi="仿宋" w:eastAsia="仿宋"/>
          <w:sz w:val="32"/>
          <w:szCs w:val="32"/>
        </w:rPr>
        <w:t>。主要变动原因是</w:t>
      </w:r>
      <w:r>
        <w:rPr>
          <w:rFonts w:hint="eastAsia" w:ascii="仿宋" w:hAnsi="仿宋" w:eastAsia="仿宋"/>
          <w:sz w:val="32"/>
          <w:szCs w:val="32"/>
          <w:lang w:eastAsia="zh-CN"/>
        </w:rPr>
        <w:t>项目支出和人员经费减少</w:t>
      </w:r>
      <w:r>
        <w:rPr>
          <w:rFonts w:hint="eastAsia" w:ascii="仿宋" w:hAnsi="仿宋" w:eastAsia="仿宋"/>
          <w:sz w:val="32"/>
          <w:szCs w:val="32"/>
        </w:rPr>
        <w:t>。</w:t>
      </w:r>
    </w:p>
    <w:p>
      <w:pPr>
        <w:pStyle w:val="2"/>
      </w:pPr>
      <w:r>
        <w:drawing>
          <wp:inline distT="0" distB="0" distL="114300" distR="114300">
            <wp:extent cx="4924425" cy="2743200"/>
            <wp:effectExtent l="4445" t="4445" r="5080" b="14605"/>
            <wp:docPr id="8"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（图5：一般公共预算财政拨款支出决算变动情况）（柱状图）</w:t>
      </w:r>
    </w:p>
    <w:p/>
    <w:p>
      <w:pPr>
        <w:spacing w:line="600" w:lineRule="exact"/>
        <w:ind w:firstLine="643" w:firstLineChars="200"/>
        <w:outlineLvl w:val="2"/>
        <w:rPr>
          <w:rFonts w:ascii="仿宋" w:hAnsi="仿宋" w:eastAsia="仿宋"/>
          <w:b/>
          <w:sz w:val="32"/>
          <w:szCs w:val="32"/>
        </w:rPr>
      </w:pPr>
      <w:bookmarkStart w:id="29" w:name="_Toc15377211"/>
      <w:r>
        <w:rPr>
          <w:rFonts w:hint="eastAsia" w:ascii="仿宋" w:hAnsi="仿宋" w:eastAsia="仿宋"/>
          <w:b/>
          <w:sz w:val="32"/>
          <w:szCs w:val="32"/>
        </w:rPr>
        <w:t>（二）一般公共预算财政拨款支出决算结构情况</w:t>
      </w:r>
      <w:bookmarkEnd w:id="2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22年一般公共预算财政拨款支出</w:t>
      </w:r>
      <w:r>
        <w:rPr>
          <w:rFonts w:hint="eastAsia" w:ascii="仿宋" w:hAnsi="仿宋" w:eastAsia="仿宋"/>
          <w:sz w:val="32"/>
          <w:szCs w:val="32"/>
          <w:lang w:val="en-US" w:eastAsia="zh-CN"/>
        </w:rPr>
        <w:t>202.62</w:t>
      </w:r>
      <w:r>
        <w:rPr>
          <w:rFonts w:hint="eastAsia" w:ascii="仿宋" w:hAnsi="仿宋" w:eastAsia="仿宋"/>
          <w:sz w:val="32"/>
          <w:szCs w:val="32"/>
        </w:rPr>
        <w:t>万元，主要用于以下方面</w:t>
      </w:r>
      <w:r>
        <w:rPr>
          <w:rFonts w:hint="eastAsia" w:ascii="仿宋" w:hAnsi="仿宋" w:eastAsia="仿宋"/>
          <w:sz w:val="32"/>
          <w:szCs w:val="32"/>
          <w:lang w:eastAsia="zh-CN"/>
        </w:rPr>
        <w:t>：</w:t>
      </w:r>
      <w:r>
        <w:rPr>
          <w:rFonts w:hint="eastAsia" w:ascii="仿宋" w:hAnsi="仿宋" w:eastAsia="仿宋"/>
          <w:b/>
          <w:sz w:val="32"/>
          <w:szCs w:val="32"/>
        </w:rPr>
        <w:t>一般公共服务</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教育支出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sz w:val="32"/>
          <w:szCs w:val="32"/>
        </w:rPr>
        <w:t>科学技术</w:t>
      </w:r>
      <w:r>
        <w:rPr>
          <w:rFonts w:hint="eastAsia" w:ascii="仿宋" w:hAnsi="仿宋" w:eastAsia="仿宋"/>
          <w:b/>
          <w:bCs/>
          <w:sz w:val="32"/>
          <w:szCs w:val="32"/>
        </w:rPr>
        <w:t>支出</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文化旅游体育与传媒支出</w:t>
      </w:r>
      <w:r>
        <w:rPr>
          <w:rFonts w:hint="eastAsia" w:ascii="仿宋" w:hAnsi="仿宋" w:eastAsia="仿宋"/>
          <w:b/>
          <w:bCs/>
          <w:sz w:val="32"/>
          <w:szCs w:val="32"/>
          <w:lang w:val="en-US" w:eastAsia="zh-CN"/>
        </w:rPr>
        <w:t>171.83</w:t>
      </w:r>
      <w:r>
        <w:rPr>
          <w:rFonts w:hint="eastAsia" w:ascii="仿宋" w:hAnsi="仿宋" w:eastAsia="仿宋"/>
          <w:b/>
          <w:bCs/>
          <w:sz w:val="32"/>
          <w:szCs w:val="32"/>
        </w:rPr>
        <w:t>万元，</w:t>
      </w:r>
      <w:r>
        <w:rPr>
          <w:rFonts w:hint="eastAsia" w:ascii="仿宋" w:hAnsi="仿宋" w:eastAsia="仿宋"/>
          <w:sz w:val="32"/>
          <w:szCs w:val="32"/>
          <w:lang w:val="en-US" w:eastAsia="zh-CN"/>
        </w:rPr>
        <w:t>占84.81%</w:t>
      </w:r>
      <w:r>
        <w:rPr>
          <w:rFonts w:hint="eastAsia" w:ascii="仿宋" w:hAnsi="仿宋" w:eastAsia="仿宋"/>
          <w:sz w:val="32"/>
          <w:szCs w:val="32"/>
        </w:rPr>
        <w:t>；</w:t>
      </w:r>
      <w:r>
        <w:rPr>
          <w:rFonts w:hint="eastAsia" w:ascii="仿宋" w:hAnsi="仿宋" w:eastAsia="仿宋"/>
          <w:b/>
          <w:sz w:val="32"/>
          <w:szCs w:val="32"/>
        </w:rPr>
        <w:t>社会保障和就业</w:t>
      </w:r>
      <w:r>
        <w:rPr>
          <w:rFonts w:hint="eastAsia" w:ascii="仿宋" w:hAnsi="仿宋" w:eastAsia="仿宋"/>
          <w:b/>
          <w:bCs/>
          <w:sz w:val="32"/>
          <w:szCs w:val="32"/>
        </w:rPr>
        <w:t>支出</w:t>
      </w:r>
      <w:r>
        <w:rPr>
          <w:rFonts w:hint="eastAsia" w:ascii="仿宋" w:hAnsi="仿宋" w:eastAsia="仿宋"/>
          <w:sz w:val="32"/>
          <w:szCs w:val="32"/>
          <w:lang w:val="en-US" w:eastAsia="zh-CN"/>
        </w:rPr>
        <w:t>13.68</w:t>
      </w:r>
      <w:r>
        <w:rPr>
          <w:rFonts w:hint="eastAsia" w:ascii="仿宋" w:hAnsi="仿宋" w:eastAsia="仿宋"/>
          <w:sz w:val="32"/>
          <w:szCs w:val="32"/>
        </w:rPr>
        <w:t>万元，占</w:t>
      </w:r>
      <w:r>
        <w:rPr>
          <w:rFonts w:hint="eastAsia" w:ascii="仿宋" w:hAnsi="仿宋" w:eastAsia="仿宋"/>
          <w:sz w:val="32"/>
          <w:szCs w:val="32"/>
          <w:lang w:val="en-US" w:eastAsia="zh-CN"/>
        </w:rPr>
        <w:t>6.75</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卫生健康支出</w:t>
      </w:r>
      <w:r>
        <w:rPr>
          <w:rFonts w:hint="eastAsia" w:ascii="仿宋" w:hAnsi="仿宋" w:eastAsia="仿宋"/>
          <w:sz w:val="32"/>
          <w:szCs w:val="32"/>
          <w:lang w:val="en-US" w:eastAsia="zh-CN"/>
        </w:rPr>
        <w:t>6.84</w:t>
      </w:r>
      <w:r>
        <w:rPr>
          <w:rFonts w:hint="eastAsia" w:ascii="仿宋" w:hAnsi="仿宋" w:eastAsia="仿宋"/>
          <w:sz w:val="32"/>
          <w:szCs w:val="32"/>
        </w:rPr>
        <w:t>万元，占</w:t>
      </w:r>
      <w:r>
        <w:rPr>
          <w:rFonts w:hint="eastAsia" w:ascii="仿宋" w:hAnsi="仿宋" w:eastAsia="仿宋"/>
          <w:sz w:val="32"/>
          <w:szCs w:val="32"/>
          <w:lang w:val="en-US" w:eastAsia="zh-CN"/>
        </w:rPr>
        <w:t>3.38</w:t>
      </w:r>
      <w:r>
        <w:rPr>
          <w:rFonts w:ascii="仿宋" w:hAnsi="仿宋" w:eastAsia="仿宋"/>
          <w:sz w:val="32"/>
          <w:szCs w:val="32"/>
        </w:rPr>
        <w:t>%</w:t>
      </w:r>
      <w:r>
        <w:rPr>
          <w:rFonts w:hint="eastAsia" w:ascii="仿宋" w:hAnsi="仿宋" w:eastAsia="仿宋"/>
          <w:sz w:val="32"/>
          <w:szCs w:val="32"/>
        </w:rPr>
        <w:t>；</w:t>
      </w:r>
      <w:r>
        <w:rPr>
          <w:rFonts w:hint="eastAsia" w:ascii="仿宋" w:hAnsi="仿宋" w:eastAsia="仿宋"/>
          <w:b/>
          <w:bCs/>
          <w:sz w:val="32"/>
          <w:szCs w:val="32"/>
        </w:rPr>
        <w:t>住房保障支出</w:t>
      </w:r>
      <w:r>
        <w:rPr>
          <w:rFonts w:hint="eastAsia" w:ascii="仿宋" w:hAnsi="仿宋" w:eastAsia="仿宋"/>
          <w:sz w:val="32"/>
          <w:szCs w:val="32"/>
          <w:lang w:val="en-US" w:eastAsia="zh-CN"/>
        </w:rPr>
        <w:t>10.26</w:t>
      </w:r>
      <w:r>
        <w:rPr>
          <w:rFonts w:hint="eastAsia" w:ascii="仿宋" w:hAnsi="仿宋" w:eastAsia="仿宋"/>
          <w:sz w:val="32"/>
          <w:szCs w:val="32"/>
        </w:rPr>
        <w:t>万元，占</w:t>
      </w:r>
      <w:r>
        <w:rPr>
          <w:rFonts w:hint="eastAsia" w:ascii="仿宋" w:hAnsi="仿宋" w:eastAsia="仿宋"/>
          <w:sz w:val="32"/>
          <w:szCs w:val="32"/>
          <w:lang w:val="en-US" w:eastAsia="zh-CN"/>
        </w:rPr>
        <w:t>5.06</w:t>
      </w:r>
      <w:r>
        <w:rPr>
          <w:rFonts w:ascii="仿宋" w:hAnsi="仿宋" w:eastAsia="仿宋"/>
          <w:sz w:val="32"/>
          <w:szCs w:val="32"/>
        </w:rPr>
        <w:t>%</w:t>
      </w:r>
      <w:r>
        <w:rPr>
          <w:rFonts w:hint="eastAsia" w:ascii="仿宋" w:hAnsi="仿宋" w:eastAsia="仿宋"/>
          <w:sz w:val="32"/>
          <w:szCs w:val="32"/>
        </w:rPr>
        <w:t>。</w:t>
      </w:r>
    </w:p>
    <w:p>
      <w:pPr>
        <w:pStyle w:val="2"/>
      </w:pPr>
      <w:r>
        <w:drawing>
          <wp:inline distT="0" distB="0" distL="114300" distR="114300">
            <wp:extent cx="5352415" cy="2543810"/>
            <wp:effectExtent l="4445" t="4445" r="15240" b="23495"/>
            <wp:docPr id="10"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pPr>
        <w:spacing w:line="600" w:lineRule="exact"/>
        <w:ind w:firstLine="640" w:firstLineChars="200"/>
        <w:rPr>
          <w:rFonts w:ascii="仿宋" w:hAnsi="仿宋" w:eastAsia="仿宋"/>
          <w:sz w:val="32"/>
          <w:szCs w:val="32"/>
        </w:rPr>
      </w:pPr>
      <w:r>
        <w:rPr>
          <w:rFonts w:hint="eastAsia" w:ascii="仿宋" w:hAnsi="仿宋" w:eastAsia="仿宋"/>
          <w:sz w:val="32"/>
          <w:szCs w:val="32"/>
        </w:rPr>
        <w:t>（图6：一般公共预算财政拨款支出决算结构）（饼状图）</w:t>
      </w:r>
    </w:p>
    <w:p/>
    <w:p>
      <w:pPr>
        <w:spacing w:line="600" w:lineRule="exact"/>
        <w:ind w:firstLine="643" w:firstLineChars="200"/>
        <w:outlineLvl w:val="2"/>
        <w:rPr>
          <w:rFonts w:ascii="仿宋" w:hAnsi="仿宋" w:eastAsia="仿宋"/>
          <w:b/>
          <w:sz w:val="32"/>
          <w:szCs w:val="32"/>
        </w:rPr>
      </w:pPr>
      <w:bookmarkStart w:id="30" w:name="_Toc15377212"/>
      <w:r>
        <w:rPr>
          <w:rFonts w:hint="eastAsia" w:ascii="仿宋" w:hAnsi="仿宋" w:eastAsia="仿宋"/>
          <w:b/>
          <w:sz w:val="32"/>
          <w:szCs w:val="32"/>
        </w:rPr>
        <w:t>（三）一般公共预算财政拨款支出决算具体情况</w:t>
      </w:r>
      <w:bookmarkEnd w:id="30"/>
    </w:p>
    <w:p>
      <w:pPr>
        <w:spacing w:line="600" w:lineRule="exact"/>
        <w:ind w:firstLine="643" w:firstLineChars="200"/>
        <w:outlineLvl w:val="2"/>
        <w:rPr>
          <w:rFonts w:ascii="仿宋" w:hAnsi="仿宋" w:eastAsia="仿宋"/>
          <w:sz w:val="32"/>
          <w:szCs w:val="32"/>
        </w:rPr>
      </w:pPr>
      <w:bookmarkStart w:id="31" w:name="_Toc15378460"/>
      <w:bookmarkStart w:id="32" w:name="_Toc15377444"/>
      <w:bookmarkStart w:id="33" w:name="_Toc15377213"/>
      <w:r>
        <w:rPr>
          <w:rFonts w:hint="eastAsia" w:ascii="仿宋" w:hAnsi="仿宋" w:eastAsia="仿宋"/>
          <w:b/>
          <w:sz w:val="32"/>
          <w:szCs w:val="32"/>
        </w:rPr>
        <w:t>2022年一般公共预算支出决算数为</w:t>
      </w:r>
      <w:r>
        <w:rPr>
          <w:rFonts w:hint="eastAsia" w:ascii="仿宋" w:hAnsi="仿宋" w:eastAsia="仿宋"/>
          <w:b/>
          <w:sz w:val="32"/>
          <w:szCs w:val="32"/>
          <w:lang w:val="en-US" w:eastAsia="zh-CN"/>
        </w:rPr>
        <w:t>202.62万元</w:t>
      </w:r>
      <w:r>
        <w:rPr>
          <w:rFonts w:hint="eastAsia" w:ascii="仿宋" w:hAnsi="仿宋" w:eastAsia="仿宋"/>
          <w:sz w:val="32"/>
          <w:szCs w:val="32"/>
        </w:rPr>
        <w:t>，</w:t>
      </w:r>
      <w:r>
        <w:rPr>
          <w:rStyle w:val="16"/>
          <w:rFonts w:hint="eastAsia" w:ascii="仿宋" w:hAnsi="仿宋" w:eastAsia="仿宋"/>
          <w:bCs/>
          <w:sz w:val="32"/>
          <w:szCs w:val="32"/>
        </w:rPr>
        <w:t>完成预算</w:t>
      </w:r>
      <w:r>
        <w:rPr>
          <w:rStyle w:val="16"/>
          <w:rFonts w:hint="eastAsia" w:ascii="仿宋" w:hAnsi="仿宋" w:eastAsia="仿宋"/>
          <w:bCs/>
          <w:sz w:val="32"/>
          <w:szCs w:val="32"/>
          <w:lang w:val="en-US" w:eastAsia="zh-CN"/>
        </w:rPr>
        <w:t>100</w:t>
      </w:r>
      <w:r>
        <w:rPr>
          <w:rStyle w:val="16"/>
          <w:rFonts w:ascii="仿宋" w:hAnsi="仿宋" w:eastAsia="仿宋"/>
          <w:bCs/>
          <w:sz w:val="32"/>
          <w:szCs w:val="32"/>
        </w:rPr>
        <w:t>%</w:t>
      </w:r>
      <w:r>
        <w:rPr>
          <w:rStyle w:val="16"/>
          <w:rFonts w:hint="eastAsia" w:ascii="仿宋" w:hAnsi="仿宋" w:eastAsia="仿宋"/>
          <w:bCs/>
          <w:sz w:val="32"/>
          <w:szCs w:val="32"/>
        </w:rPr>
        <w:t>。其中：</w:t>
      </w:r>
      <w:bookmarkEnd w:id="31"/>
      <w:bookmarkEnd w:id="32"/>
      <w:bookmarkEnd w:id="33"/>
    </w:p>
    <w:p>
      <w:pPr>
        <w:spacing w:line="600" w:lineRule="exact"/>
        <w:ind w:firstLine="643" w:firstLineChars="200"/>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1</w:t>
      </w:r>
      <w:r>
        <w:rPr>
          <w:rStyle w:val="16"/>
          <w:rFonts w:ascii="仿宋" w:hAnsi="仿宋" w:eastAsia="仿宋"/>
          <w:bCs/>
          <w:sz w:val="32"/>
          <w:szCs w:val="32"/>
        </w:rPr>
        <w:t>.</w:t>
      </w:r>
      <w:r>
        <w:rPr>
          <w:rStyle w:val="16"/>
          <w:rFonts w:hint="eastAsia" w:ascii="仿宋" w:hAnsi="仿宋" w:eastAsia="仿宋"/>
          <w:bCs/>
          <w:sz w:val="32"/>
          <w:szCs w:val="32"/>
        </w:rPr>
        <w:t>文化旅游体育与传媒（类）</w:t>
      </w:r>
      <w:r>
        <w:rPr>
          <w:rStyle w:val="16"/>
          <w:rFonts w:hint="eastAsia" w:ascii="仿宋" w:hAnsi="仿宋" w:eastAsia="仿宋" w:cs="仿宋"/>
          <w:color w:val="auto"/>
          <w:sz w:val="32"/>
          <w:szCs w:val="32"/>
          <w:lang w:eastAsia="zh-CN"/>
        </w:rPr>
        <w:t>文化和旅游</w:t>
      </w:r>
      <w:r>
        <w:rPr>
          <w:rStyle w:val="16"/>
          <w:rFonts w:hint="eastAsia" w:ascii="仿宋" w:hAnsi="仿宋" w:eastAsia="仿宋" w:cs="仿宋"/>
          <w:color w:val="auto"/>
          <w:sz w:val="32"/>
          <w:szCs w:val="32"/>
        </w:rPr>
        <w:t>（款）</w:t>
      </w:r>
      <w:r>
        <w:rPr>
          <w:rStyle w:val="16"/>
          <w:rFonts w:hint="eastAsia" w:ascii="仿宋" w:hAnsi="仿宋" w:eastAsia="仿宋" w:cs="仿宋"/>
          <w:color w:val="auto"/>
          <w:sz w:val="32"/>
          <w:szCs w:val="32"/>
          <w:lang w:eastAsia="zh-CN"/>
        </w:rPr>
        <w:t>群众文化</w:t>
      </w:r>
      <w:r>
        <w:rPr>
          <w:rStyle w:val="16"/>
          <w:rFonts w:hint="eastAsia" w:ascii="仿宋" w:hAnsi="仿宋" w:eastAsia="仿宋" w:cs="仿宋"/>
          <w:color w:val="auto"/>
          <w:sz w:val="32"/>
          <w:szCs w:val="32"/>
        </w:rPr>
        <w:t>（项）</w:t>
      </w:r>
      <w:r>
        <w:rPr>
          <w:rStyle w:val="16"/>
          <w:rFonts w:hint="eastAsia" w:ascii="仿宋" w:hAnsi="仿宋" w:eastAsia="仿宋" w:cs="仿宋"/>
          <w:color w:val="auto"/>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164.33</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pStyle w:val="2"/>
        <w:keepNext/>
        <w:keepLines/>
        <w:pageBreakBefore w:val="0"/>
        <w:widowControl w:val="0"/>
        <w:kinsoku/>
        <w:wordWrap/>
        <w:overflowPunct/>
        <w:topLinePunct w:val="0"/>
        <w:autoSpaceDE/>
        <w:autoSpaceDN/>
        <w:bidi w:val="0"/>
        <w:adjustRightInd/>
        <w:snapToGrid/>
        <w:spacing w:line="416" w:lineRule="auto"/>
        <w:ind w:firstLine="643" w:firstLineChars="200"/>
        <w:textAlignment w:val="auto"/>
      </w:pPr>
      <w:r>
        <w:rPr>
          <w:rStyle w:val="16"/>
          <w:rFonts w:hint="eastAsia" w:ascii="仿宋" w:hAnsi="仿宋" w:eastAsia="仿宋"/>
          <w:b/>
          <w:bCs/>
          <w:sz w:val="32"/>
          <w:szCs w:val="32"/>
          <w:lang w:val="en-US" w:eastAsia="zh-CN"/>
        </w:rPr>
        <w:t>2</w:t>
      </w:r>
      <w:r>
        <w:rPr>
          <w:rStyle w:val="16"/>
          <w:rFonts w:ascii="仿宋" w:hAnsi="仿宋" w:eastAsia="仿宋"/>
          <w:b/>
          <w:bCs/>
          <w:sz w:val="32"/>
          <w:szCs w:val="32"/>
        </w:rPr>
        <w:t>.</w:t>
      </w:r>
      <w:r>
        <w:rPr>
          <w:rStyle w:val="16"/>
          <w:rFonts w:hint="eastAsia" w:ascii="仿宋" w:hAnsi="仿宋" w:eastAsia="仿宋"/>
          <w:b/>
          <w:bCs/>
          <w:sz w:val="32"/>
          <w:szCs w:val="32"/>
        </w:rPr>
        <w:t>文化旅游体育与传媒（类）</w:t>
      </w:r>
      <w:r>
        <w:rPr>
          <w:rStyle w:val="16"/>
          <w:rFonts w:hint="eastAsia" w:ascii="仿宋" w:hAnsi="仿宋" w:eastAsia="仿宋" w:cs="仿宋"/>
          <w:b/>
          <w:color w:val="auto"/>
          <w:sz w:val="32"/>
          <w:szCs w:val="32"/>
          <w:lang w:eastAsia="zh-CN"/>
        </w:rPr>
        <w:t>文化和旅游</w:t>
      </w:r>
      <w:r>
        <w:rPr>
          <w:rStyle w:val="16"/>
          <w:rFonts w:hint="eastAsia" w:ascii="仿宋" w:hAnsi="仿宋" w:eastAsia="仿宋" w:cs="仿宋"/>
          <w:b/>
          <w:color w:val="auto"/>
          <w:sz w:val="32"/>
          <w:szCs w:val="32"/>
        </w:rPr>
        <w:t>（款）</w:t>
      </w:r>
      <w:r>
        <w:rPr>
          <w:rStyle w:val="16"/>
          <w:rFonts w:hint="eastAsia" w:ascii="仿宋" w:hAnsi="仿宋" w:eastAsia="仿宋" w:cs="仿宋"/>
          <w:b/>
          <w:color w:val="auto"/>
          <w:sz w:val="32"/>
          <w:szCs w:val="32"/>
          <w:lang w:eastAsia="zh-CN"/>
        </w:rPr>
        <w:t>其他文化和旅游支出</w:t>
      </w:r>
      <w:r>
        <w:rPr>
          <w:rStyle w:val="16"/>
          <w:rFonts w:hint="eastAsia" w:ascii="仿宋" w:hAnsi="仿宋" w:eastAsia="仿宋" w:cs="仿宋"/>
          <w:b/>
          <w:color w:val="auto"/>
          <w:sz w:val="32"/>
          <w:szCs w:val="32"/>
        </w:rPr>
        <w:t>（项）</w:t>
      </w:r>
      <w:r>
        <w:rPr>
          <w:rStyle w:val="16"/>
          <w:rFonts w:hint="eastAsia" w:ascii="仿宋" w:hAnsi="仿宋" w:eastAsia="仿宋" w:cs="仿宋"/>
          <w:b/>
          <w:color w:val="auto"/>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7.5</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3</w:t>
      </w:r>
      <w:r>
        <w:rPr>
          <w:rStyle w:val="16"/>
          <w:rFonts w:ascii="仿宋" w:hAnsi="仿宋" w:eastAsia="仿宋"/>
          <w:bCs/>
          <w:sz w:val="32"/>
          <w:szCs w:val="32"/>
        </w:rPr>
        <w:t>.</w:t>
      </w:r>
      <w:r>
        <w:rPr>
          <w:rStyle w:val="16"/>
          <w:rFonts w:hint="eastAsia" w:ascii="仿宋" w:hAnsi="仿宋" w:eastAsia="仿宋"/>
          <w:bCs/>
          <w:sz w:val="32"/>
          <w:szCs w:val="32"/>
        </w:rPr>
        <w:t>社会保障和就业（类）行政事业单位养老支出（款）机关事业单位基本养老保险缴费支出（项）</w:t>
      </w:r>
      <w:r>
        <w:rPr>
          <w:rStyle w:val="16"/>
          <w:rFonts w:hint="eastAsia" w:ascii="仿宋" w:hAnsi="仿宋" w:eastAsia="仿宋"/>
          <w:bCs/>
          <w:sz w:val="32"/>
          <w:szCs w:val="32"/>
          <w:lang w:eastAsia="zh-CN"/>
        </w:rPr>
        <w:t>：</w:t>
      </w:r>
      <w:r>
        <w:rPr>
          <w:rStyle w:val="16"/>
          <w:rFonts w:ascii="仿宋" w:hAnsi="仿宋" w:eastAsia="仿宋"/>
          <w:b w:val="0"/>
          <w:bCs/>
          <w:sz w:val="32"/>
          <w:szCs w:val="32"/>
        </w:rPr>
        <w:t xml:space="preserve"> </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13.68</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rPr>
          <w:rStyle w:val="16"/>
          <w:rFonts w:hint="eastAsia" w:ascii="仿宋" w:hAnsi="仿宋" w:eastAsia="仿宋"/>
          <w:b w:val="0"/>
          <w:bCs/>
          <w:sz w:val="32"/>
          <w:szCs w:val="32"/>
        </w:rPr>
      </w:pPr>
      <w:r>
        <w:rPr>
          <w:rStyle w:val="16"/>
          <w:rFonts w:hint="eastAsia" w:ascii="仿宋" w:hAnsi="仿宋" w:eastAsia="仿宋"/>
          <w:bCs/>
          <w:sz w:val="32"/>
          <w:szCs w:val="32"/>
          <w:lang w:val="en-US" w:eastAsia="zh-CN"/>
        </w:rPr>
        <w:t>4</w:t>
      </w:r>
      <w:r>
        <w:rPr>
          <w:rStyle w:val="16"/>
          <w:rFonts w:ascii="仿宋" w:hAnsi="仿宋" w:eastAsia="仿宋"/>
          <w:bCs/>
          <w:sz w:val="32"/>
          <w:szCs w:val="32"/>
        </w:rPr>
        <w:t>.</w:t>
      </w:r>
      <w:r>
        <w:rPr>
          <w:rFonts w:hint="eastAsia" w:ascii="仿宋" w:hAnsi="仿宋" w:eastAsia="仿宋"/>
          <w:b/>
          <w:bCs/>
          <w:sz w:val="32"/>
          <w:szCs w:val="32"/>
        </w:rPr>
        <w:t>卫生健康</w:t>
      </w:r>
      <w:r>
        <w:rPr>
          <w:rStyle w:val="16"/>
          <w:rFonts w:hint="eastAsia" w:ascii="仿宋" w:hAnsi="仿宋" w:eastAsia="仿宋"/>
          <w:bCs/>
          <w:sz w:val="32"/>
          <w:szCs w:val="32"/>
        </w:rPr>
        <w:t>（类）行政事业单位医疗（款）事业单位医疗（项）</w:t>
      </w:r>
      <w:r>
        <w:rPr>
          <w:rStyle w:val="16"/>
          <w:rFonts w:hint="eastAsia" w:ascii="仿宋" w:hAnsi="仿宋" w:eastAsia="仿宋"/>
          <w:bCs/>
          <w:sz w:val="32"/>
          <w:szCs w:val="32"/>
          <w:lang w:eastAsia="zh-CN"/>
        </w:rPr>
        <w:t>：</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6.84</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3" w:firstLineChars="200"/>
      </w:pPr>
      <w:r>
        <w:rPr>
          <w:rStyle w:val="16"/>
          <w:rFonts w:hint="eastAsia" w:ascii="仿宋" w:hAnsi="仿宋" w:eastAsia="仿宋"/>
          <w:bCs/>
          <w:sz w:val="32"/>
          <w:szCs w:val="32"/>
          <w:lang w:val="en-US" w:eastAsia="zh-CN"/>
        </w:rPr>
        <w:t>5</w:t>
      </w:r>
      <w:r>
        <w:rPr>
          <w:rStyle w:val="16"/>
          <w:rFonts w:ascii="仿宋" w:hAnsi="仿宋" w:eastAsia="仿宋"/>
          <w:bCs/>
          <w:sz w:val="32"/>
          <w:szCs w:val="32"/>
        </w:rPr>
        <w:t>.</w:t>
      </w:r>
      <w:r>
        <w:rPr>
          <w:rFonts w:hint="eastAsia" w:ascii="仿宋" w:hAnsi="仿宋" w:eastAsia="仿宋"/>
          <w:b/>
          <w:bCs/>
          <w:sz w:val="32"/>
          <w:szCs w:val="32"/>
        </w:rPr>
        <w:t>住房保障支出</w:t>
      </w:r>
      <w:r>
        <w:rPr>
          <w:rStyle w:val="16"/>
          <w:rFonts w:hint="eastAsia" w:ascii="仿宋" w:hAnsi="仿宋" w:eastAsia="仿宋"/>
          <w:bCs/>
          <w:sz w:val="32"/>
          <w:szCs w:val="32"/>
        </w:rPr>
        <w:t>（类）住房改革支出（款）住房公积金（项）</w:t>
      </w:r>
      <w:r>
        <w:rPr>
          <w:rStyle w:val="16"/>
          <w:rFonts w:hint="eastAsia" w:ascii="仿宋" w:hAnsi="仿宋" w:eastAsia="仿宋"/>
          <w:bCs/>
          <w:sz w:val="32"/>
          <w:szCs w:val="32"/>
          <w:lang w:eastAsia="zh-CN"/>
        </w:rPr>
        <w:t>：</w:t>
      </w:r>
      <w:r>
        <w:rPr>
          <w:rStyle w:val="16"/>
          <w:rFonts w:hint="eastAsia" w:ascii="仿宋" w:hAnsi="仿宋" w:eastAsia="仿宋"/>
          <w:b w:val="0"/>
          <w:bCs/>
          <w:sz w:val="32"/>
          <w:szCs w:val="32"/>
        </w:rPr>
        <w:t>支出决算为</w:t>
      </w:r>
      <w:r>
        <w:rPr>
          <w:rStyle w:val="16"/>
          <w:rFonts w:hint="eastAsia" w:ascii="仿宋" w:hAnsi="仿宋" w:eastAsia="仿宋"/>
          <w:b w:val="0"/>
          <w:bCs/>
          <w:sz w:val="32"/>
          <w:szCs w:val="32"/>
          <w:lang w:val="en-US" w:eastAsia="zh-CN"/>
        </w:rPr>
        <w:t>10.26</w:t>
      </w:r>
      <w:r>
        <w:rPr>
          <w:rStyle w:val="16"/>
          <w:rFonts w:hint="eastAsia" w:ascii="仿宋" w:hAnsi="仿宋" w:eastAsia="仿宋"/>
          <w:b w:val="0"/>
          <w:bCs/>
          <w:sz w:val="32"/>
          <w:szCs w:val="32"/>
        </w:rPr>
        <w:t>万元，完成预算</w:t>
      </w:r>
      <w:r>
        <w:rPr>
          <w:rStyle w:val="16"/>
          <w:rFonts w:hint="eastAsia" w:ascii="仿宋" w:hAnsi="仿宋" w:eastAsia="仿宋"/>
          <w:b w:val="0"/>
          <w:bCs/>
          <w:sz w:val="32"/>
          <w:szCs w:val="32"/>
          <w:lang w:val="en-US" w:eastAsia="zh-CN"/>
        </w:rPr>
        <w:t>100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tabs>
          <w:tab w:val="right" w:pos="8306"/>
        </w:tabs>
        <w:spacing w:line="600" w:lineRule="exact"/>
        <w:ind w:firstLine="640"/>
        <w:outlineLvl w:val="1"/>
        <w:rPr>
          <w:rStyle w:val="27"/>
        </w:rPr>
      </w:pPr>
      <w:bookmarkStart w:id="34" w:name="_Toc15396608"/>
      <w:bookmarkStart w:id="35" w:name="_Toc15377214"/>
      <w:r>
        <w:rPr>
          <w:rFonts w:hint="eastAsia" w:ascii="黑体" w:eastAsia="黑体"/>
          <w:sz w:val="32"/>
          <w:szCs w:val="32"/>
        </w:rPr>
        <w:t>六</w:t>
      </w:r>
      <w:r>
        <w:rPr>
          <w:rFonts w:hint="eastAsia" w:ascii="黑体" w:eastAsia="黑体"/>
          <w:b/>
          <w:sz w:val="32"/>
          <w:szCs w:val="32"/>
        </w:rPr>
        <w:t>、</w:t>
      </w:r>
      <w:r>
        <w:rPr>
          <w:rFonts w:hint="eastAsia" w:ascii="黑体" w:hAnsi="黑体" w:eastAsia="黑体"/>
          <w:b/>
          <w:sz w:val="32"/>
          <w:szCs w:val="32"/>
        </w:rPr>
        <w:t>一</w:t>
      </w:r>
      <w:r>
        <w:rPr>
          <w:rStyle w:val="27"/>
          <w:rFonts w:hint="eastAsia" w:ascii="黑体" w:hAnsi="黑体" w:eastAsia="黑体"/>
          <w:b w:val="0"/>
        </w:rPr>
        <w:t>般公共预算财政拨款基本支出决算情况说明</w:t>
      </w:r>
      <w:bookmarkEnd w:id="34"/>
      <w:bookmarkEnd w:id="35"/>
      <w:r>
        <w:rPr>
          <w:rStyle w:val="27"/>
          <w:rFonts w:ascii="黑体" w:hAnsi="黑体" w:eastAsia="黑体"/>
          <w:b w:val="0"/>
        </w:rPr>
        <w:tab/>
      </w:r>
    </w:p>
    <w:p>
      <w:pPr>
        <w:spacing w:line="600" w:lineRule="exact"/>
        <w:ind w:firstLine="645"/>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22年一般公共预算财政拨款基本支出</w:t>
      </w:r>
      <w:r>
        <w:rPr>
          <w:rFonts w:hint="eastAsia" w:ascii="仿宋" w:hAnsi="仿宋" w:eastAsia="仿宋"/>
          <w:sz w:val="32"/>
          <w:szCs w:val="32"/>
          <w:lang w:val="en-US" w:eastAsia="zh-CN"/>
        </w:rPr>
        <w:t>159.92</w:t>
      </w:r>
      <w:r>
        <w:rPr>
          <w:rFonts w:hint="eastAsia" w:ascii="仿宋" w:hAnsi="仿宋" w:eastAsia="仿宋"/>
          <w:sz w:val="32"/>
          <w:szCs w:val="32"/>
        </w:rPr>
        <w:t>万元，其中：</w:t>
      </w:r>
    </w:p>
    <w:p>
      <w:pPr>
        <w:spacing w:line="600" w:lineRule="exact"/>
        <w:ind w:firstLine="645"/>
        <w:rPr>
          <w:rFonts w:ascii="仿宋" w:hAnsi="仿宋" w:eastAsia="仿宋"/>
          <w:sz w:val="32"/>
          <w:szCs w:val="32"/>
        </w:rPr>
      </w:pPr>
      <w:r>
        <w:rPr>
          <w:rFonts w:hint="eastAsia" w:ascii="仿宋" w:hAnsi="仿宋" w:eastAsia="仿宋"/>
          <w:sz w:val="32"/>
          <w:szCs w:val="32"/>
        </w:rPr>
        <w:t>人员经费</w:t>
      </w:r>
      <w:r>
        <w:rPr>
          <w:rFonts w:hint="eastAsia" w:ascii="仿宋" w:hAnsi="仿宋" w:eastAsia="仿宋"/>
          <w:sz w:val="32"/>
          <w:szCs w:val="32"/>
          <w:lang w:val="en-US" w:eastAsia="zh-CN"/>
        </w:rPr>
        <w:t>159.85</w:t>
      </w:r>
      <w:r>
        <w:rPr>
          <w:rFonts w:hint="eastAsia" w:ascii="仿宋" w:hAnsi="仿宋" w:eastAsia="仿宋"/>
          <w:sz w:val="32"/>
          <w:szCs w:val="32"/>
        </w:rPr>
        <w:t>万元，主要包括：基本工资、津贴补贴、奖金、伙食补助费、绩效工资、机关事业单位基本养老保险缴费、职业年金缴费、其他社会保障缴费、其他工资福利支出、离休费、退休费、抚恤金、生活补助、医疗费补助、奖励金、住房公积金、其他对个人和家庭的补助支出等。</w:t>
      </w:r>
      <w:r>
        <w:rPr>
          <w:rFonts w:ascii="仿宋" w:hAnsi="仿宋" w:eastAsia="仿宋"/>
          <w:sz w:val="32"/>
          <w:szCs w:val="32"/>
        </w:rPr>
        <w:br w:type="textWrapping"/>
      </w:r>
      <w:r>
        <w:rPr>
          <w:rFonts w:hint="eastAsia" w:ascii="仿宋" w:hAnsi="仿宋" w:eastAsia="仿宋"/>
          <w:sz w:val="32"/>
          <w:szCs w:val="32"/>
        </w:rPr>
        <w:t>　　公用经费</w:t>
      </w:r>
      <w:r>
        <w:rPr>
          <w:rFonts w:hint="eastAsia" w:ascii="仿宋" w:hAnsi="仿宋" w:eastAsia="仿宋"/>
          <w:sz w:val="32"/>
          <w:szCs w:val="32"/>
          <w:lang w:val="en-US" w:eastAsia="zh-CN"/>
        </w:rPr>
        <w:t>0.672</w:t>
      </w:r>
      <w:r>
        <w:rPr>
          <w:rFonts w:hint="eastAsia" w:ascii="仿宋" w:hAnsi="仿宋" w:eastAsia="仿宋"/>
          <w:sz w:val="32"/>
          <w:szCs w:val="32"/>
        </w:rPr>
        <w:t>万元，主要包括：办公费、印刷费、咨询费、手续费、水费、电费、邮电费、取暖费、物业管理费、差旅费、因公出国（境）费用、维修（护）费、租赁费、会议费、培训费、公务接待费、劳务费、委托业务费、工会经费、福利费、公务用车运行维护费、其他交通费、税金及附加费用、其他商品和服务支出、办公设备购置、专用设备购置、信息网络及软件购置更新、其他资本性支出等。</w:t>
      </w:r>
    </w:p>
    <w:p>
      <w:pPr>
        <w:spacing w:line="600" w:lineRule="exact"/>
        <w:ind w:firstLine="640"/>
        <w:rPr>
          <w:rFonts w:ascii="仿宋" w:hAnsi="仿宋" w:eastAsia="仿宋"/>
          <w:b/>
          <w:sz w:val="32"/>
          <w:szCs w:val="32"/>
        </w:rPr>
      </w:pPr>
    </w:p>
    <w:p>
      <w:pPr>
        <w:spacing w:line="600" w:lineRule="exact"/>
        <w:ind w:firstLine="640"/>
        <w:outlineLvl w:val="1"/>
        <w:rPr>
          <w:rStyle w:val="27"/>
          <w:rFonts w:ascii="黑体" w:hAnsi="黑体" w:eastAsia="黑体"/>
          <w:b w:val="0"/>
        </w:rPr>
      </w:pPr>
      <w:bookmarkStart w:id="36" w:name="_Toc15377215"/>
      <w:bookmarkStart w:id="37" w:name="_Toc15396609"/>
      <w:r>
        <w:rPr>
          <w:rFonts w:hint="eastAsia" w:ascii="黑体" w:eastAsia="黑体"/>
          <w:sz w:val="32"/>
          <w:szCs w:val="32"/>
        </w:rPr>
        <w:t>七、</w:t>
      </w:r>
      <w:r>
        <w:rPr>
          <w:rStyle w:val="27"/>
          <w:rFonts w:hint="eastAsia" w:ascii="黑体" w:hAnsi="黑体" w:eastAsia="黑体"/>
          <w:b w:val="0"/>
        </w:rPr>
        <w:t>财政拨款</w:t>
      </w:r>
      <w:r>
        <w:rPr>
          <w:rStyle w:val="27"/>
          <w:rFonts w:hint="eastAsia" w:ascii="黑体" w:hAnsi="黑体" w:eastAsia="黑体"/>
        </w:rPr>
        <w:t>“</w:t>
      </w:r>
      <w:r>
        <w:rPr>
          <w:rStyle w:val="27"/>
          <w:rFonts w:hint="eastAsia" w:ascii="黑体" w:hAnsi="黑体" w:eastAsia="黑体"/>
          <w:b w:val="0"/>
        </w:rPr>
        <w:t>三公”经费支出决算情况说明</w:t>
      </w:r>
      <w:bookmarkEnd w:id="36"/>
      <w:bookmarkEnd w:id="37"/>
    </w:p>
    <w:p>
      <w:pPr>
        <w:spacing w:line="600" w:lineRule="exact"/>
        <w:ind w:firstLine="640"/>
        <w:outlineLvl w:val="2"/>
        <w:rPr>
          <w:rFonts w:ascii="仿宋" w:hAnsi="仿宋" w:eastAsia="仿宋"/>
          <w:b/>
          <w:sz w:val="32"/>
          <w:szCs w:val="32"/>
        </w:rPr>
      </w:pPr>
      <w:bookmarkStart w:id="38" w:name="_Toc15377216"/>
      <w:r>
        <w:rPr>
          <w:rFonts w:hint="eastAsia" w:ascii="仿宋" w:hAnsi="仿宋" w:eastAsia="仿宋"/>
          <w:b/>
          <w:sz w:val="32"/>
          <w:szCs w:val="32"/>
        </w:rPr>
        <w:t>（一）“三公”经费财政拨款支出决算总体情况说明</w:t>
      </w:r>
      <w:bookmarkEnd w:id="38"/>
    </w:p>
    <w:p>
      <w:pPr>
        <w:spacing w:line="600" w:lineRule="exact"/>
        <w:ind w:firstLine="640"/>
        <w:rPr>
          <w:rFonts w:ascii="仿宋" w:hAnsi="仿宋" w:eastAsia="仿宋"/>
          <w:color w:val="000000" w:themeColor="text1"/>
          <w:sz w:val="32"/>
          <w:szCs w:val="32"/>
          <w14:textFill>
            <w14:solidFill>
              <w14:schemeClr w14:val="tx1"/>
            </w14:solidFill>
          </w14:textFill>
        </w:rPr>
      </w:pPr>
      <w:r>
        <w:rPr>
          <w:rFonts w:ascii="仿宋" w:hAnsi="仿宋" w:eastAsia="仿宋"/>
          <w:color w:val="000000" w:themeColor="text1"/>
          <w:sz w:val="32"/>
          <w:szCs w:val="32"/>
          <w14:textFill>
            <w14:solidFill>
              <w14:schemeClr w14:val="tx1"/>
            </w14:solidFill>
          </w14:textFill>
        </w:rPr>
        <w:t>20</w:t>
      </w:r>
      <w:r>
        <w:rPr>
          <w:rFonts w:hint="eastAsia" w:ascii="仿宋" w:hAnsi="仿宋" w:eastAsia="仿宋"/>
          <w:color w:val="000000" w:themeColor="text1"/>
          <w:sz w:val="32"/>
          <w:szCs w:val="32"/>
          <w14:textFill>
            <w14:solidFill>
              <w14:schemeClr w14:val="tx1"/>
            </w14:solidFill>
          </w14:textFill>
        </w:rPr>
        <w:t>22年“三公”经费财政拨款支出决算为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 w:hAnsi="仿宋" w:eastAsia="仿宋"/>
          <w:color w:val="000000" w:themeColor="text1"/>
          <w:sz w:val="32"/>
          <w:szCs w:val="32"/>
          <w14:textFill>
            <w14:solidFill>
              <w14:schemeClr w14:val="tx1"/>
            </w14:solidFill>
          </w14:textFill>
        </w:rPr>
        <w:t>万元，完成预算</w:t>
      </w:r>
      <w:r>
        <w:rPr>
          <w:rFonts w:hint="eastAsia" w:ascii="仿宋" w:hAnsi="仿宋" w:eastAsia="仿宋"/>
          <w:color w:val="000000" w:themeColor="text1"/>
          <w:sz w:val="32"/>
          <w:szCs w:val="32"/>
          <w:lang w:val="en-US" w:eastAsia="zh-CN"/>
          <w14:textFill>
            <w14:solidFill>
              <w14:schemeClr w14:val="tx1"/>
            </w14:solidFill>
          </w14:textFill>
        </w:rPr>
        <w:t>0</w:t>
      </w:r>
      <w:r>
        <w:rPr>
          <w:rFonts w:ascii="仿宋" w:hAnsi="仿宋" w:eastAsia="仿宋"/>
          <w:color w:val="000000" w:themeColor="text1"/>
          <w:sz w:val="32"/>
          <w:szCs w:val="32"/>
          <w14:textFill>
            <w14:solidFill>
              <w14:schemeClr w14:val="tx1"/>
            </w14:solidFill>
          </w14:textFill>
        </w:rPr>
        <w:t>%</w:t>
      </w:r>
      <w:r>
        <w:rPr>
          <w:rFonts w:hint="eastAsia" w:ascii="仿宋" w:hAnsi="仿宋" w:eastAsia="仿宋"/>
          <w:color w:val="000000" w:themeColor="text1"/>
          <w:sz w:val="32"/>
          <w:szCs w:val="32"/>
          <w14:textFill>
            <w14:solidFill>
              <w14:schemeClr w14:val="tx1"/>
            </w14:solidFill>
          </w14:textFill>
        </w:rPr>
        <w:t>，较上年减少</w:t>
      </w:r>
      <w:r>
        <w:rPr>
          <w:rFonts w:hint="eastAsia" w:ascii="仿宋" w:hAnsi="仿宋" w:eastAsia="仿宋"/>
          <w:color w:val="000000" w:themeColor="text1"/>
          <w:sz w:val="32"/>
          <w:szCs w:val="32"/>
          <w:lang w:val="en-US" w:eastAsia="zh-CN"/>
          <w14:textFill>
            <w14:solidFill>
              <w14:schemeClr w14:val="tx1"/>
            </w14:solidFill>
          </w14:textFill>
        </w:rPr>
        <w:t>0.48</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%。决算数小于预算数的主要原因是</w:t>
      </w:r>
      <w:r>
        <w:rPr>
          <w:rFonts w:hint="eastAsia" w:ascii="仿宋" w:hAnsi="仿宋" w:eastAsia="仿宋"/>
          <w:color w:val="000000" w:themeColor="text1"/>
          <w:sz w:val="32"/>
          <w:szCs w:val="32"/>
          <w:lang w:eastAsia="zh-CN"/>
          <w14:textFill>
            <w14:solidFill>
              <w14:schemeClr w14:val="tx1"/>
            </w14:solidFill>
          </w14:textFill>
        </w:rPr>
        <w:t>公务接待活动减少</w:t>
      </w:r>
      <w:r>
        <w:rPr>
          <w:rFonts w:hint="eastAsia" w:ascii="仿宋" w:hAnsi="仿宋" w:eastAsia="仿宋"/>
          <w:color w:val="000000" w:themeColor="text1"/>
          <w:sz w:val="32"/>
          <w:szCs w:val="32"/>
          <w14:textFill>
            <w14:solidFill>
              <w14:schemeClr w14:val="tx1"/>
            </w14:solidFill>
          </w14:textFill>
        </w:rPr>
        <w:t>。</w:t>
      </w:r>
    </w:p>
    <w:p>
      <w:pPr>
        <w:spacing w:line="600" w:lineRule="exact"/>
        <w:ind w:firstLine="640"/>
        <w:outlineLvl w:val="2"/>
        <w:rPr>
          <w:rFonts w:ascii="仿宋" w:hAnsi="仿宋" w:eastAsia="仿宋"/>
          <w:b/>
          <w:sz w:val="32"/>
          <w:szCs w:val="32"/>
        </w:rPr>
      </w:pPr>
      <w:bookmarkStart w:id="39" w:name="_Toc15377217"/>
      <w:r>
        <w:rPr>
          <w:rFonts w:hint="eastAsia" w:ascii="仿宋" w:hAnsi="仿宋" w:eastAsia="仿宋"/>
          <w:b/>
          <w:sz w:val="32"/>
          <w:szCs w:val="32"/>
        </w:rPr>
        <w:t>（二）“三公”经费财政拨款支出决算具体情况说明</w:t>
      </w:r>
      <w:bookmarkEnd w:id="39"/>
    </w:p>
    <w:p>
      <w:pPr>
        <w:spacing w:line="600" w:lineRule="exact"/>
        <w:ind w:firstLine="640"/>
        <w:rPr>
          <w:rFonts w:ascii="仿宋" w:hAnsi="仿宋" w:eastAsia="仿宋"/>
          <w:sz w:val="32"/>
          <w:szCs w:val="32"/>
        </w:rPr>
      </w:pPr>
      <w:r>
        <w:rPr>
          <w:rFonts w:ascii="仿宋" w:hAnsi="仿宋" w:eastAsia="仿宋"/>
          <w:sz w:val="32"/>
          <w:szCs w:val="32"/>
        </w:rPr>
        <w:t>20</w:t>
      </w:r>
      <w:r>
        <w:rPr>
          <w:rFonts w:hint="eastAsia" w:ascii="仿宋" w:hAnsi="仿宋" w:eastAsia="仿宋"/>
          <w:sz w:val="32"/>
          <w:szCs w:val="32"/>
        </w:rPr>
        <w:t>22年“三公”经费财政拨款支出决算中，因公出国（境）费支出决算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；公务用车购置及运行维护费支出决算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；公务接待费支出决算</w:t>
      </w:r>
      <w:r>
        <w:rPr>
          <w:rFonts w:hint="eastAsia" w:ascii="仿宋" w:hAnsi="仿宋" w:eastAsia="仿宋"/>
          <w:sz w:val="32"/>
          <w:szCs w:val="32"/>
          <w:lang w:val="en-US" w:eastAsia="zh-CN"/>
        </w:rPr>
        <w:t>0</w:t>
      </w:r>
      <w:r>
        <w:rPr>
          <w:rFonts w:hint="eastAsia" w:ascii="仿宋" w:hAnsi="仿宋" w:eastAsia="仿宋"/>
          <w:sz w:val="32"/>
          <w:szCs w:val="32"/>
        </w:rPr>
        <w:t>万元，占</w:t>
      </w:r>
      <w:r>
        <w:rPr>
          <w:rFonts w:hint="eastAsia" w:ascii="仿宋" w:hAnsi="仿宋" w:eastAsia="仿宋"/>
          <w:sz w:val="32"/>
          <w:szCs w:val="32"/>
          <w:lang w:val="en-US" w:eastAsia="zh-CN"/>
        </w:rPr>
        <w:t>0</w:t>
      </w:r>
      <w:r>
        <w:rPr>
          <w:rFonts w:ascii="仿宋" w:hAnsi="仿宋" w:eastAsia="仿宋"/>
          <w:sz w:val="32"/>
          <w:szCs w:val="32"/>
        </w:rPr>
        <w:t>%</w:t>
      </w:r>
      <w:r>
        <w:rPr>
          <w:rFonts w:hint="eastAsia" w:ascii="仿宋" w:hAnsi="仿宋" w:eastAsia="仿宋"/>
          <w:sz w:val="32"/>
          <w:szCs w:val="32"/>
        </w:rPr>
        <w:t>。具体情况如下：</w:t>
      </w:r>
    </w:p>
    <w:p>
      <w:pPr>
        <w:pStyle w:val="2"/>
      </w:pPr>
      <w:r>
        <w:drawing>
          <wp:inline distT="0" distB="0" distL="114300" distR="114300">
            <wp:extent cx="4866005" cy="2695575"/>
            <wp:effectExtent l="4445" t="5080" r="6350" b="4445"/>
            <wp:docPr id="1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pPr>
        <w:spacing w:line="600" w:lineRule="exact"/>
        <w:ind w:firstLine="640"/>
      </w:pPr>
      <w:r>
        <w:rPr>
          <w:rFonts w:hint="eastAsia" w:ascii="仿宋" w:hAnsi="仿宋" w:eastAsia="仿宋"/>
          <w:sz w:val="32"/>
          <w:szCs w:val="32"/>
        </w:rPr>
        <w:t>（图7：“三公”经费财政拨款支出结构）（饼状图）</w:t>
      </w:r>
    </w:p>
    <w:p>
      <w:pPr>
        <w:spacing w:line="600" w:lineRule="exact"/>
        <w:ind w:firstLine="640"/>
        <w:rPr>
          <w:rFonts w:ascii="仿宋_GB2312" w:eastAsia="仿宋_GB2312"/>
          <w:sz w:val="32"/>
          <w:szCs w:val="32"/>
        </w:rPr>
      </w:pPr>
      <w:r>
        <w:rPr>
          <w:rFonts w:ascii="仿宋_GB2312" w:eastAsia="仿宋_GB2312"/>
          <w:b/>
          <w:sz w:val="32"/>
          <w:szCs w:val="32"/>
        </w:rPr>
        <w:t>1.</w:t>
      </w:r>
      <w:r>
        <w:rPr>
          <w:rFonts w:hint="eastAsia" w:ascii="仿宋_GB2312" w:eastAsia="仿宋_GB2312"/>
          <w:b/>
          <w:sz w:val="32"/>
          <w:szCs w:val="32"/>
        </w:rPr>
        <w:t>因公出国（境）经费支出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rPr>
        <w:t>。</w:t>
      </w:r>
      <w:r>
        <w:rPr>
          <w:rFonts w:hint="eastAsia" w:ascii="仿宋_GB2312" w:eastAsia="仿宋_GB2312"/>
          <w:sz w:val="32"/>
          <w:szCs w:val="32"/>
        </w:rPr>
        <w:t>全年安排因公出国（境）团组</w:t>
      </w:r>
      <w:r>
        <w:rPr>
          <w:rFonts w:hint="eastAsia" w:ascii="仿宋_GB2312" w:eastAsia="仿宋_GB2312"/>
          <w:sz w:val="32"/>
          <w:szCs w:val="32"/>
          <w:lang w:val="en-US" w:eastAsia="zh-CN"/>
        </w:rPr>
        <w:t>0</w:t>
      </w:r>
      <w:r>
        <w:rPr>
          <w:rFonts w:hint="eastAsia" w:ascii="仿宋_GB2312" w:eastAsia="仿宋_GB2312"/>
          <w:sz w:val="32"/>
          <w:szCs w:val="32"/>
        </w:rPr>
        <w:t>次，出国（境）</w:t>
      </w:r>
      <w:r>
        <w:rPr>
          <w:rFonts w:hint="eastAsia" w:ascii="仿宋_GB2312" w:eastAsia="仿宋_GB2312"/>
          <w:sz w:val="32"/>
          <w:szCs w:val="32"/>
          <w:lang w:val="en-US" w:eastAsia="zh-CN"/>
        </w:rPr>
        <w:t>0</w:t>
      </w:r>
      <w:r>
        <w:rPr>
          <w:rFonts w:hint="eastAsia" w:ascii="仿宋_GB2312" w:eastAsia="仿宋_GB2312"/>
          <w:sz w:val="32"/>
          <w:szCs w:val="32"/>
        </w:rPr>
        <w:t>人。</w:t>
      </w:r>
    </w:p>
    <w:p>
      <w:pPr>
        <w:spacing w:line="600" w:lineRule="exact"/>
        <w:ind w:firstLine="640"/>
        <w:rPr>
          <w:rFonts w:hint="default" w:ascii="仿宋_GB2312" w:eastAsia="仿宋_GB2312"/>
          <w:sz w:val="32"/>
          <w:szCs w:val="32"/>
          <w:lang w:val="en-US"/>
        </w:rPr>
      </w:pPr>
      <w:r>
        <w:rPr>
          <w:rFonts w:ascii="仿宋_GB2312" w:eastAsia="仿宋_GB2312"/>
          <w:b/>
          <w:sz w:val="32"/>
          <w:szCs w:val="32"/>
        </w:rPr>
        <w:t>2.</w:t>
      </w:r>
      <w:r>
        <w:rPr>
          <w:rFonts w:hint="eastAsia" w:ascii="仿宋_GB2312" w:eastAsia="仿宋_GB2312"/>
          <w:b/>
          <w:sz w:val="32"/>
          <w:szCs w:val="32"/>
        </w:rPr>
        <w:t>公务用车购置及运行维护费支出</w:t>
      </w:r>
      <w:r>
        <w:rPr>
          <w:rFonts w:hint="eastAsia" w:ascii="仿宋_GB2312" w:eastAsia="仿宋_GB2312"/>
          <w:sz w:val="32"/>
          <w:szCs w:val="32"/>
          <w:lang w:val="en-US" w:eastAsia="zh-CN"/>
        </w:rPr>
        <w:t>0</w:t>
      </w:r>
      <w:r>
        <w:rPr>
          <w:rFonts w:hint="eastAsia" w:ascii="仿宋_GB2312" w:eastAsia="仿宋_GB2312"/>
          <w:sz w:val="32"/>
          <w:szCs w:val="32"/>
        </w:rPr>
        <w:t>万元</w:t>
      </w:r>
      <w:r>
        <w:rPr>
          <w:rFonts w:hint="eastAsia" w:ascii="仿宋_GB2312" w:eastAsia="仿宋_GB2312"/>
          <w:sz w:val="32"/>
          <w:szCs w:val="32"/>
          <w:lang w:eastAsia="zh-CN"/>
        </w:rPr>
        <w:t>，</w:t>
      </w:r>
      <w:r>
        <w:rPr>
          <w:rStyle w:val="16"/>
          <w:rFonts w:hint="eastAsia" w:ascii="仿宋" w:hAnsi="仿宋" w:eastAsia="仿宋"/>
          <w:b w:val="0"/>
          <w:bCs/>
          <w:sz w:val="32"/>
          <w:szCs w:val="32"/>
        </w:rPr>
        <w:t>完成预算</w:t>
      </w:r>
      <w:r>
        <w:rPr>
          <w:rStyle w:val="16"/>
          <w:rFonts w:hint="eastAsia" w:ascii="仿宋" w:hAnsi="仿宋" w:eastAsia="仿宋"/>
          <w:b w:val="0"/>
          <w:bCs/>
          <w:sz w:val="32"/>
          <w:szCs w:val="32"/>
          <w:lang w:val="en-US" w:eastAsia="zh-CN"/>
        </w:rPr>
        <w:t>0</w:t>
      </w:r>
      <w:r>
        <w:rPr>
          <w:rStyle w:val="16"/>
          <w:rFonts w:ascii="仿宋" w:hAnsi="仿宋" w:eastAsia="仿宋"/>
          <w:b w:val="0"/>
          <w:bCs/>
          <w:sz w:val="32"/>
          <w:szCs w:val="32"/>
        </w:rPr>
        <w:t>%</w:t>
      </w:r>
      <w:r>
        <w:rPr>
          <w:rStyle w:val="16"/>
          <w:rFonts w:hint="eastAsia" w:ascii="仿宋" w:hAnsi="仿宋" w:eastAsia="仿宋"/>
          <w:b w:val="0"/>
          <w:bCs/>
          <w:sz w:val="32"/>
          <w:szCs w:val="32"/>
        </w:rPr>
        <w:t>。</w:t>
      </w:r>
    </w:p>
    <w:p>
      <w:pPr>
        <w:spacing w:line="600" w:lineRule="exact"/>
        <w:ind w:firstLine="640"/>
        <w:rPr>
          <w:rFonts w:ascii="仿宋_GB2312" w:eastAsia="仿宋_GB2312"/>
          <w:color w:val="000000" w:themeColor="text1"/>
          <w:sz w:val="32"/>
          <w:szCs w:val="32"/>
          <w14:textFill>
            <w14:solidFill>
              <w14:schemeClr w14:val="tx1"/>
            </w14:solidFill>
          </w14:textFill>
        </w:rPr>
      </w:pPr>
      <w:r>
        <w:rPr>
          <w:rFonts w:ascii="仿宋_GB2312" w:eastAsia="仿宋_GB2312"/>
          <w:b/>
          <w:color w:val="000000" w:themeColor="text1"/>
          <w:sz w:val="32"/>
          <w:szCs w:val="32"/>
          <w14:textFill>
            <w14:solidFill>
              <w14:schemeClr w14:val="tx1"/>
            </w14:solidFill>
          </w14:textFill>
        </w:rPr>
        <w:t>3.</w:t>
      </w:r>
      <w:r>
        <w:rPr>
          <w:rFonts w:hint="eastAsia" w:ascii="仿宋_GB2312" w:eastAsia="仿宋_GB2312"/>
          <w:b/>
          <w:color w:val="000000" w:themeColor="text1"/>
          <w:sz w:val="32"/>
          <w:szCs w:val="32"/>
          <w14:textFill>
            <w14:solidFill>
              <w14:schemeClr w14:val="tx1"/>
            </w14:solidFill>
          </w14:textFill>
        </w:rPr>
        <w:t>公务接待费支出</w:t>
      </w:r>
      <w:r>
        <w:rPr>
          <w:rFonts w:hint="eastAsia" w:ascii="仿宋_GB2312" w:eastAsia="仿宋_GB2312"/>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Style w:val="16"/>
          <w:rFonts w:hint="eastAsia" w:ascii="仿宋" w:hAnsi="仿宋" w:eastAsia="仿宋"/>
          <w:b w:val="0"/>
          <w:bCs/>
          <w:color w:val="000000" w:themeColor="text1"/>
          <w:sz w:val="32"/>
          <w:szCs w:val="32"/>
          <w14:textFill>
            <w14:solidFill>
              <w14:schemeClr w14:val="tx1"/>
            </w14:solidFill>
          </w14:textFill>
        </w:rPr>
        <w:t>完成预算</w:t>
      </w:r>
      <w:r>
        <w:rPr>
          <w:rStyle w:val="16"/>
          <w:rFonts w:hint="eastAsia" w:ascii="仿宋" w:hAnsi="仿宋" w:eastAsia="仿宋"/>
          <w:b w:val="0"/>
          <w:bCs/>
          <w:color w:val="000000" w:themeColor="text1"/>
          <w:sz w:val="32"/>
          <w:szCs w:val="32"/>
          <w:lang w:val="en-US" w:eastAsia="zh-CN"/>
          <w14:textFill>
            <w14:solidFill>
              <w14:schemeClr w14:val="tx1"/>
            </w14:solidFill>
          </w14:textFill>
        </w:rPr>
        <w:t>0</w:t>
      </w:r>
      <w:r>
        <w:rPr>
          <w:rStyle w:val="16"/>
          <w:rFonts w:ascii="仿宋" w:hAnsi="仿宋" w:eastAsia="仿宋"/>
          <w:b w:val="0"/>
          <w:bCs/>
          <w:color w:val="000000" w:themeColor="text1"/>
          <w:sz w:val="32"/>
          <w:szCs w:val="32"/>
          <w14:textFill>
            <w14:solidFill>
              <w14:schemeClr w14:val="tx1"/>
            </w14:solidFill>
          </w14:textFill>
        </w:rPr>
        <w:t>%</w:t>
      </w:r>
      <w:r>
        <w:rPr>
          <w:rStyle w:val="16"/>
          <w:rFonts w:hint="eastAsia" w:ascii="仿宋" w:hAnsi="仿宋" w:eastAsia="仿宋"/>
          <w:b w:val="0"/>
          <w:bCs/>
          <w:color w:val="000000" w:themeColor="text1"/>
          <w:sz w:val="32"/>
          <w:szCs w:val="32"/>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公务接待费支出决算比</w:t>
      </w:r>
      <w:r>
        <w:rPr>
          <w:rFonts w:ascii="仿宋_GB2312" w:eastAsia="仿宋_GB2312"/>
          <w:color w:val="000000" w:themeColor="text1"/>
          <w:sz w:val="32"/>
          <w:szCs w:val="32"/>
          <w14:textFill>
            <w14:solidFill>
              <w14:schemeClr w14:val="tx1"/>
            </w14:solidFill>
          </w14:textFill>
        </w:rPr>
        <w:t>20</w:t>
      </w:r>
      <w:r>
        <w:rPr>
          <w:rFonts w:hint="eastAsia" w:ascii="仿宋_GB2312" w:eastAsia="仿宋_GB2312"/>
          <w:color w:val="000000" w:themeColor="text1"/>
          <w:sz w:val="32"/>
          <w:szCs w:val="32"/>
          <w14:textFill>
            <w14:solidFill>
              <w14:schemeClr w14:val="tx1"/>
            </w14:solidFill>
          </w14:textFill>
        </w:rPr>
        <w:t>21年增加</w:t>
      </w:r>
      <w:r>
        <w:rPr>
          <w:rFonts w:hint="eastAsia" w:ascii="仿宋" w:hAnsi="仿宋" w:eastAsia="仿宋"/>
          <w:color w:val="000000" w:themeColor="text1"/>
          <w:sz w:val="32"/>
          <w:szCs w:val="32"/>
          <w14:textFill>
            <w14:solidFill>
              <w14:schemeClr w14:val="tx1"/>
            </w14:solidFill>
          </w14:textFill>
        </w:rPr>
        <w:t>较上年减少</w:t>
      </w:r>
      <w:r>
        <w:rPr>
          <w:rFonts w:hint="eastAsia" w:ascii="仿宋" w:hAnsi="仿宋" w:eastAsia="仿宋"/>
          <w:color w:val="000000" w:themeColor="text1"/>
          <w:sz w:val="32"/>
          <w:szCs w:val="32"/>
          <w:lang w:val="en-US" w:eastAsia="zh-CN"/>
          <w14:textFill>
            <w14:solidFill>
              <w14:schemeClr w14:val="tx1"/>
            </w14:solidFill>
          </w14:textFill>
        </w:rPr>
        <w:t>0.48</w:t>
      </w:r>
      <w:r>
        <w:rPr>
          <w:rFonts w:hint="eastAsia" w:ascii="仿宋" w:hAnsi="仿宋" w:eastAsia="仿宋"/>
          <w:color w:val="000000" w:themeColor="text1"/>
          <w:sz w:val="32"/>
          <w:szCs w:val="32"/>
          <w14:textFill>
            <w14:solidFill>
              <w14:schemeClr w14:val="tx1"/>
            </w14:solidFill>
          </w14:textFill>
        </w:rPr>
        <w:t>万元，下降</w:t>
      </w:r>
      <w:r>
        <w:rPr>
          <w:rFonts w:hint="eastAsia" w:ascii="仿宋" w:hAnsi="仿宋" w:eastAsia="仿宋"/>
          <w:color w:val="000000" w:themeColor="text1"/>
          <w:sz w:val="32"/>
          <w:szCs w:val="32"/>
          <w:lang w:val="en-US" w:eastAsia="zh-CN"/>
          <w14:textFill>
            <w14:solidFill>
              <w14:schemeClr w14:val="tx1"/>
            </w14:solidFill>
          </w14:textFill>
        </w:rPr>
        <w:t>100</w:t>
      </w:r>
      <w:r>
        <w:rPr>
          <w:rFonts w:hint="eastAsia" w:ascii="仿宋" w:hAnsi="仿宋" w:eastAsia="仿宋"/>
          <w:color w:val="000000" w:themeColor="text1"/>
          <w:sz w:val="32"/>
          <w:szCs w:val="32"/>
          <w14:textFill>
            <w14:solidFill>
              <w14:schemeClr w14:val="tx1"/>
            </w14:solidFill>
          </w14:textFill>
        </w:rPr>
        <w:t>%。决算数小于预算数的主要原因是</w:t>
      </w:r>
      <w:r>
        <w:rPr>
          <w:rFonts w:hint="eastAsia" w:ascii="仿宋" w:hAnsi="仿宋" w:eastAsia="仿宋"/>
          <w:color w:val="000000" w:themeColor="text1"/>
          <w:sz w:val="32"/>
          <w:szCs w:val="32"/>
          <w:lang w:eastAsia="zh-CN"/>
          <w14:textFill>
            <w14:solidFill>
              <w14:schemeClr w14:val="tx1"/>
            </w14:solidFill>
          </w14:textFill>
        </w:rPr>
        <w:t>公务接待活动减少</w:t>
      </w:r>
      <w:r>
        <w:rPr>
          <w:rFonts w:hint="eastAsia" w:ascii="仿宋" w:hAnsi="仿宋" w:eastAsia="仿宋"/>
          <w:color w:val="000000" w:themeColor="text1"/>
          <w:sz w:val="32"/>
          <w:szCs w:val="32"/>
          <w14:textFill>
            <w14:solidFill>
              <w14:schemeClr w14:val="tx1"/>
            </w14:solidFill>
          </w14:textFill>
        </w:rPr>
        <w:t>。</w:t>
      </w:r>
    </w:p>
    <w:p>
      <w:pPr>
        <w:pageBreakBefore w:val="0"/>
        <w:kinsoku/>
        <w:wordWrap/>
        <w:overflowPunct/>
        <w:topLinePunct w:val="0"/>
        <w:bidi w:val="0"/>
        <w:spacing w:line="240" w:lineRule="auto"/>
        <w:ind w:firstLine="640"/>
        <w:textAlignment w:val="auto"/>
        <w:rPr>
          <w:rFonts w:ascii="仿宋_GB2312" w:eastAsia="仿宋_GB2312"/>
          <w:color w:val="000000" w:themeColor="text1"/>
          <w:sz w:val="32"/>
          <w:szCs w:val="32"/>
          <w14:textFill>
            <w14:solidFill>
              <w14:schemeClr w14:val="tx1"/>
            </w14:solidFill>
          </w14:textFill>
        </w:rPr>
      </w:pPr>
      <w:r>
        <w:rPr>
          <w:rFonts w:hint="eastAsia" w:ascii="仿宋" w:hAnsi="仿宋" w:eastAsia="仿宋"/>
          <w:b/>
          <w:color w:val="000000" w:themeColor="text1"/>
          <w:sz w:val="32"/>
          <w:szCs w:val="32"/>
          <w14:textFill>
            <w14:solidFill>
              <w14:schemeClr w14:val="tx1"/>
            </w14:solidFill>
          </w14:textFill>
        </w:rPr>
        <w:t>国内公务接待支出</w:t>
      </w:r>
      <w:r>
        <w:rPr>
          <w:rFonts w:hint="eastAsia" w:ascii="仿宋" w:hAnsi="仿宋" w:eastAsia="仿宋"/>
          <w:color w:val="000000" w:themeColor="text1"/>
          <w:sz w:val="32"/>
          <w:szCs w:val="32"/>
          <w:lang w:val="en-US" w:eastAsia="zh-CN"/>
          <w14:textFill>
            <w14:solidFill>
              <w14:schemeClr w14:val="tx1"/>
            </w14:solidFill>
          </w14:textFill>
        </w:rPr>
        <w:t>0</w:t>
      </w:r>
      <w:r>
        <w:rPr>
          <w:rFonts w:hint="eastAsia" w:ascii="仿宋_GB2312" w:eastAsia="仿宋_GB2312"/>
          <w:color w:val="000000" w:themeColor="text1"/>
          <w:sz w:val="32"/>
          <w:szCs w:val="32"/>
          <w14:textFill>
            <w14:solidFill>
              <w14:schemeClr w14:val="tx1"/>
            </w14:solidFill>
          </w14:textFill>
        </w:rPr>
        <w:t>万元</w:t>
      </w:r>
      <w:r>
        <w:rPr>
          <w:rFonts w:hint="eastAsia" w:ascii="仿宋" w:hAnsi="仿宋" w:eastAsia="仿宋" w:cs="仿宋"/>
          <w:color w:val="000000" w:themeColor="text1"/>
          <w:sz w:val="32"/>
          <w:szCs w:val="32"/>
          <w14:textFill>
            <w14:solidFill>
              <w14:schemeClr w14:val="tx1"/>
            </w14:solidFill>
          </w14:textFill>
        </w:rPr>
        <w:t>。</w:t>
      </w:r>
    </w:p>
    <w:p>
      <w:pPr>
        <w:spacing w:line="600" w:lineRule="exact"/>
        <w:ind w:firstLine="643" w:firstLineChars="200"/>
        <w:rPr>
          <w:rFonts w:ascii="黑体" w:eastAsia="黑体"/>
          <w:sz w:val="32"/>
          <w:szCs w:val="32"/>
        </w:rPr>
      </w:pPr>
      <w:r>
        <w:rPr>
          <w:rFonts w:hint="eastAsia" w:ascii="仿宋" w:hAnsi="仿宋" w:eastAsia="仿宋"/>
          <w:b/>
          <w:sz w:val="32"/>
          <w:szCs w:val="32"/>
        </w:rPr>
        <w:t>外事接待支出</w:t>
      </w:r>
      <w:r>
        <w:rPr>
          <w:rFonts w:hint="eastAsia" w:ascii="仿宋" w:hAnsi="仿宋" w:eastAsia="仿宋"/>
          <w:sz w:val="32"/>
          <w:szCs w:val="32"/>
          <w:lang w:val="en-US" w:eastAsia="zh-CN"/>
        </w:rPr>
        <w:t>0</w:t>
      </w:r>
      <w:r>
        <w:rPr>
          <w:rFonts w:hint="eastAsia" w:ascii="仿宋_GB2312" w:eastAsia="仿宋_GB2312"/>
          <w:sz w:val="32"/>
          <w:szCs w:val="32"/>
        </w:rPr>
        <w:t>万元。</w:t>
      </w:r>
      <w:bookmarkStart w:id="40" w:name="_Toc15377218"/>
      <w:bookmarkStart w:id="41" w:name="_Toc15396610"/>
    </w:p>
    <w:p>
      <w:pPr>
        <w:spacing w:line="600" w:lineRule="exact"/>
        <w:ind w:firstLine="640"/>
        <w:outlineLvl w:val="1"/>
        <w:rPr>
          <w:rStyle w:val="27"/>
          <w:rFonts w:ascii="黑体" w:hAnsi="黑体" w:eastAsia="黑体"/>
        </w:rPr>
      </w:pPr>
      <w:r>
        <w:rPr>
          <w:rFonts w:hint="eastAsia" w:ascii="黑体" w:eastAsia="黑体"/>
          <w:sz w:val="32"/>
          <w:szCs w:val="32"/>
        </w:rPr>
        <w:t>八、</w:t>
      </w:r>
      <w:r>
        <w:rPr>
          <w:rStyle w:val="27"/>
          <w:rFonts w:hint="eastAsia" w:ascii="黑体" w:hAnsi="黑体" w:eastAsia="黑体"/>
          <w:b w:val="0"/>
        </w:rPr>
        <w:t>政府性基金预算支出决算情况说明</w:t>
      </w:r>
      <w:bookmarkEnd w:id="40"/>
      <w:bookmarkEnd w:id="41"/>
    </w:p>
    <w:p>
      <w:pPr>
        <w:spacing w:line="600" w:lineRule="exact"/>
        <w:ind w:firstLine="64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22年政府性基金预算财政拨款支出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7"/>
          <w:rFonts w:ascii="黑体" w:hAnsi="黑体" w:eastAsia="黑体"/>
          <w:b w:val="0"/>
        </w:rPr>
      </w:pPr>
      <w:bookmarkStart w:id="42" w:name="_Toc15377219"/>
      <w:bookmarkStart w:id="43" w:name="_Toc15396611"/>
      <w:r>
        <w:rPr>
          <w:rStyle w:val="27"/>
          <w:rFonts w:hint="eastAsia" w:ascii="黑体" w:hAnsi="黑体" w:eastAsia="黑体"/>
          <w:b w:val="0"/>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sz w:val="44"/>
          <w:szCs w:val="44"/>
        </w:rPr>
      </w:pPr>
      <w:r>
        <w:rPr>
          <w:rFonts w:ascii="仿宋_GB2312" w:eastAsia="仿宋_GB2312"/>
          <w:sz w:val="32"/>
          <w:szCs w:val="32"/>
        </w:rPr>
        <w:t>20</w:t>
      </w:r>
      <w:r>
        <w:rPr>
          <w:rFonts w:hint="eastAsia" w:ascii="仿宋_GB2312" w:eastAsia="仿宋_GB2312"/>
          <w:sz w:val="32"/>
          <w:szCs w:val="32"/>
        </w:rPr>
        <w:t>22年国有资本经营预算财政拨款支出</w:t>
      </w:r>
      <w:r>
        <w:rPr>
          <w:rFonts w:hint="eastAsia" w:ascii="仿宋_GB2312" w:eastAsia="仿宋_GB2312"/>
          <w:sz w:val="32"/>
          <w:szCs w:val="32"/>
          <w:lang w:val="en-US" w:eastAsia="zh-CN"/>
        </w:rPr>
        <w:t>0</w:t>
      </w:r>
      <w:r>
        <w:rPr>
          <w:rFonts w:hint="eastAsia" w:ascii="仿宋_GB2312" w:eastAsia="仿宋_GB2312"/>
          <w:sz w:val="32"/>
          <w:szCs w:val="32"/>
        </w:rPr>
        <w:t>万元。</w:t>
      </w:r>
    </w:p>
    <w:p>
      <w:pPr>
        <w:numPr>
          <w:ilvl w:val="0"/>
          <w:numId w:val="4"/>
        </w:numPr>
        <w:spacing w:line="600" w:lineRule="exact"/>
        <w:ind w:firstLine="640"/>
        <w:outlineLvl w:val="1"/>
        <w:rPr>
          <w:rStyle w:val="27"/>
          <w:rFonts w:ascii="黑体" w:hAnsi="黑体" w:eastAsia="黑体"/>
          <w:b w:val="0"/>
        </w:rPr>
      </w:pPr>
      <w:bookmarkStart w:id="44" w:name="_Toc15377221"/>
      <w:bookmarkStart w:id="45" w:name="_Toc15396612"/>
      <w:r>
        <w:rPr>
          <w:rStyle w:val="27"/>
          <w:rFonts w:hint="eastAsia" w:ascii="黑体" w:hAnsi="黑体" w:eastAsia="黑体"/>
          <w:b w:val="0"/>
        </w:rPr>
        <w:t>其他重要事项的情况说明</w:t>
      </w:r>
      <w:bookmarkEnd w:id="44"/>
      <w:bookmarkEnd w:id="45"/>
    </w:p>
    <w:p>
      <w:pPr>
        <w:spacing w:line="600" w:lineRule="exact"/>
        <w:ind w:firstLine="643" w:firstLineChars="200"/>
        <w:outlineLvl w:val="2"/>
        <w:rPr>
          <w:rFonts w:ascii="仿宋" w:hAnsi="仿宋" w:eastAsia="仿宋"/>
          <w:sz w:val="32"/>
          <w:szCs w:val="32"/>
        </w:rPr>
      </w:pPr>
      <w:bookmarkStart w:id="46" w:name="_Toc15377222"/>
      <w:r>
        <w:rPr>
          <w:rFonts w:hint="eastAsia" w:ascii="仿宋" w:hAnsi="仿宋" w:eastAsia="仿宋"/>
          <w:b/>
          <w:sz w:val="32"/>
          <w:szCs w:val="32"/>
        </w:rPr>
        <w:t>（一）机关运行经费支出情况</w:t>
      </w:r>
      <w:bookmarkEnd w:id="46"/>
    </w:p>
    <w:p>
      <w:pPr>
        <w:spacing w:line="600" w:lineRule="exact"/>
        <w:ind w:firstLine="640" w:firstLineChars="200"/>
        <w:rPr>
          <w:rFonts w:ascii="仿宋_GB2312" w:eastAsia="仿宋_GB2312"/>
          <w:color w:val="auto"/>
          <w:sz w:val="32"/>
          <w:szCs w:val="32"/>
        </w:rPr>
      </w:pPr>
      <w:r>
        <w:rPr>
          <w:rFonts w:ascii="仿宋_GB2312" w:eastAsia="仿宋_GB2312"/>
          <w:color w:val="auto"/>
          <w:sz w:val="32"/>
          <w:szCs w:val="32"/>
        </w:rPr>
        <w:t>20</w:t>
      </w:r>
      <w:r>
        <w:rPr>
          <w:rFonts w:hint="eastAsia" w:ascii="仿宋_GB2312" w:eastAsia="仿宋_GB2312"/>
          <w:color w:val="auto"/>
          <w:sz w:val="32"/>
          <w:szCs w:val="32"/>
        </w:rPr>
        <w:t>22年，</w:t>
      </w:r>
      <w:r>
        <w:rPr>
          <w:rFonts w:hint="eastAsia" w:ascii="仿宋_GB2312" w:eastAsia="仿宋_GB2312"/>
          <w:color w:val="auto"/>
          <w:sz w:val="32"/>
          <w:szCs w:val="32"/>
          <w:lang w:eastAsia="zh-CN"/>
        </w:rPr>
        <w:t>剑阁县文化馆</w:t>
      </w:r>
      <w:r>
        <w:rPr>
          <w:rFonts w:hint="eastAsia" w:ascii="仿宋_GB2312" w:eastAsia="仿宋_GB2312"/>
          <w:color w:val="auto"/>
          <w:sz w:val="32"/>
          <w:szCs w:val="32"/>
        </w:rPr>
        <w:t>机关运行经费支出</w:t>
      </w:r>
      <w:r>
        <w:rPr>
          <w:rFonts w:hint="eastAsia" w:ascii="仿宋_GB2312" w:eastAsia="仿宋_GB2312"/>
          <w:color w:val="auto"/>
          <w:sz w:val="32"/>
          <w:szCs w:val="32"/>
          <w:lang w:val="en-US" w:eastAsia="zh-CN"/>
        </w:rPr>
        <w:t>0.07</w:t>
      </w:r>
      <w:r>
        <w:rPr>
          <w:rFonts w:hint="eastAsia" w:ascii="仿宋_GB2312" w:eastAsia="仿宋_GB2312"/>
          <w:color w:val="auto"/>
          <w:sz w:val="32"/>
          <w:szCs w:val="32"/>
        </w:rPr>
        <w:t>万元，比</w:t>
      </w:r>
      <w:r>
        <w:rPr>
          <w:rFonts w:ascii="仿宋_GB2312" w:eastAsia="仿宋_GB2312"/>
          <w:color w:val="auto"/>
          <w:sz w:val="32"/>
          <w:szCs w:val="32"/>
        </w:rPr>
        <w:t>20</w:t>
      </w:r>
      <w:r>
        <w:rPr>
          <w:rFonts w:hint="eastAsia" w:ascii="仿宋_GB2312" w:eastAsia="仿宋_GB2312"/>
          <w:color w:val="auto"/>
          <w:sz w:val="32"/>
          <w:szCs w:val="32"/>
        </w:rPr>
        <w:t>21年</w:t>
      </w:r>
      <w:r>
        <w:rPr>
          <w:rFonts w:hint="eastAsia" w:ascii="仿宋_GB2312" w:eastAsia="仿宋_GB2312"/>
          <w:color w:val="auto"/>
          <w:sz w:val="32"/>
          <w:szCs w:val="32"/>
          <w:lang w:val="en-US" w:eastAsia="zh-CN"/>
        </w:rPr>
        <w:t>21.05</w:t>
      </w:r>
      <w:r>
        <w:rPr>
          <w:rFonts w:hint="eastAsia" w:ascii="仿宋_GB2312" w:eastAsia="仿宋_GB2312"/>
          <w:color w:val="auto"/>
          <w:sz w:val="32"/>
          <w:szCs w:val="32"/>
        </w:rPr>
        <w:t>减少</w:t>
      </w:r>
      <w:r>
        <w:rPr>
          <w:rFonts w:hint="eastAsia" w:ascii="仿宋_GB2312" w:eastAsia="仿宋_GB2312"/>
          <w:color w:val="auto"/>
          <w:sz w:val="32"/>
          <w:szCs w:val="32"/>
          <w:lang w:val="en-US" w:eastAsia="zh-CN"/>
        </w:rPr>
        <w:t>20.98</w:t>
      </w:r>
      <w:r>
        <w:rPr>
          <w:rFonts w:hint="eastAsia" w:ascii="仿宋_GB2312" w:eastAsia="仿宋_GB2312"/>
          <w:color w:val="auto"/>
          <w:sz w:val="32"/>
          <w:szCs w:val="32"/>
        </w:rPr>
        <w:t>万元，下降</w:t>
      </w:r>
      <w:r>
        <w:rPr>
          <w:rFonts w:hint="eastAsia" w:ascii="仿宋_GB2312" w:eastAsia="仿宋_GB2312"/>
          <w:color w:val="auto"/>
          <w:sz w:val="32"/>
          <w:szCs w:val="32"/>
          <w:lang w:val="en-US" w:eastAsia="zh-CN"/>
        </w:rPr>
        <w:t>99.67</w:t>
      </w:r>
      <w:r>
        <w:rPr>
          <w:rFonts w:ascii="仿宋_GB2312" w:eastAsia="仿宋_GB2312"/>
          <w:color w:val="auto"/>
          <w:sz w:val="32"/>
          <w:szCs w:val="32"/>
        </w:rPr>
        <w:t>%</w:t>
      </w:r>
      <w:r>
        <w:rPr>
          <w:rFonts w:hint="eastAsia" w:ascii="仿宋_GB2312" w:eastAsia="仿宋_GB2312"/>
          <w:color w:val="auto"/>
          <w:sz w:val="32"/>
          <w:szCs w:val="32"/>
        </w:rPr>
        <w:t>。主要原因是</w:t>
      </w:r>
      <w:r>
        <w:rPr>
          <w:rFonts w:hint="eastAsia" w:ascii="仿宋_GB2312" w:eastAsia="仿宋_GB2312"/>
          <w:color w:val="auto"/>
          <w:sz w:val="32"/>
          <w:szCs w:val="32"/>
          <w:lang w:eastAsia="zh-CN"/>
        </w:rPr>
        <w:t>预算减少。</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7" w:name="_Toc15377223"/>
      <w:r>
        <w:rPr>
          <w:rFonts w:hint="eastAsia" w:ascii="仿宋" w:hAnsi="仿宋" w:eastAsia="仿宋"/>
          <w:b/>
          <w:sz w:val="32"/>
          <w:szCs w:val="32"/>
        </w:rPr>
        <w:t>（二）政府采购支出情况</w:t>
      </w:r>
      <w:bookmarkEnd w:id="47"/>
    </w:p>
    <w:p>
      <w:pPr>
        <w:spacing w:line="600" w:lineRule="exact"/>
        <w:ind w:firstLine="640" w:firstLineChars="200"/>
        <w:rPr>
          <w:rFonts w:ascii="仿宋_GB2312" w:eastAsia="仿宋_GB2312"/>
          <w:sz w:val="32"/>
          <w:szCs w:val="32"/>
        </w:rPr>
      </w:pPr>
      <w:r>
        <w:rPr>
          <w:rFonts w:ascii="仿宋_GB2312" w:eastAsia="仿宋_GB2312"/>
          <w:sz w:val="32"/>
          <w:szCs w:val="32"/>
        </w:rPr>
        <w:t>20</w:t>
      </w:r>
      <w:r>
        <w:rPr>
          <w:rFonts w:hint="eastAsia" w:ascii="仿宋_GB2312" w:eastAsia="仿宋_GB2312"/>
          <w:sz w:val="32"/>
          <w:szCs w:val="32"/>
        </w:rPr>
        <w:t>22年，政府采购支出总额</w:t>
      </w:r>
      <w:r>
        <w:rPr>
          <w:rFonts w:hint="eastAsia" w:ascii="仿宋_GB2312" w:eastAsia="仿宋_GB2312"/>
          <w:sz w:val="32"/>
          <w:szCs w:val="32"/>
          <w:lang w:val="en-US" w:eastAsia="zh-CN"/>
        </w:rPr>
        <w:t>0</w:t>
      </w:r>
      <w:r>
        <w:rPr>
          <w:rFonts w:hint="eastAsia" w:ascii="仿宋_GB2312" w:eastAsia="仿宋_GB2312"/>
          <w:sz w:val="32"/>
          <w:szCs w:val="32"/>
        </w:rPr>
        <w:t>万元。</w:t>
      </w:r>
    </w:p>
    <w:p>
      <w:pPr>
        <w:autoSpaceDE w:val="0"/>
        <w:autoSpaceDN w:val="0"/>
        <w:adjustRightInd w:val="0"/>
        <w:spacing w:line="600" w:lineRule="exact"/>
        <w:ind w:firstLine="643" w:firstLineChars="200"/>
        <w:jc w:val="left"/>
        <w:outlineLvl w:val="2"/>
        <w:rPr>
          <w:rFonts w:ascii="仿宋" w:hAnsi="仿宋" w:eastAsia="仿宋"/>
          <w:b/>
          <w:sz w:val="32"/>
          <w:szCs w:val="32"/>
        </w:rPr>
      </w:pPr>
      <w:bookmarkStart w:id="48" w:name="_Toc15377224"/>
      <w:r>
        <w:rPr>
          <w:rFonts w:hint="eastAsia" w:ascii="仿宋" w:hAnsi="仿宋" w:eastAsia="仿宋"/>
          <w:b/>
          <w:sz w:val="32"/>
          <w:szCs w:val="32"/>
        </w:rPr>
        <w:t>（三）国有资产占有使用情况</w:t>
      </w:r>
      <w:bookmarkEnd w:id="48"/>
    </w:p>
    <w:p>
      <w:pPr>
        <w:pageBreakBefore w:val="0"/>
        <w:kinsoku/>
        <w:wordWrap/>
        <w:overflowPunct/>
        <w:topLinePunct w:val="0"/>
        <w:autoSpaceDE w:val="0"/>
        <w:autoSpaceDN w:val="0"/>
        <w:bidi w:val="0"/>
        <w:adjustRightInd w:val="0"/>
        <w:spacing w:line="240" w:lineRule="auto"/>
        <w:ind w:firstLine="640" w:firstLineChars="200"/>
        <w:jc w:val="left"/>
        <w:textAlignment w:val="auto"/>
        <w:rPr>
          <w:rFonts w:hint="eastAsia" w:ascii="仿宋" w:hAnsi="仿宋" w:eastAsia="仿宋" w:cs="仿宋"/>
          <w:b/>
          <w:color w:val="FF0000"/>
          <w:sz w:val="32"/>
          <w:szCs w:val="32"/>
        </w:rPr>
      </w:pPr>
      <w:r>
        <w:rPr>
          <w:rFonts w:hint="eastAsia" w:ascii="仿宋_GB2312" w:eastAsia="仿宋_GB2312"/>
          <w:sz w:val="32"/>
          <w:szCs w:val="32"/>
        </w:rPr>
        <w:t>截至</w:t>
      </w:r>
      <w:r>
        <w:rPr>
          <w:rFonts w:ascii="仿宋_GB2312" w:eastAsia="仿宋_GB2312"/>
          <w:sz w:val="32"/>
          <w:szCs w:val="32"/>
        </w:rPr>
        <w:t>20</w:t>
      </w:r>
      <w:r>
        <w:rPr>
          <w:rFonts w:hint="eastAsia" w:ascii="仿宋_GB2312" w:eastAsia="仿宋_GB2312"/>
          <w:sz w:val="32"/>
          <w:szCs w:val="32"/>
        </w:rPr>
        <w:t>22年</w:t>
      </w:r>
      <w:r>
        <w:rPr>
          <w:rFonts w:ascii="仿宋_GB2312" w:eastAsia="仿宋_GB2312"/>
          <w:sz w:val="32"/>
          <w:szCs w:val="32"/>
        </w:rPr>
        <w:t>12</w:t>
      </w:r>
      <w:r>
        <w:rPr>
          <w:rFonts w:hint="eastAsia" w:ascii="仿宋_GB2312" w:eastAsia="仿宋_GB2312"/>
          <w:sz w:val="32"/>
          <w:szCs w:val="32"/>
        </w:rPr>
        <w:t>月</w:t>
      </w:r>
      <w:r>
        <w:rPr>
          <w:rFonts w:ascii="仿宋_GB2312" w:eastAsia="仿宋_GB2312"/>
          <w:sz w:val="32"/>
          <w:szCs w:val="32"/>
        </w:rPr>
        <w:t>31</w:t>
      </w:r>
      <w:r>
        <w:rPr>
          <w:rFonts w:hint="eastAsia" w:ascii="仿宋_GB2312" w:eastAsia="仿宋_GB2312"/>
          <w:sz w:val="32"/>
          <w:szCs w:val="32"/>
        </w:rPr>
        <w:t>日，</w:t>
      </w:r>
      <w:r>
        <w:rPr>
          <w:rFonts w:hint="eastAsia" w:ascii="仿宋_GB2312" w:eastAsia="仿宋_GB2312"/>
          <w:sz w:val="32"/>
          <w:szCs w:val="32"/>
          <w:lang w:eastAsia="zh-CN"/>
        </w:rPr>
        <w:t>剑阁县文化馆</w:t>
      </w:r>
      <w:r>
        <w:rPr>
          <w:rFonts w:hint="eastAsia" w:ascii="仿宋_GB2312" w:eastAsia="仿宋_GB2312"/>
          <w:sz w:val="32"/>
          <w:szCs w:val="32"/>
        </w:rPr>
        <w:t>共有车辆</w:t>
      </w:r>
      <w:r>
        <w:rPr>
          <w:rFonts w:hint="eastAsia" w:ascii="仿宋_GB2312" w:eastAsia="仿宋_GB2312"/>
          <w:sz w:val="32"/>
          <w:szCs w:val="32"/>
          <w:lang w:val="en-US" w:eastAsia="zh-CN"/>
        </w:rPr>
        <w:t>2</w:t>
      </w:r>
      <w:r>
        <w:rPr>
          <w:rFonts w:hint="eastAsia" w:ascii="仿宋_GB2312" w:eastAsia="仿宋_GB2312"/>
          <w:sz w:val="32"/>
          <w:szCs w:val="32"/>
        </w:rPr>
        <w:t>辆，其中：主要领导干部用车</w:t>
      </w:r>
      <w:r>
        <w:rPr>
          <w:rFonts w:hint="eastAsia" w:ascii="仿宋_GB2312" w:eastAsia="仿宋_GB2312"/>
          <w:sz w:val="32"/>
          <w:szCs w:val="32"/>
          <w:lang w:val="en-US" w:eastAsia="zh-CN"/>
        </w:rPr>
        <w:t>0</w:t>
      </w:r>
      <w:r>
        <w:rPr>
          <w:rFonts w:hint="eastAsia" w:ascii="仿宋_GB2312" w:eastAsia="仿宋_GB2312"/>
          <w:sz w:val="32"/>
          <w:szCs w:val="32"/>
        </w:rPr>
        <w:t>辆、机要通信用车</w:t>
      </w:r>
      <w:r>
        <w:rPr>
          <w:rFonts w:hint="eastAsia" w:ascii="仿宋_GB2312" w:eastAsia="仿宋_GB2312"/>
          <w:sz w:val="32"/>
          <w:szCs w:val="32"/>
          <w:lang w:val="en-US" w:eastAsia="zh-CN"/>
        </w:rPr>
        <w:t>0</w:t>
      </w:r>
      <w:r>
        <w:rPr>
          <w:rFonts w:hint="eastAsia" w:ascii="仿宋_GB2312" w:eastAsia="仿宋_GB2312"/>
          <w:sz w:val="32"/>
          <w:szCs w:val="32"/>
        </w:rPr>
        <w:t>辆、应急保障用车</w:t>
      </w:r>
      <w:r>
        <w:rPr>
          <w:rFonts w:hint="eastAsia" w:ascii="仿宋_GB2312" w:eastAsia="仿宋_GB2312"/>
          <w:sz w:val="32"/>
          <w:szCs w:val="32"/>
          <w:lang w:val="en-US" w:eastAsia="zh-CN"/>
        </w:rPr>
        <w:t>0</w:t>
      </w:r>
      <w:r>
        <w:rPr>
          <w:rFonts w:hint="eastAsia" w:ascii="仿宋_GB2312" w:eastAsia="仿宋_GB2312"/>
          <w:sz w:val="32"/>
          <w:szCs w:val="32"/>
        </w:rPr>
        <w:t>辆、其他用车</w:t>
      </w:r>
      <w:r>
        <w:rPr>
          <w:rFonts w:hint="eastAsia" w:ascii="仿宋_GB2312" w:eastAsia="仿宋_GB2312"/>
          <w:sz w:val="32"/>
          <w:szCs w:val="32"/>
          <w:lang w:val="en-US" w:eastAsia="zh-CN"/>
        </w:rPr>
        <w:t>2</w:t>
      </w:r>
      <w:r>
        <w:rPr>
          <w:rFonts w:hint="eastAsia" w:ascii="仿宋_GB2312" w:eastAsia="仿宋_GB2312"/>
          <w:sz w:val="32"/>
          <w:szCs w:val="32"/>
        </w:rPr>
        <w:t>辆，其他用车主要是用于</w:t>
      </w:r>
      <w:r>
        <w:rPr>
          <w:rFonts w:hint="eastAsia" w:ascii="仿宋" w:hAnsi="仿宋" w:eastAsia="仿宋" w:cs="仿宋"/>
          <w:color w:val="auto"/>
          <w:sz w:val="32"/>
          <w:szCs w:val="32"/>
          <w:lang w:eastAsia="zh-CN"/>
        </w:rPr>
        <w:t>文化舞台文化下乡等。</w:t>
      </w:r>
    </w:p>
    <w:p>
      <w:pPr>
        <w:autoSpaceDE w:val="0"/>
        <w:autoSpaceDN w:val="0"/>
        <w:adjustRightInd w:val="0"/>
        <w:spacing w:line="600" w:lineRule="exact"/>
        <w:ind w:firstLine="643" w:firstLineChars="200"/>
        <w:jc w:val="left"/>
        <w:outlineLvl w:val="2"/>
        <w:rPr>
          <w:rFonts w:ascii="仿宋" w:hAnsi="仿宋" w:eastAsia="仿宋"/>
          <w:b/>
          <w:sz w:val="32"/>
          <w:szCs w:val="32"/>
        </w:rPr>
      </w:pPr>
      <w:r>
        <w:rPr>
          <w:rFonts w:hint="eastAsia" w:ascii="仿宋" w:hAnsi="仿宋" w:eastAsia="仿宋"/>
          <w:b/>
          <w:sz w:val="32"/>
          <w:szCs w:val="32"/>
        </w:rPr>
        <w:t>（四）预算绩效管理情况</w:t>
      </w:r>
    </w:p>
    <w:p>
      <w:pPr>
        <w:pStyle w:val="5"/>
        <w:spacing w:before="93"/>
        <w:ind w:firstLine="640" w:firstLineChars="200"/>
        <w:rPr>
          <w:highlight w:val="yellow"/>
        </w:rPr>
      </w:pPr>
      <w:r>
        <w:rPr>
          <w:rFonts w:hint="eastAsia" w:hAnsi="仿宋_GB2312" w:cs="仿宋_GB2312"/>
          <w:sz w:val="32"/>
          <w:szCs w:val="32"/>
        </w:rPr>
        <w:t>根据预算绩效管理要求，本单位在2022年度预算编制阶段，组织对</w:t>
      </w:r>
      <w:r>
        <w:rPr>
          <w:rFonts w:hint="eastAsia" w:ascii="仿宋" w:hAnsi="仿宋" w:eastAsia="仿宋" w:cs="仿宋"/>
          <w:color w:val="auto"/>
          <w:sz w:val="32"/>
          <w:szCs w:val="32"/>
          <w:lang w:eastAsia="zh-CN"/>
        </w:rPr>
        <w:t>剑阁县文化馆免费开放</w:t>
      </w:r>
      <w:r>
        <w:rPr>
          <w:rFonts w:hint="eastAsia" w:ascii="仿宋" w:hAnsi="仿宋" w:eastAsia="仿宋" w:cs="仿宋"/>
          <w:color w:val="auto"/>
          <w:sz w:val="32"/>
          <w:szCs w:val="32"/>
        </w:rPr>
        <w:t>项目</w:t>
      </w:r>
      <w:r>
        <w:rPr>
          <w:rFonts w:hint="eastAsia" w:hAnsi="仿宋_GB2312" w:cs="仿宋_GB2312"/>
          <w:sz w:val="32"/>
          <w:szCs w:val="32"/>
        </w:rPr>
        <w:t>等</w:t>
      </w:r>
      <w:r>
        <w:rPr>
          <w:rFonts w:hint="eastAsia" w:hAnsi="仿宋_GB2312" w:cs="仿宋_GB2312"/>
          <w:sz w:val="32"/>
          <w:szCs w:val="32"/>
          <w:lang w:val="en-US" w:eastAsia="zh-CN"/>
        </w:rPr>
        <w:t>1</w:t>
      </w:r>
      <w:r>
        <w:rPr>
          <w:rFonts w:hint="eastAsia" w:hAnsi="仿宋_GB2312" w:cs="仿宋_GB2312"/>
          <w:sz w:val="32"/>
          <w:szCs w:val="32"/>
        </w:rPr>
        <w:t>个项目开展了预算事前绩效评估，对</w:t>
      </w:r>
      <w:r>
        <w:rPr>
          <w:rFonts w:hint="eastAsia" w:hAnsi="仿宋_GB2312" w:cs="仿宋_GB2312"/>
          <w:sz w:val="32"/>
          <w:szCs w:val="32"/>
          <w:lang w:val="en-US" w:eastAsia="zh-CN"/>
        </w:rPr>
        <w:t>1</w:t>
      </w:r>
      <w:r>
        <w:rPr>
          <w:rFonts w:hint="eastAsia" w:hAnsi="仿宋_GB2312" w:cs="仿宋_GB2312"/>
          <w:sz w:val="32"/>
          <w:szCs w:val="32"/>
        </w:rPr>
        <w:t>个项目编制了绩效目标，预算执行过程中，选取</w:t>
      </w:r>
      <w:r>
        <w:rPr>
          <w:rFonts w:hint="eastAsia" w:hAnsi="仿宋_GB2312" w:cs="仿宋_GB2312"/>
          <w:sz w:val="32"/>
          <w:szCs w:val="32"/>
          <w:lang w:val="en-US" w:eastAsia="zh-CN"/>
        </w:rPr>
        <w:t>1</w:t>
      </w:r>
      <w:r>
        <w:rPr>
          <w:rFonts w:hint="eastAsia" w:hAnsi="仿宋_GB2312" w:cs="仿宋_GB2312"/>
          <w:sz w:val="32"/>
          <w:szCs w:val="32"/>
        </w:rPr>
        <w:t>个项目开展绩效监控，组织对</w:t>
      </w:r>
      <w:r>
        <w:rPr>
          <w:rFonts w:hint="eastAsia" w:hAnsi="仿宋_GB2312" w:cs="仿宋_GB2312"/>
          <w:sz w:val="32"/>
          <w:szCs w:val="32"/>
          <w:lang w:val="en-US" w:eastAsia="zh-CN"/>
        </w:rPr>
        <w:t>1</w:t>
      </w:r>
      <w:r>
        <w:rPr>
          <w:rFonts w:hint="eastAsia" w:hAnsi="仿宋_GB2312" w:cs="仿宋_GB2312"/>
          <w:sz w:val="32"/>
          <w:szCs w:val="32"/>
        </w:rPr>
        <w:t>个项目开展绩效自评，绩效自评表详见第四部分附件。</w:t>
      </w:r>
    </w:p>
    <w:p>
      <w:pPr>
        <w:widowControl/>
        <w:jc w:val="left"/>
        <w:rPr>
          <w:rFonts w:ascii="仿宋_GB2312" w:eastAsia="仿宋_GB2312"/>
          <w:b/>
          <w:sz w:val="32"/>
          <w:szCs w:val="32"/>
        </w:rPr>
      </w:pPr>
      <w:r>
        <w:rPr>
          <w:rFonts w:ascii="仿宋_GB2312" w:eastAsia="仿宋_GB2312"/>
          <w:b/>
          <w:sz w:val="32"/>
          <w:szCs w:val="32"/>
        </w:rPr>
        <w:br w:type="page"/>
      </w:r>
    </w:p>
    <w:p>
      <w:pPr>
        <w:numPr>
          <w:ilvl w:val="0"/>
          <w:numId w:val="5"/>
        </w:numPr>
        <w:spacing w:line="600" w:lineRule="exact"/>
        <w:ind w:firstLine="660" w:firstLineChars="150"/>
        <w:jc w:val="center"/>
        <w:outlineLvl w:val="0"/>
        <w:rPr>
          <w:rStyle w:val="26"/>
          <w:rFonts w:ascii="黑体" w:hAnsi="黑体" w:eastAsia="黑体"/>
          <w:b w:val="0"/>
        </w:rPr>
      </w:pPr>
      <w:bookmarkStart w:id="49" w:name="_Toc15396613"/>
      <w:bookmarkStart w:id="50" w:name="_Toc15377225"/>
      <w:r>
        <w:rPr>
          <w:rFonts w:hint="eastAsia" w:ascii="黑体" w:hAnsi="黑体" w:eastAsia="黑体"/>
          <w:sz w:val="44"/>
          <w:szCs w:val="44"/>
        </w:rPr>
        <w:t>名</w:t>
      </w:r>
      <w:r>
        <w:rPr>
          <w:rStyle w:val="26"/>
          <w:rFonts w:hint="eastAsia" w:ascii="黑体" w:hAnsi="黑体" w:eastAsia="黑体"/>
          <w:b w:val="0"/>
        </w:rPr>
        <w:t>词解释</w:t>
      </w:r>
      <w:bookmarkEnd w:id="49"/>
      <w:bookmarkEnd w:id="50"/>
    </w:p>
    <w:p>
      <w:pPr>
        <w:spacing w:line="600" w:lineRule="exact"/>
        <w:jc w:val="left"/>
        <w:rPr>
          <w:rFonts w:ascii="宋体"/>
          <w:b/>
          <w:sz w:val="44"/>
          <w:szCs w:val="44"/>
        </w:rPr>
      </w:pPr>
    </w:p>
    <w:p>
      <w:pPr>
        <w:pStyle w:val="24"/>
        <w:spacing w:line="560" w:lineRule="exact"/>
        <w:ind w:firstLine="640" w:firstLineChars="200"/>
        <w:rPr>
          <w:rFonts w:ascii="仿宋_GB2312" w:eastAsia="仿宋_GB2312"/>
          <w:color w:val="auto"/>
          <w:sz w:val="32"/>
          <w:szCs w:val="32"/>
        </w:rPr>
      </w:pPr>
      <w:r>
        <w:rPr>
          <w:rFonts w:ascii="仿宋_GB2312" w:eastAsia="仿宋_GB2312"/>
          <w:color w:val="auto"/>
          <w:sz w:val="32"/>
          <w:szCs w:val="32"/>
        </w:rPr>
        <w:t>1.</w:t>
      </w:r>
      <w:r>
        <w:rPr>
          <w:rFonts w:hint="eastAsia" w:ascii="仿宋_GB2312" w:eastAsia="仿宋_GB2312"/>
          <w:color w:val="auto"/>
          <w:sz w:val="32"/>
          <w:szCs w:val="32"/>
        </w:rPr>
        <w:t>财政拨款收入：指单位从同级财政部门取得的财政预算资金。</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2</w:t>
      </w:r>
      <w:r>
        <w:rPr>
          <w:rFonts w:ascii="仿宋_GB2312" w:eastAsia="仿宋_GB2312"/>
          <w:color w:val="auto"/>
          <w:sz w:val="32"/>
          <w:szCs w:val="32"/>
        </w:rPr>
        <w:t>.</w:t>
      </w:r>
      <w:r>
        <w:rPr>
          <w:rFonts w:hint="eastAsia" w:ascii="仿宋_GB2312" w:eastAsia="仿宋_GB2312"/>
          <w:color w:val="auto"/>
          <w:sz w:val="32"/>
          <w:szCs w:val="32"/>
        </w:rPr>
        <w:t>使用非财政拨款结余：指事业单位使用以前年度积累的非财政拨款结余弥补当年收支差额的金额。</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3</w:t>
      </w:r>
      <w:r>
        <w:rPr>
          <w:rFonts w:ascii="仿宋_GB2312" w:eastAsia="仿宋_GB2312"/>
          <w:color w:val="auto"/>
          <w:sz w:val="32"/>
          <w:szCs w:val="32"/>
        </w:rPr>
        <w:t>.</w:t>
      </w:r>
      <w:r>
        <w:rPr>
          <w:rFonts w:hint="eastAsia" w:ascii="仿宋_GB2312" w:eastAsia="仿宋_GB2312"/>
          <w:color w:val="auto"/>
          <w:sz w:val="32"/>
          <w:szCs w:val="32"/>
        </w:rPr>
        <w:t>年初结转和结余：指以前年度尚未完成、结转到本年按有关规定继续使用的资金。</w:t>
      </w:r>
      <w:r>
        <w:rPr>
          <w:rFonts w:ascii="仿宋_GB2312" w:eastAsia="仿宋_GB2312"/>
          <w:color w:val="auto"/>
          <w:sz w:val="32"/>
          <w:szCs w:val="32"/>
        </w:rPr>
        <w:t xml:space="preserve"> </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4</w:t>
      </w:r>
      <w:r>
        <w:rPr>
          <w:rFonts w:ascii="仿宋_GB2312" w:eastAsia="仿宋_GB2312"/>
          <w:color w:val="auto"/>
          <w:sz w:val="32"/>
          <w:szCs w:val="32"/>
        </w:rPr>
        <w:t>.</w:t>
      </w:r>
      <w:r>
        <w:rPr>
          <w:rFonts w:hint="eastAsia" w:ascii="仿宋_GB2312" w:eastAsia="仿宋_GB2312"/>
          <w:color w:val="auto"/>
          <w:sz w:val="32"/>
          <w:szCs w:val="32"/>
        </w:rPr>
        <w:t>结余分配：指事业单位按照会计制度规定缴纳的所得税、提取的专用结余以及转入非财政拨款结余的金额等。</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5</w:t>
      </w:r>
      <w:r>
        <w:rPr>
          <w:rFonts w:hint="eastAsia" w:ascii="仿宋_GB2312" w:eastAsia="仿宋_GB2312"/>
          <w:color w:val="auto"/>
          <w:sz w:val="32"/>
          <w:szCs w:val="32"/>
        </w:rPr>
        <w:t>.年末结转和结余：指单位按有关规定结转到下年或以后年度继续使用的资金。</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Calibri" w:eastAsia="仿宋_GB2312" w:cs="仿宋"/>
          <w:b w:val="0"/>
          <w:bCs w:val="0"/>
          <w:color w:val="auto"/>
          <w:sz w:val="32"/>
          <w:szCs w:val="32"/>
          <w:lang w:val="en-US" w:eastAsia="zh-CN" w:bidi="ar-SA"/>
        </w:rPr>
      </w:pPr>
      <w:r>
        <w:rPr>
          <w:rFonts w:hint="eastAsia" w:ascii="仿宋_GB2312" w:hAnsi="Calibri" w:eastAsia="仿宋_GB2312" w:cs="仿宋"/>
          <w:b w:val="0"/>
          <w:bCs w:val="0"/>
          <w:color w:val="auto"/>
          <w:sz w:val="32"/>
          <w:szCs w:val="32"/>
          <w:lang w:val="en-US" w:eastAsia="zh-CN" w:bidi="ar-SA"/>
        </w:rPr>
        <w:t>6.</w:t>
      </w:r>
      <w:r>
        <w:rPr>
          <w:rFonts w:hint="default" w:ascii="仿宋_GB2312" w:hAnsi="Calibri" w:eastAsia="仿宋_GB2312" w:cs="仿宋"/>
          <w:b w:val="0"/>
          <w:bCs w:val="0"/>
          <w:color w:val="auto"/>
          <w:sz w:val="32"/>
          <w:szCs w:val="32"/>
          <w:lang w:val="en-US" w:eastAsia="zh-CN" w:bidi="ar-SA"/>
        </w:rPr>
        <w:t>文化旅游体育与传媒（类）文化和旅游（款）</w:t>
      </w:r>
      <w:r>
        <w:rPr>
          <w:rFonts w:hint="eastAsia" w:ascii="仿宋_GB2312" w:hAnsi="Calibri" w:eastAsia="仿宋_GB2312" w:cs="仿宋"/>
          <w:b w:val="0"/>
          <w:bCs w:val="0"/>
          <w:color w:val="auto"/>
          <w:sz w:val="32"/>
          <w:szCs w:val="32"/>
          <w:lang w:val="en-US" w:eastAsia="zh-CN" w:bidi="ar-SA"/>
        </w:rPr>
        <w:t>群众文化（项）：反映群众文化方面的支出。</w:t>
      </w:r>
    </w:p>
    <w:p>
      <w:pPr>
        <w:pStyle w:val="2"/>
        <w:keepNext/>
        <w:keepLines/>
        <w:pageBreakBefore w:val="0"/>
        <w:widowControl w:val="0"/>
        <w:numPr>
          <w:ilvl w:val="0"/>
          <w:numId w:val="0"/>
        </w:numPr>
        <w:kinsoku/>
        <w:wordWrap/>
        <w:overflowPunct/>
        <w:topLinePunct w:val="0"/>
        <w:autoSpaceDE/>
        <w:autoSpaceDN/>
        <w:bidi w:val="0"/>
        <w:adjustRightInd/>
        <w:snapToGrid/>
        <w:spacing w:before="0" w:after="0" w:line="560" w:lineRule="exact"/>
        <w:ind w:firstLine="640" w:firstLineChars="200"/>
        <w:textAlignment w:val="auto"/>
        <w:rPr>
          <w:rFonts w:hint="eastAsia" w:ascii="仿宋_GB2312" w:hAnsi="Calibri" w:eastAsia="仿宋_GB2312" w:cs="仿宋"/>
          <w:b w:val="0"/>
          <w:bCs w:val="0"/>
          <w:color w:val="auto"/>
          <w:sz w:val="32"/>
          <w:szCs w:val="32"/>
          <w:lang w:val="en-US" w:eastAsia="zh-CN" w:bidi="ar-SA"/>
        </w:rPr>
      </w:pPr>
      <w:r>
        <w:rPr>
          <w:rFonts w:hint="eastAsia" w:ascii="仿宋_GB2312" w:hAnsi="Calibri" w:eastAsia="仿宋_GB2312" w:cs="仿宋"/>
          <w:b w:val="0"/>
          <w:bCs w:val="0"/>
          <w:color w:val="auto"/>
          <w:sz w:val="32"/>
          <w:szCs w:val="32"/>
          <w:lang w:val="en-US" w:eastAsia="zh-CN" w:bidi="ar-SA"/>
        </w:rPr>
        <w:t>6.</w:t>
      </w:r>
      <w:r>
        <w:rPr>
          <w:rFonts w:hint="default" w:ascii="仿宋_GB2312" w:hAnsi="Calibri" w:eastAsia="仿宋_GB2312" w:cs="仿宋"/>
          <w:b w:val="0"/>
          <w:bCs w:val="0"/>
          <w:color w:val="auto"/>
          <w:sz w:val="32"/>
          <w:szCs w:val="32"/>
          <w:lang w:val="en-US" w:eastAsia="zh-CN" w:bidi="ar-SA"/>
        </w:rPr>
        <w:t>文化旅游体育与传媒（类）文化和旅游（款）</w:t>
      </w:r>
      <w:r>
        <w:rPr>
          <w:rFonts w:hint="eastAsia" w:ascii="仿宋_GB2312" w:hAnsi="Calibri" w:eastAsia="仿宋_GB2312" w:cs="仿宋"/>
          <w:b w:val="0"/>
          <w:bCs w:val="0"/>
          <w:color w:val="auto"/>
          <w:sz w:val="32"/>
          <w:szCs w:val="32"/>
          <w:lang w:val="en-US" w:eastAsia="zh-CN" w:bidi="ar-SA"/>
        </w:rPr>
        <w:t>其他文化和旅游支出（项）：反映文化和旅游方面的项目支出。</w:t>
      </w:r>
    </w:p>
    <w:p>
      <w:pPr>
        <w:pageBreakBefore w:val="0"/>
        <w:kinsoku/>
        <w:wordWrap/>
        <w:overflowPunct/>
        <w:topLinePunct w:val="0"/>
        <w:bidi w:val="0"/>
        <w:spacing w:line="240" w:lineRule="auto"/>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7</w:t>
      </w:r>
      <w:r>
        <w:rPr>
          <w:rFonts w:hint="default" w:ascii="仿宋" w:hAnsi="仿宋" w:eastAsia="仿宋" w:cs="仿宋"/>
          <w:color w:val="000000"/>
          <w:sz w:val="32"/>
          <w:szCs w:val="32"/>
          <w:lang w:val="en-US" w:eastAsia="zh-CN"/>
        </w:rPr>
        <w:t>.社会保障和就业支出（类）行政事业单位养老支出（款）机关事业单位基本养老保险缴费支出（项）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 xml:space="preserve"> 反映机关事业单位实施养老保险制度由单位缴纳的基本养老保险费支出。</w:t>
      </w:r>
    </w:p>
    <w:p>
      <w:pPr>
        <w:pageBreakBefore w:val="0"/>
        <w:kinsoku/>
        <w:wordWrap/>
        <w:overflowPunct/>
        <w:topLinePunct w:val="0"/>
        <w:bidi w:val="0"/>
        <w:spacing w:line="240" w:lineRule="auto"/>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8</w:t>
      </w:r>
      <w:r>
        <w:rPr>
          <w:rFonts w:hint="default" w:ascii="仿宋" w:hAnsi="仿宋" w:eastAsia="仿宋" w:cs="仿宋"/>
          <w:color w:val="000000"/>
          <w:sz w:val="32"/>
          <w:szCs w:val="32"/>
          <w:lang w:val="en-US" w:eastAsia="zh-CN"/>
        </w:rPr>
        <w:t>.卫生健康支出（类）行政事业单位医疗（款）事业单位医疗（项）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 xml:space="preserve"> 反映财政部门安排的事业单位基本医疗保险缴费经费。</w:t>
      </w:r>
    </w:p>
    <w:p>
      <w:pPr>
        <w:pageBreakBefore w:val="0"/>
        <w:kinsoku/>
        <w:wordWrap/>
        <w:overflowPunct/>
        <w:topLinePunct w:val="0"/>
        <w:bidi w:val="0"/>
        <w:spacing w:line="240" w:lineRule="auto"/>
        <w:ind w:firstLine="640" w:firstLineChars="200"/>
        <w:textAlignment w:val="auto"/>
        <w:rPr>
          <w:rFonts w:hint="default" w:ascii="仿宋" w:hAnsi="仿宋" w:eastAsia="仿宋" w:cs="仿宋"/>
          <w:color w:val="000000"/>
          <w:sz w:val="32"/>
          <w:szCs w:val="32"/>
        </w:rPr>
      </w:pPr>
      <w:r>
        <w:rPr>
          <w:rFonts w:hint="eastAsia" w:ascii="仿宋" w:hAnsi="仿宋" w:eastAsia="仿宋" w:cs="仿宋"/>
          <w:color w:val="000000"/>
          <w:sz w:val="32"/>
          <w:szCs w:val="32"/>
          <w:lang w:val="en-US" w:eastAsia="zh-CN"/>
        </w:rPr>
        <w:t>9</w:t>
      </w:r>
      <w:r>
        <w:rPr>
          <w:rFonts w:hint="default" w:ascii="仿宋" w:hAnsi="仿宋" w:eastAsia="仿宋" w:cs="仿宋"/>
          <w:color w:val="000000"/>
          <w:sz w:val="32"/>
          <w:szCs w:val="32"/>
          <w:lang w:val="en-US" w:eastAsia="zh-CN"/>
        </w:rPr>
        <w:t>.住房保障支出（类）住房改革支出（款）住房公积金（项）</w:t>
      </w:r>
      <w:r>
        <w:rPr>
          <w:rFonts w:hint="eastAsia" w:ascii="仿宋" w:hAnsi="仿宋" w:eastAsia="仿宋" w:cs="仿宋"/>
          <w:color w:val="000000"/>
          <w:sz w:val="32"/>
          <w:szCs w:val="32"/>
          <w:lang w:val="en-US" w:eastAsia="zh-CN"/>
        </w:rPr>
        <w:t>：</w:t>
      </w:r>
      <w:r>
        <w:rPr>
          <w:rFonts w:hint="default" w:ascii="仿宋" w:hAnsi="仿宋" w:eastAsia="仿宋" w:cs="仿宋"/>
          <w:color w:val="000000"/>
          <w:sz w:val="32"/>
          <w:szCs w:val="32"/>
          <w:lang w:val="en-US" w:eastAsia="zh-CN"/>
        </w:rPr>
        <w:t xml:space="preserve"> 反映行政事业单位按人力资源和社会保障部、财政部规定的基本工资和津贴补贴以及规定比例为职工缴纳的住房公积金。</w:t>
      </w:r>
    </w:p>
    <w:p>
      <w:pPr>
        <w:ind w:firstLine="640" w:firstLineChars="200"/>
        <w:rPr>
          <w:rFonts w:ascii="仿宋_GB2312" w:eastAsia="仿宋_GB2312"/>
          <w:sz w:val="32"/>
          <w:szCs w:val="32"/>
        </w:rPr>
      </w:pPr>
      <w:r>
        <w:rPr>
          <w:rFonts w:hint="eastAsia" w:ascii="仿宋_GB2312" w:eastAsia="仿宋_GB2312"/>
          <w:sz w:val="32"/>
          <w:szCs w:val="32"/>
          <w:lang w:val="en-US" w:eastAsia="zh-CN"/>
        </w:rPr>
        <w:t>10</w:t>
      </w:r>
      <w:r>
        <w:rPr>
          <w:rFonts w:ascii="仿宋_GB2312" w:eastAsia="仿宋_GB2312"/>
          <w:sz w:val="32"/>
          <w:szCs w:val="32"/>
        </w:rPr>
        <w:t>.</w:t>
      </w:r>
      <w:r>
        <w:rPr>
          <w:rFonts w:hint="eastAsia" w:ascii="仿宋_GB2312" w:eastAsia="仿宋_GB2312"/>
          <w:sz w:val="32"/>
          <w:szCs w:val="32"/>
        </w:rPr>
        <w:t>基本支出：指为保障机构正常运转、完成日常工作任务而发生的人员支出和公用支出。</w:t>
      </w:r>
    </w:p>
    <w:p>
      <w:pPr>
        <w:ind w:firstLine="640" w:firstLineChars="200"/>
        <w:rPr>
          <w:rFonts w:ascii="仿宋_GB2312" w:eastAsia="仿宋_GB2312"/>
          <w:sz w:val="32"/>
          <w:szCs w:val="32"/>
        </w:rPr>
      </w:pPr>
      <w:r>
        <w:rPr>
          <w:rFonts w:hint="eastAsia" w:ascii="仿宋_GB2312" w:eastAsia="仿宋_GB2312"/>
          <w:sz w:val="32"/>
          <w:szCs w:val="32"/>
          <w:lang w:val="en-US" w:eastAsia="zh-CN"/>
        </w:rPr>
        <w:t>11</w:t>
      </w:r>
      <w:r>
        <w:rPr>
          <w:rFonts w:ascii="仿宋_GB2312" w:eastAsia="仿宋_GB2312"/>
          <w:sz w:val="32"/>
          <w:szCs w:val="32"/>
        </w:rPr>
        <w:t>.</w:t>
      </w:r>
      <w:r>
        <w:rPr>
          <w:rFonts w:hint="eastAsia" w:ascii="仿宋_GB2312" w:eastAsia="仿宋_GB2312"/>
          <w:sz w:val="32"/>
          <w:szCs w:val="32"/>
        </w:rPr>
        <w:t>项目支出：指在基本支出之外为完成特定行政任务和事业发展目标所发生的支出。</w:t>
      </w:r>
      <w:r>
        <w:rPr>
          <w:rFonts w:ascii="仿宋_GB2312" w:eastAsia="仿宋_GB2312"/>
          <w:sz w:val="32"/>
          <w:szCs w:val="32"/>
        </w:rPr>
        <w:t xml:space="preserve"> </w:t>
      </w:r>
    </w:p>
    <w:p>
      <w:pPr>
        <w:ind w:firstLine="640" w:firstLineChars="200"/>
        <w:rPr>
          <w:rFonts w:ascii="仿宋_GB2312" w:eastAsia="仿宋_GB2312"/>
          <w:sz w:val="32"/>
          <w:szCs w:val="32"/>
        </w:rPr>
      </w:pPr>
      <w:r>
        <w:rPr>
          <w:rFonts w:hint="eastAsia" w:ascii="仿宋_GB2312" w:eastAsia="仿宋_GB2312"/>
          <w:sz w:val="32"/>
          <w:szCs w:val="32"/>
          <w:lang w:val="en-US" w:eastAsia="zh-CN"/>
        </w:rPr>
        <w:t>12</w:t>
      </w:r>
      <w:r>
        <w:rPr>
          <w:rFonts w:ascii="仿宋_GB2312" w:eastAsia="仿宋_GB2312"/>
          <w:sz w:val="32"/>
          <w:szCs w:val="32"/>
        </w:rPr>
        <w:t>.</w:t>
      </w:r>
      <w:r>
        <w:rPr>
          <w:rFonts w:hint="eastAsia" w:ascii="仿宋_GB2312" w:eastAsia="仿宋_GB2312"/>
          <w:sz w:val="32"/>
          <w:szCs w:val="32"/>
        </w:rPr>
        <w:t>经营支出：指事业单位在专业业务活动及其辅助活动之外开展非独立核算经营活动发生的支出。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13</w:t>
      </w:r>
      <w:r>
        <w:rPr>
          <w:rFonts w:ascii="仿宋_GB2312" w:eastAsia="仿宋_GB2312"/>
          <w:color w:val="auto"/>
          <w:sz w:val="32"/>
          <w:szCs w:val="32"/>
        </w:rPr>
        <w:t>.</w:t>
      </w:r>
      <w:r>
        <w:rPr>
          <w:rFonts w:hint="eastAsia" w:ascii="仿宋_GB2312" w:eastAsia="仿宋_GB2312"/>
          <w:color w:val="auto"/>
          <w:sz w:val="32"/>
          <w:szCs w:val="32"/>
        </w:rPr>
        <w:t>“三公”经费：指单位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4"/>
        <w:spacing w:line="560" w:lineRule="exact"/>
        <w:ind w:firstLine="640" w:firstLineChars="200"/>
        <w:rPr>
          <w:rFonts w:ascii="仿宋_GB2312" w:eastAsia="仿宋_GB2312"/>
          <w:color w:val="auto"/>
          <w:sz w:val="32"/>
          <w:szCs w:val="32"/>
        </w:rPr>
      </w:pPr>
      <w:r>
        <w:rPr>
          <w:rFonts w:hint="eastAsia" w:ascii="仿宋_GB2312" w:eastAsia="仿宋_GB2312"/>
          <w:color w:val="auto"/>
          <w:sz w:val="32"/>
          <w:szCs w:val="32"/>
          <w:lang w:val="en-US" w:eastAsia="zh-CN"/>
        </w:rPr>
        <w:t>14</w:t>
      </w:r>
      <w:r>
        <w:rPr>
          <w:rFonts w:ascii="仿宋_GB2312" w:eastAsia="仿宋_GB2312"/>
          <w:color w:val="auto"/>
          <w:sz w:val="32"/>
          <w:szCs w:val="32"/>
        </w:rPr>
        <w:t>.</w:t>
      </w:r>
      <w:r>
        <w:rPr>
          <w:rFonts w:hint="eastAsia" w:ascii="仿宋_GB2312" w:eastAsia="仿宋_GB2312"/>
          <w:color w:val="auto"/>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pStyle w:val="24"/>
        <w:spacing w:line="560" w:lineRule="exact"/>
        <w:ind w:firstLine="640" w:firstLineChars="200"/>
        <w:rPr>
          <w:rFonts w:ascii="仿宋_GB2312" w:eastAsia="仿宋_GB2312" w:cs="黑体"/>
          <w:color w:val="auto"/>
          <w:sz w:val="32"/>
          <w:szCs w:val="32"/>
        </w:rPr>
      </w:pPr>
    </w:p>
    <w:p>
      <w:pPr>
        <w:spacing w:line="600" w:lineRule="exact"/>
        <w:jc w:val="center"/>
        <w:outlineLvl w:val="0"/>
        <w:rPr>
          <w:rStyle w:val="26"/>
          <w:rFonts w:ascii="黑体" w:hAnsi="黑体" w:eastAsia="黑体"/>
          <w:b w:val="0"/>
        </w:rPr>
      </w:pPr>
      <w:bookmarkStart w:id="51" w:name="_Toc15377226"/>
      <w:r>
        <w:rPr>
          <w:rFonts w:ascii="宋体"/>
          <w:b/>
          <w:sz w:val="44"/>
          <w:szCs w:val="44"/>
        </w:rPr>
        <w:br w:type="page"/>
      </w:r>
      <w:bookmarkStart w:id="52" w:name="_Toc15396614"/>
      <w:r>
        <w:rPr>
          <w:rFonts w:hint="eastAsia" w:ascii="黑体" w:hAnsi="黑体" w:eastAsia="黑体"/>
          <w:sz w:val="44"/>
          <w:szCs w:val="44"/>
        </w:rPr>
        <w:t>第</w:t>
      </w:r>
      <w:r>
        <w:rPr>
          <w:rStyle w:val="26"/>
          <w:rFonts w:hint="eastAsia" w:ascii="黑体" w:hAnsi="黑体" w:eastAsia="黑体"/>
          <w:b w:val="0"/>
        </w:rPr>
        <w:t>四部分 附件</w:t>
      </w:r>
      <w:bookmarkEnd w:id="52"/>
    </w:p>
    <w:p>
      <w:pPr>
        <w:spacing w:line="572" w:lineRule="exact"/>
        <w:jc w:val="left"/>
        <w:outlineLvl w:val="0"/>
        <w:rPr>
          <w:rFonts w:ascii="仿宋_GB2312" w:hAnsi="仿宋_GB2312" w:eastAsia="仿宋_GB2312" w:cs="仿宋_GB2312"/>
          <w:sz w:val="32"/>
          <w:szCs w:val="32"/>
        </w:rPr>
      </w:pPr>
    </w:p>
    <w:p>
      <w:pPr>
        <w:spacing w:line="600" w:lineRule="exact"/>
        <w:jc w:val="center"/>
        <w:outlineLvl w:val="0"/>
        <w:rPr>
          <w:rFonts w:ascii="仿宋_GB2312" w:hAnsi="Calibri" w:eastAsia="仿宋_GB2312" w:cs="仿宋"/>
          <w:kern w:val="0"/>
          <w:sz w:val="32"/>
          <w:szCs w:val="32"/>
        </w:rPr>
      </w:pPr>
      <w:bookmarkStart w:id="53" w:name="_Toc15396618"/>
      <w:r>
        <w:rPr>
          <w:rFonts w:hint="eastAsia" w:ascii="宋体" w:hAnsi="宋体" w:cs="宋体"/>
          <w:kern w:val="0"/>
          <w:sz w:val="32"/>
          <w:szCs w:val="32"/>
        </w:rPr>
        <w:t>部门预算项目支出绩效自评表（2022年度）</w:t>
      </w:r>
    </w:p>
    <w:tbl>
      <w:tblPr>
        <w:tblStyle w:val="14"/>
        <w:tblpPr w:leftFromText="180" w:rightFromText="180" w:vertAnchor="text" w:horzAnchor="page" w:tblpX="541" w:tblpY="604"/>
        <w:tblOverlap w:val="never"/>
        <w:tblW w:w="10944"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1518"/>
        <w:gridCol w:w="1095"/>
        <w:gridCol w:w="570"/>
        <w:gridCol w:w="510"/>
        <w:gridCol w:w="1080"/>
        <w:gridCol w:w="660"/>
        <w:gridCol w:w="915"/>
        <w:gridCol w:w="1032"/>
        <w:gridCol w:w="975"/>
        <w:gridCol w:w="720"/>
        <w:gridCol w:w="939"/>
        <w:gridCol w:w="9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05" w:hRule="atLeast"/>
        </w:trPr>
        <w:tc>
          <w:tcPr>
            <w:tcW w:w="10944" w:type="dxa"/>
            <w:gridSpan w:val="12"/>
            <w:tcBorders>
              <w:top w:val="nil"/>
              <w:left w:val="nil"/>
              <w:bottom w:val="nil"/>
              <w:right w:val="nil"/>
            </w:tcBorders>
            <w:shd w:val="clear" w:color="auto" w:fill="auto"/>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32"/>
                <w:szCs w:val="32"/>
                <w:u w:val="none"/>
              </w:rPr>
            </w:pPr>
            <w:r>
              <w:rPr>
                <w:rFonts w:hint="eastAsia" w:ascii="宋体" w:hAnsi="宋体" w:eastAsia="宋体" w:cs="宋体"/>
                <w:b/>
                <w:bCs/>
                <w:i w:val="0"/>
                <w:iCs w:val="0"/>
                <w:color w:val="000000"/>
                <w:kern w:val="0"/>
                <w:sz w:val="32"/>
                <w:szCs w:val="32"/>
                <w:u w:val="none"/>
                <w:lang w:val="en-US" w:eastAsia="zh-CN" w:bidi="ar"/>
              </w:rPr>
              <w:t>2022年度部门预算项目支出绩效自评表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项目名称</w:t>
            </w:r>
          </w:p>
        </w:tc>
        <w:tc>
          <w:tcPr>
            <w:tcW w:w="31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文化馆、美术馆免费开放县级配套资金</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项目负责人及电话</w:t>
            </w:r>
          </w:p>
        </w:tc>
        <w:tc>
          <w:tcPr>
            <w:tcW w:w="25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杜德安</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主管部门</w:t>
            </w:r>
          </w:p>
        </w:tc>
        <w:tc>
          <w:tcPr>
            <w:tcW w:w="3165" w:type="dxa"/>
            <w:gridSpan w:val="4"/>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剑阁县文化旅游和体育局</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实施单位</w:t>
            </w:r>
          </w:p>
        </w:tc>
        <w:tc>
          <w:tcPr>
            <w:tcW w:w="2589"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剑阁县文化馆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2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资金情况</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全年预算数（A）</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全年执行数（B）</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执行率（B/A)</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（万元）</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年度资金总额：</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Style w:val="33"/>
                <w:lang w:val="en-US" w:eastAsia="zh-CN" w:bidi="ar"/>
              </w:rPr>
              <w:t xml:space="preserve"> 其中：中央、省、市财政资金</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4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县级财政资金</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4.8</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3183" w:type="dxa"/>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rPr>
                <w:rFonts w:hint="eastAsia" w:ascii="宋体" w:hAnsi="宋体" w:eastAsia="宋体" w:cs="宋体"/>
                <w:i w:val="0"/>
                <w:iCs w:val="0"/>
                <w:color w:val="000000"/>
                <w:sz w:val="22"/>
                <w:szCs w:val="22"/>
                <w:u w:val="none"/>
              </w:rPr>
            </w:pP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其他资金</w:t>
            </w:r>
          </w:p>
        </w:tc>
        <w:tc>
          <w:tcPr>
            <w:tcW w:w="157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8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年初设定目标</w:t>
            </w:r>
          </w:p>
        </w:tc>
        <w:tc>
          <w:tcPr>
            <w:tcW w:w="4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年度总体目标完成情况综述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5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830"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完成文化馆、美术馆免费开放一年。</w:t>
            </w:r>
          </w:p>
        </w:tc>
        <w:tc>
          <w:tcPr>
            <w:tcW w:w="4596" w:type="dxa"/>
            <w:gridSpan w:val="5"/>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完成文化馆、美术馆免费开放一年。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40" w:hRule="atLeast"/>
        </w:trPr>
        <w:tc>
          <w:tcPr>
            <w:tcW w:w="1518"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绩效指标</w:t>
            </w:r>
          </w:p>
        </w:tc>
        <w:tc>
          <w:tcPr>
            <w:tcW w:w="109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08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w:t>
            </w:r>
            <w:r>
              <w:rPr>
                <w:rFonts w:hint="eastAsia" w:ascii="宋体" w:hAnsi="宋体" w:eastAsia="宋体" w:cs="宋体"/>
                <w:i w:val="0"/>
                <w:iCs w:val="0"/>
                <w:color w:val="000000"/>
                <w:kern w:val="0"/>
                <w:sz w:val="20"/>
                <w:szCs w:val="20"/>
                <w:u w:val="none"/>
                <w:lang w:val="en-US" w:eastAsia="zh-CN" w:bidi="ar"/>
              </w:rPr>
              <w:br w:type="textWrapping"/>
            </w:r>
            <w:r>
              <w:rPr>
                <w:rFonts w:hint="eastAsia" w:ascii="宋体" w:hAnsi="宋体" w:eastAsia="宋体" w:cs="宋体"/>
                <w:i w:val="0"/>
                <w:iCs w:val="0"/>
                <w:color w:val="000000"/>
                <w:kern w:val="0"/>
                <w:sz w:val="20"/>
                <w:szCs w:val="20"/>
                <w:u w:val="none"/>
                <w:lang w:val="en-US" w:eastAsia="zh-CN" w:bidi="ar"/>
              </w:rPr>
              <w:t>指标</w:t>
            </w:r>
          </w:p>
        </w:tc>
        <w:tc>
          <w:tcPr>
            <w:tcW w:w="1740" w:type="dxa"/>
            <w:gridSpan w:val="2"/>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三级指标</w:t>
            </w:r>
          </w:p>
        </w:tc>
        <w:tc>
          <w:tcPr>
            <w:tcW w:w="915"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分值</w:t>
            </w:r>
          </w:p>
        </w:tc>
        <w:tc>
          <w:tcPr>
            <w:tcW w:w="1032"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年度指标值</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全年</w:t>
            </w:r>
          </w:p>
        </w:tc>
        <w:tc>
          <w:tcPr>
            <w:tcW w:w="72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自评得分</w:t>
            </w:r>
          </w:p>
        </w:tc>
        <w:tc>
          <w:tcPr>
            <w:tcW w:w="939"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财政复评得分</w:t>
            </w:r>
          </w:p>
        </w:tc>
        <w:tc>
          <w:tcPr>
            <w:tcW w:w="930" w:type="dxa"/>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未完成原因及拟采取的改进措施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46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8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740" w:type="dxa"/>
            <w:gridSpan w:val="2"/>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1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32"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实际值</w:t>
            </w:r>
          </w:p>
        </w:tc>
        <w:tc>
          <w:tcPr>
            <w:tcW w:w="72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9"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产出指标（50分）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数量指标</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文化馆、美术馆免费开放一年</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一年</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50</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6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nil"/>
              <w:right w:val="single" w:color="000000" w:sz="4" w:space="0"/>
            </w:tcBorders>
            <w:shd w:val="clear" w:color="auto" w:fill="auto"/>
            <w:vAlign w:val="center"/>
          </w:tcPr>
          <w:p>
            <w:pPr>
              <w:keepNext w:val="0"/>
              <w:keepLines w:val="0"/>
              <w:widowControl/>
              <w:suppressLineNumbers w:val="0"/>
              <w:jc w:val="left"/>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效绩指标（30分）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社会效益指标</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满足公众对文化、美术事业的需求</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30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优</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600" w:hRule="atLeast"/>
        </w:trPr>
        <w:tc>
          <w:tcPr>
            <w:tcW w:w="1518"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09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满意度指标(10分)</w:t>
            </w:r>
          </w:p>
        </w:tc>
        <w:tc>
          <w:tcPr>
            <w:tcW w:w="10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服务对象满意度指标</w:t>
            </w:r>
          </w:p>
        </w:tc>
        <w:tc>
          <w:tcPr>
            <w:tcW w:w="174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对免费开放满意度</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w:t>
            </w:r>
          </w:p>
        </w:tc>
        <w:tc>
          <w:tcPr>
            <w:tcW w:w="1032"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非常满意</w:t>
            </w:r>
          </w:p>
        </w:tc>
        <w:tc>
          <w:tcPr>
            <w:tcW w:w="97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非常满意</w:t>
            </w: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520" w:hRule="atLeast"/>
        </w:trPr>
        <w:tc>
          <w:tcPr>
            <w:tcW w:w="5433"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总分</w:t>
            </w:r>
          </w:p>
        </w:tc>
        <w:tc>
          <w:tcPr>
            <w:tcW w:w="915"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100</w:t>
            </w:r>
          </w:p>
        </w:tc>
        <w:tc>
          <w:tcPr>
            <w:tcW w:w="2007"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720" w:type="dxa"/>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94</w:t>
            </w:r>
          </w:p>
        </w:tc>
        <w:tc>
          <w:tcPr>
            <w:tcW w:w="93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93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bl>
    <w:p>
      <w:pPr>
        <w:pStyle w:val="5"/>
        <w:spacing w:before="93"/>
        <w:rPr>
          <w:rFonts w:hAnsi="Calibri" w:cs="仿宋"/>
          <w:sz w:val="32"/>
          <w:szCs w:val="32"/>
        </w:rPr>
      </w:pPr>
    </w:p>
    <w:p>
      <w:pPr>
        <w:pStyle w:val="5"/>
        <w:spacing w:before="93"/>
        <w:rPr>
          <w:rFonts w:hAnsi="Calibri" w:cs="仿宋"/>
          <w:sz w:val="32"/>
          <w:szCs w:val="32"/>
        </w:rPr>
      </w:pPr>
    </w:p>
    <w:p>
      <w:pPr>
        <w:pStyle w:val="5"/>
        <w:spacing w:before="93"/>
        <w:rPr>
          <w:rFonts w:hAnsi="Calibri" w:cs="仿宋"/>
          <w:sz w:val="32"/>
          <w:szCs w:val="32"/>
        </w:rPr>
      </w:pPr>
    </w:p>
    <w:p>
      <w:pPr>
        <w:spacing w:line="600" w:lineRule="exact"/>
        <w:jc w:val="center"/>
        <w:outlineLvl w:val="0"/>
        <w:rPr>
          <w:rFonts w:ascii="仿宋" w:hAnsi="仿宋" w:eastAsia="仿宋"/>
        </w:rPr>
      </w:pPr>
      <w:r>
        <w:rPr>
          <w:rFonts w:hint="eastAsia" w:ascii="黑体" w:hAnsi="黑体" w:eastAsia="黑体"/>
          <w:sz w:val="44"/>
          <w:szCs w:val="44"/>
        </w:rPr>
        <w:t>第</w:t>
      </w:r>
      <w:r>
        <w:rPr>
          <w:rStyle w:val="26"/>
          <w:rFonts w:hint="eastAsia" w:ascii="黑体" w:hAnsi="黑体" w:eastAsia="黑体"/>
          <w:b w:val="0"/>
        </w:rPr>
        <w:t>五部分 附表</w:t>
      </w:r>
      <w:bookmarkEnd w:id="51"/>
      <w:bookmarkEnd w:id="53"/>
      <w:bookmarkStart w:id="54" w:name="_Toc15396619"/>
    </w:p>
    <w:p>
      <w:pPr>
        <w:pStyle w:val="2"/>
        <w:rPr>
          <w:rFonts w:ascii="仿宋" w:hAnsi="仿宋" w:eastAsia="仿宋"/>
        </w:rPr>
      </w:pPr>
      <w:r>
        <w:rPr>
          <w:rFonts w:hint="eastAsia" w:ascii="仿宋" w:hAnsi="仿宋" w:eastAsia="仿宋"/>
          <w:b w:val="0"/>
        </w:rPr>
        <w:t>一、收</w:t>
      </w:r>
      <w:r>
        <w:rPr>
          <w:rStyle w:val="27"/>
          <w:rFonts w:hint="eastAsia" w:ascii="仿宋" w:hAnsi="仿宋" w:eastAsia="仿宋"/>
          <w:b w:val="0"/>
          <w:bCs w:val="0"/>
        </w:rPr>
        <w:t>入支出决算总表</w:t>
      </w:r>
      <w:bookmarkEnd w:id="54"/>
    </w:p>
    <w:p>
      <w:pPr>
        <w:pStyle w:val="2"/>
        <w:rPr>
          <w:rFonts w:ascii="仿宋" w:hAnsi="仿宋" w:eastAsia="仿宋"/>
        </w:rPr>
      </w:pPr>
      <w:bookmarkStart w:id="55" w:name="_Toc15396620"/>
      <w:r>
        <w:rPr>
          <w:rFonts w:hint="eastAsia" w:ascii="仿宋" w:hAnsi="仿宋" w:eastAsia="仿宋"/>
          <w:b w:val="0"/>
        </w:rPr>
        <w:t>二、收</w:t>
      </w:r>
      <w:r>
        <w:rPr>
          <w:rStyle w:val="27"/>
          <w:rFonts w:hint="eastAsia" w:ascii="仿宋" w:hAnsi="仿宋" w:eastAsia="仿宋"/>
          <w:b w:val="0"/>
          <w:bCs w:val="0"/>
        </w:rPr>
        <w:t>入决算表</w:t>
      </w:r>
      <w:bookmarkEnd w:id="55"/>
    </w:p>
    <w:p>
      <w:pPr>
        <w:pStyle w:val="2"/>
        <w:rPr>
          <w:rFonts w:ascii="仿宋" w:hAnsi="仿宋" w:eastAsia="仿宋"/>
        </w:rPr>
      </w:pPr>
      <w:bookmarkStart w:id="56" w:name="_Toc15396621"/>
      <w:r>
        <w:rPr>
          <w:rStyle w:val="27"/>
          <w:rFonts w:hint="eastAsia" w:ascii="仿宋" w:hAnsi="仿宋" w:eastAsia="仿宋"/>
          <w:b w:val="0"/>
          <w:bCs w:val="0"/>
        </w:rPr>
        <w:t>三、</w:t>
      </w:r>
      <w:r>
        <w:rPr>
          <w:rFonts w:hint="eastAsia" w:ascii="仿宋" w:hAnsi="仿宋" w:eastAsia="仿宋"/>
          <w:b w:val="0"/>
        </w:rPr>
        <w:t>支</w:t>
      </w:r>
      <w:r>
        <w:rPr>
          <w:rStyle w:val="27"/>
          <w:rFonts w:hint="eastAsia" w:ascii="仿宋" w:hAnsi="仿宋" w:eastAsia="仿宋"/>
          <w:b w:val="0"/>
          <w:bCs w:val="0"/>
        </w:rPr>
        <w:t>出决算表</w:t>
      </w:r>
      <w:bookmarkEnd w:id="56"/>
    </w:p>
    <w:p>
      <w:pPr>
        <w:pStyle w:val="2"/>
        <w:rPr>
          <w:rFonts w:ascii="仿宋" w:hAnsi="仿宋" w:eastAsia="仿宋"/>
          <w:b w:val="0"/>
        </w:rPr>
      </w:pPr>
      <w:bookmarkStart w:id="57" w:name="_Toc15396622"/>
      <w:r>
        <w:rPr>
          <w:rStyle w:val="27"/>
          <w:rFonts w:hint="eastAsia" w:ascii="仿宋" w:hAnsi="仿宋" w:eastAsia="仿宋"/>
          <w:b w:val="0"/>
          <w:bCs w:val="0"/>
        </w:rPr>
        <w:t>四、</w:t>
      </w:r>
      <w:r>
        <w:rPr>
          <w:rFonts w:hint="eastAsia" w:ascii="仿宋" w:hAnsi="仿宋" w:eastAsia="仿宋"/>
          <w:b w:val="0"/>
        </w:rPr>
        <w:t>财</w:t>
      </w:r>
      <w:r>
        <w:rPr>
          <w:rStyle w:val="27"/>
          <w:rFonts w:hint="eastAsia" w:ascii="仿宋" w:hAnsi="仿宋" w:eastAsia="仿宋"/>
          <w:b w:val="0"/>
          <w:bCs w:val="0"/>
        </w:rPr>
        <w:t>政拨款收入支出决算总表</w:t>
      </w:r>
      <w:bookmarkEnd w:id="57"/>
    </w:p>
    <w:p>
      <w:pPr>
        <w:pStyle w:val="2"/>
        <w:rPr>
          <w:rStyle w:val="27"/>
          <w:rFonts w:ascii="仿宋" w:hAnsi="仿宋" w:eastAsia="仿宋"/>
          <w:b w:val="0"/>
          <w:bCs w:val="0"/>
        </w:rPr>
      </w:pPr>
      <w:bookmarkStart w:id="58" w:name="_Toc15396623"/>
      <w:r>
        <w:rPr>
          <w:rStyle w:val="27"/>
          <w:rFonts w:hint="eastAsia" w:ascii="仿宋" w:hAnsi="仿宋" w:eastAsia="仿宋"/>
          <w:b w:val="0"/>
          <w:bCs w:val="0"/>
        </w:rPr>
        <w:t>五、</w:t>
      </w:r>
      <w:r>
        <w:rPr>
          <w:rFonts w:hint="eastAsia" w:ascii="仿宋" w:hAnsi="仿宋" w:eastAsia="仿宋"/>
          <w:b w:val="0"/>
        </w:rPr>
        <w:t>财</w:t>
      </w:r>
      <w:r>
        <w:rPr>
          <w:rStyle w:val="27"/>
          <w:rFonts w:hint="eastAsia" w:ascii="仿宋" w:hAnsi="仿宋" w:eastAsia="仿宋"/>
          <w:b w:val="0"/>
          <w:bCs w:val="0"/>
        </w:rPr>
        <w:t>政拨款支出决算明细表</w:t>
      </w:r>
      <w:bookmarkEnd w:id="58"/>
      <w:bookmarkStart w:id="59" w:name="_Toc15396624"/>
    </w:p>
    <w:p>
      <w:pPr>
        <w:pStyle w:val="2"/>
        <w:rPr>
          <w:rFonts w:ascii="仿宋" w:hAnsi="仿宋" w:eastAsia="仿宋"/>
        </w:rPr>
      </w:pPr>
      <w:r>
        <w:rPr>
          <w:rStyle w:val="27"/>
          <w:rFonts w:hint="eastAsia" w:ascii="仿宋" w:hAnsi="仿宋" w:eastAsia="仿宋"/>
          <w:b w:val="0"/>
          <w:bCs w:val="0"/>
        </w:rPr>
        <w:t>六、</w:t>
      </w:r>
      <w:r>
        <w:rPr>
          <w:rFonts w:hint="eastAsia" w:ascii="仿宋" w:hAnsi="仿宋" w:eastAsia="仿宋"/>
          <w:b w:val="0"/>
        </w:rPr>
        <w:t>一</w:t>
      </w:r>
      <w:r>
        <w:rPr>
          <w:rStyle w:val="27"/>
          <w:rFonts w:hint="eastAsia" w:ascii="仿宋" w:hAnsi="仿宋" w:eastAsia="仿宋"/>
          <w:b w:val="0"/>
          <w:bCs w:val="0"/>
        </w:rPr>
        <w:t>般公共预算财政拨款支出决算表</w:t>
      </w:r>
      <w:bookmarkEnd w:id="59"/>
    </w:p>
    <w:p>
      <w:pPr>
        <w:pStyle w:val="2"/>
        <w:rPr>
          <w:rFonts w:ascii="仿宋" w:hAnsi="仿宋" w:eastAsia="仿宋"/>
        </w:rPr>
      </w:pPr>
      <w:bookmarkStart w:id="60" w:name="_Toc15396625"/>
      <w:r>
        <w:rPr>
          <w:rStyle w:val="27"/>
          <w:rFonts w:hint="eastAsia" w:ascii="仿宋" w:hAnsi="仿宋" w:eastAsia="仿宋"/>
          <w:b w:val="0"/>
          <w:bCs w:val="0"/>
        </w:rPr>
        <w:t>七、</w:t>
      </w:r>
      <w:r>
        <w:rPr>
          <w:rFonts w:hint="eastAsia" w:ascii="仿宋" w:hAnsi="仿宋" w:eastAsia="仿宋"/>
          <w:b w:val="0"/>
        </w:rPr>
        <w:t>一</w:t>
      </w:r>
      <w:r>
        <w:rPr>
          <w:rStyle w:val="27"/>
          <w:rFonts w:hint="eastAsia" w:ascii="仿宋" w:hAnsi="仿宋" w:eastAsia="仿宋"/>
          <w:b w:val="0"/>
          <w:bCs w:val="0"/>
        </w:rPr>
        <w:t>般公共预算财政拨款支出决算明细表</w:t>
      </w:r>
      <w:bookmarkEnd w:id="60"/>
    </w:p>
    <w:p>
      <w:pPr>
        <w:pStyle w:val="2"/>
        <w:rPr>
          <w:rFonts w:ascii="仿宋" w:hAnsi="仿宋" w:eastAsia="仿宋"/>
        </w:rPr>
      </w:pPr>
      <w:bookmarkStart w:id="61" w:name="_Toc15396626"/>
      <w:r>
        <w:rPr>
          <w:rStyle w:val="27"/>
          <w:rFonts w:hint="eastAsia" w:ascii="仿宋" w:hAnsi="仿宋" w:eastAsia="仿宋"/>
          <w:b w:val="0"/>
          <w:bCs w:val="0"/>
        </w:rPr>
        <w:t>八、</w:t>
      </w:r>
      <w:r>
        <w:rPr>
          <w:rFonts w:hint="eastAsia" w:ascii="仿宋" w:hAnsi="仿宋" w:eastAsia="仿宋"/>
          <w:b w:val="0"/>
        </w:rPr>
        <w:t>一</w:t>
      </w:r>
      <w:r>
        <w:rPr>
          <w:rStyle w:val="27"/>
          <w:rFonts w:hint="eastAsia" w:ascii="仿宋" w:hAnsi="仿宋" w:eastAsia="仿宋"/>
          <w:b w:val="0"/>
          <w:bCs w:val="0"/>
        </w:rPr>
        <w:t>般公共预算财政拨款基本支出决算表</w:t>
      </w:r>
      <w:bookmarkEnd w:id="61"/>
    </w:p>
    <w:p>
      <w:pPr>
        <w:pStyle w:val="2"/>
        <w:rPr>
          <w:rFonts w:ascii="仿宋" w:hAnsi="仿宋" w:eastAsia="仿宋"/>
        </w:rPr>
      </w:pPr>
      <w:bookmarkStart w:id="62" w:name="_Toc15396627"/>
      <w:r>
        <w:rPr>
          <w:rStyle w:val="27"/>
          <w:rFonts w:hint="eastAsia" w:ascii="仿宋" w:hAnsi="仿宋" w:eastAsia="仿宋"/>
          <w:b w:val="0"/>
          <w:bCs w:val="0"/>
        </w:rPr>
        <w:t>九、</w:t>
      </w:r>
      <w:r>
        <w:rPr>
          <w:rFonts w:hint="eastAsia" w:ascii="仿宋" w:hAnsi="仿宋" w:eastAsia="仿宋"/>
          <w:b w:val="0"/>
        </w:rPr>
        <w:t>一</w:t>
      </w:r>
      <w:r>
        <w:rPr>
          <w:rStyle w:val="27"/>
          <w:rFonts w:hint="eastAsia" w:ascii="仿宋" w:hAnsi="仿宋" w:eastAsia="仿宋"/>
          <w:b w:val="0"/>
          <w:bCs w:val="0"/>
        </w:rPr>
        <w:t>般公共预算财政拨款项目支出决算表</w:t>
      </w:r>
      <w:bookmarkEnd w:id="62"/>
    </w:p>
    <w:p>
      <w:pPr>
        <w:pStyle w:val="2"/>
        <w:rPr>
          <w:rFonts w:ascii="仿宋" w:hAnsi="仿宋" w:eastAsia="仿宋"/>
        </w:rPr>
      </w:pPr>
      <w:bookmarkStart w:id="63" w:name="_Toc15396628"/>
      <w:r>
        <w:rPr>
          <w:rStyle w:val="27"/>
          <w:rFonts w:hint="eastAsia" w:ascii="仿宋" w:hAnsi="仿宋" w:eastAsia="仿宋"/>
          <w:b w:val="0"/>
          <w:bCs w:val="0"/>
        </w:rPr>
        <w:t>十、</w:t>
      </w:r>
      <w:bookmarkEnd w:id="63"/>
      <w:r>
        <w:rPr>
          <w:rFonts w:hint="eastAsia" w:ascii="仿宋" w:hAnsi="仿宋" w:eastAsia="仿宋"/>
          <w:b w:val="0"/>
        </w:rPr>
        <w:t>政</w:t>
      </w:r>
      <w:r>
        <w:rPr>
          <w:rStyle w:val="27"/>
          <w:rFonts w:hint="eastAsia" w:ascii="仿宋" w:hAnsi="仿宋" w:eastAsia="仿宋"/>
          <w:b w:val="0"/>
          <w:bCs w:val="0"/>
        </w:rPr>
        <w:t>府性基金预算财政拨款收入支出决算表</w:t>
      </w:r>
    </w:p>
    <w:p>
      <w:pPr>
        <w:pStyle w:val="2"/>
        <w:rPr>
          <w:rFonts w:ascii="仿宋" w:hAnsi="仿宋" w:eastAsia="仿宋"/>
        </w:rPr>
      </w:pPr>
      <w:bookmarkStart w:id="64" w:name="_Toc15396629"/>
      <w:r>
        <w:rPr>
          <w:rStyle w:val="27"/>
          <w:rFonts w:hint="eastAsia" w:ascii="仿宋" w:hAnsi="仿宋" w:eastAsia="仿宋"/>
          <w:b w:val="0"/>
          <w:bCs w:val="0"/>
        </w:rPr>
        <w:t>十一、</w:t>
      </w:r>
      <w:bookmarkEnd w:id="64"/>
      <w:r>
        <w:rPr>
          <w:rFonts w:hint="eastAsia" w:ascii="仿宋" w:hAnsi="仿宋" w:eastAsia="仿宋"/>
          <w:b w:val="0"/>
        </w:rPr>
        <w:t>国</w:t>
      </w:r>
      <w:r>
        <w:rPr>
          <w:rStyle w:val="27"/>
          <w:rFonts w:hint="eastAsia" w:ascii="仿宋" w:hAnsi="仿宋" w:eastAsia="仿宋"/>
          <w:b w:val="0"/>
          <w:bCs w:val="0"/>
        </w:rPr>
        <w:t>有资本经营预算财政拨款收入支出决算表</w:t>
      </w:r>
    </w:p>
    <w:p>
      <w:pPr>
        <w:pStyle w:val="2"/>
        <w:rPr>
          <w:rFonts w:ascii="仿宋" w:hAnsi="仿宋" w:eastAsia="仿宋"/>
        </w:rPr>
      </w:pPr>
      <w:bookmarkStart w:id="65" w:name="_Toc15396630"/>
      <w:r>
        <w:rPr>
          <w:rStyle w:val="27"/>
          <w:rFonts w:hint="eastAsia" w:ascii="仿宋" w:hAnsi="仿宋" w:eastAsia="仿宋"/>
          <w:b w:val="0"/>
          <w:bCs w:val="0"/>
        </w:rPr>
        <w:t>十二、</w:t>
      </w:r>
      <w:bookmarkEnd w:id="65"/>
      <w:r>
        <w:rPr>
          <w:rStyle w:val="27"/>
          <w:rFonts w:hint="eastAsia" w:ascii="仿宋" w:hAnsi="仿宋" w:eastAsia="仿宋"/>
          <w:b w:val="0"/>
          <w:bCs w:val="0"/>
        </w:rPr>
        <w:t>国有资本经营预算财政拨款支出决算表</w:t>
      </w:r>
    </w:p>
    <w:p>
      <w:pPr>
        <w:pStyle w:val="2"/>
        <w:rPr>
          <w:rFonts w:eastAsia="仿宋"/>
        </w:rPr>
      </w:pPr>
      <w:bookmarkStart w:id="66" w:name="_Toc15396631"/>
      <w:r>
        <w:rPr>
          <w:rStyle w:val="27"/>
          <w:rFonts w:hint="eastAsia" w:ascii="仿宋" w:hAnsi="仿宋" w:eastAsia="仿宋"/>
          <w:b w:val="0"/>
          <w:bCs w:val="0"/>
        </w:rPr>
        <w:t>十三、</w:t>
      </w:r>
      <w:bookmarkEnd w:id="66"/>
      <w:r>
        <w:rPr>
          <w:rStyle w:val="27"/>
          <w:rFonts w:hint="eastAsia" w:ascii="仿宋" w:hAnsi="仿宋" w:eastAsia="仿宋"/>
          <w:b w:val="0"/>
          <w:bCs w:val="0"/>
        </w:rPr>
        <w:t>财政拨款“三公”经费支出决算表</w:t>
      </w:r>
    </w:p>
    <w:sectPr>
      <w:headerReference r:id="rId3" w:type="default"/>
      <w:footerReference r:id="rId4" w:type="default"/>
      <w:pgSz w:w="11906" w:h="16838"/>
      <w:pgMar w:top="1440" w:right="1800" w:bottom="1440" w:left="1800"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1B0F0A4F-96EE-4AC8-B001-C1E8541A568D}"/>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3BF9466F-43EE-4AA8-B15C-FDA264F75937}"/>
  </w:font>
  <w:font w:name="Cambria">
    <w:panose1 w:val="02040503050406030204"/>
    <w:charset w:val="00"/>
    <w:family w:val="roman"/>
    <w:pitch w:val="default"/>
    <w:sig w:usb0="E00006FF" w:usb1="420024FF" w:usb2="02000000" w:usb3="00000000" w:csb0="2000019F" w:csb1="00000000"/>
    <w:embedRegular r:id="rId3" w:fontKey="{E7977D8F-6EB7-433A-8BA0-D0A862555A3B}"/>
  </w:font>
  <w:font w:name="仿宋_GB2312">
    <w:altName w:val="仿宋"/>
    <w:panose1 w:val="00000000000000000000"/>
    <w:charset w:val="86"/>
    <w:family w:val="modern"/>
    <w:pitch w:val="default"/>
    <w:sig w:usb0="00000000" w:usb1="00000000" w:usb2="00000000" w:usb3="00000000" w:csb0="00040000" w:csb1="00000000"/>
    <w:embedRegular r:id="rId4" w:fontKey="{D7B5D19B-5C06-4398-A080-4628CDD51F0C}"/>
  </w:font>
  <w:font w:name="仿宋">
    <w:panose1 w:val="02010609060101010101"/>
    <w:charset w:val="86"/>
    <w:family w:val="modern"/>
    <w:pitch w:val="default"/>
    <w:sig w:usb0="800002BF" w:usb1="38CF7CFA" w:usb2="00000016" w:usb3="00000000" w:csb0="00040001" w:csb1="00000000"/>
    <w:embedRegular r:id="rId5" w:fontKey="{E8C15738-ACAD-44D7-9B8A-9D1D7714CD41}"/>
  </w:font>
  <w:font w:name="方正小标宋简体">
    <w:panose1 w:val="02000000000000000000"/>
    <w:charset w:val="86"/>
    <w:family w:val="script"/>
    <w:pitch w:val="default"/>
    <w:sig w:usb0="00000001" w:usb1="08000000" w:usb2="00000000" w:usb3="00000000" w:csb0="00040000" w:csb1="00000000"/>
    <w:embedRegular r:id="rId6" w:fontKey="{D4D46FC7-0346-4CA3-BE67-D5816C06C816}"/>
  </w:font>
  <w:font w:name="微软雅黑">
    <w:panose1 w:val="020B0503020204020204"/>
    <w:charset w:val="86"/>
    <w:family w:val="auto"/>
    <w:pitch w:val="default"/>
    <w:sig w:usb0="80000287" w:usb1="2ACF3C50" w:usb2="00000016" w:usb3="00000000" w:csb0="0004001F" w:csb1="00000000"/>
    <w:embedRegular r:id="rId7" w:fontKey="{3C5BAE20-4E66-4665-A9D4-F3F0D43266AB}"/>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2</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F08714E3"/>
    <w:multiLevelType w:val="singleLevel"/>
    <w:tmpl w:val="F08714E3"/>
    <w:lvl w:ilvl="0" w:tentative="0">
      <w:start w:val="1"/>
      <w:numFmt w:val="chineseCounting"/>
      <w:suff w:val="space"/>
      <w:lvlText w:val="第%1部分"/>
      <w:lvlJc w:val="left"/>
      <w:rPr>
        <w:rFonts w:hint="eastAsia"/>
      </w:rPr>
    </w:lvl>
  </w:abstractNum>
  <w:abstractNum w:abstractNumId="3">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818A09A"/>
    <w:multiLevelType w:val="singleLevel"/>
    <w:tmpl w:val="3818A09A"/>
    <w:lvl w:ilvl="0" w:tentative="0">
      <w:start w:val="1"/>
      <w:numFmt w:val="chineseCounting"/>
      <w:suff w:val="nothing"/>
      <w:lvlText w:val="%1、"/>
      <w:lvlJc w:val="left"/>
      <w:rPr>
        <w:rFonts w:hint="eastAsia"/>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E1M2VjZDNkNmI4OWZkMThmMzE1MjhjOWI3MzQzN2E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A3C1B"/>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C7CD4"/>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87AA4"/>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0E31"/>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575B9"/>
    <w:rsid w:val="0096294D"/>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873A9"/>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53A62B5"/>
    <w:rsid w:val="09767CC3"/>
    <w:rsid w:val="0A2032A3"/>
    <w:rsid w:val="0ADB3C95"/>
    <w:rsid w:val="0B8A37D8"/>
    <w:rsid w:val="100B4288"/>
    <w:rsid w:val="10C055FF"/>
    <w:rsid w:val="118107EC"/>
    <w:rsid w:val="11DD6519"/>
    <w:rsid w:val="11ED5CE9"/>
    <w:rsid w:val="169462F4"/>
    <w:rsid w:val="16BB723D"/>
    <w:rsid w:val="18015F3F"/>
    <w:rsid w:val="1BE8440E"/>
    <w:rsid w:val="1C195138"/>
    <w:rsid w:val="1C1D13BE"/>
    <w:rsid w:val="1C3016BF"/>
    <w:rsid w:val="1C6234CC"/>
    <w:rsid w:val="1D155CEE"/>
    <w:rsid w:val="20272E39"/>
    <w:rsid w:val="20F57F95"/>
    <w:rsid w:val="21CC611D"/>
    <w:rsid w:val="221311CF"/>
    <w:rsid w:val="23CE1B0B"/>
    <w:rsid w:val="240371BF"/>
    <w:rsid w:val="244A3B3F"/>
    <w:rsid w:val="25711CC6"/>
    <w:rsid w:val="25C741E6"/>
    <w:rsid w:val="27842671"/>
    <w:rsid w:val="293C2EA5"/>
    <w:rsid w:val="29FD04D3"/>
    <w:rsid w:val="2A261925"/>
    <w:rsid w:val="2ABE7A3E"/>
    <w:rsid w:val="2B780F39"/>
    <w:rsid w:val="2C95214A"/>
    <w:rsid w:val="2CA234A8"/>
    <w:rsid w:val="2D346567"/>
    <w:rsid w:val="2EFA178C"/>
    <w:rsid w:val="30B46D73"/>
    <w:rsid w:val="319F7F4E"/>
    <w:rsid w:val="36E17460"/>
    <w:rsid w:val="37D87A6F"/>
    <w:rsid w:val="383D272C"/>
    <w:rsid w:val="39AE70AB"/>
    <w:rsid w:val="3C0C0783"/>
    <w:rsid w:val="3F9F3A96"/>
    <w:rsid w:val="407A652F"/>
    <w:rsid w:val="40BC3696"/>
    <w:rsid w:val="43971B81"/>
    <w:rsid w:val="44315157"/>
    <w:rsid w:val="46DB6A9A"/>
    <w:rsid w:val="48BF60AB"/>
    <w:rsid w:val="493C27E9"/>
    <w:rsid w:val="496F39ED"/>
    <w:rsid w:val="49FF41D3"/>
    <w:rsid w:val="4BE068DB"/>
    <w:rsid w:val="4BF6002B"/>
    <w:rsid w:val="4D43064D"/>
    <w:rsid w:val="4ECE2238"/>
    <w:rsid w:val="514937E7"/>
    <w:rsid w:val="51DB4B86"/>
    <w:rsid w:val="54102E04"/>
    <w:rsid w:val="55333C3E"/>
    <w:rsid w:val="56DC0F52"/>
    <w:rsid w:val="570903CA"/>
    <w:rsid w:val="572700EB"/>
    <w:rsid w:val="592B0026"/>
    <w:rsid w:val="5E911C97"/>
    <w:rsid w:val="621D0889"/>
    <w:rsid w:val="64CA39A1"/>
    <w:rsid w:val="66DC2854"/>
    <w:rsid w:val="69630ADE"/>
    <w:rsid w:val="6C4A05C8"/>
    <w:rsid w:val="6C6C7FFB"/>
    <w:rsid w:val="6D3B1A89"/>
    <w:rsid w:val="6FD809F9"/>
    <w:rsid w:val="71BF4EC2"/>
    <w:rsid w:val="71C81206"/>
    <w:rsid w:val="72734D90"/>
    <w:rsid w:val="72D7146D"/>
    <w:rsid w:val="7412278C"/>
    <w:rsid w:val="7489452E"/>
    <w:rsid w:val="79E7B28D"/>
    <w:rsid w:val="7B252C71"/>
    <w:rsid w:val="7B756E70"/>
    <w:rsid w:val="7CE678AB"/>
    <w:rsid w:val="7DB45471"/>
    <w:rsid w:val="7F9F20EE"/>
    <w:rsid w:val="9E3A10E2"/>
    <w:rsid w:val="F2E1F9D4"/>
    <w:rsid w:val="F7880819"/>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6"/>
    <w:qFormat/>
    <w:uiPriority w:val="9"/>
    <w:pPr>
      <w:keepNext/>
      <w:keepLines/>
      <w:spacing w:before="340" w:after="330" w:line="578" w:lineRule="auto"/>
      <w:outlineLvl w:val="0"/>
    </w:pPr>
    <w:rPr>
      <w:b/>
      <w:bCs/>
      <w:kern w:val="44"/>
      <w:sz w:val="44"/>
      <w:szCs w:val="44"/>
    </w:rPr>
  </w:style>
  <w:style w:type="paragraph" w:styleId="2">
    <w:name w:val="heading 2"/>
    <w:basedOn w:val="1"/>
    <w:next w:val="1"/>
    <w:link w:val="27"/>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4">
    <w:name w:val="heading 3"/>
    <w:basedOn w:val="1"/>
    <w:next w:val="1"/>
    <w:link w:val="30"/>
    <w:unhideWhenUsed/>
    <w:qFormat/>
    <w:uiPriority w:val="9"/>
    <w:pPr>
      <w:keepNext/>
      <w:keepLines/>
      <w:spacing w:before="260" w:after="260" w:line="416" w:lineRule="auto"/>
      <w:outlineLvl w:val="2"/>
    </w:pPr>
    <w:rPr>
      <w:b/>
      <w:bCs/>
      <w:sz w:val="32"/>
      <w:szCs w:val="32"/>
    </w:rPr>
  </w:style>
  <w:style w:type="character" w:default="1" w:styleId="15">
    <w:name w:val="Default Paragraph Font"/>
    <w:semiHidden/>
    <w:unhideWhenUsed/>
    <w:qFormat/>
    <w:uiPriority w:val="1"/>
  </w:style>
  <w:style w:type="table" w:default="1" w:styleId="14">
    <w:name w:val="Normal Table"/>
    <w:semiHidden/>
    <w:unhideWhenUsed/>
    <w:qFormat/>
    <w:uiPriority w:val="99"/>
    <w:tblPr>
      <w:tblCellMar>
        <w:top w:w="0" w:type="dxa"/>
        <w:left w:w="108" w:type="dxa"/>
        <w:bottom w:w="0" w:type="dxa"/>
        <w:right w:w="108" w:type="dxa"/>
      </w:tblCellMar>
    </w:tblPr>
  </w:style>
  <w:style w:type="paragraph" w:styleId="5">
    <w:name w:val="Body Text"/>
    <w:basedOn w:val="1"/>
    <w:link w:val="23"/>
    <w:qFormat/>
    <w:uiPriority w:val="99"/>
    <w:pPr>
      <w:spacing w:beforeLines="30"/>
    </w:pPr>
    <w:rPr>
      <w:rFonts w:ascii="仿宋_GB2312" w:eastAsia="仿宋_GB2312"/>
      <w:kern w:val="0"/>
      <w:sz w:val="30"/>
    </w:rPr>
  </w:style>
  <w:style w:type="paragraph" w:styleId="6">
    <w:name w:val="Body Text Indent"/>
    <w:basedOn w:val="1"/>
    <w:qFormat/>
    <w:uiPriority w:val="0"/>
    <w:pPr>
      <w:spacing w:line="560" w:lineRule="exact"/>
      <w:ind w:firstLine="640" w:firstLineChars="200"/>
      <w:jc w:val="left"/>
    </w:pPr>
    <w:rPr>
      <w:rFonts w:ascii="仿宋_GB2312" w:eastAsia="仿宋_GB2312"/>
      <w:sz w:val="32"/>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9"/>
    <w:semiHidden/>
    <w:unhideWhenUsed/>
    <w:qFormat/>
    <w:uiPriority w:val="99"/>
    <w:rPr>
      <w:sz w:val="18"/>
      <w:szCs w:val="18"/>
    </w:rPr>
  </w:style>
  <w:style w:type="paragraph" w:styleId="9">
    <w:name w:val="footer"/>
    <w:basedOn w:val="1"/>
    <w:link w:val="21"/>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9"/>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paragraph" w:styleId="13">
    <w:name w:val="Body Text First Indent 2"/>
    <w:basedOn w:val="6"/>
    <w:next w:val="1"/>
    <w:qFormat/>
    <w:uiPriority w:val="0"/>
    <w:pPr>
      <w:ind w:firstLine="420" w:firstLineChars="200"/>
    </w:pPr>
    <w:rPr>
      <w:rFonts w:ascii="Times New Roman" w:hAnsi="Times New Roman" w:eastAsia="宋体" w:cs="Times New Roman"/>
    </w:rPr>
  </w:style>
  <w:style w:type="character" w:styleId="16">
    <w:name w:val="Strong"/>
    <w:basedOn w:val="15"/>
    <w:qFormat/>
    <w:uiPriority w:val="99"/>
    <w:rPr>
      <w:b/>
    </w:rPr>
  </w:style>
  <w:style w:type="character" w:styleId="17">
    <w:name w:val="Hyperlink"/>
    <w:basedOn w:val="15"/>
    <w:unhideWhenUsed/>
    <w:qFormat/>
    <w:uiPriority w:val="99"/>
    <w:rPr>
      <w:color w:val="0000FF" w:themeColor="hyperlink"/>
      <w:u w:val="single"/>
      <w14:textFill>
        <w14:solidFill>
          <w14:schemeClr w14:val="hlink"/>
        </w14:solidFill>
      </w14:textFill>
    </w:rPr>
  </w:style>
  <w:style w:type="character" w:customStyle="1" w:styleId="18">
    <w:name w:val="Header Char"/>
    <w:basedOn w:val="15"/>
    <w:semiHidden/>
    <w:qFormat/>
    <w:uiPriority w:val="99"/>
    <w:rPr>
      <w:rFonts w:ascii="Times New Roman" w:hAnsi="Times New Roman"/>
      <w:sz w:val="18"/>
      <w:szCs w:val="18"/>
    </w:rPr>
  </w:style>
  <w:style w:type="character" w:customStyle="1" w:styleId="19">
    <w:name w:val="页眉 字符"/>
    <w:link w:val="10"/>
    <w:semiHidden/>
    <w:qFormat/>
    <w:locked/>
    <w:uiPriority w:val="99"/>
    <w:rPr>
      <w:sz w:val="18"/>
    </w:rPr>
  </w:style>
  <w:style w:type="character" w:customStyle="1" w:styleId="20">
    <w:name w:val="Footer Char"/>
    <w:basedOn w:val="15"/>
    <w:semiHidden/>
    <w:qFormat/>
    <w:uiPriority w:val="99"/>
    <w:rPr>
      <w:rFonts w:ascii="Times New Roman" w:hAnsi="Times New Roman"/>
      <w:sz w:val="18"/>
      <w:szCs w:val="18"/>
    </w:rPr>
  </w:style>
  <w:style w:type="character" w:customStyle="1" w:styleId="21">
    <w:name w:val="页脚 字符"/>
    <w:link w:val="9"/>
    <w:qFormat/>
    <w:locked/>
    <w:uiPriority w:val="99"/>
    <w:rPr>
      <w:sz w:val="18"/>
    </w:rPr>
  </w:style>
  <w:style w:type="character" w:customStyle="1" w:styleId="22">
    <w:name w:val="Body Text Char"/>
    <w:basedOn w:val="15"/>
    <w:semiHidden/>
    <w:qFormat/>
    <w:uiPriority w:val="99"/>
    <w:rPr>
      <w:rFonts w:ascii="Times New Roman" w:hAnsi="Times New Roman"/>
      <w:szCs w:val="24"/>
    </w:rPr>
  </w:style>
  <w:style w:type="character" w:customStyle="1" w:styleId="23">
    <w:name w:val="正文文本 字符"/>
    <w:link w:val="5"/>
    <w:qFormat/>
    <w:locked/>
    <w:uiPriority w:val="99"/>
    <w:rPr>
      <w:rFonts w:ascii="仿宋_GB2312" w:hAnsi="Times New Roman" w:eastAsia="仿宋_GB2312"/>
      <w:sz w:val="24"/>
    </w:rPr>
  </w:style>
  <w:style w:type="paragraph" w:customStyle="1" w:styleId="24">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5">
    <w:name w:val="List Paragraph"/>
    <w:basedOn w:val="1"/>
    <w:qFormat/>
    <w:uiPriority w:val="34"/>
    <w:pPr>
      <w:ind w:firstLine="420" w:firstLineChars="200"/>
    </w:pPr>
  </w:style>
  <w:style w:type="character" w:customStyle="1" w:styleId="26">
    <w:name w:val="标题 1 字符"/>
    <w:basedOn w:val="15"/>
    <w:link w:val="3"/>
    <w:qFormat/>
    <w:uiPriority w:val="9"/>
    <w:rPr>
      <w:rFonts w:ascii="Times New Roman" w:hAnsi="Times New Roman"/>
      <w:b/>
      <w:bCs/>
      <w:kern w:val="44"/>
      <w:sz w:val="44"/>
      <w:szCs w:val="44"/>
    </w:rPr>
  </w:style>
  <w:style w:type="character" w:customStyle="1" w:styleId="27">
    <w:name w:val="标题 2 字符"/>
    <w:basedOn w:val="15"/>
    <w:link w:val="2"/>
    <w:qFormat/>
    <w:uiPriority w:val="9"/>
    <w:rPr>
      <w:rFonts w:asciiTheme="majorHAnsi" w:hAnsiTheme="majorHAnsi" w:eastAsiaTheme="majorEastAsia" w:cstheme="majorBidi"/>
      <w:b/>
      <w:bCs/>
      <w:kern w:val="2"/>
      <w:sz w:val="32"/>
      <w:szCs w:val="32"/>
    </w:rPr>
  </w:style>
  <w:style w:type="paragraph" w:customStyle="1" w:styleId="28">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9">
    <w:name w:val="批注框文本 字符"/>
    <w:basedOn w:val="15"/>
    <w:link w:val="8"/>
    <w:semiHidden/>
    <w:qFormat/>
    <w:uiPriority w:val="99"/>
    <w:rPr>
      <w:rFonts w:ascii="Times New Roman" w:hAnsi="Times New Roman"/>
      <w:kern w:val="2"/>
      <w:sz w:val="18"/>
      <w:szCs w:val="18"/>
    </w:rPr>
  </w:style>
  <w:style w:type="character" w:customStyle="1" w:styleId="30">
    <w:name w:val="标题 3 字符"/>
    <w:basedOn w:val="15"/>
    <w:link w:val="4"/>
    <w:qFormat/>
    <w:uiPriority w:val="9"/>
    <w:rPr>
      <w:rFonts w:ascii="Times New Roman" w:hAnsi="Times New Roman"/>
      <w:b/>
      <w:bCs/>
      <w:kern w:val="2"/>
      <w:sz w:val="32"/>
      <w:szCs w:val="32"/>
    </w:rPr>
  </w:style>
  <w:style w:type="paragraph" w:customStyle="1" w:styleId="31">
    <w:name w:val="TOC 标题2"/>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32">
    <w:name w:val="font21"/>
    <w:basedOn w:val="15"/>
    <w:qFormat/>
    <w:uiPriority w:val="0"/>
    <w:rPr>
      <w:rFonts w:hint="eastAsia" w:ascii="宋体" w:hAnsi="宋体" w:eastAsia="宋体" w:cs="宋体"/>
      <w:color w:val="000000"/>
      <w:sz w:val="20"/>
      <w:szCs w:val="20"/>
      <w:u w:val="none"/>
    </w:rPr>
  </w:style>
  <w:style w:type="character" w:customStyle="1" w:styleId="33">
    <w:name w:val="font11"/>
    <w:basedOn w:val="15"/>
    <w:qFormat/>
    <w:uiPriority w:val="0"/>
    <w:rPr>
      <w:rFonts w:hint="eastAsia" w:ascii="宋体" w:hAnsi="宋体" w:eastAsia="宋体" w:cs="宋体"/>
      <w:color w:val="000000"/>
      <w:sz w:val="20"/>
      <w:szCs w:val="20"/>
      <w:u w:val="none"/>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4" Type="http://schemas.openxmlformats.org/officeDocument/2006/relationships/fontTable" Target="fontTable.xml"/><Relationship Id="rId13" Type="http://schemas.openxmlformats.org/officeDocument/2006/relationships/numbering" Target="numbering.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7" Type="http://schemas.openxmlformats.org/officeDocument/2006/relationships/font" Target="fonts/font7.odttf"/><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2.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oleObject" Target="file:///C:\Users\Administrator\AppData\Local\Temp\360zip$Temp\360$0\&#20915;&#31639;&#20844;&#24320;&#25554;&#22270;&#21046;&#20316;&#31034;&#2036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istrator\AppData\Local\Temp\360zip$Temp\360$0\&#20915;&#31639;&#20844;&#24320;&#25554;&#22270;&#21046;&#20316;&#31034;&#2036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col"/>
        <c:grouping val="clustered"/>
        <c:varyColors val="0"/>
        <c:ser>
          <c:idx val="0"/>
          <c:order val="0"/>
          <c:spPr>
            <a:solidFill>
              <a:schemeClr val="accent1"/>
            </a:solidFill>
          </c:spPr>
          <c:invertIfNegative val="0"/>
          <c:dPt>
            <c:idx val="1"/>
            <c:invertIfNegative val="0"/>
            <c:bubble3D val="0"/>
            <c:spPr>
              <a:solidFill>
                <a:srgbClr val="FFC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[决算公开插图制作示例.xlsx]图一!$A$1:$B$1</c:f>
              <c:strCache>
                <c:ptCount val="2"/>
                <c:pt idx="0">
                  <c:v>2021年</c:v>
                </c:pt>
                <c:pt idx="1">
                  <c:v>2022年</c:v>
                </c:pt>
              </c:strCache>
            </c:strRef>
          </c:cat>
          <c:val>
            <c:numRef>
              <c:f>[决算公开插图制作示例.xlsx]图一!$A$2:$B$2</c:f>
              <c:numCache>
                <c:formatCode>General</c:formatCode>
                <c:ptCount val="2"/>
                <c:pt idx="0">
                  <c:v>263.16</c:v>
                </c:pt>
                <c:pt idx="1">
                  <c:v>202.62</c:v>
                </c:pt>
              </c:numCache>
            </c:numRef>
          </c:val>
        </c:ser>
        <c:dLbls>
          <c:showLegendKey val="0"/>
          <c:showVal val="1"/>
          <c:showCatName val="0"/>
          <c:showSerName val="0"/>
          <c:showPercent val="0"/>
          <c:showBubbleSize val="0"/>
        </c:dLbls>
        <c:gapWidth val="150"/>
        <c:axId val="132649344"/>
        <c:axId val="132650880"/>
      </c:barChart>
      <c:catAx>
        <c:axId val="132649344"/>
        <c:scaling>
          <c:orientation val="minMax"/>
        </c:scaling>
        <c:delete val="0"/>
        <c:axPos val="b"/>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50880"/>
        <c:crosses val="autoZero"/>
        <c:auto val="1"/>
        <c:lblAlgn val="ctr"/>
        <c:lblOffset val="100"/>
        <c:noMultiLvlLbl val="0"/>
      </c:catAx>
      <c:valAx>
        <c:axId val="132650880"/>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2649344"/>
        <c:crosses val="autoZero"/>
        <c:crossBetween val="between"/>
      </c:valAx>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1"/>
          <a:lstStyle/>
          <a:p>
            <a:pPr defTabSz="914400">
              <a:defRPr lang="zh-CN" sz="1400" b="0" i="0" u="none" strike="noStrike" kern="1200" spc="0" baseline="0">
                <a:solidFill>
                  <a:schemeClr val="tx1">
                    <a:lumMod val="65000"/>
                    <a:lumOff val="35000"/>
                  </a:schemeClr>
                </a:solidFill>
                <a:latin typeface="+mn-lt"/>
                <a:ea typeface="+mn-ea"/>
                <a:cs typeface="+mn-cs"/>
              </a:defRPr>
            </a:pPr>
            <a:r>
              <a:t>图</a:t>
            </a:r>
            <a:r>
              <a:rPr lang="en-US" altLang="zh-CN"/>
              <a:t>2:</a:t>
            </a:r>
            <a:r>
              <a:rPr altLang="en-US"/>
              <a:t>收入决算结构图</a:t>
            </a:r>
            <a:endParaRPr altLang="en-US"/>
          </a:p>
        </c:rich>
      </c:tx>
      <c:layout/>
      <c:overlay val="0"/>
      <c:spPr>
        <a:noFill/>
        <a:ln>
          <a:noFill/>
        </a:ln>
        <a:effectLst/>
      </c:spPr>
    </c:title>
    <c:autoTitleDeleted val="0"/>
    <c:plotArea>
      <c:layout>
        <c:manualLayout>
          <c:layoutTarget val="inner"/>
          <c:xMode val="edge"/>
          <c:yMode val="edge"/>
          <c:x val="0.342013888888889"/>
          <c:y val="0.176388888888889"/>
          <c:w val="0.324305555555556"/>
          <c:h val="0.540509259259259"/>
        </c:manualLayout>
      </c:layout>
      <c:pieChart>
        <c:varyColors val="1"/>
        <c:ser>
          <c:idx val="0"/>
          <c:order val="0"/>
          <c:spPr/>
          <c:explosion val="0"/>
          <c:dLbls>
            <c:delete val="1"/>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[决算公开插图制作示例.xlsx]图二!$B$1:$B$6</c:f>
            </c:numRef>
          </c:val>
        </c:ser>
        <c:ser>
          <c:idx val="1"/>
          <c:order val="1"/>
          <c:spPr/>
          <c:explosion val="0"/>
          <c:dPt>
            <c:idx val="0"/>
            <c:bubble3D val="0"/>
            <c:spPr>
              <a:solidFill>
                <a:schemeClr val="accent1"/>
              </a:solidFill>
              <a:ln w="19050">
                <a:solidFill>
                  <a:schemeClr val="lt1"/>
                </a:solidFill>
              </a:ln>
              <a:effectLst/>
            </c:spPr>
          </c:dPt>
          <c:dPt>
            <c:idx val="1"/>
            <c:bubble3D val="0"/>
            <c:spPr>
              <a:solidFill>
                <a:schemeClr val="accent2"/>
              </a:solidFill>
              <a:ln w="19050">
                <a:solidFill>
                  <a:schemeClr val="lt1"/>
                </a:solidFill>
              </a:ln>
              <a:effectLst/>
            </c:spPr>
          </c:dPt>
          <c:dPt>
            <c:idx val="2"/>
            <c:bubble3D val="0"/>
            <c:spPr>
              <a:solidFill>
                <a:schemeClr val="accent3"/>
              </a:solidFill>
              <a:ln w="19050">
                <a:solidFill>
                  <a:schemeClr val="lt1"/>
                </a:solidFill>
              </a:ln>
              <a:effectLst/>
            </c:spPr>
          </c:dPt>
          <c:dPt>
            <c:idx val="3"/>
            <c:bubble3D val="0"/>
            <c:spPr>
              <a:solidFill>
                <a:schemeClr val="accent4"/>
              </a:solidFill>
              <a:ln w="19050">
                <a:solidFill>
                  <a:schemeClr val="lt1"/>
                </a:solidFill>
              </a:ln>
              <a:effectLst/>
            </c:spPr>
          </c:dPt>
          <c:dPt>
            <c:idx val="4"/>
            <c:bubble3D val="0"/>
            <c:spPr>
              <a:solidFill>
                <a:schemeClr val="accent5"/>
              </a:solidFill>
              <a:ln w="19050">
                <a:solidFill>
                  <a:schemeClr val="lt1"/>
                </a:solidFill>
              </a:ln>
              <a:effectLst/>
            </c:spPr>
          </c:dPt>
          <c:dPt>
            <c:idx val="5"/>
            <c:bubble3D val="0"/>
            <c:spPr>
              <a:solidFill>
                <a:schemeClr val="accent6"/>
              </a:solidFill>
              <a:ln w="19050">
                <a:solidFill>
                  <a:schemeClr val="lt1"/>
                </a:solidFill>
              </a:ln>
              <a:effectLst/>
            </c:spPr>
          </c:dPt>
          <c:dLbls>
            <c:dLbl>
              <c:idx val="1"/>
              <c:layout>
                <c:manualLayout>
                  <c:x val="0.0321654287916653"/>
                  <c:y val="-0.14979027458553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[决算公开插图制作示例.xlsx]图二!$A$1:$A$6</c:f>
              <c:strCache>
                <c:ptCount val="6"/>
                <c:pt idx="0">
                  <c:v>一、一般公共预算财政拨款收入</c:v>
                </c:pt>
                <c:pt idx="1">
                  <c:v>二、政府性基金预算财政拨款收入</c:v>
                </c:pt>
                <c:pt idx="2">
                  <c:v>三、国有资本经营预算财政拨款收入</c:v>
                </c:pt>
                <c:pt idx="3">
                  <c:v>四、事业收入</c:v>
                </c:pt>
                <c:pt idx="4">
                  <c:v>五、经营收入</c:v>
                </c:pt>
                <c:pt idx="5">
                  <c:v>六、其他收入</c:v>
                </c:pt>
              </c:strCache>
            </c:strRef>
          </c:cat>
          <c:val>
            <c:numRef>
              <c:f>[决算公开插图制作示例.xlsx]图二!$C$1:$C$6</c:f>
              <c:numCache>
                <c:formatCode>0.00%</c:formatCode>
                <c:ptCount val="6"/>
                <c:pt idx="0">
                  <c:v>1</c:v>
                </c:pt>
                <c:pt idx="1">
                  <c:v>0</c:v>
                </c:pt>
                <c:pt idx="2">
                  <c:v>0</c:v>
                </c:pt>
                <c:pt idx="3">
                  <c:v>0</c:v>
                </c:pt>
                <c:pt idx="4">
                  <c:v>0</c:v>
                </c:pt>
                <c:pt idx="5">
                  <c:v>0</c:v>
                </c:pt>
              </c:numCache>
            </c:numRef>
          </c:val>
        </c:ser>
        <c:dLbls>
          <c:showLegendKey val="0"/>
          <c:showVal val="0"/>
          <c:showCatName val="0"/>
          <c:showSerName val="0"/>
          <c:showPercent val="0"/>
          <c:showBubbleSize val="0"/>
          <c:showLeaderLines val="1"/>
        </c:dLbls>
        <c:firstSliceAng val="0"/>
      </c:pieChart>
      <c:spPr>
        <a:noFill/>
        <a:ln>
          <a:noFill/>
        </a:ln>
        <a:effectLst/>
      </c:spPr>
    </c:plotArea>
    <c:legend>
      <c:legendPos val="b"/>
      <c:layout/>
      <c:overlay val="0"/>
      <c:spPr>
        <a:noFill/>
        <a:ln>
          <a:noFill/>
        </a:ln>
        <a:effectLst/>
      </c:spPr>
      <c:txPr>
        <a:bodyPr rot="0" spcFirstLastPara="0" vertOverflow="ellipsis" vert="horz" wrap="square" anchor="ctr" anchorCtr="1"/>
        <a:lstStyle/>
        <a:p>
          <a:pPr>
            <a:defRPr lang="zh-CN" sz="900" b="0" i="0" u="none" strike="noStrike" kern="1200" baseline="0">
              <a:solidFill>
                <a:schemeClr val="tx1">
                  <a:lumMod val="65000"/>
                  <a:lumOff val="35000"/>
                </a:schemeClr>
              </a:solidFill>
              <a:latin typeface="+mn-lt"/>
              <a:ea typeface="+mn-ea"/>
              <a:cs typeface="+mn-cs"/>
            </a:defRPr>
          </a:pP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69224846894138"/>
          <c:y val="0.150462962962963"/>
          <c:w val="0.566371172353456"/>
          <c:h val="0.689814814814815"/>
        </c:manualLayout>
      </c:layout>
      <c:pieChart>
        <c:varyColors val="1"/>
        <c:ser>
          <c:idx val="0"/>
          <c:order val="0"/>
          <c:explosion val="0"/>
          <c:dPt>
            <c:idx val="0"/>
            <c:bubble3D val="0"/>
          </c:dPt>
          <c:dPt>
            <c:idx val="1"/>
            <c:bubble3D val="0"/>
          </c:dPt>
          <c:dLbls>
            <c:dLbl>
              <c:idx val="0"/>
              <c:layout>
                <c:manualLayout>
                  <c:x val="0.0848707349081365"/>
                  <c:y val="-0.17157334499854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286458880139982"/>
                  <c:y val="0.140147273257509"/>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[决算公开插图制作示例.xlsx]图三!$A$2:$B$2</c:f>
              <c:strCache>
                <c:ptCount val="2"/>
                <c:pt idx="0">
                  <c:v>基本支出</c:v>
                </c:pt>
                <c:pt idx="1">
                  <c:v>项目支出</c:v>
                </c:pt>
              </c:strCache>
            </c:strRef>
          </c:cat>
          <c:val>
            <c:numRef>
              <c:f>[决算公开插图制作示例.xlsx]图三!$A$3:$B$3</c:f>
              <c:numCache>
                <c:formatCode>0.00%</c:formatCode>
                <c:ptCount val="2"/>
                <c:pt idx="0">
                  <c:v>0.7893</c:v>
                </c:pt>
                <c:pt idx="1">
                  <c:v>0.2107</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777043088363955"/>
          <c:y val="0.434801326917469"/>
          <c:w val="0.186845800524934"/>
          <c:h val="0.1674343832021"/>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9668853893263"/>
          <c:y val="0.0514005540974045"/>
          <c:w val="0.587929790026247"/>
          <c:h val="0.824965368912219"/>
        </c:manualLayout>
      </c:layout>
      <c:barChart>
        <c:barDir val="col"/>
        <c:grouping val="clustered"/>
        <c:varyColors val="0"/>
        <c:ser>
          <c:idx val="0"/>
          <c:order val="0"/>
          <c:invertIfNegative val="0"/>
          <c:dPt>
            <c:idx val="1"/>
            <c:invertIfNegative val="0"/>
            <c:bubble3D val="0"/>
            <c:spPr>
              <a:solidFill>
                <a:srgbClr val="C0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'[决算公开插图制作示例.xlsx]图4 '!$A$1:$B$1</c:f>
              <c:strCache>
                <c:ptCount val="2"/>
                <c:pt idx="0">
                  <c:v>2021年</c:v>
                </c:pt>
                <c:pt idx="1">
                  <c:v>2022年</c:v>
                </c:pt>
              </c:strCache>
            </c:strRef>
          </c:cat>
          <c:val>
            <c:numRef>
              <c:f>'[决算公开插图制作示例.xlsx]图4 '!$A$2:$B$2</c:f>
              <c:numCache>
                <c:formatCode>General</c:formatCode>
                <c:ptCount val="2"/>
                <c:pt idx="0">
                  <c:v>263.16</c:v>
                </c:pt>
                <c:pt idx="1">
                  <c:v>202.62</c:v>
                </c:pt>
              </c:numCache>
            </c:numRef>
          </c:val>
        </c:ser>
        <c:dLbls>
          <c:showLegendKey val="0"/>
          <c:showVal val="1"/>
          <c:showCatName val="0"/>
          <c:showSerName val="0"/>
          <c:showPercent val="0"/>
          <c:showBubbleSize val="0"/>
        </c:dLbls>
        <c:gapWidth val="150"/>
        <c:axId val="133066112"/>
        <c:axId val="133084288"/>
      </c:barChart>
      <c:catAx>
        <c:axId val="133066112"/>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084288"/>
        <c:crosses val="autoZero"/>
        <c:auto val="1"/>
        <c:lblAlgn val="ctr"/>
        <c:lblOffset val="100"/>
        <c:noMultiLvlLbl val="0"/>
      </c:catAx>
      <c:valAx>
        <c:axId val="133084288"/>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066112"/>
        <c:crosses val="autoZero"/>
        <c:crossBetween val="between"/>
      </c:valAx>
    </c:plotArea>
    <c:legend>
      <c:legendPos val="r"/>
      <c:layout>
        <c:manualLayout>
          <c:xMode val="edge"/>
          <c:yMode val="edge"/>
          <c:x val="0.763154199475066"/>
          <c:y val="0.360343394575678"/>
          <c:w val="0.220179133858268"/>
          <c:h val="0.279313210848644"/>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098571741032371"/>
          <c:y val="0.168676727909011"/>
          <c:w val="0.606249125109361"/>
          <c:h val="0.679911417322835"/>
        </c:manualLayout>
      </c:layout>
      <c:barChart>
        <c:barDir val="col"/>
        <c:grouping val="clustered"/>
        <c:varyColors val="0"/>
        <c:ser>
          <c:idx val="0"/>
          <c:order val="0"/>
          <c:invertIfNegative val="0"/>
          <c:dPt>
            <c:idx val="1"/>
            <c:invertIfNegative val="0"/>
            <c:bubble3D val="0"/>
            <c:spPr>
              <a:solidFill>
                <a:srgbClr val="FF0000"/>
              </a:solidFill>
            </c:spPr>
          </c:dPt>
          <c:dLbls>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15:leaderLines/>
              </c:ext>
            </c:extLst>
          </c:dLbls>
          <c:cat>
            <c:strRef>
              <c:f>[决算公开插图制作示例.xlsx]图5!$A$1:$B$1</c:f>
              <c:strCache>
                <c:ptCount val="2"/>
                <c:pt idx="0">
                  <c:v>2021年</c:v>
                </c:pt>
                <c:pt idx="1">
                  <c:v>2022年</c:v>
                </c:pt>
              </c:strCache>
            </c:strRef>
          </c:cat>
          <c:val>
            <c:numRef>
              <c:f>[决算公开插图制作示例.xlsx]图5!$A$2:$B$2</c:f>
              <c:numCache>
                <c:formatCode>General</c:formatCode>
                <c:ptCount val="2"/>
                <c:pt idx="0">
                  <c:v>263.16</c:v>
                </c:pt>
                <c:pt idx="1">
                  <c:v>202.62</c:v>
                </c:pt>
              </c:numCache>
            </c:numRef>
          </c:val>
        </c:ser>
        <c:dLbls>
          <c:showLegendKey val="0"/>
          <c:showVal val="1"/>
          <c:showCatName val="0"/>
          <c:showSerName val="0"/>
          <c:showPercent val="0"/>
          <c:showBubbleSize val="0"/>
        </c:dLbls>
        <c:gapWidth val="150"/>
        <c:axId val="133142016"/>
        <c:axId val="133143552"/>
      </c:barChart>
      <c:catAx>
        <c:axId val="133142016"/>
        <c:scaling>
          <c:orientation val="minMax"/>
        </c:scaling>
        <c:delete val="0"/>
        <c:axPos val="b"/>
        <c:majorTickMark val="out"/>
        <c:minorTickMark val="none"/>
        <c:tickLblPos val="nextTo"/>
        <c:txPr>
          <a:bodyPr rot="-60000000" spcFirstLastPara="0" vertOverflow="ellipsis" vert="horz" wrap="square" anchor="ctr" anchorCtr="1"/>
          <a:lstStyle/>
          <a:p>
            <a:pPr>
              <a:defRPr lang="zh-CN" sz="600" b="0" i="0" u="none" strike="noStrike" kern="1200" baseline="0">
                <a:solidFill>
                  <a:schemeClr val="tx1"/>
                </a:solidFill>
                <a:latin typeface="+mn-lt"/>
                <a:ea typeface="+mn-ea"/>
                <a:cs typeface="+mn-cs"/>
              </a:defRPr>
            </a:pPr>
          </a:p>
        </c:txPr>
        <c:crossAx val="133143552"/>
        <c:crosses val="autoZero"/>
        <c:auto val="1"/>
        <c:lblAlgn val="ctr"/>
        <c:lblOffset val="100"/>
        <c:noMultiLvlLbl val="0"/>
      </c:catAx>
      <c:valAx>
        <c:axId val="133143552"/>
        <c:scaling>
          <c:orientation val="minMax"/>
        </c:scaling>
        <c:delete val="0"/>
        <c:axPos val="l"/>
        <c:majorGridlines/>
        <c:numFmt formatCode="General" sourceLinked="1"/>
        <c:majorTickMark val="out"/>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133142016"/>
        <c:crosses val="autoZero"/>
        <c:crossBetween val="between"/>
      </c:valAx>
    </c:plotArea>
    <c:legend>
      <c:legendPos val="tr"/>
      <c:layout>
        <c:manualLayout>
          <c:xMode val="edge"/>
          <c:yMode val="edge"/>
          <c:x val="0.765931977252843"/>
          <c:y val="0.236111111111111"/>
          <c:w val="0.211845800524934"/>
          <c:h val="0.45523913677457"/>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spPr>
              <a:solidFill>
                <a:schemeClr val="tx2">
                  <a:lumMod val="40000"/>
                  <a:lumOff val="60000"/>
                </a:schemeClr>
              </a:solidFill>
            </c:spPr>
          </c:dPt>
          <c:dPt>
            <c:idx val="1"/>
            <c:bubble3D val="0"/>
          </c:dPt>
          <c:dPt>
            <c:idx val="2"/>
            <c:bubble3D val="0"/>
          </c:dPt>
          <c:dPt>
            <c:idx val="3"/>
            <c:bubble3D val="0"/>
          </c:dPt>
          <c:dLbls>
            <c:dLbl>
              <c:idx val="0"/>
              <c:layout>
                <c:manualLayout>
                  <c:x val="0.0483216316710411"/>
                  <c:y val="0.0977380431612715"/>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0546208442694663"/>
                  <c:y val="-0.035963108778069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0100951443569554"/>
                  <c:y val="-0.132278361038204"/>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3"/>
              <c:layout>
                <c:manualLayout>
                  <c:x val="0.166543197725284"/>
                  <c:y val="-0.108673447069116"/>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[决算公开插图制作示例.xlsx]图6!$A$2:$A$5</c:f>
              <c:strCache>
                <c:ptCount val="4"/>
                <c:pt idx="0">
                  <c:v>文化旅游体育与传媒支出</c:v>
                </c:pt>
                <c:pt idx="1">
                  <c:v>社会保障和就业（类）支出</c:v>
                </c:pt>
                <c:pt idx="2">
                  <c:v>卫生健康(类)支出</c:v>
                </c:pt>
                <c:pt idx="3">
                  <c:v>住房保障（类）支出</c:v>
                </c:pt>
              </c:strCache>
            </c:strRef>
          </c:cat>
          <c:val>
            <c:numRef>
              <c:f>[决算公开插图制作示例.xlsx]图6!$B$2:$B$5</c:f>
              <c:numCache>
                <c:formatCode>General</c:formatCode>
                <c:ptCount val="4"/>
                <c:pt idx="0">
                  <c:v>171.73</c:v>
                </c:pt>
                <c:pt idx="1">
                  <c:v>13.68</c:v>
                </c:pt>
                <c:pt idx="2">
                  <c:v>6.84</c:v>
                </c:pt>
                <c:pt idx="3">
                  <c:v>10.26</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explosion val="0"/>
          <c:dPt>
            <c:idx val="0"/>
            <c:bubble3D val="0"/>
          </c:dPt>
          <c:dPt>
            <c:idx val="1"/>
            <c:bubble3D val="0"/>
          </c:dPt>
          <c:dPt>
            <c:idx val="2"/>
            <c:bubble3D val="0"/>
          </c:dPt>
          <c:dLbls>
            <c:dLbl>
              <c:idx val="0"/>
              <c:layout>
                <c:manualLayout>
                  <c:x val="-0.0677309711286089"/>
                  <c:y val="-0.062589676290463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1"/>
              <c:layout>
                <c:manualLayout>
                  <c:x val="0.112130139982502"/>
                  <c:y val="-0.0498581948089822"/>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dLbl>
              <c:idx val="2"/>
              <c:layout>
                <c:manualLayout>
                  <c:x val="0.179491251093613"/>
                  <c:y val="0.0549697433654127"/>
                </c:manualLayout>
              </c:layout>
              <c:dLblPos val="bestFit"/>
              <c:showLegendKey val="0"/>
              <c:showVal val="1"/>
              <c:showCatName val="0"/>
              <c:showSerName val="0"/>
              <c:showPercent val="0"/>
              <c:showBubbleSize val="0"/>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1"/>
              <a:lstStyle/>
              <a:p>
                <a:pPr>
                  <a:defRPr lang="zh-CN" sz="1000" b="0" i="0" u="none" strike="noStrike" kern="1200" baseline="0">
                    <a:solidFill>
                      <a:schemeClr val="tx1"/>
                    </a:solidFill>
                    <a:latin typeface="+mn-lt"/>
                    <a:ea typeface="+mn-ea"/>
                    <a:cs typeface="+mn-cs"/>
                  </a:defRPr>
                </a:pPr>
              </a:p>
            </c:txPr>
            <c:dLblPos val="bestFit"/>
            <c:showLegendKey val="0"/>
            <c:showVal val="1"/>
            <c:showCatName val="0"/>
            <c:showSerName val="0"/>
            <c:showPercent val="0"/>
            <c:showBubbleSize val="0"/>
            <c:showLeaderLines val="1"/>
            <c:extLst>
              <c:ext xmlns:c15="http://schemas.microsoft.com/office/drawing/2012/chart" uri="{CE6537A1-D6FC-4f65-9D91-7224C49458BB}">
                <c15:layout/>
                <c15:showLeaderLines val="1"/>
                <c15:leaderLines/>
              </c:ext>
            </c:extLst>
          </c:dLbls>
          <c:cat>
            <c:strRef>
              <c:f>[决算公开插图制作示例.xlsx]图7!$A$2:$A$4</c:f>
              <c:strCache>
                <c:ptCount val="3"/>
                <c:pt idx="0">
                  <c:v>因公出国（境）费支出</c:v>
                </c:pt>
                <c:pt idx="1">
                  <c:v>公务用车购置及运行维护费支出</c:v>
                </c:pt>
                <c:pt idx="2">
                  <c:v>公务接待费支出</c:v>
                </c:pt>
              </c:strCache>
            </c:strRef>
          </c:cat>
          <c:val>
            <c:numRef>
              <c:f>[决算公开插图制作示例.xlsx]图7!$B$2:$B$4</c:f>
              <c:numCache>
                <c:formatCode>General</c:formatCode>
                <c:ptCount val="3"/>
                <c:pt idx="0">
                  <c:v>0</c:v>
                </c:pt>
                <c:pt idx="1">
                  <c:v>0</c:v>
                </c:pt>
                <c:pt idx="2">
                  <c:v>0</c:v>
                </c:pt>
              </c:numCache>
            </c:numRef>
          </c:val>
        </c:ser>
        <c:dLbls>
          <c:showLegendKey val="0"/>
          <c:showVal val="1"/>
          <c:showCatName val="0"/>
          <c:showSerName val="0"/>
          <c:showPercent val="0"/>
          <c:showBubbleSize val="0"/>
          <c:showLeaderLines val="1"/>
        </c:dLbls>
        <c:firstSliceAng val="15"/>
      </c:pieChart>
      <c:spPr>
        <a:noFill/>
        <a:ln>
          <a:noFill/>
        </a:ln>
        <a:effectLst/>
      </c:spPr>
    </c:plotArea>
    <c:legend>
      <c:legendPos val="r"/>
      <c:layout>
        <c:manualLayout>
          <c:xMode val="edge"/>
          <c:yMode val="edge"/>
          <c:x val="0.664920094314907"/>
          <c:y val="0.341517389739563"/>
        </c:manualLayout>
      </c:layout>
      <c:overlay val="0"/>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legend>
    <c:plotVisOnly val="1"/>
    <c:dispBlanksAs val="gap"/>
    <c:showDLblsOverMax val="0"/>
  </c:chart>
  <c:txPr>
    <a:bodyPr/>
    <a:lstStyle/>
    <a:p>
      <a:pPr>
        <a:defRPr lang="zh-CN"/>
      </a:pPr>
    </a:p>
  </c:tx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四川省财政厅</Company>
  <Pages>19</Pages>
  <Words>5983</Words>
  <Characters>6378</Characters>
  <Lines>41</Lines>
  <Paragraphs>11</Paragraphs>
  <TotalTime>0</TotalTime>
  <ScaleCrop>false</ScaleCrop>
  <LinksUpToDate>false</LinksUpToDate>
  <CharactersWithSpaces>6405</CharactersWithSpaces>
  <Application>WPS Office_12.1.0.15712_F1E327BC-269C-435d-A152-05C5408002CA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2020-08-05T01:49:00Z</dcterms:created>
  <dc:creator>曹颖</dc:creator>
  <cp:lastModifiedBy>罗汉</cp:lastModifiedBy>
  <cp:lastPrinted>2023-07-31T02:35:00Z</cp:lastPrinted>
  <dcterms:modified xsi:type="dcterms:W3CDTF">2023-11-28T02:01:16Z</dcterms:modified>
  <dc:title>四川省***</dc:title>
  <cp:revision>35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2052-12.1.0.15712</vt:lpwstr>
  </property>
  <property fmtid="{D5CDD505-2E9C-101B-9397-08002B2CF9AE}" pid="3" name="ICV">
    <vt:lpwstr>EADECC5A33E749C68E06252689217BC3_12</vt:lpwstr>
  </property>
</Properties>
</file>