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77425"/>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77426"/>
      <w:bookmarkStart w:id="9" w:name="_Toc15396598"/>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rPr>
        <w:t>文化旅游和体</w:t>
      </w:r>
      <w:r>
        <w:rPr>
          <w:rFonts w:hint="eastAsia" w:ascii="方正小标宋简体" w:hAnsi="方正小标宋简体" w:eastAsia="方正小标宋简体" w:cs="方正小标宋简体"/>
          <w:sz w:val="72"/>
          <w:szCs w:val="72"/>
          <w:lang w:eastAsia="zh-CN"/>
        </w:rPr>
        <w:t>育局单位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sz w:val="24"/>
        </w:rPr>
      </w:pPr>
      <w:r>
        <w:rPr>
          <w:rFonts w:hint="eastAsia"/>
          <w:sz w:val="24"/>
        </w:rPr>
        <w:t>（一）单位</w:t>
      </w:r>
      <w:r>
        <w:rPr>
          <w:sz w:val="24"/>
        </w:rPr>
        <w:t>职责</w:t>
      </w:r>
    </w:p>
    <w:p>
      <w:pPr>
        <w:pStyle w:val="12"/>
        <w:adjustRightInd w:val="0"/>
        <w:snapToGrid w:val="0"/>
        <w:spacing w:line="440" w:lineRule="exact"/>
        <w:jc w:val="left"/>
        <w:rPr>
          <w:rFonts w:hint="eastAsia"/>
          <w:sz w:val="24"/>
        </w:rPr>
      </w:pPr>
      <w:r>
        <w:rPr>
          <w:rFonts w:hint="eastAsia"/>
          <w:sz w:val="24"/>
        </w:rPr>
        <w:t>（二）2022年重点工作完成情况</w:t>
      </w:r>
    </w:p>
    <w:p>
      <w:pPr>
        <w:pStyle w:val="12"/>
        <w:adjustRightInd w:val="0"/>
        <w:snapToGrid w:val="0"/>
        <w:spacing w:line="440" w:lineRule="exact"/>
        <w:jc w:val="left"/>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eastAsia="黑体"/>
          <w:sz w:val="32"/>
          <w:szCs w:val="32"/>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3"/>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主要职责</w:t>
      </w:r>
    </w:p>
    <w:p>
      <w:pPr>
        <w:pStyle w:val="5"/>
        <w:keepNext w:val="0"/>
        <w:keepLines w:val="0"/>
        <w:pageBreakBefore w:val="0"/>
        <w:widowControl w:val="0"/>
        <w:kinsoku/>
        <w:wordWrap/>
        <w:overflowPunct/>
        <w:topLinePunct w:val="0"/>
        <w:autoSpaceDE/>
        <w:autoSpaceDN/>
        <w:bidi w:val="0"/>
        <w:adjustRightInd w:val="0"/>
        <w:snapToGrid w:val="0"/>
        <w:spacing w:beforeLines="0" w:after="157" w:afterLines="50" w:line="540" w:lineRule="exact"/>
        <w:ind w:firstLine="672" w:firstLineChars="210"/>
        <w:textAlignment w:val="auto"/>
        <w:outlineLvl w:val="2"/>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1.坚持和加强党对文化、旅游和体育工作的集中统一领导，贯彻执行党和国家有关文化、旅游、体育、广播电视和文物工作的方针、政策和</w:t>
      </w:r>
      <w:r>
        <w:rPr>
          <w:rFonts w:hint="eastAsia" w:ascii="仿宋" w:hAnsi="仿宋" w:eastAsia="仿宋" w:cs="仿宋"/>
          <w:color w:val="000000"/>
          <w:kern w:val="0"/>
          <w:sz w:val="32"/>
          <w:szCs w:val="32"/>
          <w:lang w:eastAsia="zh-CN" w:bidi="ar"/>
        </w:rPr>
        <w:t>法律法规</w:t>
      </w:r>
      <w:r>
        <w:rPr>
          <w:rFonts w:hint="eastAsia" w:ascii="仿宋" w:hAnsi="仿宋" w:eastAsia="仿宋" w:cs="仿宋"/>
          <w:color w:val="000000"/>
          <w:kern w:val="0"/>
          <w:sz w:val="32"/>
          <w:szCs w:val="32"/>
          <w:lang w:bidi="ar"/>
        </w:rPr>
        <w:t>，拟订相关政策措施并组织实施，起草有关地方性法规、规章草案，负责本部门依法行政工作。制定文化旅游、体育产业发展的地方标准和行业规范并组织实施。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2.组织推动全县文化事业、文化产业、旅游业、体育事业、广播电视事业和文物发展，拟订发展规划并组织实施。统筹中国生态康养旅游名县建设工作，推进全域旅游。推进文化、旅游和体育体制机制改革，推进文化、旅游和体育融合发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3.管理全县性重大文化、旅游、体育、广播电视和文物活动，指导推进相关设施建设。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4.指导管理文化艺术事业，推动艺术创作生产，扶持体现社会主义核心价值观、具有导向性代表性示范性的文艺作品，推动各门类艺术、各艺术品种发展，推动中华优秀传统文化、巴蜀文化和剑阁特色文化传承发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5.负责公共文化事业发展，推进全县公共文化、体育服务体系建设和旅游公共服务建设，深入实施文化惠民工程，统筹推进基本公共文化服务标准化、均等化。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6.组织实施文化、旅游和体育资源普查、挖掘、保护与利用工作，监测文化旅游经济运行，促进文化旅游体育产业发展。推进文化、旅游和体育科技创新发展，推进文化、旅游和体育行业信息化、标准化建设。负责文化旅游体育科技教育培训和人才培养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7.负责非物质文化遗产保护，推动非物质文化遗产的保护、传承、普及、弘扬和振兴。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8.管理和指导全县文物保护利用与考古工作。组织文物资源调查。负责组织申报县级（含县级）以上文物保护单位，推动全县文物和博物馆公共服务体系建设。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9.指导文化和旅游市场发展，对文化和旅游市场进行行业监管，推进文化和旅游行业信用体系建设，依法规范文化和旅游市场。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10.负责文化、旅游、体育、广播电视和文物系统安全生产工作的综合协调与监督管理，对体育和广播电视系统、文化旅游园区、新业态安全生产和职业健康工作实施行业监督管理。制定职责范围内的安全生产年度监督检查计划并组织实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11.统筹全县文化旅游市场综合执法工作，组织查处辖区内文化、旅游、广播电视和文物等市场的违法行为，加强行业监管和督查督办，维护市场秩序。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12.制定全县文化旅游客源市场开发战略并组织实施，组织剑阁整体文化旅游形象的对外宣传和重大推广活动。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13.指导全县广播电视宣传和创作题材规划，监督管理全县广播电视节目、信息网络视听节目和公共视听载体播放的视听节目，审查其内容和质量，负责全县广播电视节目的进口和收录管理。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14.指导全县广播电视科技工作，负责全县广播电视节目传输、监测、安全播出和广播电视、信息网络视听节目服务机构及业务的监管，指导对从事广播电视节目制作民办机构的监管工作。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15.统筹全县群众体育发展，负责推行全民健身计划，监督实施国家体育锻炼标准，推动国民体质监测和社会体育指导工作队伍制度建设。统筹全县竞技体育发展，指导体育训练、体育竞赛和运动队伍建设，组织和统筹参加上级综合运动会，负责组织协调县级综合性运动会的竞赛工作。统筹青少年体育发展，指导和推进青少年体育工作。分类体育科研、技术攻关和成果推广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16.负责职责范围内的生态环境保护、审批服务便民化等。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17.完成县委、县政府交办的其他任务。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18.职能转变。以人民美好生活为引导，统筹推进文化事业、文化产业、旅游业、广播电视、体育事业融合发展和文物保护利用传承。用好文化创意、科技创新和社会投资等新动能，促进文化、旅游、广播电视、体育和文物与相关产业融合发展。巩固旅游业的战略性支柱产业地位，提升国家文化软实力、国际旅游竞争力。</w:t>
      </w:r>
    </w:p>
    <w:p>
      <w:pPr>
        <w:pStyle w:val="5"/>
        <w:keepNext w:val="0"/>
        <w:keepLines w:val="0"/>
        <w:pageBreakBefore w:val="0"/>
        <w:widowControl w:val="0"/>
        <w:kinsoku/>
        <w:wordWrap/>
        <w:overflowPunct/>
        <w:topLinePunct w:val="0"/>
        <w:autoSpaceDE/>
        <w:autoSpaceDN/>
        <w:bidi w:val="0"/>
        <w:adjustRightInd w:val="0"/>
        <w:snapToGrid w:val="0"/>
        <w:spacing w:beforeLines="0" w:line="540" w:lineRule="exact"/>
        <w:ind w:firstLine="640" w:firstLineChars="200"/>
        <w:textAlignment w:val="auto"/>
        <w:outlineLvl w:val="2"/>
        <w:rPr>
          <w:rFonts w:hint="eastAsia"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p>
    <w:p>
      <w:pPr>
        <w:spacing w:line="560" w:lineRule="exact"/>
        <w:ind w:firstLine="640" w:firstLineChars="200"/>
        <w:textAlignment w:val="baseline"/>
        <w:rPr>
          <w:rFonts w:ascii="仿宋" w:hAnsi="仿宋" w:eastAsia="仿宋"/>
          <w:sz w:val="32"/>
          <w:szCs w:val="32"/>
        </w:rPr>
      </w:pPr>
      <w:r>
        <w:rPr>
          <w:rFonts w:hint="eastAsia" w:ascii="仿宋_GB2312" w:hAnsi="仿宋_GB2312" w:eastAsia="仿宋_GB2312" w:cs="仿宋_GB2312"/>
          <w:sz w:val="32"/>
          <w:szCs w:val="32"/>
          <w:lang w:val="en-US" w:eastAsia="zh-CN"/>
        </w:rPr>
        <w:t>2022年以来，在县委、县政府坚强领导下，我局</w:t>
      </w:r>
      <w:r>
        <w:rPr>
          <w:rFonts w:hint="eastAsia" w:ascii="仿宋" w:hAnsi="仿宋" w:eastAsia="仿宋"/>
          <w:sz w:val="32"/>
          <w:szCs w:val="32"/>
        </w:rPr>
        <w:t>以</w:t>
      </w:r>
      <w:r>
        <w:rPr>
          <w:rFonts w:hint="eastAsia" w:ascii="仿宋" w:hAnsi="仿宋" w:eastAsia="仿宋"/>
          <w:sz w:val="32"/>
          <w:szCs w:val="32"/>
          <w:lang w:eastAsia="zh-CN"/>
        </w:rPr>
        <w:t>创建国家</w:t>
      </w:r>
      <w:r>
        <w:rPr>
          <w:rFonts w:hint="eastAsia" w:ascii="仿宋" w:hAnsi="仿宋" w:eastAsia="仿宋"/>
          <w:sz w:val="32"/>
          <w:szCs w:val="32"/>
        </w:rPr>
        <w:t>全域旅游示范区</w:t>
      </w:r>
      <w:r>
        <w:rPr>
          <w:rFonts w:hint="eastAsia" w:ascii="仿宋_GB2312" w:hAnsi="仿宋_GB2312" w:eastAsia="仿宋_GB2312" w:cs="仿宋_GB2312"/>
          <w:sz w:val="32"/>
          <w:szCs w:val="32"/>
        </w:rPr>
        <w:t>为抓手，</w:t>
      </w:r>
      <w:r>
        <w:rPr>
          <w:rFonts w:hint="eastAsia" w:ascii="仿宋" w:hAnsi="仿宋" w:eastAsia="仿宋"/>
          <w:sz w:val="32"/>
          <w:szCs w:val="32"/>
          <w:lang w:eastAsia="zh-CN"/>
        </w:rPr>
        <w:t>以</w:t>
      </w:r>
      <w:r>
        <w:rPr>
          <w:rFonts w:hint="eastAsia" w:ascii="仿宋" w:hAnsi="仿宋" w:eastAsia="仿宋"/>
          <w:sz w:val="32"/>
          <w:szCs w:val="32"/>
        </w:rPr>
        <w:t>打造大蜀道国际</w:t>
      </w:r>
      <w:r>
        <w:rPr>
          <w:rFonts w:hint="eastAsia" w:ascii="仿宋" w:hAnsi="仿宋" w:eastAsia="仿宋"/>
          <w:sz w:val="32"/>
          <w:szCs w:val="32"/>
          <w:lang w:eastAsia="zh-CN"/>
        </w:rPr>
        <w:t>文化</w:t>
      </w:r>
      <w:r>
        <w:rPr>
          <w:rFonts w:hint="eastAsia" w:ascii="仿宋" w:hAnsi="仿宋" w:eastAsia="仿宋"/>
          <w:sz w:val="32"/>
          <w:szCs w:val="32"/>
        </w:rPr>
        <w:t>旅游目的</w:t>
      </w:r>
      <w:r>
        <w:rPr>
          <w:rFonts w:hint="eastAsia" w:ascii="仿宋" w:hAnsi="仿宋" w:eastAsia="仿宋"/>
          <w:sz w:val="32"/>
          <w:szCs w:val="32"/>
          <w:lang w:eastAsia="zh-CN"/>
        </w:rPr>
        <w:t>地核心区为目标</w:t>
      </w:r>
      <w:r>
        <w:rPr>
          <w:rFonts w:hint="eastAsia" w:ascii="仿宋" w:hAnsi="仿宋" w:eastAsia="仿宋"/>
          <w:sz w:val="32"/>
          <w:szCs w:val="32"/>
        </w:rPr>
        <w:t>，</w:t>
      </w:r>
      <w:r>
        <w:rPr>
          <w:rFonts w:hint="eastAsia" w:ascii="仿宋" w:hAnsi="仿宋" w:eastAsia="仿宋"/>
          <w:sz w:val="32"/>
          <w:szCs w:val="32"/>
          <w:lang w:eastAsia="zh-CN"/>
        </w:rPr>
        <w:t>加快旅游发展、抓实民生实事、提升服务质量、创新宣传营销，文化旅游体育工作取得良好成效</w:t>
      </w:r>
      <w:r>
        <w:rPr>
          <w:rFonts w:ascii="仿宋" w:hAnsi="仿宋" w:eastAsia="仿宋"/>
          <w:sz w:val="32"/>
          <w:szCs w:val="32"/>
        </w:rPr>
        <w:t>。</w:t>
      </w:r>
    </w:p>
    <w:p>
      <w:pPr>
        <w:spacing w:line="560" w:lineRule="exact"/>
        <w:ind w:firstLine="643" w:firstLineChars="200"/>
        <w:textAlignment w:val="baseline"/>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一是抓实规划编制，绘制发展蓝图。</w:t>
      </w:r>
      <w:r>
        <w:rPr>
          <w:rFonts w:hint="eastAsia" w:ascii="仿宋" w:hAnsi="仿宋" w:eastAsia="仿宋" w:cs="仿宋"/>
          <w:sz w:val="32"/>
          <w:szCs w:val="32"/>
          <w:lang w:val="en-US" w:eastAsia="zh-CN"/>
        </w:rPr>
        <w:t>编制剑门关景区改造提升、剑门关古镇“四态合一”整合提升、翠云廊</w:t>
      </w:r>
      <w:r>
        <w:rPr>
          <w:rFonts w:hint="eastAsia" w:ascii="仿宋" w:hAnsi="仿宋" w:eastAsia="仿宋" w:cs="仿宋"/>
          <w:sz w:val="32"/>
          <w:szCs w:val="32"/>
        </w:rPr>
        <w:t>国家风景步道</w:t>
      </w:r>
      <w:r>
        <w:rPr>
          <w:rFonts w:hint="eastAsia" w:ascii="仿宋" w:hAnsi="仿宋" w:eastAsia="仿宋" w:cs="仿宋"/>
          <w:sz w:val="32"/>
          <w:szCs w:val="32"/>
          <w:lang w:eastAsia="zh-CN"/>
        </w:rPr>
        <w:t>、大蜀道博物馆</w:t>
      </w:r>
      <w:r>
        <w:rPr>
          <w:rFonts w:hint="eastAsia" w:ascii="仿宋" w:hAnsi="仿宋" w:eastAsia="仿宋" w:cs="仿宋"/>
          <w:sz w:val="32"/>
          <w:szCs w:val="32"/>
          <w:lang w:val="en-US" w:eastAsia="zh-CN"/>
        </w:rPr>
        <w:t>等规划</w:t>
      </w:r>
      <w:r>
        <w:rPr>
          <w:rFonts w:hint="eastAsia" w:ascii="仿宋" w:hAnsi="仿宋" w:eastAsia="仿宋" w:cs="仿宋"/>
          <w:sz w:val="32"/>
          <w:szCs w:val="32"/>
          <w:lang w:eastAsia="zh-CN"/>
        </w:rPr>
        <w:t>，为实现剑阁旅游二次飞跃绘制了蓝图。</w:t>
      </w:r>
    </w:p>
    <w:p>
      <w:pPr>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eastAsia="zh-CN"/>
        </w:rPr>
        <w:t>二是抓实文旅项目，打造全新业态。</w:t>
      </w:r>
      <w:r>
        <w:rPr>
          <w:rFonts w:hint="eastAsia" w:ascii="仿宋" w:hAnsi="仿宋" w:eastAsia="仿宋" w:cs="仿宋"/>
          <w:sz w:val="32"/>
          <w:szCs w:val="32"/>
          <w:lang w:eastAsia="zh-CN"/>
        </w:rPr>
        <w:t>全力推进</w:t>
      </w:r>
      <w:r>
        <w:rPr>
          <w:rFonts w:hint="eastAsia" w:ascii="仿宋" w:hAnsi="仿宋" w:eastAsia="仿宋" w:cs="仿宋"/>
          <w:sz w:val="32"/>
          <w:szCs w:val="32"/>
        </w:rPr>
        <w:t>大蜀道剑门关旅游基础设施</w:t>
      </w:r>
      <w:r>
        <w:rPr>
          <w:rFonts w:hint="eastAsia" w:ascii="仿宋" w:hAnsi="仿宋" w:eastAsia="仿宋" w:cs="仿宋"/>
          <w:sz w:val="32"/>
          <w:szCs w:val="32"/>
          <w:lang w:eastAsia="zh-CN"/>
        </w:rPr>
        <w:t>项目，大蜀道博物馆将于</w:t>
      </w:r>
      <w:r>
        <w:rPr>
          <w:rFonts w:hint="eastAsia" w:ascii="仿宋" w:hAnsi="仿宋" w:eastAsia="仿宋" w:cs="仿宋"/>
          <w:sz w:val="32"/>
          <w:szCs w:val="32"/>
          <w:lang w:val="en-US" w:eastAsia="zh-CN"/>
        </w:rPr>
        <w:t>2023年4月开工；</w:t>
      </w:r>
      <w:r>
        <w:rPr>
          <w:rFonts w:hint="eastAsia" w:ascii="仿宋" w:hAnsi="仿宋" w:eastAsia="仿宋" w:cs="仿宋"/>
          <w:sz w:val="32"/>
          <w:szCs w:val="32"/>
        </w:rPr>
        <w:t>五指山旅游度假区</w:t>
      </w:r>
      <w:r>
        <w:rPr>
          <w:rFonts w:hint="eastAsia" w:ascii="仿宋" w:hAnsi="仿宋" w:eastAsia="仿宋" w:cs="仿宋"/>
          <w:sz w:val="32"/>
          <w:szCs w:val="32"/>
          <w:lang w:eastAsia="zh-CN"/>
        </w:rPr>
        <w:t>将于</w:t>
      </w:r>
      <w:r>
        <w:rPr>
          <w:rFonts w:hint="eastAsia" w:ascii="仿宋" w:hAnsi="仿宋" w:eastAsia="仿宋" w:cs="仿宋"/>
          <w:sz w:val="32"/>
          <w:szCs w:val="32"/>
          <w:lang w:val="en-US" w:eastAsia="zh-CN"/>
        </w:rPr>
        <w:t>2023年3月底开园；</w:t>
      </w:r>
      <w:r>
        <w:rPr>
          <w:rFonts w:hint="eastAsia" w:ascii="仿宋" w:hAnsi="仿宋" w:eastAsia="仿宋" w:cs="仿宋"/>
          <w:sz w:val="32"/>
          <w:szCs w:val="32"/>
          <w:lang w:eastAsia="zh-CN"/>
        </w:rPr>
        <w:t>十里清江城市亮化一期工程已全面完成。</w:t>
      </w:r>
    </w:p>
    <w:p>
      <w:pPr>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eastAsia="zh-CN"/>
        </w:rPr>
        <w:t>三是抓实资金渠道，汇聚发展动能。</w:t>
      </w:r>
      <w:r>
        <w:rPr>
          <w:rFonts w:hint="eastAsia" w:ascii="仿宋" w:hAnsi="仿宋" w:eastAsia="仿宋" w:cs="仿宋"/>
          <w:sz w:val="32"/>
          <w:szCs w:val="32"/>
          <w:lang w:eastAsia="zh-CN"/>
        </w:rPr>
        <w:t>积极对接国家省市文旅、广电、体育等部门，争取专项资金</w:t>
      </w:r>
      <w:r>
        <w:rPr>
          <w:rFonts w:hint="eastAsia" w:ascii="仿宋" w:hAnsi="仿宋" w:eastAsia="仿宋" w:cs="仿宋"/>
          <w:sz w:val="32"/>
          <w:szCs w:val="32"/>
          <w:lang w:val="en-US" w:eastAsia="zh-CN"/>
        </w:rPr>
        <w:t>6481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积极对接铭扬</w:t>
      </w:r>
      <w:r>
        <w:rPr>
          <w:rFonts w:hint="eastAsia" w:ascii="仿宋" w:hAnsi="仿宋" w:eastAsia="仿宋" w:cs="仿宋"/>
          <w:sz w:val="32"/>
          <w:szCs w:val="32"/>
          <w:lang w:eastAsia="zh-CN"/>
        </w:rPr>
        <w:t>文旅</w:t>
      </w:r>
      <w:r>
        <w:rPr>
          <w:rFonts w:hint="eastAsia" w:ascii="仿宋" w:hAnsi="仿宋" w:eastAsia="仿宋" w:cs="仿宋"/>
          <w:sz w:val="32"/>
          <w:szCs w:val="32"/>
        </w:rPr>
        <w:t>集团</w:t>
      </w:r>
      <w:r>
        <w:rPr>
          <w:rFonts w:hint="eastAsia" w:ascii="仿宋" w:hAnsi="仿宋" w:eastAsia="仿宋" w:cs="仿宋"/>
          <w:sz w:val="32"/>
          <w:szCs w:val="32"/>
          <w:lang w:eastAsia="zh-CN"/>
        </w:rPr>
        <w:t>、明宇集团等知名企业，与</w:t>
      </w:r>
      <w:r>
        <w:rPr>
          <w:rFonts w:hint="eastAsia" w:ascii="仿宋" w:hAnsi="仿宋" w:eastAsia="仿宋" w:cs="仿宋"/>
          <w:color w:val="auto"/>
          <w:sz w:val="32"/>
          <w:szCs w:val="32"/>
        </w:rPr>
        <w:t>中农智数（北京）科技有限公司</w:t>
      </w:r>
      <w:r>
        <w:rPr>
          <w:rFonts w:hint="eastAsia" w:ascii="仿宋" w:hAnsi="仿宋" w:eastAsia="仿宋" w:cs="仿宋"/>
          <w:color w:val="auto"/>
          <w:sz w:val="32"/>
          <w:szCs w:val="32"/>
          <w:lang w:eastAsia="zh-CN"/>
        </w:rPr>
        <w:t>签订山海经夜游</w:t>
      </w:r>
      <w:r>
        <w:rPr>
          <w:rFonts w:hint="eastAsia" w:ascii="仿宋" w:hAnsi="仿宋" w:eastAsia="仿宋" w:cs="仿宋"/>
          <w:color w:val="auto"/>
          <w:sz w:val="32"/>
          <w:szCs w:val="32"/>
        </w:rPr>
        <w:t>项目</w:t>
      </w:r>
      <w:r>
        <w:rPr>
          <w:rFonts w:hint="eastAsia" w:ascii="仿宋" w:hAnsi="仿宋" w:eastAsia="仿宋" w:cs="仿宋"/>
          <w:sz w:val="32"/>
          <w:szCs w:val="32"/>
          <w:lang w:eastAsia="zh-CN"/>
        </w:rPr>
        <w:t>，</w:t>
      </w:r>
      <w:r>
        <w:rPr>
          <w:rFonts w:hint="eastAsia" w:ascii="仿宋" w:hAnsi="仿宋" w:eastAsia="仿宋" w:cs="仿宋"/>
          <w:sz w:val="32"/>
          <w:szCs w:val="32"/>
        </w:rPr>
        <w:t>概算投资</w:t>
      </w:r>
      <w:r>
        <w:rPr>
          <w:rFonts w:hint="eastAsia" w:ascii="仿宋" w:hAnsi="仿宋" w:eastAsia="仿宋" w:cs="仿宋"/>
          <w:sz w:val="32"/>
          <w:szCs w:val="32"/>
          <w:lang w:val="en-US" w:eastAsia="zh-CN"/>
        </w:rPr>
        <w:t>12</w:t>
      </w:r>
      <w:r>
        <w:rPr>
          <w:rFonts w:hint="eastAsia" w:ascii="仿宋" w:hAnsi="仿宋" w:eastAsia="仿宋" w:cs="仿宋"/>
          <w:sz w:val="32"/>
          <w:szCs w:val="32"/>
        </w:rPr>
        <w:t>亿元。</w:t>
      </w:r>
    </w:p>
    <w:p>
      <w:pPr>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方正仿宋_GB2312" w:hAnsi="方正仿宋_GB2312" w:eastAsia="方正仿宋_GB2312" w:cs="方正仿宋_GB2312"/>
          <w:b/>
          <w:bCs w:val="0"/>
          <w:sz w:val="32"/>
          <w:szCs w:val="32"/>
          <w:lang w:val="en-US" w:eastAsia="zh-CN"/>
        </w:rPr>
        <w:t>四是</w:t>
      </w:r>
      <w:r>
        <w:rPr>
          <w:rFonts w:hint="eastAsia" w:ascii="仿宋_GB2312" w:hAnsi="仿宋_GB2312" w:eastAsia="仿宋_GB2312" w:cs="仿宋_GB2312"/>
          <w:b/>
          <w:bCs w:val="0"/>
          <w:sz w:val="32"/>
          <w:szCs w:val="32"/>
          <w:lang w:eastAsia="zh-CN"/>
        </w:rPr>
        <w:t>抓实对接谈判，取得实质成效。</w:t>
      </w:r>
      <w:r>
        <w:rPr>
          <w:rFonts w:hint="eastAsia" w:ascii="仿宋_GB2312" w:hAnsi="仿宋_GB2312" w:eastAsia="仿宋_GB2312" w:cs="仿宋_GB2312"/>
          <w:b w:val="0"/>
          <w:bCs/>
          <w:sz w:val="32"/>
          <w:szCs w:val="32"/>
          <w:lang w:eastAsia="zh-CN"/>
        </w:rPr>
        <w:t>经过</w:t>
      </w:r>
      <w:r>
        <w:rPr>
          <w:rFonts w:hint="eastAsia" w:ascii="仿宋_GB2312" w:hAnsi="仿宋_GB2312" w:eastAsia="仿宋_GB2312" w:cs="仿宋_GB2312"/>
          <w:b w:val="0"/>
          <w:bCs/>
          <w:sz w:val="32"/>
          <w:szCs w:val="32"/>
          <w:lang w:val="en-US" w:eastAsia="zh-CN"/>
        </w:rPr>
        <w:t>15轮</w:t>
      </w:r>
      <w:r>
        <w:rPr>
          <w:rFonts w:hint="eastAsia" w:ascii="仿宋_GB2312" w:hAnsi="仿宋_GB2312" w:eastAsia="仿宋_GB2312" w:cs="仿宋_GB2312"/>
          <w:b w:val="0"/>
          <w:bCs/>
          <w:sz w:val="32"/>
          <w:szCs w:val="32"/>
          <w:lang w:eastAsia="zh-CN"/>
        </w:rPr>
        <w:t>艰难谈判</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sz w:val="32"/>
          <w:szCs w:val="32"/>
          <w:lang w:eastAsia="zh-CN"/>
        </w:rPr>
        <w:t>就华侨城西部公司退出景区达成一致意见。</w:t>
      </w:r>
      <w:r>
        <w:rPr>
          <w:rFonts w:hint="eastAsia" w:ascii="仿宋" w:hAnsi="仿宋" w:eastAsia="仿宋" w:cs="黑体"/>
          <w:sz w:val="32"/>
          <w:szCs w:val="32"/>
        </w:rPr>
        <w:t>2023年1月17日我方与华侨城西部公司签订了股权转让意向协议，</w:t>
      </w:r>
      <w:r>
        <w:rPr>
          <w:rFonts w:hint="eastAsia" w:ascii="仿宋_GB2312" w:hAnsi="仿宋_GB2312" w:eastAsia="仿宋_GB2312" w:cs="仿宋_GB2312"/>
          <w:sz w:val="32"/>
          <w:szCs w:val="32"/>
          <w:lang w:val="en-US" w:eastAsia="zh-CN"/>
        </w:rPr>
        <w:t>景区实际经营管理权已回归我们手中。</w:t>
      </w:r>
    </w:p>
    <w:p>
      <w:pPr>
        <w:pStyle w:val="13"/>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lang w:val="en-US" w:eastAsia="zh-CN"/>
        </w:rPr>
      </w:pPr>
      <w:r>
        <w:rPr>
          <w:rFonts w:hint="eastAsia" w:ascii="仿宋" w:hAnsi="仿宋" w:eastAsia="仿宋" w:cs="仿宋"/>
          <w:b/>
          <w:bCs/>
          <w:sz w:val="32"/>
          <w:szCs w:val="32"/>
          <w:lang w:val="en-US" w:eastAsia="zh-CN"/>
        </w:rPr>
        <w:t>五是抓实宣传营销，扩大名县影响。</w:t>
      </w:r>
      <w:r>
        <w:rPr>
          <w:rFonts w:hint="eastAsia" w:ascii="仿宋_GB2312" w:hAnsi="仿宋_GB2312" w:eastAsia="仿宋_GB2312" w:cs="仿宋_GB2312"/>
          <w:kern w:val="2"/>
          <w:sz w:val="32"/>
          <w:szCs w:val="32"/>
          <w:lang w:val="en-US" w:eastAsia="zh-CN" w:bidi="ar-SA"/>
        </w:rPr>
        <w:t>成功举办2022年四川自然崖壁攀岩精英赛，承办“体总杯”三大球中国城市联赛选拔赛暨三大球四川城市联赛排球比赛（北部赛区）、全省文化和旅游行业安全生产疫情防控应急演练等重大活动，</w:t>
      </w:r>
      <w:r>
        <w:rPr>
          <w:rFonts w:hint="eastAsia" w:ascii="仿宋" w:hAnsi="仿宋" w:eastAsia="仿宋" w:cs="仿宋"/>
          <w:sz w:val="32"/>
          <w:szCs w:val="32"/>
        </w:rPr>
        <w:t>冠名西成高铁“剑门关”</w:t>
      </w:r>
      <w:r>
        <w:rPr>
          <w:rFonts w:hint="eastAsia" w:ascii="仿宋" w:hAnsi="仿宋" w:eastAsia="仿宋" w:cs="仿宋"/>
          <w:sz w:val="32"/>
          <w:szCs w:val="32"/>
          <w:lang w:eastAsia="zh-CN"/>
        </w:rPr>
        <w:t>号</w:t>
      </w:r>
      <w:r>
        <w:rPr>
          <w:rFonts w:hint="eastAsia" w:ascii="仿宋" w:hAnsi="仿宋" w:eastAsia="仿宋" w:cs="仿宋"/>
          <w:sz w:val="32"/>
          <w:szCs w:val="32"/>
        </w:rPr>
        <w:t>旅游列车</w:t>
      </w:r>
      <w:r>
        <w:rPr>
          <w:rFonts w:hint="eastAsia" w:ascii="仿宋" w:hAnsi="仿宋" w:eastAsia="仿宋" w:cs="仿宋"/>
          <w:sz w:val="32"/>
          <w:szCs w:val="32"/>
          <w:lang w:eastAsia="zh-CN"/>
        </w:rPr>
        <w:t>。</w:t>
      </w:r>
      <w:r>
        <w:rPr>
          <w:rFonts w:hint="eastAsia" w:ascii="仿宋_GB2312" w:hAnsi="仿宋_GB2312" w:eastAsia="仿宋_GB2312" w:cs="仿宋_GB2312"/>
          <w:kern w:val="2"/>
          <w:sz w:val="32"/>
          <w:szCs w:val="32"/>
          <w:lang w:val="en-US" w:eastAsia="zh-CN" w:bidi="ar-SA"/>
        </w:rPr>
        <w:t>全年在中央、省、市主流媒体和自媒体平台发布文旅信息2308条，“畅游剑阁”微信公众号发布信息422条，央视、四川卫视新闻联播宣传报道剑门关、双旗美村等10余次，</w:t>
      </w:r>
      <w:r>
        <w:rPr>
          <w:rFonts w:hint="eastAsia" w:ascii="仿宋_GB2312" w:hAnsi="仿宋_GB2312" w:eastAsia="仿宋_GB2312" w:cs="仿宋_GB2312"/>
          <w:b w:val="0"/>
          <w:bCs/>
          <w:sz w:val="32"/>
          <w:szCs w:val="32"/>
          <w:lang w:eastAsia="zh-CN"/>
        </w:rPr>
        <w:t>剑阁知名度和影响力不断增强。</w:t>
      </w:r>
    </w:p>
    <w:p>
      <w:pPr>
        <w:spacing w:line="560" w:lineRule="exact"/>
        <w:ind w:firstLine="643" w:firstLineChars="200"/>
        <w:textAlignment w:val="baseline"/>
        <w:rPr>
          <w:rFonts w:hint="eastAsia" w:ascii="仿宋" w:hAnsi="仿宋" w:eastAsia="仿宋" w:cs="仿宋"/>
          <w:b w:val="0"/>
          <w:bCs w:val="0"/>
          <w:kern w:val="2"/>
          <w:sz w:val="32"/>
          <w:szCs w:val="32"/>
          <w:lang w:val="en-US" w:eastAsia="zh-CN" w:bidi="ar-SA"/>
        </w:rPr>
      </w:pPr>
      <w:r>
        <w:rPr>
          <w:rFonts w:hint="eastAsia" w:ascii="方正仿宋_GB2312" w:hAnsi="方正仿宋_GB2312" w:eastAsia="方正仿宋_GB2312" w:cs="方正仿宋_GB2312"/>
          <w:b/>
          <w:bCs/>
          <w:sz w:val="32"/>
          <w:szCs w:val="32"/>
          <w:lang w:val="en-US" w:eastAsia="zh-CN"/>
        </w:rPr>
        <w:t>六</w:t>
      </w:r>
      <w:r>
        <w:rPr>
          <w:rFonts w:hint="eastAsia" w:ascii="仿宋_GB2312" w:hAnsi="仿宋_GB2312" w:eastAsia="仿宋_GB2312" w:cs="仿宋_GB2312"/>
          <w:b/>
          <w:bCs w:val="0"/>
          <w:sz w:val="32"/>
          <w:szCs w:val="32"/>
          <w:lang w:val="en-US" w:eastAsia="zh-CN"/>
        </w:rPr>
        <w:t>是抓实</w:t>
      </w:r>
      <w:r>
        <w:rPr>
          <w:rFonts w:hint="eastAsia" w:ascii="仿宋_GB2312" w:hAnsi="仿宋_GB2312" w:eastAsia="仿宋_GB2312" w:cs="仿宋_GB2312"/>
          <w:b/>
          <w:bCs w:val="0"/>
          <w:sz w:val="32"/>
          <w:szCs w:val="32"/>
          <w:lang w:eastAsia="zh-CN"/>
        </w:rPr>
        <w:t>文化保护</w:t>
      </w:r>
      <w:r>
        <w:rPr>
          <w:rFonts w:hint="eastAsia" w:ascii="仿宋_GB2312" w:hAnsi="仿宋_GB2312" w:eastAsia="仿宋_GB2312" w:cs="仿宋_GB2312"/>
          <w:b/>
          <w:bCs w:val="0"/>
          <w:sz w:val="32"/>
          <w:szCs w:val="32"/>
          <w:lang w:val="en-US" w:eastAsia="zh-CN"/>
        </w:rPr>
        <w:t>，彰显文化魅力。</w:t>
      </w:r>
      <w:r>
        <w:rPr>
          <w:rFonts w:hint="eastAsia" w:ascii="仿宋_GB2312" w:hAnsi="仿宋_GB2312" w:eastAsia="仿宋_GB2312" w:cs="仿宋_GB2312"/>
          <w:b w:val="0"/>
          <w:bCs/>
          <w:sz w:val="32"/>
          <w:szCs w:val="32"/>
          <w:lang w:val="en-US" w:eastAsia="zh-CN"/>
        </w:rPr>
        <w:t>围绕剑门蜀道剑阁段，加快</w:t>
      </w:r>
      <w:r>
        <w:rPr>
          <w:rFonts w:hint="eastAsia" w:ascii="仿宋_GB2312" w:hAnsi="仿宋_GB2312" w:eastAsia="仿宋_GB2312" w:cs="仿宋_GB2312"/>
          <w:b w:val="0"/>
          <w:bCs/>
          <w:sz w:val="32"/>
          <w:szCs w:val="32"/>
        </w:rPr>
        <w:t>修缮恢复</w:t>
      </w:r>
      <w:r>
        <w:rPr>
          <w:rFonts w:hint="eastAsia" w:ascii="仿宋_GB2312" w:hAnsi="仿宋_GB2312" w:eastAsia="仿宋_GB2312" w:cs="仿宋_GB2312"/>
          <w:b w:val="0"/>
          <w:bCs/>
          <w:sz w:val="32"/>
          <w:szCs w:val="32"/>
          <w:lang w:eastAsia="zh-CN"/>
        </w:rPr>
        <w:t>古</w:t>
      </w:r>
      <w:r>
        <w:rPr>
          <w:rFonts w:hint="eastAsia" w:ascii="仿宋_GB2312" w:hAnsi="仿宋_GB2312" w:eastAsia="仿宋_GB2312" w:cs="仿宋_GB2312"/>
          <w:b w:val="0"/>
          <w:bCs/>
          <w:sz w:val="32"/>
          <w:szCs w:val="32"/>
        </w:rPr>
        <w:t>蜀道</w:t>
      </w:r>
      <w:r>
        <w:rPr>
          <w:rFonts w:hint="eastAsia" w:ascii="仿宋_GB2312" w:hAnsi="仿宋_GB2312" w:eastAsia="仿宋_GB2312" w:cs="仿宋_GB2312"/>
          <w:b w:val="0"/>
          <w:bCs/>
          <w:sz w:val="32"/>
          <w:szCs w:val="32"/>
          <w:lang w:eastAsia="zh-CN"/>
        </w:rPr>
        <w:t>进程</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加强非遗保护，</w:t>
      </w:r>
      <w:r>
        <w:rPr>
          <w:rFonts w:hint="eastAsia" w:ascii="仿宋" w:hAnsi="仿宋" w:eastAsia="仿宋" w:cs="仿宋"/>
          <w:b w:val="0"/>
          <w:bCs w:val="0"/>
          <w:kern w:val="2"/>
          <w:sz w:val="32"/>
          <w:szCs w:val="32"/>
          <w:lang w:val="en-US" w:eastAsia="zh-CN" w:bidi="ar-SA"/>
        </w:rPr>
        <w:t>剑门手杖、杨村傩戏、锯山垭大肉会成功入选四川省第六批省级非物质文化遗产名录；推动文化传承与创新，开展非遗文化活动进景区，</w:t>
      </w:r>
      <w:r>
        <w:rPr>
          <w:rFonts w:hint="eastAsia" w:ascii="仿宋_GB2312" w:hAnsi="仿宋_GB2312" w:eastAsia="仿宋_GB2312" w:cs="仿宋_GB2312"/>
          <w:b w:val="0"/>
          <w:bCs/>
          <w:sz w:val="32"/>
          <w:szCs w:val="32"/>
          <w:lang w:eastAsia="zh-CN"/>
        </w:rPr>
        <w:t>打造开关祈福、</w:t>
      </w:r>
      <w:r>
        <w:rPr>
          <w:rFonts w:hint="eastAsia" w:ascii="仿宋_GB2312" w:hAnsi="仿宋_GB2312" w:eastAsia="仿宋_GB2312" w:cs="仿宋_GB2312"/>
          <w:b w:val="0"/>
          <w:bCs/>
          <w:sz w:val="32"/>
          <w:szCs w:val="32"/>
        </w:rPr>
        <w:t>姜维守关、张飞</w:t>
      </w:r>
      <w:r>
        <w:rPr>
          <w:rFonts w:hint="eastAsia" w:ascii="仿宋_GB2312" w:hAnsi="仿宋_GB2312" w:eastAsia="仿宋_GB2312" w:cs="仿宋_GB2312"/>
          <w:b w:val="0"/>
          <w:bCs/>
          <w:sz w:val="32"/>
          <w:szCs w:val="32"/>
          <w:lang w:eastAsia="zh-CN"/>
        </w:rPr>
        <w:t>植柏等</w:t>
      </w:r>
      <w:r>
        <w:rPr>
          <w:rFonts w:hint="eastAsia" w:ascii="仿宋_GB2312" w:hAnsi="仿宋_GB2312" w:eastAsia="仿宋_GB2312" w:cs="仿宋_GB2312"/>
          <w:b w:val="0"/>
          <w:bCs/>
          <w:sz w:val="32"/>
          <w:szCs w:val="32"/>
        </w:rPr>
        <w:t>舞台剧目</w:t>
      </w:r>
      <w:r>
        <w:rPr>
          <w:rFonts w:hint="eastAsia" w:ascii="仿宋" w:hAnsi="仿宋" w:eastAsia="仿宋" w:cs="仿宋"/>
          <w:b w:val="0"/>
          <w:bCs w:val="0"/>
          <w:kern w:val="2"/>
          <w:sz w:val="32"/>
          <w:szCs w:val="32"/>
          <w:lang w:val="en-US" w:eastAsia="zh-CN" w:bidi="ar-SA"/>
        </w:rPr>
        <w:t>。</w:t>
      </w:r>
    </w:p>
    <w:p>
      <w:pPr>
        <w:spacing w:line="560" w:lineRule="exact"/>
        <w:ind w:firstLine="643" w:firstLineChars="200"/>
        <w:textAlignment w:val="baseline"/>
        <w:rPr>
          <w:rFonts w:hint="eastAsia" w:ascii="仿宋" w:hAnsi="仿宋" w:eastAsia="仿宋" w:cs="仿宋"/>
          <w:kern w:val="0"/>
          <w:sz w:val="32"/>
          <w:szCs w:val="32"/>
          <w:lang w:val="en-US" w:eastAsia="zh-CN" w:bidi="ar-SA"/>
        </w:rPr>
      </w:pPr>
      <w:r>
        <w:rPr>
          <w:rFonts w:hint="eastAsia" w:ascii="仿宋" w:hAnsi="仿宋" w:eastAsia="仿宋" w:cs="仿宋"/>
          <w:b/>
          <w:bCs/>
          <w:kern w:val="2"/>
          <w:sz w:val="32"/>
          <w:szCs w:val="32"/>
          <w:lang w:val="en-US" w:eastAsia="zh-CN" w:bidi="ar-SA"/>
        </w:rPr>
        <w:t>七是抓实广电投入，确保安全播出。</w:t>
      </w:r>
      <w:r>
        <w:rPr>
          <w:rFonts w:hint="eastAsia" w:ascii="仿宋" w:hAnsi="仿宋" w:eastAsia="仿宋" w:cs="仿宋"/>
          <w:kern w:val="0"/>
          <w:sz w:val="32"/>
          <w:szCs w:val="32"/>
          <w:lang w:val="en-US" w:eastAsia="zh-CN" w:bidi="ar-SA"/>
        </w:rPr>
        <w:t>全年共计投入广播电视运行维护资金206.36万元，对郑家山调频台、龙源镇尖山子差转台、木马镇差转台、县融媒体中心和县广电网络公司安全播出进行全面整改提升，确保了党的二十大顺利播出。</w:t>
      </w:r>
    </w:p>
    <w:p>
      <w:pPr>
        <w:spacing w:line="560" w:lineRule="exact"/>
        <w:ind w:firstLine="643" w:firstLineChars="200"/>
        <w:textAlignment w:val="baseline"/>
        <w:rPr>
          <w:rFonts w:hint="eastAsia" w:ascii="仿宋" w:hAnsi="仿宋" w:eastAsia="仿宋" w:cs="仿宋"/>
          <w:kern w:val="0"/>
          <w:sz w:val="32"/>
          <w:szCs w:val="32"/>
          <w:lang w:val="en-US" w:eastAsia="zh-CN" w:bidi="ar-SA"/>
        </w:rPr>
      </w:pPr>
      <w:r>
        <w:rPr>
          <w:rFonts w:hint="eastAsia" w:ascii="方正仿宋_GB2312" w:hAnsi="方正仿宋_GB2312" w:eastAsia="方正仿宋_GB2312" w:cs="方正仿宋_GB2312"/>
          <w:b/>
          <w:bCs/>
          <w:sz w:val="32"/>
          <w:szCs w:val="32"/>
          <w:lang w:val="en-US" w:eastAsia="zh-CN"/>
        </w:rPr>
        <w:t>八是</w:t>
      </w:r>
      <w:r>
        <w:rPr>
          <w:rFonts w:hint="eastAsia" w:ascii="方正仿宋_GB2312" w:hAnsi="方正仿宋_GB2312" w:eastAsia="方正仿宋_GB2312" w:cs="方正仿宋_GB2312"/>
          <w:b/>
          <w:bCs w:val="0"/>
          <w:sz w:val="32"/>
          <w:szCs w:val="32"/>
          <w:lang w:val="en-US" w:eastAsia="zh-CN"/>
        </w:rPr>
        <w:t>抓实惠民工程，提升民生服务。</w:t>
      </w:r>
      <w:r>
        <w:rPr>
          <w:rFonts w:hint="eastAsia" w:ascii="仿宋_GB2312" w:hAnsi="仿宋_GB2312" w:eastAsia="仿宋_GB2312" w:cs="仿宋_GB2312"/>
          <w:sz w:val="32"/>
          <w:szCs w:val="32"/>
        </w:rPr>
        <w:t>对全县</w:t>
      </w:r>
      <w:r>
        <w:rPr>
          <w:rFonts w:hint="eastAsia" w:ascii="仿宋" w:hAnsi="仿宋" w:eastAsia="仿宋" w:cs="仿宋"/>
          <w:kern w:val="2"/>
          <w:sz w:val="32"/>
          <w:szCs w:val="32"/>
          <w:lang w:val="en-US" w:eastAsia="zh-CN" w:bidi="ar-SA"/>
        </w:rPr>
        <w:t>29个乡镇364个行政村</w:t>
      </w:r>
      <w:r>
        <w:rPr>
          <w:rFonts w:hint="eastAsia" w:ascii="仿宋_GB2312" w:hAnsi="仿宋_GB2312" w:eastAsia="仿宋_GB2312" w:cs="仿宋_GB2312"/>
          <w:sz w:val="32"/>
          <w:szCs w:val="32"/>
        </w:rPr>
        <w:t>广播电视户户通进行运行维护</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bidi="ar-SA"/>
        </w:rPr>
        <w:t>完成张王、江口、普安和公兴等4个乡镇多功能运动场项目建设；</w:t>
      </w:r>
      <w:r>
        <w:rPr>
          <w:rFonts w:hint="eastAsia" w:ascii="仿宋" w:hAnsi="仿宋" w:eastAsia="仿宋" w:cs="仿宋"/>
          <w:sz w:val="32"/>
          <w:szCs w:val="32"/>
          <w:lang w:val="en-US" w:eastAsia="zh-CN"/>
        </w:rPr>
        <w:t>常态化开放图书馆、文化馆、文化站、美术馆和体育馆；</w:t>
      </w:r>
      <w:r>
        <w:rPr>
          <w:rFonts w:hint="eastAsia" w:ascii="方正仿宋_GB2312" w:hAnsi="方正仿宋_GB2312" w:eastAsia="方正仿宋_GB2312" w:cs="方正仿宋_GB2312"/>
          <w:sz w:val="32"/>
          <w:szCs w:val="32"/>
          <w:lang w:val="en-US" w:eastAsia="zh-CN"/>
        </w:rPr>
        <w:t>开展“喜迎二十大·文化进万家”等线下文化活动72场次</w:t>
      </w:r>
      <w:r>
        <w:rPr>
          <w:rFonts w:hint="eastAsia" w:ascii="仿宋_GB2312" w:hAnsi="仿宋_GB2312" w:eastAsia="仿宋_GB2312" w:cs="仿宋_GB2312"/>
          <w:sz w:val="32"/>
          <w:szCs w:val="32"/>
          <w:lang w:val="en-US" w:eastAsia="zh-CN"/>
        </w:rPr>
        <w:t>；</w:t>
      </w:r>
      <w:r>
        <w:rPr>
          <w:rFonts w:hint="eastAsia" w:ascii="仿宋" w:hAnsi="仿宋" w:eastAsia="仿宋" w:cs="仿宋"/>
          <w:kern w:val="0"/>
          <w:sz w:val="32"/>
          <w:szCs w:val="32"/>
          <w:lang w:val="en-US" w:eastAsia="zh-CN" w:bidi="ar-SA"/>
        </w:rPr>
        <w:t>开展小型多样群众性健身活动71次，体育场馆对外免费开放接待21.5万人次，公益性体育培训1200人，国民体质监测2800人。</w:t>
      </w:r>
    </w:p>
    <w:p>
      <w:pPr>
        <w:spacing w:line="560" w:lineRule="exact"/>
        <w:ind w:firstLine="643" w:firstLineChars="200"/>
        <w:textAlignment w:val="baseline"/>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val="0"/>
          <w:sz w:val="32"/>
          <w:szCs w:val="32"/>
          <w:lang w:eastAsia="zh-CN"/>
        </w:rPr>
        <w:t>九是</w:t>
      </w:r>
      <w:r>
        <w:rPr>
          <w:rFonts w:hint="eastAsia" w:ascii="方正仿宋_GB2312" w:hAnsi="方正仿宋_GB2312" w:eastAsia="方正仿宋_GB2312" w:cs="方正仿宋_GB2312"/>
          <w:b/>
          <w:bCs/>
          <w:sz w:val="32"/>
          <w:szCs w:val="32"/>
          <w:lang w:val="en-US" w:eastAsia="zh-CN"/>
        </w:rPr>
        <w:t>抓实市场执法，营造良好环境。</w:t>
      </w:r>
      <w:r>
        <w:rPr>
          <w:rFonts w:hint="eastAsia" w:ascii="方正仿宋_GB2312" w:hAnsi="方正仿宋_GB2312" w:eastAsia="方正仿宋_GB2312" w:cs="方正仿宋_GB2312"/>
          <w:sz w:val="32"/>
          <w:szCs w:val="32"/>
          <w:lang w:eastAsia="zh-CN"/>
        </w:rPr>
        <w:t>常态化</w:t>
      </w:r>
      <w:r>
        <w:rPr>
          <w:rFonts w:hint="eastAsia" w:ascii="方正仿宋_GB2312" w:hAnsi="方正仿宋_GB2312" w:eastAsia="方正仿宋_GB2312" w:cs="方正仿宋_GB2312"/>
          <w:sz w:val="32"/>
          <w:szCs w:val="32"/>
        </w:rPr>
        <w:t>开展“扫黄打非”</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文物安全检查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文化</w:t>
      </w:r>
      <w:r>
        <w:rPr>
          <w:rFonts w:hint="eastAsia" w:ascii="方正仿宋_GB2312" w:hAnsi="方正仿宋_GB2312" w:eastAsia="方正仿宋_GB2312" w:cs="方正仿宋_GB2312"/>
          <w:sz w:val="32"/>
          <w:szCs w:val="32"/>
        </w:rPr>
        <w:t>娱乐场所整治”</w:t>
      </w:r>
      <w:r>
        <w:rPr>
          <w:rFonts w:hint="eastAsia" w:ascii="方正仿宋_GB2312" w:hAnsi="方正仿宋_GB2312" w:eastAsia="方正仿宋_GB2312" w:cs="方正仿宋_GB2312"/>
          <w:sz w:val="32"/>
          <w:szCs w:val="32"/>
          <w:lang w:eastAsia="zh-CN"/>
        </w:rPr>
        <w:t>“旅游市场秩序治理”</w:t>
      </w:r>
      <w:r>
        <w:rPr>
          <w:rFonts w:hint="eastAsia" w:ascii="方正仿宋_GB2312" w:hAnsi="方正仿宋_GB2312" w:eastAsia="方正仿宋_GB2312" w:cs="方正仿宋_GB2312"/>
          <w:sz w:val="32"/>
          <w:szCs w:val="32"/>
        </w:rPr>
        <w:t>等一系列专项行动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共出动执法人员3600余人次，检查文化经营场所1200余家次</w:t>
      </w:r>
      <w:r>
        <w:rPr>
          <w:rFonts w:hint="eastAsia" w:ascii="方正仿宋_GB2312" w:hAnsi="方正仿宋_GB2312" w:eastAsia="方正仿宋_GB2312" w:cs="方正仿宋_GB2312"/>
          <w:sz w:val="32"/>
          <w:szCs w:val="32"/>
          <w:lang w:eastAsia="zh-CN"/>
        </w:rPr>
        <w:t>，营造了良好的文旅市场环境。</w:t>
      </w:r>
    </w:p>
    <w:p>
      <w:pPr>
        <w:ind w:firstLine="643" w:firstLineChars="200"/>
      </w:pPr>
      <w:r>
        <w:rPr>
          <w:rFonts w:hint="eastAsia" w:ascii="仿宋" w:hAnsi="仿宋" w:eastAsia="仿宋" w:cs="仿宋"/>
          <w:b/>
          <w:bCs/>
          <w:sz w:val="32"/>
          <w:szCs w:val="32"/>
          <w:lang w:val="en-US" w:eastAsia="zh-CN"/>
        </w:rPr>
        <w:t>十是抓实品牌创建，凸显资源价值。</w:t>
      </w:r>
      <w:r>
        <w:rPr>
          <w:rFonts w:hint="eastAsia" w:ascii="仿宋_GB2312" w:hAnsi="仿宋_GB2312" w:eastAsia="仿宋_GB2312" w:cs="仿宋_GB2312"/>
          <w:sz w:val="32"/>
          <w:szCs w:val="32"/>
        </w:rPr>
        <w:t>剑阁县荣获美丽中国首选旅游目的地、中国最具文旅投资价值县、中国县域旅游综合竞争力百强县等荣誉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剑门关景区入选全国5A级景区百强榜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2022全国旅游厕所建设与管理优秀案例名单</w:t>
      </w:r>
      <w:r>
        <w:rPr>
          <w:rFonts w:hint="eastAsia" w:ascii="仿宋_GB2312" w:hAnsi="仿宋_GB2312" w:eastAsia="仿宋_GB2312" w:cs="仿宋_GB2312"/>
          <w:sz w:val="32"/>
          <w:szCs w:val="32"/>
        </w:rPr>
        <w:t>，获评四川省文艺创作培训基地、四川省自然岩壁攀岩训练基地、中国华侨国际文化交流基地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双旗美村获评中国最美乡村</w:t>
      </w:r>
      <w:r>
        <w:rPr>
          <w:rFonts w:hint="eastAsia" w:ascii="仿宋" w:hAnsi="仿宋" w:eastAsia="仿宋" w:cs="仿宋"/>
          <w:b w:val="0"/>
          <w:bCs w:val="0"/>
          <w:kern w:val="2"/>
          <w:sz w:val="32"/>
          <w:szCs w:val="32"/>
          <w:lang w:val="en-US" w:eastAsia="zh-CN" w:bidi="ar-SA"/>
        </w:rPr>
        <w:t>。</w:t>
      </w:r>
    </w:p>
    <w:p>
      <w:pPr>
        <w:pStyle w:val="3"/>
        <w:numPr>
          <w:ilvl w:val="0"/>
          <w:numId w:val="1"/>
        </w:numPr>
        <w:ind w:left="0" w:leftChars="0" w:firstLine="0" w:firstLineChars="0"/>
      </w:pPr>
      <w:r>
        <w:rPr>
          <w:rFonts w:hint="eastAsia" w:ascii="黑体" w:hAnsi="黑体" w:eastAsia="黑体"/>
          <w:b w:val="0"/>
        </w:rPr>
        <w:t>机构设置</w:t>
      </w:r>
    </w:p>
    <w:bookmarkEnd w:id="14"/>
    <w:bookmarkEnd w:id="15"/>
    <w:p>
      <w:pPr>
        <w:pageBreakBefore w:val="0"/>
        <w:kinsoku/>
        <w:wordWrap/>
        <w:overflowPunct/>
        <w:topLinePunct w:val="0"/>
        <w:autoSpaceDE/>
        <w:autoSpaceDN/>
        <w:bidi w:val="0"/>
        <w:spacing w:line="540" w:lineRule="exact"/>
        <w:ind w:firstLine="800" w:firstLineChars="250"/>
        <w:textAlignment w:val="auto"/>
        <w:rPr>
          <w:rFonts w:ascii="仿宋" w:hAnsi="仿宋" w:eastAsia="仿宋"/>
          <w:sz w:val="32"/>
          <w:szCs w:val="32"/>
        </w:rPr>
      </w:pPr>
      <w:r>
        <w:rPr>
          <w:rFonts w:hint="eastAsia" w:ascii="仿宋" w:hAnsi="仿宋" w:eastAsia="仿宋"/>
          <w:sz w:val="32"/>
          <w:szCs w:val="32"/>
        </w:rPr>
        <w:t>县文旅体局下属二级单位</w:t>
      </w:r>
      <w:r>
        <w:rPr>
          <w:rFonts w:ascii="仿宋" w:hAnsi="仿宋" w:eastAsia="仿宋"/>
          <w:sz w:val="32"/>
          <w:szCs w:val="32"/>
        </w:rPr>
        <w:t>3</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3</w:t>
      </w:r>
      <w:r>
        <w:rPr>
          <w:rFonts w:hint="eastAsia" w:ascii="仿宋" w:hAnsi="仿宋" w:eastAsia="仿宋"/>
          <w:sz w:val="32"/>
          <w:szCs w:val="32"/>
        </w:rPr>
        <w:t>个。</w:t>
      </w:r>
    </w:p>
    <w:p>
      <w:pPr>
        <w:pageBreakBefore w:val="0"/>
        <w:kinsoku/>
        <w:wordWrap/>
        <w:overflowPunct/>
        <w:topLinePunct w:val="0"/>
        <w:autoSpaceDE/>
        <w:autoSpaceDN/>
        <w:bidi w:val="0"/>
        <w:spacing w:line="540" w:lineRule="exact"/>
        <w:ind w:firstLine="800" w:firstLineChars="250"/>
        <w:textAlignment w:val="auto"/>
        <w:rPr>
          <w:rFonts w:ascii="仿宋" w:hAnsi="仿宋" w:eastAsia="仿宋"/>
          <w:sz w:val="32"/>
          <w:szCs w:val="32"/>
        </w:rPr>
      </w:pPr>
      <w:r>
        <w:rPr>
          <w:rFonts w:hint="eastAsia" w:ascii="仿宋" w:hAnsi="仿宋" w:eastAsia="仿宋"/>
          <w:sz w:val="32"/>
          <w:szCs w:val="32"/>
        </w:rPr>
        <w:t>纳入县文旅体局202</w:t>
      </w:r>
      <w:r>
        <w:rPr>
          <w:rFonts w:hint="eastAsia" w:ascii="仿宋" w:hAnsi="仿宋" w:eastAsia="仿宋"/>
          <w:sz w:val="32"/>
          <w:szCs w:val="32"/>
          <w:lang w:val="en-US" w:eastAsia="zh-CN"/>
        </w:rPr>
        <w:t>2</w:t>
      </w:r>
      <w:r>
        <w:rPr>
          <w:rFonts w:hint="eastAsia" w:ascii="仿宋" w:hAnsi="仿宋" w:eastAsia="仿宋"/>
          <w:sz w:val="32"/>
          <w:szCs w:val="32"/>
        </w:rPr>
        <w:t>年度部门决算编制范围的二级预算单位包括：</w:t>
      </w:r>
    </w:p>
    <w:p>
      <w:pPr>
        <w:pStyle w:val="5"/>
        <w:pageBreakBefore w:val="0"/>
        <w:numPr>
          <w:ilvl w:val="0"/>
          <w:numId w:val="2"/>
        </w:numPr>
        <w:kinsoku/>
        <w:wordWrap/>
        <w:overflowPunct/>
        <w:topLinePunct w:val="0"/>
        <w:autoSpaceDE/>
        <w:autoSpaceDN/>
        <w:bidi w:val="0"/>
        <w:adjustRightInd w:val="0"/>
        <w:snapToGrid w:val="0"/>
        <w:spacing w:before="93" w:line="540" w:lineRule="exact"/>
        <w:textAlignment w:val="auto"/>
        <w:outlineLvl w:val="2"/>
        <w:rPr>
          <w:rFonts w:ascii="仿宋" w:hAnsi="仿宋" w:eastAsia="仿宋"/>
          <w:sz w:val="32"/>
          <w:szCs w:val="32"/>
        </w:rPr>
      </w:pPr>
      <w:bookmarkStart w:id="18" w:name="_Toc15377202"/>
      <w:bookmarkStart w:id="19" w:name="_Toc15377433"/>
      <w:bookmarkStart w:id="20" w:name="_Toc15378449"/>
      <w:bookmarkStart w:id="21" w:name="_Toc15306276"/>
      <w:r>
        <w:rPr>
          <w:rFonts w:hint="eastAsia" w:ascii="仿宋" w:hAnsi="仿宋" w:eastAsia="仿宋"/>
          <w:sz w:val="32"/>
          <w:szCs w:val="32"/>
        </w:rPr>
        <w:t>剑阁县图书馆</w:t>
      </w:r>
      <w:bookmarkEnd w:id="18"/>
      <w:bookmarkEnd w:id="19"/>
      <w:bookmarkEnd w:id="20"/>
      <w:bookmarkEnd w:id="21"/>
    </w:p>
    <w:p>
      <w:pPr>
        <w:pStyle w:val="5"/>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剑阁县文化馆</w:t>
      </w:r>
    </w:p>
    <w:p>
      <w:pPr>
        <w:pStyle w:val="5"/>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剑阁县文物保护管理所</w:t>
      </w:r>
    </w:p>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6"/>
          <w:rFonts w:ascii="黑体" w:hAnsi="黑体" w:eastAsia="黑体"/>
          <w:b w:val="0"/>
          <w:bCs/>
        </w:rPr>
      </w:pPr>
      <w:bookmarkStart w:id="22" w:name="_Toc15377204"/>
      <w:bookmarkStart w:id="23"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22"/>
      <w:bookmarkEnd w:id="23"/>
    </w:p>
    <w:p/>
    <w:p>
      <w:pPr>
        <w:pStyle w:val="25"/>
        <w:numPr>
          <w:ilvl w:val="0"/>
          <w:numId w:val="3"/>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4957.64</w:t>
      </w:r>
      <w:r>
        <w:rPr>
          <w:rFonts w:hint="eastAsia" w:ascii="仿宋" w:hAnsi="仿宋" w:eastAsia="仿宋"/>
          <w:sz w:val="32"/>
          <w:szCs w:val="32"/>
        </w:rPr>
        <w:t>万元。与2021年相比，收、支总计减少</w:t>
      </w:r>
      <w:r>
        <w:rPr>
          <w:rFonts w:hint="eastAsia" w:ascii="仿宋" w:hAnsi="仿宋" w:eastAsia="仿宋"/>
          <w:sz w:val="32"/>
          <w:szCs w:val="32"/>
          <w:lang w:val="en-US" w:eastAsia="zh-CN"/>
        </w:rPr>
        <w:t>23226.30</w:t>
      </w:r>
      <w:r>
        <w:rPr>
          <w:rFonts w:hint="eastAsia" w:ascii="仿宋" w:hAnsi="仿宋" w:eastAsia="仿宋"/>
          <w:sz w:val="32"/>
          <w:szCs w:val="32"/>
        </w:rPr>
        <w:t>万元，下降</w:t>
      </w:r>
      <w:r>
        <w:rPr>
          <w:rFonts w:hint="eastAsia" w:ascii="仿宋" w:hAnsi="仿宋" w:eastAsia="仿宋"/>
          <w:sz w:val="32"/>
          <w:szCs w:val="32"/>
          <w:lang w:val="en-US" w:eastAsia="zh-CN"/>
        </w:rPr>
        <w:t>82.41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主要变动原因是</w:t>
      </w:r>
      <w:r>
        <w:rPr>
          <w:rFonts w:hint="eastAsia" w:ascii="仿宋" w:hAnsi="仿宋" w:eastAsia="仿宋"/>
          <w:sz w:val="32"/>
          <w:szCs w:val="32"/>
        </w:rPr>
        <w:t>当年政府性基金预算的基本建设项目支出</w:t>
      </w:r>
      <w:r>
        <w:rPr>
          <w:rFonts w:hint="eastAsia" w:ascii="仿宋" w:hAnsi="仿宋" w:eastAsia="仿宋"/>
          <w:sz w:val="32"/>
          <w:szCs w:val="32"/>
          <w:lang w:eastAsia="zh-CN"/>
        </w:rPr>
        <w:t>减少</w:t>
      </w:r>
      <w:r>
        <w:rPr>
          <w:rFonts w:hint="eastAsia" w:ascii="仿宋" w:hAnsi="仿宋" w:eastAsia="仿宋"/>
          <w:sz w:val="32"/>
          <w:szCs w:val="32"/>
        </w:rPr>
        <w:t>。</w:t>
      </w:r>
    </w:p>
    <w:p>
      <w:pPr>
        <w:pStyle w:val="3"/>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3"/>
        </w:numPr>
        <w:spacing w:line="600" w:lineRule="exact"/>
        <w:ind w:firstLineChars="0"/>
        <w:outlineLvl w:val="1"/>
        <w:rPr>
          <w:rStyle w:val="27"/>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4957.64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1283.56</w:t>
      </w:r>
      <w:r>
        <w:rPr>
          <w:rFonts w:hint="eastAsia" w:ascii="仿宋" w:hAnsi="仿宋" w:eastAsia="仿宋"/>
          <w:sz w:val="32"/>
          <w:szCs w:val="32"/>
        </w:rPr>
        <w:t>万元，占</w:t>
      </w:r>
      <w:r>
        <w:rPr>
          <w:rFonts w:hint="eastAsia" w:ascii="仿宋" w:hAnsi="仿宋" w:eastAsia="仿宋"/>
          <w:sz w:val="32"/>
          <w:szCs w:val="32"/>
          <w:lang w:val="en-US" w:eastAsia="zh-CN"/>
        </w:rPr>
        <w:t>25.89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3674.08</w:t>
      </w:r>
      <w:r>
        <w:rPr>
          <w:rFonts w:hint="eastAsia" w:ascii="仿宋" w:hAnsi="仿宋" w:eastAsia="仿宋"/>
          <w:sz w:val="32"/>
          <w:szCs w:val="32"/>
        </w:rPr>
        <w:t>万元，占</w:t>
      </w:r>
      <w:r>
        <w:rPr>
          <w:rFonts w:hint="eastAsia" w:ascii="仿宋" w:hAnsi="仿宋" w:eastAsia="仿宋"/>
          <w:sz w:val="32"/>
          <w:szCs w:val="32"/>
          <w:lang w:val="en-US" w:eastAsia="zh-CN"/>
        </w:rPr>
        <w:t>74.11</w:t>
      </w:r>
      <w:r>
        <w:rPr>
          <w:rFonts w:ascii="仿宋" w:hAnsi="仿宋" w:eastAsia="仿宋"/>
          <w:sz w:val="32"/>
          <w:szCs w:val="32"/>
        </w:rPr>
        <w:t>%</w:t>
      </w:r>
      <w:r>
        <w:rPr>
          <w:rFonts w:hint="eastAsia" w:ascii="仿宋" w:hAnsi="仿宋" w:eastAsia="仿宋"/>
          <w:sz w:val="32"/>
          <w:szCs w:val="32"/>
        </w:rPr>
        <w:t>。</w:t>
      </w:r>
    </w:p>
    <w:p>
      <w:pPr>
        <w:pStyle w:val="3"/>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5"/>
        <w:numPr>
          <w:ilvl w:val="0"/>
          <w:numId w:val="3"/>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4957.64</w:t>
      </w:r>
      <w:r>
        <w:rPr>
          <w:rFonts w:hint="eastAsia" w:ascii="仿宋" w:hAnsi="仿宋" w:eastAsia="仿宋"/>
          <w:sz w:val="32"/>
          <w:szCs w:val="32"/>
        </w:rPr>
        <w:t>万元，其中：基本支出</w:t>
      </w:r>
      <w:r>
        <w:rPr>
          <w:rFonts w:hint="eastAsia" w:ascii="仿宋" w:hAnsi="仿宋" w:eastAsia="仿宋"/>
          <w:sz w:val="32"/>
          <w:szCs w:val="32"/>
          <w:lang w:val="en-US" w:eastAsia="zh-CN"/>
        </w:rPr>
        <w:t>1141.5</w:t>
      </w:r>
      <w:r>
        <w:rPr>
          <w:rFonts w:hint="eastAsia" w:ascii="仿宋" w:hAnsi="仿宋" w:eastAsia="仿宋"/>
          <w:sz w:val="32"/>
          <w:szCs w:val="32"/>
        </w:rPr>
        <w:t>万元，占</w:t>
      </w:r>
      <w:r>
        <w:rPr>
          <w:rFonts w:hint="eastAsia" w:ascii="仿宋" w:hAnsi="仿宋" w:eastAsia="仿宋"/>
          <w:sz w:val="32"/>
          <w:szCs w:val="32"/>
          <w:lang w:val="en-US" w:eastAsia="zh-CN"/>
        </w:rPr>
        <w:t>23.03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3816.14</w:t>
      </w:r>
      <w:r>
        <w:rPr>
          <w:rFonts w:hint="eastAsia" w:ascii="仿宋" w:hAnsi="仿宋" w:eastAsia="仿宋"/>
          <w:sz w:val="32"/>
          <w:szCs w:val="32"/>
        </w:rPr>
        <w:t>万元，占</w:t>
      </w:r>
      <w:r>
        <w:rPr>
          <w:rFonts w:hint="eastAsia" w:ascii="仿宋" w:hAnsi="仿宋" w:eastAsia="仿宋"/>
          <w:sz w:val="32"/>
          <w:szCs w:val="32"/>
          <w:lang w:val="en-US" w:eastAsia="zh-CN"/>
        </w:rPr>
        <w:t>76.97</w:t>
      </w:r>
      <w:r>
        <w:rPr>
          <w:rFonts w:ascii="仿宋" w:hAnsi="仿宋" w:eastAsia="仿宋"/>
          <w:sz w:val="32"/>
          <w:szCs w:val="32"/>
        </w:rPr>
        <w:t>%</w:t>
      </w:r>
      <w:r>
        <w:rPr>
          <w:rFonts w:hint="eastAsia" w:ascii="仿宋" w:hAnsi="仿宋" w:eastAsia="仿宋"/>
          <w:sz w:val="32"/>
          <w:szCs w:val="32"/>
        </w:rPr>
        <w:t>；</w:t>
      </w:r>
    </w:p>
    <w:p>
      <w:pPr>
        <w:pStyle w:val="3"/>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4957.64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23226.3</w:t>
      </w:r>
      <w:r>
        <w:rPr>
          <w:rFonts w:hint="eastAsia" w:ascii="仿宋" w:hAnsi="仿宋" w:eastAsia="仿宋"/>
          <w:sz w:val="32"/>
          <w:szCs w:val="32"/>
        </w:rPr>
        <w:t>万元，下降</w:t>
      </w:r>
      <w:r>
        <w:rPr>
          <w:rFonts w:hint="eastAsia" w:ascii="仿宋" w:hAnsi="仿宋" w:eastAsia="仿宋"/>
          <w:sz w:val="32"/>
          <w:szCs w:val="32"/>
          <w:lang w:val="en-US" w:eastAsia="zh-CN"/>
        </w:rPr>
        <w:t>82.41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rPr>
        <w:t>主要变动原因是</w:t>
      </w:r>
      <w:r>
        <w:rPr>
          <w:rFonts w:hint="eastAsia" w:ascii="仿宋" w:hAnsi="仿宋" w:eastAsia="仿宋"/>
          <w:sz w:val="32"/>
          <w:szCs w:val="32"/>
        </w:rPr>
        <w:t>当年政府性基金预算的基本建设项目支出</w:t>
      </w:r>
      <w:r>
        <w:rPr>
          <w:rFonts w:hint="eastAsia" w:ascii="仿宋" w:hAnsi="仿宋" w:eastAsia="仿宋"/>
          <w:sz w:val="32"/>
          <w:szCs w:val="32"/>
          <w:lang w:eastAsia="zh-CN"/>
        </w:rPr>
        <w:t>减少。</w:t>
      </w:r>
    </w:p>
    <w:p>
      <w:pPr>
        <w:spacing w:line="240" w:lineRule="auto"/>
        <w:rPr>
          <w:rFonts w:ascii="仿宋" w:hAnsi="仿宋" w:eastAsia="仿宋"/>
          <w:sz w:val="32"/>
          <w:szCs w:val="32"/>
        </w:rPr>
      </w:pPr>
      <w:r>
        <w:drawing>
          <wp:inline distT="0" distB="0" distL="114300" distR="114300">
            <wp:extent cx="4572000" cy="2743200"/>
            <wp:effectExtent l="4445" t="4445" r="14605" b="1460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rPr>
          <w:color w:val="auto"/>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1283.56</w:t>
      </w:r>
      <w:r>
        <w:rPr>
          <w:rFonts w:hint="eastAsia" w:ascii="仿宋" w:hAnsi="仿宋" w:eastAsia="仿宋"/>
          <w:sz w:val="32"/>
          <w:szCs w:val="32"/>
        </w:rPr>
        <w:t>万元，占本年支出合计的</w:t>
      </w:r>
      <w:r>
        <w:rPr>
          <w:rFonts w:hint="eastAsia" w:ascii="仿宋" w:hAnsi="仿宋" w:eastAsia="仿宋"/>
          <w:sz w:val="32"/>
          <w:szCs w:val="32"/>
          <w:lang w:val="en-US" w:eastAsia="zh-CN"/>
        </w:rPr>
        <w:t>25.89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5278.66</w:t>
      </w:r>
      <w:r>
        <w:rPr>
          <w:rFonts w:hint="eastAsia" w:ascii="仿宋" w:hAnsi="仿宋" w:eastAsia="仿宋"/>
          <w:sz w:val="32"/>
          <w:szCs w:val="32"/>
        </w:rPr>
        <w:t>万元，下降</w:t>
      </w:r>
      <w:r>
        <w:rPr>
          <w:rFonts w:hint="eastAsia" w:ascii="仿宋" w:hAnsi="仿宋" w:eastAsia="仿宋"/>
          <w:sz w:val="32"/>
          <w:szCs w:val="32"/>
          <w:lang w:val="en-US" w:eastAsia="zh-CN"/>
        </w:rPr>
        <w:t>80.44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rPr>
        <w:t>主要变动原因是上年结转结余资金当年实现支出</w:t>
      </w:r>
      <w:r>
        <w:rPr>
          <w:rFonts w:hint="eastAsia" w:ascii="仿宋" w:hAnsi="仿宋" w:eastAsia="仿宋"/>
          <w:color w:val="auto"/>
          <w:sz w:val="32"/>
          <w:szCs w:val="32"/>
          <w:lang w:eastAsia="zh-CN"/>
        </w:rPr>
        <w:t>减少。</w:t>
      </w:r>
    </w:p>
    <w:p>
      <w:pPr>
        <w:spacing w:line="600" w:lineRule="exact"/>
        <w:ind w:firstLine="640" w:firstLineChars="200"/>
        <w:rPr>
          <w:rFonts w:ascii="仿宋" w:hAnsi="仿宋" w:eastAsia="仿宋"/>
          <w:sz w:val="32"/>
          <w:szCs w:val="32"/>
        </w:rPr>
      </w:pPr>
    </w:p>
    <w:p>
      <w:pPr>
        <w:pStyle w:val="3"/>
      </w:pPr>
      <w:r>
        <w:drawing>
          <wp:inline distT="0" distB="0" distL="114300" distR="114300">
            <wp:extent cx="4572000" cy="2448560"/>
            <wp:effectExtent l="4445" t="4445" r="14605" b="2349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1283.56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1096.69</w:t>
      </w:r>
      <w:r>
        <w:rPr>
          <w:rFonts w:hint="eastAsia" w:ascii="仿宋" w:hAnsi="仿宋" w:eastAsia="仿宋"/>
          <w:b/>
          <w:bCs/>
          <w:sz w:val="32"/>
          <w:szCs w:val="32"/>
        </w:rPr>
        <w:t>万元，占</w:t>
      </w:r>
      <w:r>
        <w:rPr>
          <w:rFonts w:hint="eastAsia" w:ascii="仿宋" w:hAnsi="仿宋" w:eastAsia="仿宋"/>
          <w:b/>
          <w:bCs/>
          <w:sz w:val="32"/>
          <w:szCs w:val="32"/>
          <w:lang w:val="en-US" w:eastAsia="zh-CN"/>
        </w:rPr>
        <w:t>85.44</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83.06</w:t>
      </w:r>
      <w:r>
        <w:rPr>
          <w:rFonts w:hint="eastAsia" w:ascii="仿宋" w:hAnsi="仿宋" w:eastAsia="仿宋"/>
          <w:sz w:val="32"/>
          <w:szCs w:val="32"/>
        </w:rPr>
        <w:t>万元，占</w:t>
      </w:r>
      <w:r>
        <w:rPr>
          <w:rFonts w:hint="eastAsia" w:ascii="仿宋" w:hAnsi="仿宋" w:eastAsia="仿宋"/>
          <w:sz w:val="32"/>
          <w:szCs w:val="32"/>
          <w:lang w:val="en-US" w:eastAsia="zh-CN"/>
        </w:rPr>
        <w:t>6.47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41.53</w:t>
      </w:r>
      <w:r>
        <w:rPr>
          <w:rFonts w:hint="eastAsia" w:ascii="仿宋" w:hAnsi="仿宋" w:eastAsia="仿宋"/>
          <w:sz w:val="32"/>
          <w:szCs w:val="32"/>
        </w:rPr>
        <w:t>万元，占</w:t>
      </w:r>
      <w:r>
        <w:rPr>
          <w:rFonts w:hint="eastAsia" w:ascii="仿宋" w:hAnsi="仿宋" w:eastAsia="仿宋"/>
          <w:sz w:val="32"/>
          <w:szCs w:val="32"/>
          <w:lang w:val="en-US" w:eastAsia="zh-CN"/>
        </w:rPr>
        <w:t>3.24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62.29</w:t>
      </w:r>
      <w:r>
        <w:rPr>
          <w:rFonts w:hint="eastAsia" w:ascii="仿宋" w:hAnsi="仿宋" w:eastAsia="仿宋"/>
          <w:sz w:val="32"/>
          <w:szCs w:val="32"/>
        </w:rPr>
        <w:t>万元，占</w:t>
      </w:r>
      <w:r>
        <w:rPr>
          <w:rFonts w:hint="eastAsia" w:ascii="仿宋" w:hAnsi="仿宋" w:eastAsia="仿宋"/>
          <w:sz w:val="32"/>
          <w:szCs w:val="32"/>
          <w:lang w:val="en-US" w:eastAsia="zh-CN"/>
        </w:rPr>
        <w:t>4.85</w:t>
      </w:r>
      <w:r>
        <w:rPr>
          <w:rFonts w:ascii="仿宋" w:hAnsi="仿宋" w:eastAsia="仿宋"/>
          <w:sz w:val="32"/>
          <w:szCs w:val="32"/>
        </w:rPr>
        <w:t>%</w:t>
      </w:r>
      <w:r>
        <w:rPr>
          <w:rFonts w:hint="eastAsia" w:ascii="仿宋" w:hAnsi="仿宋" w:eastAsia="仿宋"/>
          <w:sz w:val="32"/>
          <w:szCs w:val="32"/>
        </w:rPr>
        <w:t>。</w:t>
      </w:r>
    </w:p>
    <w:p>
      <w:pPr>
        <w:pStyle w:val="3"/>
      </w:pPr>
      <w:r>
        <w:drawing>
          <wp:inline distT="0" distB="0" distL="114300" distR="114300">
            <wp:extent cx="4382135" cy="1849120"/>
            <wp:effectExtent l="4445" t="4445" r="13970" b="1333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8460"/>
      <w:bookmarkStart w:id="38" w:name="_Toc15377444"/>
      <w:bookmarkStart w:id="3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1283.56</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7"/>
      <w:bookmarkEnd w:id="38"/>
      <w:bookmarkEnd w:id="39"/>
    </w:p>
    <w:p>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1.</w:t>
      </w:r>
      <w:r>
        <w:rPr>
          <w:rStyle w:val="16"/>
          <w:rFonts w:hint="eastAsia" w:ascii="仿宋" w:hAnsi="仿宋" w:eastAsia="仿宋"/>
          <w:bCs/>
          <w:sz w:val="32"/>
          <w:szCs w:val="32"/>
        </w:rPr>
        <w:t>文化旅游体育与传媒（类）文化和旅游（款）行政运行（项）</w:t>
      </w:r>
      <w:r>
        <w:rPr>
          <w:rStyle w:val="16"/>
          <w:rFonts w:hint="eastAsia" w:ascii="仿宋" w:hAnsi="仿宋" w:eastAsia="仿宋"/>
          <w:bCs/>
          <w:sz w:val="32"/>
          <w:szCs w:val="32"/>
          <w:lang w:eastAsia="zh-CN"/>
        </w:rPr>
        <w:t>：</w:t>
      </w:r>
      <w:bookmarkStart w:id="73" w:name="_GoBack"/>
      <w:bookmarkEnd w:id="73"/>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668.99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2.</w:t>
      </w:r>
      <w:r>
        <w:rPr>
          <w:rStyle w:val="16"/>
          <w:rFonts w:hint="eastAsia" w:ascii="仿宋" w:hAnsi="仿宋" w:eastAsia="仿宋"/>
          <w:bCs/>
          <w:sz w:val="32"/>
          <w:szCs w:val="32"/>
        </w:rPr>
        <w:t>文化旅游体育与传媒（类）文化和旅游（款）文化和旅游管理事务（项）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285.63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ascii="仿宋" w:hAnsi="仿宋" w:eastAsia="仿宋"/>
          <w:bCs/>
          <w:sz w:val="32"/>
          <w:szCs w:val="32"/>
        </w:rPr>
        <w:t>3.</w:t>
      </w:r>
      <w:r>
        <w:rPr>
          <w:rStyle w:val="16"/>
          <w:rFonts w:hint="eastAsia" w:ascii="仿宋" w:hAnsi="仿宋" w:eastAsia="仿宋"/>
          <w:bCs/>
          <w:sz w:val="32"/>
          <w:szCs w:val="32"/>
        </w:rPr>
        <w:t>文化旅游体育与传媒（类）体育（款）体育场馆（项）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96.50</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rPr>
        <w:t>文化旅游体育与传媒（类）体育（款）群众体育（项）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Style w:val="16"/>
          <w:rFonts w:hint="eastAsia" w:ascii="仿宋" w:hAnsi="仿宋" w:eastAsia="仿宋"/>
          <w:bCs/>
          <w:sz w:val="32"/>
          <w:szCs w:val="32"/>
        </w:rPr>
        <w:t>文化旅游体育与传媒（类）广播电视（款）广播电视事务（项）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22.91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6</w:t>
      </w:r>
      <w:r>
        <w:rPr>
          <w:rStyle w:val="16"/>
          <w:rFonts w:ascii="仿宋" w:hAnsi="仿宋" w:eastAsia="仿宋"/>
          <w:bCs/>
          <w:sz w:val="32"/>
          <w:szCs w:val="32"/>
        </w:rPr>
        <w:t>.</w:t>
      </w:r>
      <w:r>
        <w:rPr>
          <w:rStyle w:val="16"/>
          <w:rFonts w:hint="eastAsia" w:ascii="仿宋" w:hAnsi="仿宋" w:eastAsia="仿宋"/>
          <w:bCs/>
          <w:sz w:val="32"/>
          <w:szCs w:val="32"/>
        </w:rPr>
        <w:t>文化旅游体育与传媒（类）其他文化旅游体育与传媒支出（款）其他文化旅游体育与传媒支出（项）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16.65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7</w:t>
      </w:r>
      <w:r>
        <w:rPr>
          <w:rStyle w:val="16"/>
          <w:rFonts w:ascii="仿宋" w:hAnsi="仿宋" w:eastAsia="仿宋"/>
          <w:bCs/>
          <w:sz w:val="32"/>
          <w:szCs w:val="32"/>
        </w:rPr>
        <w:t>.</w:t>
      </w:r>
      <w:r>
        <w:rPr>
          <w:rStyle w:val="16"/>
          <w:rFonts w:hint="eastAsia" w:ascii="仿宋" w:hAnsi="仿宋" w:eastAsia="仿宋"/>
          <w:bCs/>
          <w:sz w:val="32"/>
          <w:szCs w:val="32"/>
        </w:rPr>
        <w:t>社会保障和就业支出（类）行政事业单位养老支出（款）机关事业单位基本养老保险缴费支出（项）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83.06</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8</w:t>
      </w:r>
      <w:r>
        <w:rPr>
          <w:rStyle w:val="16"/>
          <w:rFonts w:ascii="仿宋" w:hAnsi="仿宋" w:eastAsia="仿宋"/>
          <w:bCs/>
          <w:sz w:val="32"/>
          <w:szCs w:val="32"/>
        </w:rPr>
        <w:t>.</w:t>
      </w:r>
      <w:r>
        <w:rPr>
          <w:rStyle w:val="16"/>
          <w:rFonts w:hint="eastAsia" w:ascii="仿宋" w:hAnsi="仿宋" w:eastAsia="仿宋"/>
          <w:bCs/>
          <w:sz w:val="32"/>
          <w:szCs w:val="32"/>
        </w:rPr>
        <w:t>卫生健康支出（类）行政事业单位医疗（款）行政单位医疗（项）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41.53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9</w:t>
      </w:r>
      <w:r>
        <w:rPr>
          <w:rStyle w:val="16"/>
          <w:rFonts w:ascii="仿宋" w:hAnsi="仿宋" w:eastAsia="仿宋"/>
          <w:bCs/>
          <w:sz w:val="32"/>
          <w:szCs w:val="32"/>
        </w:rPr>
        <w:t>.</w:t>
      </w:r>
      <w:r>
        <w:rPr>
          <w:rStyle w:val="16"/>
          <w:rFonts w:hint="eastAsia" w:ascii="仿宋" w:hAnsi="仿宋" w:eastAsia="仿宋"/>
          <w:bCs/>
          <w:sz w:val="32"/>
          <w:szCs w:val="32"/>
        </w:rPr>
        <w:t>住房保障支出（类）住房改革支出（款）住房公积金（项）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62.29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1141.5</w:t>
      </w:r>
      <w:r>
        <w:rPr>
          <w:rFonts w:hint="eastAsia" w:ascii="仿宋" w:hAnsi="仿宋" w:eastAsia="仿宋"/>
          <w:sz w:val="32"/>
          <w:szCs w:val="32"/>
        </w:rPr>
        <w:t>万元，其中：</w:t>
      </w:r>
    </w:p>
    <w:p>
      <w:pPr>
        <w:spacing w:line="600" w:lineRule="exact"/>
        <w:ind w:firstLine="645"/>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sz w:val="32"/>
          <w:szCs w:val="32"/>
        </w:rPr>
        <w:t>人员经费</w:t>
      </w:r>
      <w:r>
        <w:rPr>
          <w:rFonts w:hint="eastAsia" w:ascii="仿宋" w:hAnsi="仿宋" w:eastAsia="仿宋"/>
          <w:sz w:val="32"/>
          <w:szCs w:val="32"/>
          <w:lang w:val="en-US" w:eastAsia="zh-CN"/>
        </w:rPr>
        <w:t>1019.74</w:t>
      </w:r>
      <w:r>
        <w:rPr>
          <w:rFonts w:hint="eastAsia" w:ascii="仿宋" w:hAnsi="仿宋" w:eastAsia="仿宋"/>
          <w:sz w:val="32"/>
          <w:szCs w:val="32"/>
        </w:rPr>
        <w:t>万元，主要包括</w:t>
      </w:r>
      <w:r>
        <w:rPr>
          <w:rFonts w:hint="eastAsia" w:ascii="仿宋" w:hAnsi="仿宋" w:eastAsia="仿宋"/>
          <w:color w:val="000000" w:themeColor="text1"/>
          <w:sz w:val="32"/>
          <w:szCs w:val="32"/>
          <w14:textFill>
            <w14:solidFill>
              <w14:schemeClr w14:val="tx1"/>
            </w14:solidFill>
          </w14:textFill>
        </w:rPr>
        <w:t>：主要包括：基本工资、津贴补贴、奖金、绩效工资、机关事业单位基本养老保险缴费、职工基本医疗保险缴费、其他社会保障缴费、生活补助、住房公积金。</w:t>
      </w:r>
    </w:p>
    <w:p>
      <w:pPr>
        <w:spacing w:line="600" w:lineRule="exact"/>
        <w:ind w:firstLine="645"/>
        <w:rPr>
          <w:rFonts w:ascii="仿宋" w:hAnsi="仿宋" w:eastAsia="仿宋"/>
          <w:b/>
          <w:sz w:val="32"/>
          <w:szCs w:val="32"/>
        </w:rPr>
      </w:pPr>
      <w:r>
        <w:rPr>
          <w:rFonts w:hint="eastAsia" w:ascii="仿宋" w:hAnsi="仿宋" w:eastAsia="仿宋"/>
          <w:color w:val="000000" w:themeColor="text1"/>
          <w:sz w:val="32"/>
          <w:szCs w:val="32"/>
          <w14:textFill>
            <w14:solidFill>
              <w14:schemeClr w14:val="tx1"/>
            </w14:solidFill>
          </w14:textFill>
        </w:rPr>
        <w:t>　　公用经费</w:t>
      </w:r>
      <w:r>
        <w:rPr>
          <w:rFonts w:hint="eastAsia" w:ascii="仿宋" w:hAnsi="仿宋" w:eastAsia="仿宋"/>
          <w:color w:val="000000" w:themeColor="text1"/>
          <w:sz w:val="32"/>
          <w:szCs w:val="32"/>
          <w:lang w:val="en-US" w:eastAsia="zh-CN"/>
          <w14:textFill>
            <w14:solidFill>
              <w14:schemeClr w14:val="tx1"/>
            </w14:solidFill>
          </w14:textFill>
        </w:rPr>
        <w:t>121.76</w:t>
      </w:r>
      <w:r>
        <w:rPr>
          <w:rFonts w:hint="eastAsia" w:ascii="仿宋" w:hAnsi="仿宋" w:eastAsia="仿宋"/>
          <w:color w:val="000000" w:themeColor="text1"/>
          <w:sz w:val="32"/>
          <w:szCs w:val="32"/>
          <w14:textFill>
            <w14:solidFill>
              <w14:schemeClr w14:val="tx1"/>
            </w14:solidFill>
          </w14:textFill>
        </w:rPr>
        <w:t>万元，主要包括：办公费、印刷费、水费、电费、邮电费、取暖费、物业管理费、差旅费、维修（护）费、会议费、培训费、公务接待费、专用材料费、劳务费、委托业务费、工会经费、福利费、公务用车运行维护费、其他交通费、其他商品和服务支出。</w:t>
      </w:r>
    </w:p>
    <w:p>
      <w:pPr>
        <w:spacing w:line="600" w:lineRule="exact"/>
        <w:ind w:firstLine="640"/>
        <w:outlineLvl w:val="1"/>
        <w:rPr>
          <w:rStyle w:val="27"/>
          <w:rFonts w:ascii="黑体" w:hAnsi="黑体" w:eastAsia="黑体"/>
          <w:b w:val="0"/>
          <w:color w:val="000000" w:themeColor="text1"/>
          <w14:textFill>
            <w14:solidFill>
              <w14:schemeClr w14:val="tx1"/>
            </w14:solidFill>
          </w14:textFill>
        </w:rPr>
      </w:pPr>
      <w:bookmarkStart w:id="42" w:name="_Toc15396609"/>
      <w:bookmarkStart w:id="43" w:name="_Toc15377215"/>
      <w:r>
        <w:rPr>
          <w:rFonts w:hint="eastAsia" w:ascii="黑体" w:eastAsia="黑体"/>
          <w:color w:val="000000" w:themeColor="text1"/>
          <w:sz w:val="32"/>
          <w:szCs w:val="32"/>
          <w14:textFill>
            <w14:solidFill>
              <w14:schemeClr w14:val="tx1"/>
            </w14:solidFill>
          </w14:textFill>
        </w:rPr>
        <w:t>七、</w:t>
      </w:r>
      <w:r>
        <w:rPr>
          <w:rStyle w:val="27"/>
          <w:rFonts w:hint="eastAsia" w:ascii="黑体" w:hAnsi="黑体" w:eastAsia="黑体"/>
          <w:b w:val="0"/>
          <w:color w:val="000000" w:themeColor="text1"/>
          <w14:textFill>
            <w14:solidFill>
              <w14:schemeClr w14:val="tx1"/>
            </w14:solidFill>
          </w14:textFill>
        </w:rPr>
        <w:t>财政拨款</w:t>
      </w:r>
      <w:r>
        <w:rPr>
          <w:rStyle w:val="27"/>
          <w:rFonts w:hint="eastAsia" w:ascii="黑体" w:hAnsi="黑体" w:eastAsia="黑体"/>
          <w:color w:val="000000" w:themeColor="text1"/>
          <w14:textFill>
            <w14:solidFill>
              <w14:schemeClr w14:val="tx1"/>
            </w14:solidFill>
          </w14:textFill>
        </w:rPr>
        <w:t>“</w:t>
      </w:r>
      <w:r>
        <w:rPr>
          <w:rStyle w:val="27"/>
          <w:rFonts w:hint="eastAsia" w:ascii="黑体" w:hAnsi="黑体" w:eastAsia="黑体"/>
          <w:b w:val="0"/>
          <w:color w:val="000000" w:themeColor="text1"/>
          <w14:textFill>
            <w14:solidFill>
              <w14:schemeClr w14:val="tx1"/>
            </w14:solidFill>
          </w14:textFill>
        </w:rPr>
        <w:t>三公”经费支出决算情况说明</w:t>
      </w:r>
      <w:bookmarkEnd w:id="42"/>
      <w:bookmarkEnd w:id="43"/>
    </w:p>
    <w:p>
      <w:pPr>
        <w:spacing w:line="600" w:lineRule="exact"/>
        <w:ind w:firstLine="640"/>
        <w:outlineLvl w:val="2"/>
        <w:rPr>
          <w:rFonts w:ascii="仿宋" w:hAnsi="仿宋" w:eastAsia="仿宋"/>
          <w:b/>
          <w:color w:val="000000" w:themeColor="text1"/>
          <w:sz w:val="32"/>
          <w:szCs w:val="32"/>
          <w14:textFill>
            <w14:solidFill>
              <w14:schemeClr w14:val="tx1"/>
            </w14:solidFill>
          </w14:textFill>
        </w:rPr>
      </w:pPr>
      <w:bookmarkStart w:id="44" w:name="_Toc15377216"/>
      <w:r>
        <w:rPr>
          <w:rFonts w:hint="eastAsia" w:ascii="仿宋" w:hAnsi="仿宋" w:eastAsia="仿宋"/>
          <w:b/>
          <w:color w:val="000000" w:themeColor="text1"/>
          <w:sz w:val="32"/>
          <w:szCs w:val="32"/>
          <w14:textFill>
            <w14:solidFill>
              <w14:schemeClr w14:val="tx1"/>
            </w14:solidFill>
          </w14:textFill>
        </w:rPr>
        <w:t>（一）“三公”经费财政拨款支出决算总体情况说明</w:t>
      </w:r>
      <w:bookmarkEnd w:id="44"/>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22年“三公”经费财政拨款支出决算为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万元，完成预算</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，较上年减少</w:t>
      </w:r>
      <w:r>
        <w:rPr>
          <w:rFonts w:ascii="仿宋" w:hAnsi="仿宋" w:eastAsia="仿宋"/>
          <w:color w:val="000000" w:themeColor="text1"/>
          <w:sz w:val="32"/>
          <w:szCs w:val="32"/>
          <w14:textFill>
            <w14:solidFill>
              <w14:schemeClr w14:val="tx1"/>
            </w14:solidFill>
          </w14:textFill>
        </w:rPr>
        <w:t>14.15</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%。决算数小于预算数的主要原因是</w:t>
      </w:r>
      <w:r>
        <w:rPr>
          <w:rFonts w:hint="eastAsia" w:ascii="仿宋" w:hAnsi="仿宋" w:eastAsia="仿宋"/>
          <w:color w:val="000000" w:themeColor="text1"/>
          <w:sz w:val="32"/>
          <w:szCs w:val="32"/>
          <w:lang w:eastAsia="zh-CN"/>
          <w14:textFill>
            <w14:solidFill>
              <w14:schemeClr w14:val="tx1"/>
            </w14:solidFill>
          </w14:textFill>
        </w:rPr>
        <w:t>公务接待费用当年未支出</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449580</wp:posOffset>
            </wp:positionH>
            <wp:positionV relativeFrom="paragraph">
              <wp:posOffset>328930</wp:posOffset>
            </wp:positionV>
            <wp:extent cx="3504565" cy="2000250"/>
            <wp:effectExtent l="5080" t="4445" r="1460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6</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r>
        <w:rPr>
          <w:rFonts w:hint="eastAsia" w:ascii="仿宋_GB2312" w:hAnsi="Times New Roman" w:eastAsia="仿宋_GB2312" w:cs="Times New Roman"/>
          <w:sz w:val="32"/>
          <w:szCs w:val="32"/>
        </w:rPr>
        <w:t>主要原因是公务用车购置及运行维护</w:t>
      </w:r>
      <w:r>
        <w:rPr>
          <w:rFonts w:hint="eastAsia" w:ascii="仿宋_GB2312" w:hAnsi="Times New Roman" w:eastAsia="仿宋_GB2312" w:cs="Times New Roman"/>
          <w:sz w:val="32"/>
          <w:szCs w:val="32"/>
          <w:lang w:eastAsia="zh-CN"/>
        </w:rPr>
        <w:t>减少</w:t>
      </w:r>
      <w:r>
        <w:rPr>
          <w:rFonts w:hint="eastAsia" w:ascii="仿宋_GB2312" w:hAnsi="Times New Roman" w:eastAsia="仿宋_GB2312" w:cs="Times New Roman"/>
          <w:sz w:val="32"/>
          <w:szCs w:val="32"/>
        </w:rPr>
        <w:t>。</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ascii="仿宋" w:hAnsi="仿宋" w:eastAsia="仿宋"/>
          <w:sz w:val="32"/>
          <w:szCs w:val="32"/>
        </w:rPr>
        <w:t>8.15</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 w:hAnsi="仿宋" w:eastAsia="仿宋"/>
          <w:color w:val="000000" w:themeColor="text1"/>
          <w:sz w:val="32"/>
          <w:szCs w:val="32"/>
          <w:lang w:eastAsia="zh-CN"/>
          <w14:textFill>
            <w14:solidFill>
              <w14:schemeClr w14:val="tx1"/>
            </w14:solidFill>
          </w14:textFill>
        </w:rPr>
        <w:t>公务接待费用当年未支出</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46" w:name="_Toc15396610"/>
      <w:bookmarkStart w:id="47" w:name="_Toc15377218"/>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3674.08</w:t>
      </w:r>
      <w:r>
        <w:rPr>
          <w:rFonts w:hint="eastAsia" w:ascii="仿宋_GB2312" w:eastAsia="仿宋_GB2312"/>
          <w:sz w:val="32"/>
          <w:szCs w:val="32"/>
        </w:rPr>
        <w:t>万元。</w:t>
      </w:r>
    </w:p>
    <w:p>
      <w:pPr>
        <w:numPr>
          <w:ilvl w:val="0"/>
          <w:numId w:val="4"/>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22年无国有资本经营预算财政拨款支出。</w:t>
      </w:r>
    </w:p>
    <w:p>
      <w:pPr>
        <w:numPr>
          <w:ilvl w:val="0"/>
          <w:numId w:val="4"/>
        </w:numPr>
        <w:spacing w:line="600" w:lineRule="exact"/>
        <w:ind w:firstLine="640"/>
        <w:outlineLvl w:val="1"/>
        <w:rPr>
          <w:rStyle w:val="27"/>
          <w:rFonts w:ascii="黑体" w:hAnsi="黑体" w:eastAsia="黑体"/>
          <w:b w:val="0"/>
        </w:rPr>
      </w:pPr>
      <w:bookmarkStart w:id="50" w:name="_Toc15396612"/>
      <w:bookmarkStart w:id="51" w:name="_Toc15377221"/>
      <w:r>
        <w:rPr>
          <w:rStyle w:val="2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sz w:val="32"/>
          <w:szCs w:val="32"/>
        </w:rPr>
        <w:t>20</w:t>
      </w:r>
      <w:r>
        <w:rPr>
          <w:rFonts w:hint="eastAsia" w:ascii="仿宋_GB2312" w:eastAsia="仿宋_GB2312"/>
          <w:sz w:val="32"/>
          <w:szCs w:val="32"/>
        </w:rPr>
        <w:t>22年，县文旅体局机关运行经费支出</w:t>
      </w:r>
      <w:r>
        <w:rPr>
          <w:rFonts w:hint="eastAsia" w:ascii="仿宋_GB2312" w:eastAsia="仿宋_GB2312"/>
          <w:sz w:val="32"/>
          <w:szCs w:val="32"/>
          <w:lang w:val="en-US" w:eastAsia="zh-CN"/>
        </w:rPr>
        <w:t>121.76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141.88</w:t>
      </w:r>
      <w:r>
        <w:rPr>
          <w:rFonts w:hint="eastAsia" w:ascii="仿宋_GB2312" w:eastAsia="仿宋_GB2312"/>
          <w:sz w:val="32"/>
          <w:szCs w:val="32"/>
        </w:rPr>
        <w:t>万元，下降</w:t>
      </w:r>
      <w:r>
        <w:rPr>
          <w:rFonts w:hint="eastAsia" w:ascii="仿宋_GB2312" w:eastAsia="仿宋_GB2312"/>
          <w:sz w:val="32"/>
          <w:szCs w:val="32"/>
          <w:lang w:val="en-US" w:eastAsia="zh-CN"/>
        </w:rPr>
        <w:t>53.82</w:t>
      </w:r>
      <w:r>
        <w:rPr>
          <w:rFonts w:ascii="仿宋_GB2312" w:eastAsia="仿宋_GB2312"/>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预算减少。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22年，县文旅体局政府采购支出总额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日，县文旅体局共有车辆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广安剑阁对口帮扶资金</w:t>
      </w:r>
      <w:r>
        <w:rPr>
          <w:rFonts w:hint="eastAsia" w:hAnsi="仿宋_GB2312" w:cs="仿宋_GB2312"/>
          <w:sz w:val="32"/>
          <w:szCs w:val="32"/>
        </w:rPr>
        <w:t>项目</w:t>
      </w:r>
      <w:r>
        <w:rPr>
          <w:rFonts w:hint="eastAsia" w:hAnsi="仿宋_GB2312" w:cs="仿宋_GB2312"/>
          <w:sz w:val="32"/>
          <w:szCs w:val="32"/>
          <w:lang w:eastAsia="zh-CN"/>
        </w:rPr>
        <w:t>、</w:t>
      </w:r>
      <w:r>
        <w:rPr>
          <w:rFonts w:hint="eastAsia" w:hAnsi="仿宋_GB2312" w:cs="仿宋_GB2312"/>
          <w:sz w:val="32"/>
          <w:szCs w:val="32"/>
          <w:lang w:val="en-US" w:eastAsia="zh-CN"/>
        </w:rPr>
        <w:t>广播电视户户通运行维护项目、公共体育场馆免费或低收费开放项目3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26"/>
          <w:rFonts w:hint="eastAsia" w:ascii="黑体" w:hAnsi="黑体" w:eastAsia="黑体"/>
          <w:b w:val="0"/>
        </w:rPr>
        <w:t>词解释</w:t>
      </w:r>
      <w:bookmarkEnd w:id="55"/>
      <w:bookmarkEnd w:id="56"/>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文化体育与传媒支出（类）文化和旅游（款）行政运行（项）：指</w:t>
      </w:r>
      <w:r>
        <w:rPr>
          <w:rFonts w:hint="eastAsia" w:ascii="仿宋_GB2312" w:eastAsia="仿宋_GB2312"/>
          <w:color w:val="000000"/>
          <w:sz w:val="32"/>
          <w:szCs w:val="32"/>
        </w:rPr>
        <w:t>行政单位（包括实行公务员管理的事业单位）的基本支出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文化体育与传媒支出（类）文化和旅游（款）群众文化（项）：指群众文化方面的支出，包括基层文化馆（站）、群众艺术馆支出等。</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文化体育与传媒支出（类）文化和旅游（款）文化和旅游管理事务（项）：指</w:t>
      </w:r>
      <w:r>
        <w:rPr>
          <w:rFonts w:hint="eastAsia" w:ascii="仿宋_GB2312" w:eastAsia="仿宋_GB2312"/>
          <w:color w:val="000000"/>
          <w:sz w:val="32"/>
          <w:szCs w:val="32"/>
        </w:rPr>
        <w:t>文化和旅游管理事务支出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文化体育与传媒支出（类）文化和旅游（款）其他文化和旅游支出（项）：指</w:t>
      </w:r>
      <w:r>
        <w:rPr>
          <w:rFonts w:hint="eastAsia" w:ascii="仿宋_GB2312" w:eastAsia="仿宋_GB2312"/>
          <w:color w:val="000000"/>
          <w:sz w:val="32"/>
          <w:szCs w:val="32"/>
        </w:rPr>
        <w:t>除上述项目以外其他用于文化和旅游方面的支出</w:t>
      </w:r>
      <w:r>
        <w:rPr>
          <w:rFonts w:hint="eastAsia" w:ascii="仿宋_GB2312" w:eastAsia="仿宋_GB2312"/>
          <w:sz w:val="32"/>
          <w:szCs w:val="32"/>
        </w:rPr>
        <w:t>。</w:t>
      </w:r>
    </w:p>
    <w:p>
      <w:pPr>
        <w:ind w:firstLine="640" w:firstLineChars="200"/>
        <w:rPr>
          <w:rFonts w:ascii="仿宋_GB2312" w:eastAsia="仿宋_GB2312"/>
          <w:color w:val="000000"/>
          <w:sz w:val="32"/>
          <w:szCs w:val="32"/>
        </w:rPr>
      </w:pPr>
      <w:r>
        <w:rPr>
          <w:rFonts w:ascii="仿宋_GB2312" w:eastAsia="仿宋_GB2312"/>
          <w:sz w:val="32"/>
          <w:szCs w:val="32"/>
        </w:rPr>
        <w:t>7.</w:t>
      </w:r>
      <w:r>
        <w:rPr>
          <w:rFonts w:hint="eastAsia" w:ascii="仿宋_GB2312" w:eastAsia="仿宋_GB2312"/>
          <w:sz w:val="32"/>
          <w:szCs w:val="32"/>
        </w:rPr>
        <w:t>文化体育与传媒支出（类）体育（款）行政运行（项）：指</w:t>
      </w:r>
      <w:r>
        <w:rPr>
          <w:rFonts w:hint="eastAsia" w:ascii="仿宋_GB2312" w:eastAsia="仿宋_GB2312"/>
          <w:color w:val="000000"/>
          <w:sz w:val="32"/>
          <w:szCs w:val="32"/>
        </w:rPr>
        <w:t>行政单位（包括实行公务员管理的事业单位）的基本支出。</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文化体育与传媒支出（类）体育（款）体育竞赛（项）：指综合性运动会及单项体育比赛支出。</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文化体育与传媒支出（类）体育（款）体育场馆（项）：指</w:t>
      </w:r>
      <w:r>
        <w:rPr>
          <w:rFonts w:hint="eastAsia" w:ascii="仿宋_GB2312" w:eastAsia="仿宋_GB2312"/>
          <w:color w:val="000000"/>
          <w:sz w:val="32"/>
          <w:szCs w:val="32"/>
        </w:rPr>
        <w:t>体育场馆建设维护等方面的支出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文化体育与传媒支出（类）体育（款）其他体育支出（项）：指</w:t>
      </w:r>
      <w:r>
        <w:rPr>
          <w:rFonts w:hint="eastAsia" w:ascii="仿宋_GB2312" w:eastAsia="仿宋_GB2312"/>
          <w:color w:val="000000"/>
          <w:sz w:val="32"/>
          <w:szCs w:val="32"/>
        </w:rPr>
        <w:t>除上述项目以外其他用于体育方面的支出</w:t>
      </w:r>
      <w:r>
        <w:rPr>
          <w:rFonts w:hint="eastAsia" w:ascii="仿宋_GB2312" w:eastAsia="仿宋_GB2312"/>
          <w:sz w:val="32"/>
          <w:szCs w:val="32"/>
        </w:rPr>
        <w:t>。</w:t>
      </w:r>
    </w:p>
    <w:p>
      <w:pPr>
        <w:ind w:firstLine="640" w:firstLineChars="200"/>
        <w:rPr>
          <w:rFonts w:hint="eastAsia" w:ascii="仿宋_GB2312" w:eastAsia="仿宋_GB2312"/>
          <w:color w:val="000000"/>
          <w:sz w:val="32"/>
          <w:szCs w:val="32"/>
        </w:rPr>
      </w:pPr>
      <w:r>
        <w:rPr>
          <w:rFonts w:ascii="仿宋_GB2312" w:eastAsia="仿宋_GB2312"/>
          <w:sz w:val="32"/>
          <w:szCs w:val="32"/>
        </w:rPr>
        <w:t>11.</w:t>
      </w:r>
      <w:r>
        <w:rPr>
          <w:rFonts w:hint="eastAsia" w:ascii="仿宋_GB2312" w:eastAsia="仿宋_GB2312"/>
          <w:sz w:val="32"/>
          <w:szCs w:val="32"/>
        </w:rPr>
        <w:t>文化体育与传媒支出（类）广播电视（款）其他广播电视支出（项）：指</w:t>
      </w:r>
      <w:r>
        <w:rPr>
          <w:rFonts w:hint="eastAsia" w:ascii="仿宋_GB2312" w:eastAsia="仿宋_GB2312"/>
          <w:color w:val="000000"/>
          <w:sz w:val="32"/>
          <w:szCs w:val="32"/>
        </w:rPr>
        <w:t>除上述项目以外其他用于广播电视方面的支出。</w:t>
      </w:r>
    </w:p>
    <w:p>
      <w:pPr>
        <w:ind w:firstLine="640" w:firstLineChars="200"/>
        <w:rPr>
          <w:rFonts w:ascii="仿宋_GB2312" w:eastAsia="仿宋_GB2312"/>
          <w:color w:val="000000"/>
          <w:sz w:val="32"/>
          <w:szCs w:val="32"/>
        </w:rPr>
      </w:pPr>
      <w:r>
        <w:rPr>
          <w:rFonts w:ascii="仿宋_GB2312" w:eastAsia="仿宋_GB2312"/>
          <w:sz w:val="32"/>
          <w:szCs w:val="32"/>
        </w:rPr>
        <w:t>12.</w:t>
      </w:r>
      <w:r>
        <w:rPr>
          <w:rFonts w:hint="eastAsia" w:ascii="仿宋_GB2312" w:eastAsia="仿宋_GB2312"/>
          <w:sz w:val="32"/>
          <w:szCs w:val="32"/>
        </w:rPr>
        <w:t>文化体育与传媒支出（类）旅游发展基金支出（款）  地方旅游开发项目补助（项）：指旅游发展基金安排用于补助地方旅游开发项目的经费支出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sz w:val="32"/>
          <w:szCs w:val="32"/>
        </w:rPr>
        <w:t>13.</w:t>
      </w:r>
      <w:r>
        <w:rPr>
          <w:rFonts w:hint="eastAsia" w:ascii="仿宋_GB2312" w:eastAsia="仿宋_GB2312"/>
          <w:sz w:val="32"/>
          <w:szCs w:val="32"/>
        </w:rPr>
        <w:t>文化体育与传媒支出（类）其他文化旅游体育与传媒支出（款）宣传文化发展专项支出（项）：指按照国家有关政策支持宣传文化单位发展的专项支出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sz w:val="32"/>
          <w:szCs w:val="32"/>
        </w:rPr>
        <w:t>14.</w:t>
      </w:r>
      <w:r>
        <w:rPr>
          <w:rFonts w:hint="eastAsia" w:ascii="仿宋_GB2312" w:eastAsia="仿宋_GB2312"/>
          <w:sz w:val="32"/>
          <w:szCs w:val="32"/>
        </w:rPr>
        <w:t>文化体育与传媒支出（类）其他文化旅游体育与传媒支出（款）文化产业发展专项支出（项）：指支持文化产业发展专项支出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sz w:val="32"/>
          <w:szCs w:val="32"/>
        </w:rPr>
        <w:t>15.</w:t>
      </w:r>
      <w:r>
        <w:rPr>
          <w:rFonts w:hint="eastAsia" w:ascii="仿宋_GB2312" w:eastAsia="仿宋_GB2312"/>
          <w:sz w:val="32"/>
          <w:szCs w:val="32"/>
        </w:rPr>
        <w:t>文化体育与传媒支出（类）其他文化旅游体育与传媒支出（款）其他文化旅游体育与传媒支出（项）：指</w:t>
      </w:r>
      <w:r>
        <w:rPr>
          <w:rFonts w:hint="eastAsia" w:ascii="仿宋_GB2312" w:eastAsia="仿宋_GB2312"/>
          <w:color w:val="000000"/>
          <w:sz w:val="32"/>
          <w:szCs w:val="32"/>
        </w:rPr>
        <w:t>除上述项目以外其他用于</w:t>
      </w:r>
      <w:r>
        <w:rPr>
          <w:rFonts w:hint="eastAsia" w:ascii="仿宋_GB2312" w:eastAsia="仿宋_GB2312"/>
          <w:sz w:val="32"/>
          <w:szCs w:val="32"/>
        </w:rPr>
        <w:t>文化体育与传媒</w:t>
      </w:r>
      <w:r>
        <w:rPr>
          <w:rFonts w:hint="eastAsia" w:ascii="仿宋_GB2312" w:eastAsia="仿宋_GB2312"/>
          <w:color w:val="000000"/>
          <w:sz w:val="32"/>
          <w:szCs w:val="32"/>
        </w:rPr>
        <w:t>方面的支出。</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社会保障和就业支出（类）行政事业单位养老支出（款）行政单位离退休（项）：指行政单位（包括实行公务员管理的事业单位）开支的离退休经费。</w:t>
      </w:r>
    </w:p>
    <w:p>
      <w:pPr>
        <w:ind w:firstLine="640" w:firstLineChars="200"/>
        <w:rPr>
          <w:rFonts w:hint="eastAsia" w:ascii="仿宋_GB2312" w:eastAsia="仿宋_GB2312"/>
          <w:color w:val="000000"/>
          <w:sz w:val="32"/>
          <w:szCs w:val="32"/>
        </w:rPr>
      </w:pPr>
      <w:r>
        <w:rPr>
          <w:rFonts w:ascii="仿宋_GB2312" w:eastAsia="仿宋_GB2312"/>
          <w:sz w:val="32"/>
          <w:szCs w:val="32"/>
        </w:rPr>
        <w:t>17.</w:t>
      </w:r>
      <w:r>
        <w:rPr>
          <w:rFonts w:hint="eastAsia" w:ascii="仿宋_GB2312" w:eastAsia="仿宋_GB2312"/>
          <w:sz w:val="32"/>
          <w:szCs w:val="32"/>
        </w:rPr>
        <w:t>社会保障和就业支出（类）行政事业单位养老支出（款）机关事业单位基本养老保险缴费支出（项）：指</w:t>
      </w:r>
      <w:r>
        <w:rPr>
          <w:rFonts w:hint="eastAsia" w:ascii="仿宋_GB2312" w:eastAsia="仿宋_GB2312"/>
          <w:color w:val="000000"/>
          <w:sz w:val="32"/>
          <w:szCs w:val="32"/>
        </w:rPr>
        <w:t>机关事业单位实施养老保险制度由单位缴纳的基本养老保险费支出。</w:t>
      </w:r>
    </w:p>
    <w:p>
      <w:pPr>
        <w:ind w:firstLine="640" w:firstLineChars="200"/>
        <w:rPr>
          <w:rFonts w:ascii="仿宋_GB2312" w:eastAsia="仿宋_GB2312"/>
          <w:color w:val="000000"/>
          <w:sz w:val="32"/>
          <w:szCs w:val="32"/>
        </w:rPr>
      </w:pPr>
      <w:r>
        <w:rPr>
          <w:rFonts w:ascii="仿宋_GB2312" w:eastAsia="仿宋_GB2312"/>
          <w:sz w:val="32"/>
          <w:szCs w:val="32"/>
        </w:rPr>
        <w:t>18.</w:t>
      </w:r>
      <w:r>
        <w:rPr>
          <w:rFonts w:hint="eastAsia" w:ascii="仿宋_GB2312" w:eastAsia="仿宋_GB2312"/>
          <w:sz w:val="32"/>
          <w:szCs w:val="32"/>
        </w:rPr>
        <w:t>卫生健康支出（类）行政事业单位医疗（款）行政单位医疗（项）：指</w:t>
      </w:r>
      <w:r>
        <w:rPr>
          <w:rFonts w:hint="eastAsia" w:ascii="仿宋_GB2312" w:eastAsia="仿宋_GB2312"/>
          <w:color w:val="000000"/>
          <w:sz w:val="32"/>
          <w:szCs w:val="32"/>
        </w:rPr>
        <w:t>财政部门安排的行政单位基本医疗保险缴费经费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农林水支出（类）扶贫（款）生产发展（项）：指</w:t>
      </w:r>
      <w:r>
        <w:rPr>
          <w:rFonts w:hint="eastAsia" w:ascii="仿宋_GB2312" w:eastAsia="仿宋_GB2312"/>
          <w:color w:val="000000"/>
          <w:sz w:val="32"/>
          <w:szCs w:val="32"/>
        </w:rPr>
        <w:t>用于农村欠发达地区种植业、养殖业、畜牧业、农副产品加工、林果</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建设等生产发展项目以及相关技术推广等方面的项目支出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农林水支出（类）扶贫（款）其他扶贫支出（项）：指</w:t>
      </w:r>
      <w:r>
        <w:rPr>
          <w:rFonts w:hint="eastAsia" w:ascii="仿宋_GB2312" w:eastAsia="仿宋_GB2312"/>
          <w:color w:val="000000"/>
          <w:sz w:val="32"/>
          <w:szCs w:val="32"/>
        </w:rPr>
        <w:t>除上述项目以外其他用于扶贫方面的支出</w:t>
      </w:r>
      <w:r>
        <w:rPr>
          <w:rFonts w:hint="eastAsia" w:ascii="仿宋_GB2312" w:eastAsia="仿宋_GB2312"/>
          <w:sz w:val="32"/>
          <w:szCs w:val="32"/>
        </w:rPr>
        <w:t>。</w:t>
      </w:r>
    </w:p>
    <w:p>
      <w:pPr>
        <w:ind w:firstLine="640" w:firstLineChars="200"/>
        <w:rPr>
          <w:rFonts w:hint="eastAsia" w:ascii="仿宋_GB2312" w:eastAsia="仿宋_GB2312"/>
          <w:color w:val="000000"/>
          <w:sz w:val="32"/>
          <w:szCs w:val="32"/>
        </w:rPr>
      </w:pPr>
      <w:r>
        <w:rPr>
          <w:rFonts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住房保障支出（类）住房改革支出（款）住房公积金（项）：指</w:t>
      </w:r>
      <w:r>
        <w:rPr>
          <w:rFonts w:hint="eastAsia" w:ascii="仿宋_GB2312" w:eastAsia="仿宋_GB2312"/>
          <w:color w:val="000000"/>
          <w:sz w:val="32"/>
          <w:szCs w:val="32"/>
        </w:rPr>
        <w:t>行政事业单位按照规定比例为职工缴纳的住房公积金。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w:t>
      </w:r>
      <w:r>
        <w:rPr>
          <w:rFonts w:hint="eastAsia" w:ascii="仿宋_GB2312" w:eastAsia="仿宋_GB2312"/>
          <w:sz w:val="32"/>
          <w:szCs w:val="32"/>
          <w:lang w:eastAsia="zh-CN"/>
        </w:rPr>
        <w:t>支出</w:t>
      </w:r>
      <w:r>
        <w:rPr>
          <w:rFonts w:hint="eastAsia" w:ascii="仿宋_GB2312" w:eastAsia="仿宋_GB2312"/>
          <w:sz w:val="32"/>
          <w:szCs w:val="32"/>
        </w:rPr>
        <w:t>（类）彩票公益金安排的支出（款）用于体育事业的彩票公益金支出（项）：指用于体育事业的彩票公益金支出。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6"/>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26"/>
          <w:rFonts w:hint="eastAsia" w:ascii="黑体" w:hAnsi="黑体" w:eastAsia="黑体"/>
          <w:b w:val="0"/>
        </w:rPr>
        <w:t>四部分 附件</w:t>
      </w:r>
      <w:bookmarkEnd w:id="58"/>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9" w:name="_Toc15396618"/>
      <w:r>
        <w:rPr>
          <w:rFonts w:hint="eastAsia" w:ascii="宋体" w:hAnsi="宋体" w:cs="宋体"/>
          <w:kern w:val="0"/>
          <w:sz w:val="32"/>
          <w:szCs w:val="32"/>
        </w:rPr>
        <w:t>部门预算项目支出绩效自评表（2022年度）</w:t>
      </w:r>
    </w:p>
    <w:p>
      <w:pPr>
        <w:pStyle w:val="5"/>
        <w:spacing w:before="93"/>
        <w:rPr>
          <w:rFonts w:hAnsi="Calibri" w:cs="仿宋"/>
          <w:sz w:val="32"/>
          <w:szCs w:val="32"/>
        </w:rPr>
      </w:pPr>
    </w:p>
    <w:tbl>
      <w:tblPr>
        <w:tblStyle w:val="14"/>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615"/>
        <w:gridCol w:w="615"/>
        <w:gridCol w:w="615"/>
        <w:gridCol w:w="615"/>
        <w:gridCol w:w="615"/>
        <w:gridCol w:w="615"/>
        <w:gridCol w:w="1230"/>
        <w:gridCol w:w="615"/>
        <w:gridCol w:w="615"/>
        <w:gridCol w:w="615"/>
        <w:gridCol w:w="61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61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广安剑阁对口帮扶资金</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项目负责人及电话</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何志全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其中：中央、省、市财政资金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年初设定目标</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29个文化站免费开放</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财政复评得分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实际值</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五指山基础设施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满足农村群众文化需求</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5"/>
        <w:spacing w:before="93"/>
        <w:rPr>
          <w:rFonts w:hAnsi="Calibri" w:cs="仿宋"/>
          <w:sz w:val="32"/>
          <w:szCs w:val="32"/>
        </w:rPr>
      </w:pPr>
    </w:p>
    <w:p>
      <w:pPr>
        <w:pStyle w:val="5"/>
        <w:spacing w:before="93"/>
        <w:rPr>
          <w:rFonts w:hAnsi="Calibri" w:cs="仿宋"/>
          <w:sz w:val="32"/>
          <w:szCs w:val="32"/>
        </w:rPr>
      </w:pPr>
    </w:p>
    <w:tbl>
      <w:tblPr>
        <w:tblStyle w:val="14"/>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615"/>
        <w:gridCol w:w="615"/>
        <w:gridCol w:w="615"/>
        <w:gridCol w:w="615"/>
        <w:gridCol w:w="615"/>
        <w:gridCol w:w="615"/>
        <w:gridCol w:w="1230"/>
        <w:gridCol w:w="615"/>
        <w:gridCol w:w="615"/>
        <w:gridCol w:w="615"/>
        <w:gridCol w:w="61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广播电视户户通运行维护</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剑阁县文化旅游和体育局</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29个文化站免费开放</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设备维修维护</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全县5.1万户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全县5.1万户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满足农村群众文化需求</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Style w:val="5"/>
        <w:spacing w:before="93"/>
        <w:rPr>
          <w:rFonts w:hAnsi="Calibri" w:cs="仿宋"/>
          <w:sz w:val="32"/>
          <w:szCs w:val="32"/>
        </w:rPr>
      </w:pPr>
    </w:p>
    <w:tbl>
      <w:tblPr>
        <w:tblStyle w:val="14"/>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630"/>
        <w:gridCol w:w="630"/>
        <w:gridCol w:w="630"/>
        <w:gridCol w:w="630"/>
        <w:gridCol w:w="630"/>
        <w:gridCol w:w="630"/>
        <w:gridCol w:w="1260"/>
        <w:gridCol w:w="630"/>
        <w:gridCol w:w="630"/>
        <w:gridCol w:w="630"/>
        <w:gridCol w:w="63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2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公共体育场馆免费或低收费开放</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项目负责人及电话</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母锦喜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其中：中央、省、市财政资金</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县级财政资金</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年初设定目标</w:t>
            </w:r>
          </w:p>
        </w:tc>
        <w:tc>
          <w:tcPr>
            <w:tcW w:w="4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29个文化站免费开放</w:t>
            </w:r>
          </w:p>
        </w:tc>
        <w:tc>
          <w:tcPr>
            <w:tcW w:w="4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财政复评得分</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实际值</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免费或低收费开放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满足群众体育健身需求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7"/>
      <w:bookmarkEnd w:id="59"/>
      <w:bookmarkStart w:id="60" w:name="_Toc15396619"/>
    </w:p>
    <w:p>
      <w:pPr>
        <w:pStyle w:val="3"/>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60"/>
    </w:p>
    <w:p>
      <w:pPr>
        <w:pStyle w:val="3"/>
        <w:rPr>
          <w:rFonts w:ascii="仿宋" w:hAnsi="仿宋" w:eastAsia="仿宋"/>
        </w:rPr>
      </w:pPr>
      <w:bookmarkStart w:id="61" w:name="_Toc15396620"/>
      <w:r>
        <w:rPr>
          <w:rFonts w:hint="eastAsia" w:ascii="仿宋" w:hAnsi="仿宋" w:eastAsia="仿宋"/>
          <w:b w:val="0"/>
        </w:rPr>
        <w:t>二、收</w:t>
      </w:r>
      <w:r>
        <w:rPr>
          <w:rStyle w:val="27"/>
          <w:rFonts w:hint="eastAsia" w:ascii="仿宋" w:hAnsi="仿宋" w:eastAsia="仿宋"/>
          <w:b w:val="0"/>
          <w:bCs w:val="0"/>
        </w:rPr>
        <w:t>入决算表</w:t>
      </w:r>
      <w:bookmarkEnd w:id="61"/>
    </w:p>
    <w:p>
      <w:pPr>
        <w:pStyle w:val="3"/>
        <w:rPr>
          <w:rFonts w:ascii="仿宋" w:hAnsi="仿宋" w:eastAsia="仿宋"/>
        </w:rPr>
      </w:pPr>
      <w:bookmarkStart w:id="62"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62"/>
    </w:p>
    <w:p>
      <w:pPr>
        <w:pStyle w:val="3"/>
        <w:rPr>
          <w:rFonts w:ascii="仿宋" w:hAnsi="仿宋" w:eastAsia="仿宋"/>
          <w:b w:val="0"/>
        </w:rPr>
      </w:pPr>
      <w:bookmarkStart w:id="63"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3"/>
    </w:p>
    <w:p>
      <w:pPr>
        <w:pStyle w:val="3"/>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4"/>
      <w:bookmarkStart w:id="65" w:name="_Toc15396624"/>
    </w:p>
    <w:p>
      <w:pPr>
        <w:pStyle w:val="3"/>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5"/>
    </w:p>
    <w:p>
      <w:pPr>
        <w:pStyle w:val="3"/>
        <w:rPr>
          <w:rFonts w:ascii="仿宋" w:hAnsi="仿宋" w:eastAsia="仿宋"/>
        </w:rPr>
      </w:pPr>
      <w:bookmarkStart w:id="66"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6"/>
    </w:p>
    <w:p>
      <w:pPr>
        <w:pStyle w:val="3"/>
        <w:rPr>
          <w:rFonts w:ascii="仿宋" w:hAnsi="仿宋" w:eastAsia="仿宋"/>
        </w:rPr>
      </w:pPr>
      <w:bookmarkStart w:id="67"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7"/>
    </w:p>
    <w:p>
      <w:pPr>
        <w:pStyle w:val="3"/>
        <w:rPr>
          <w:rFonts w:ascii="仿宋" w:hAnsi="仿宋" w:eastAsia="仿宋"/>
        </w:rPr>
      </w:pPr>
      <w:bookmarkStart w:id="68"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8"/>
    </w:p>
    <w:p>
      <w:pPr>
        <w:pStyle w:val="3"/>
        <w:rPr>
          <w:rFonts w:ascii="仿宋" w:hAnsi="仿宋" w:eastAsia="仿宋"/>
        </w:rPr>
      </w:pPr>
      <w:bookmarkStart w:id="69" w:name="_Toc15396628"/>
      <w:r>
        <w:rPr>
          <w:rStyle w:val="27"/>
          <w:rFonts w:hint="eastAsia" w:ascii="仿宋" w:hAnsi="仿宋" w:eastAsia="仿宋"/>
          <w:b w:val="0"/>
          <w:bCs w:val="0"/>
        </w:rPr>
        <w:t>十、</w:t>
      </w:r>
      <w:bookmarkEnd w:id="69"/>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3"/>
        <w:rPr>
          <w:rFonts w:ascii="仿宋" w:hAnsi="仿宋" w:eastAsia="仿宋"/>
        </w:rPr>
      </w:pPr>
      <w:bookmarkStart w:id="70" w:name="_Toc15396629"/>
      <w:r>
        <w:rPr>
          <w:rStyle w:val="27"/>
          <w:rFonts w:hint="eastAsia" w:ascii="仿宋" w:hAnsi="仿宋" w:eastAsia="仿宋"/>
          <w:b w:val="0"/>
          <w:bCs w:val="0"/>
        </w:rPr>
        <w:t>十一、</w:t>
      </w:r>
      <w:bookmarkEnd w:id="70"/>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3"/>
        <w:rPr>
          <w:rFonts w:ascii="仿宋" w:hAnsi="仿宋" w:eastAsia="仿宋"/>
        </w:rPr>
      </w:pPr>
      <w:bookmarkStart w:id="71" w:name="_Toc15396630"/>
      <w:r>
        <w:rPr>
          <w:rStyle w:val="27"/>
          <w:rFonts w:hint="eastAsia" w:ascii="仿宋" w:hAnsi="仿宋" w:eastAsia="仿宋"/>
          <w:b w:val="0"/>
          <w:bCs w:val="0"/>
        </w:rPr>
        <w:t>十二、</w:t>
      </w:r>
      <w:bookmarkEnd w:id="71"/>
      <w:r>
        <w:rPr>
          <w:rStyle w:val="27"/>
          <w:rFonts w:hint="eastAsia" w:ascii="仿宋" w:hAnsi="仿宋" w:eastAsia="仿宋"/>
          <w:b w:val="0"/>
          <w:bCs w:val="0"/>
        </w:rPr>
        <w:t>国有资本经营预算财政拨款支出决算表</w:t>
      </w:r>
    </w:p>
    <w:p>
      <w:pPr>
        <w:pStyle w:val="3"/>
        <w:rPr>
          <w:rFonts w:eastAsia="仿宋"/>
        </w:rPr>
      </w:pPr>
      <w:bookmarkStart w:id="72" w:name="_Toc15396631"/>
      <w:r>
        <w:rPr>
          <w:rStyle w:val="27"/>
          <w:rFonts w:hint="eastAsia" w:ascii="仿宋" w:hAnsi="仿宋" w:eastAsia="仿宋"/>
          <w:b w:val="0"/>
          <w:bCs w:val="0"/>
        </w:rPr>
        <w:t>十三、</w:t>
      </w:r>
      <w:bookmarkEnd w:id="72"/>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C2E56C-771A-4BAF-84FA-9884FC4EE6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0E47BD-4310-4A67-B170-E01D48E881F6}"/>
  </w:font>
  <w:font w:name="Cambria">
    <w:panose1 w:val="02040503050406030204"/>
    <w:charset w:val="00"/>
    <w:family w:val="roman"/>
    <w:pitch w:val="default"/>
    <w:sig w:usb0="E00006FF" w:usb1="420024FF" w:usb2="02000000" w:usb3="00000000" w:csb0="2000019F" w:csb1="00000000"/>
    <w:embedRegular r:id="rId3" w:fontKey="{76D87B7C-B235-43DF-B028-C07ABBAAE287}"/>
  </w:font>
  <w:font w:name="仿宋_GB2312">
    <w:altName w:val="仿宋"/>
    <w:panose1 w:val="02010609030101010101"/>
    <w:charset w:val="86"/>
    <w:family w:val="modern"/>
    <w:pitch w:val="default"/>
    <w:sig w:usb0="00000000" w:usb1="00000000" w:usb2="00000000" w:usb3="00000000" w:csb0="00040000" w:csb1="00000000"/>
    <w:embedRegular r:id="rId4" w:fontKey="{8703B608-C05F-4E48-868F-2B1030283D5C}"/>
  </w:font>
  <w:font w:name="仿宋">
    <w:panose1 w:val="02010609060101010101"/>
    <w:charset w:val="86"/>
    <w:family w:val="modern"/>
    <w:pitch w:val="default"/>
    <w:sig w:usb0="800002BF" w:usb1="38CF7CFA" w:usb2="00000016" w:usb3="00000000" w:csb0="00040001" w:csb1="00000000"/>
    <w:embedRegular r:id="rId5" w:fontKey="{5C02AA62-ED54-4398-BE08-95BE9BA226BC}"/>
  </w:font>
  <w:font w:name="方正小标宋简体">
    <w:panose1 w:val="02000000000000000000"/>
    <w:charset w:val="86"/>
    <w:family w:val="script"/>
    <w:pitch w:val="default"/>
    <w:sig w:usb0="00000001" w:usb1="08000000" w:usb2="00000000" w:usb3="00000000" w:csb0="00040000" w:csb1="00000000"/>
    <w:embedRegular r:id="rId6" w:fontKey="{32D625F7-3920-469E-B9F5-302699B91A34}"/>
  </w:font>
  <w:font w:name="楷体">
    <w:panose1 w:val="02010609060101010101"/>
    <w:charset w:val="86"/>
    <w:family w:val="auto"/>
    <w:pitch w:val="default"/>
    <w:sig w:usb0="800002BF" w:usb1="38CF7CFA" w:usb2="00000016" w:usb3="00000000" w:csb0="00040001" w:csb1="00000000"/>
    <w:embedRegular r:id="rId7" w:fontKey="{E11D81FD-C448-4127-B5BE-15DEF1C4EF87}"/>
  </w:font>
  <w:font w:name="方正仿宋_GB2312">
    <w:altName w:val="仿宋"/>
    <w:panose1 w:val="02000000000000000000"/>
    <w:charset w:val="86"/>
    <w:family w:val="auto"/>
    <w:pitch w:val="default"/>
    <w:sig w:usb0="00000000" w:usb1="00000000" w:usb2="00000000" w:usb3="00000000" w:csb0="00000000" w:csb1="00000000"/>
    <w:embedRegular r:id="rId8" w:fontKey="{A56B8B33-C453-4918-B752-4E5BA3111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43A"/>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335497"/>
    <w:rsid w:val="041C2294"/>
    <w:rsid w:val="053A62B5"/>
    <w:rsid w:val="0A2032A3"/>
    <w:rsid w:val="0B8A37D8"/>
    <w:rsid w:val="0E516BD6"/>
    <w:rsid w:val="0E671B3E"/>
    <w:rsid w:val="10C055FF"/>
    <w:rsid w:val="118107EC"/>
    <w:rsid w:val="11DD6519"/>
    <w:rsid w:val="136F0173"/>
    <w:rsid w:val="13DB42F3"/>
    <w:rsid w:val="1503091A"/>
    <w:rsid w:val="16BB723D"/>
    <w:rsid w:val="17435EA8"/>
    <w:rsid w:val="18015F3F"/>
    <w:rsid w:val="1ABD5F72"/>
    <w:rsid w:val="1BE8440E"/>
    <w:rsid w:val="1D155CEE"/>
    <w:rsid w:val="1F100D66"/>
    <w:rsid w:val="202E7BC3"/>
    <w:rsid w:val="20F57F95"/>
    <w:rsid w:val="221F706F"/>
    <w:rsid w:val="240371BF"/>
    <w:rsid w:val="24D40A88"/>
    <w:rsid w:val="25711CC6"/>
    <w:rsid w:val="25C741E6"/>
    <w:rsid w:val="26415CA9"/>
    <w:rsid w:val="268A682A"/>
    <w:rsid w:val="27842671"/>
    <w:rsid w:val="2789399C"/>
    <w:rsid w:val="29FD04D3"/>
    <w:rsid w:val="2ABE7A3E"/>
    <w:rsid w:val="2B4A7790"/>
    <w:rsid w:val="2BE12049"/>
    <w:rsid w:val="2CA234A8"/>
    <w:rsid w:val="2EFA178C"/>
    <w:rsid w:val="304A5741"/>
    <w:rsid w:val="3098299F"/>
    <w:rsid w:val="30B46D73"/>
    <w:rsid w:val="31532D34"/>
    <w:rsid w:val="319F7F4E"/>
    <w:rsid w:val="33540D05"/>
    <w:rsid w:val="34AA6D8F"/>
    <w:rsid w:val="383D272C"/>
    <w:rsid w:val="395D5A70"/>
    <w:rsid w:val="39921550"/>
    <w:rsid w:val="39AE70AB"/>
    <w:rsid w:val="3ADE123E"/>
    <w:rsid w:val="3BCE5DD9"/>
    <w:rsid w:val="3C0C0783"/>
    <w:rsid w:val="3C4433A8"/>
    <w:rsid w:val="3F9F3A96"/>
    <w:rsid w:val="4230450B"/>
    <w:rsid w:val="42827125"/>
    <w:rsid w:val="43E97C54"/>
    <w:rsid w:val="456F4189"/>
    <w:rsid w:val="46621383"/>
    <w:rsid w:val="489932CB"/>
    <w:rsid w:val="48BF60AB"/>
    <w:rsid w:val="493C27E9"/>
    <w:rsid w:val="496F39ED"/>
    <w:rsid w:val="49FF41D3"/>
    <w:rsid w:val="4BE068DB"/>
    <w:rsid w:val="4BF6002B"/>
    <w:rsid w:val="4ECE2238"/>
    <w:rsid w:val="4F4F5973"/>
    <w:rsid w:val="5013595D"/>
    <w:rsid w:val="507114A3"/>
    <w:rsid w:val="513A78FA"/>
    <w:rsid w:val="51DB4B86"/>
    <w:rsid w:val="53F7643F"/>
    <w:rsid w:val="55333C3E"/>
    <w:rsid w:val="5C6A7466"/>
    <w:rsid w:val="5F70167D"/>
    <w:rsid w:val="631101D6"/>
    <w:rsid w:val="63445CB6"/>
    <w:rsid w:val="643C3B38"/>
    <w:rsid w:val="64CA39A1"/>
    <w:rsid w:val="68131B81"/>
    <w:rsid w:val="69495A43"/>
    <w:rsid w:val="69630ADE"/>
    <w:rsid w:val="6BB43DF4"/>
    <w:rsid w:val="6C4A05C8"/>
    <w:rsid w:val="6D3B1A89"/>
    <w:rsid w:val="71BF4EC2"/>
    <w:rsid w:val="72734D90"/>
    <w:rsid w:val="728E4D44"/>
    <w:rsid w:val="72EA6D40"/>
    <w:rsid w:val="7412278C"/>
    <w:rsid w:val="76041CFE"/>
    <w:rsid w:val="760D6F22"/>
    <w:rsid w:val="79E7B28D"/>
    <w:rsid w:val="7B4D3297"/>
    <w:rsid w:val="7D964A88"/>
    <w:rsid w:val="7F046A80"/>
    <w:rsid w:val="7F0F1615"/>
    <w:rsid w:val="7F8647E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ascii="Times New Roman" w:hAnsi="Times New Roman"/>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next w:val="1"/>
    <w:qFormat/>
    <w:uiPriority w:val="0"/>
    <w:pPr>
      <w:ind w:firstLine="420" w:firstLineChars="200"/>
    </w:pPr>
    <w:rPr>
      <w:rFonts w:cs="Calibri"/>
      <w:szCs w:val="21"/>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font31"/>
    <w:basedOn w:val="1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6032;&#25509;&#25163;&#30340;&#25991;&#20214;\10&#26376;\2023&#24180;&#37096;&#38376;&#39044;&#31639;&#35843;&#25972;&#26041;&#26696;\&#20844;&#24320;&#21450;&#25209;&#22797;&#26448;&#26009;&#65288;2023&#24180;&#24230;&#65289;(1)\&#20844;&#24320;&#21450;&#25209;&#22797;&#26448;&#26009;&#65288;2023&#24180;&#24230;&#65289;\&#20844;&#24320;&#21450;&#25209;&#22797;&#26448;&#26009;&#65288;&#20379;&#21442;&#32771;&#65289;\&#30465;&#26412;&#32423;\&#20844;&#24320;&#26448;&#26009;\&#25991;&#26053;&#20307;&#21333;&#20301;\&#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1\&#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6032;&#25509;&#25163;&#30340;&#25991;&#20214;\10&#26376;\2023&#24180;&#37096;&#38376;&#39044;&#31639;&#35843;&#25972;&#26041;&#26696;\&#20844;&#24320;&#21450;&#25209;&#22797;&#26448;&#26009;&#65288;2023&#24180;&#24230;&#65289;(1)\&#20844;&#24320;&#21450;&#25209;&#22797;&#26448;&#26009;&#65288;2023&#24180;&#24230;&#65289;\&#20844;&#24320;&#21450;&#25209;&#22797;&#26448;&#26009;&#65288;&#20379;&#21442;&#32771;&#65289;\&#30465;&#26412;&#32423;\&#20844;&#24320;&#26448;&#26009;\&#25991;&#26053;&#20307;&#21333;&#20301;\&#20915;&#31639;&#20844;&#24320;&#25554;&#22270;&#21046;&#20316;&#31034;&#20363;.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Desktop\&#26032;&#25509;&#25163;&#30340;&#25991;&#20214;\10&#26376;\2023&#24180;&#37096;&#38376;&#39044;&#31639;&#35843;&#25972;&#26041;&#26696;\&#20844;&#24320;&#21450;&#25209;&#22797;&#26448;&#26009;&#65288;2023&#24180;&#24230;&#65289;(1)\&#20844;&#24320;&#21450;&#25209;&#22797;&#26448;&#26009;&#65288;2023&#24180;&#24230;&#65289;\&#20844;&#24320;&#21450;&#25209;&#22797;&#26448;&#26009;&#65288;&#20379;&#21442;&#32771;&#65289;\&#30465;&#26412;&#32423;\&#20844;&#24320;&#26448;&#26009;\&#25991;&#26053;&#20307;&#21333;&#20301;\&#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6032;&#25509;&#25163;&#30340;&#25991;&#20214;\10&#26376;\2023&#24180;&#37096;&#38376;&#39044;&#31639;&#35843;&#25972;&#26041;&#26696;\&#20844;&#24320;&#21450;&#25209;&#22797;&#26448;&#26009;&#65288;2023&#24180;&#24230;&#65289;(1)\&#20844;&#24320;&#21450;&#25209;&#22797;&#26448;&#26009;&#65288;2023&#24180;&#24230;&#65289;\&#20844;&#24320;&#21450;&#25209;&#22797;&#26448;&#26009;&#65288;&#20379;&#21442;&#32771;&#65289;\&#30465;&#26412;&#32423;\&#20844;&#24320;&#26448;&#26009;\&#25991;&#26053;&#20307;&#21333;&#20301;\&#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6032;&#25509;&#25163;&#30340;&#25991;&#20214;\10&#26376;\2023&#24180;&#37096;&#38376;&#39044;&#31639;&#35843;&#25972;&#26041;&#26696;\&#20844;&#24320;&#21450;&#25209;&#22797;&#26448;&#26009;&#65288;2023&#24180;&#24230;&#65289;(1)\&#20844;&#24320;&#21450;&#25209;&#22797;&#26448;&#26009;&#65288;2023&#24180;&#24230;&#65289;\&#20844;&#24320;&#21450;&#25209;&#22797;&#26448;&#26009;&#65288;&#20379;&#21442;&#32771;&#65289;\&#30465;&#26412;&#32423;\&#20844;&#24320;&#26448;&#26009;\&#25991;&#26053;&#20307;&#21333;&#20301;\&#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360zip$Temp\360$1\&#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28183.94</c:v>
                </c:pt>
                <c:pt idx="1">
                  <c:v>4957.64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0.2589</c:v>
                </c:pt>
                <c:pt idx="1">
                  <c:v>0.7411</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0.2303</c:v>
                </c:pt>
                <c:pt idx="1">
                  <c:v>0.7697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805555555556"/>
          <c:y val="0.0349537037037037"/>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#,##0.00_ </c:formatCode>
                <c:ptCount val="2"/>
                <c:pt idx="0">
                  <c:v>28183.94</c:v>
                </c:pt>
                <c:pt idx="1">
                  <c:v>4957.64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ysClr val="windowText" lastClr="000000"/>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#,##0.00_ </c:formatCode>
                <c:ptCount val="2"/>
                <c:pt idx="0">
                  <c:v>6562.216749</c:v>
                </c:pt>
                <c:pt idx="1">
                  <c:v>1283.56</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文化旅游体育与传媒（类）支出</c:v>
                </c:pt>
                <c:pt idx="1">
                  <c:v>社会保障和就业（类）支出</c:v>
                </c:pt>
                <c:pt idx="2">
                  <c:v>卫生健康(类)支出</c:v>
                </c:pt>
                <c:pt idx="3">
                  <c:v>住房保障（类）支出</c:v>
                </c:pt>
              </c:strCache>
            </c:strRef>
          </c:cat>
          <c:val>
            <c:numRef>
              <c:f>[决算公开插图制作示例.xlsx]图6!$B$2:$B$5</c:f>
              <c:numCache>
                <c:formatCode>#,##0.00_ </c:formatCode>
                <c:ptCount val="4"/>
                <c:pt idx="0">
                  <c:v>1096.685434</c:v>
                </c:pt>
                <c:pt idx="1">
                  <c:v>83.055744</c:v>
                </c:pt>
                <c:pt idx="2">
                  <c:v>41.527872</c:v>
                </c:pt>
                <c:pt idx="3">
                  <c:v>62.291808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8728</Words>
  <Characters>9351</Characters>
  <Lines>41</Lines>
  <Paragraphs>11</Paragraphs>
  <TotalTime>22</TotalTime>
  <ScaleCrop>false</ScaleCrop>
  <LinksUpToDate>false</LinksUpToDate>
  <CharactersWithSpaces>9408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2023-11-28T02:02:48Z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2264AA98BC5D4A4CBFFEA474055561B8_13</vt:lpwstr>
  </property>
</Properties>
</file>