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7425"/>
      <w:bookmarkStart w:id="1" w:name="_Toc15396597"/>
      <w:bookmarkStart w:id="2" w:name="_Toc15378441"/>
      <w:bookmarkStart w:id="3" w:name="_Toc15377193"/>
      <w:bookmarkStart w:id="4" w:name="_Toc15396475"/>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7976"/>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476"/>
      <w:bookmarkStart w:id="8" w:name="_Toc15377426"/>
      <w:bookmarkStart w:id="9" w:name="_Toc15377194"/>
      <w:bookmarkStart w:id="10" w:name="_Toc15396598"/>
      <w:bookmarkStart w:id="11" w:name="_Toc15378442"/>
      <w:bookmarkStart w:id="12" w:name="_Toc13784"/>
      <w:r>
        <w:rPr>
          <w:rFonts w:hint="eastAsia" w:ascii="方正小标宋简体" w:hAnsi="方正小标宋简体" w:eastAsia="方正小标宋简体" w:cs="方正小标宋简体"/>
          <w:sz w:val="72"/>
          <w:szCs w:val="72"/>
        </w:rPr>
        <w:t>剑阁县</w:t>
      </w:r>
      <w:bookmarkEnd w:id="5"/>
      <w:bookmarkStart w:id="13" w:name="_Toc15306268"/>
      <w:r>
        <w:rPr>
          <w:rFonts w:hint="eastAsia" w:ascii="方正小标宋简体" w:hAnsi="方正小标宋简体" w:eastAsia="方正小标宋简体" w:cs="方正小标宋简体"/>
          <w:sz w:val="72"/>
          <w:szCs w:val="72"/>
          <w:lang w:val="en-US" w:eastAsia="zh-CN"/>
        </w:rPr>
        <w:t>教育</w:t>
      </w: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3"/>
    </w:p>
    <w:p>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20</w:t>
      </w:r>
      <w:r>
        <w:rPr>
          <w:rFonts w:hint="eastAsia"/>
        </w:rPr>
        <w:t>日</w:t>
      </w:r>
    </w:p>
    <w:sdt>
      <w:sdtPr>
        <w:rPr>
          <w:rFonts w:hint="eastAsia" w:ascii="仿宋" w:hAnsi="仿宋" w:eastAsia="仿宋" w:cs="仿宋"/>
          <w:kern w:val="2"/>
          <w:sz w:val="32"/>
          <w:szCs w:val="32"/>
          <w:lang w:val="en-US" w:eastAsia="zh-CN" w:bidi="ar-SA"/>
        </w:rPr>
        <w:id w:val="147465739"/>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rPr>
          </w:pPr>
        </w:p>
        <w:p>
          <w:pPr>
            <w:pStyle w:val="3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_Toc16669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第一部分 </w:t>
          </w:r>
          <w:r>
            <w:rPr>
              <w:rFonts w:hint="eastAsia" w:ascii="仿宋" w:hAnsi="仿宋" w:eastAsia="仿宋" w:cs="仿宋"/>
              <w:bCs w:val="0"/>
              <w:sz w:val="32"/>
              <w:szCs w:val="32"/>
            </w:rPr>
            <w:t>部门概况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_Toc16669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_Toc9292 </w:instrText>
          </w:r>
          <w:r>
            <w:rPr>
              <w:rFonts w:hint="eastAsia" w:ascii="仿宋" w:hAnsi="仿宋" w:eastAsia="仿宋" w:cs="仿宋"/>
              <w:sz w:val="32"/>
              <w:szCs w:val="32"/>
            </w:rPr>
            <w:fldChar w:fldCharType="separate"/>
          </w:r>
          <w:r>
            <w:rPr>
              <w:rFonts w:hint="eastAsia" w:ascii="仿宋" w:hAnsi="仿宋" w:eastAsia="仿宋" w:cs="仿宋"/>
              <w:sz w:val="32"/>
              <w:szCs w:val="32"/>
            </w:rPr>
            <w:t>一、 部门职责及重点工作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_Toc9292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40"/>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_Toc14138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部门职责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_Toc14138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40"/>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_Toc17206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（二）2022年重点工作完成情况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_Toc17206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_Toc8801 </w:instrText>
          </w:r>
          <w:r>
            <w:rPr>
              <w:rFonts w:hint="eastAsia" w:ascii="仿宋" w:hAnsi="仿宋" w:eastAsia="仿宋" w:cs="仿宋"/>
              <w:sz w:val="32"/>
              <w:szCs w:val="32"/>
            </w:rPr>
            <w:fldChar w:fldCharType="separate"/>
          </w:r>
          <w:r>
            <w:rPr>
              <w:rFonts w:hint="eastAsia" w:ascii="仿宋" w:hAnsi="仿宋" w:eastAsia="仿宋" w:cs="仿宋"/>
              <w:sz w:val="32"/>
              <w:szCs w:val="32"/>
            </w:rPr>
            <w:t>二、 机构设置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_Toc8801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_Toc18226 </w:instrText>
          </w:r>
          <w:r>
            <w:rPr>
              <w:rFonts w:hint="eastAsia" w:ascii="仿宋" w:hAnsi="仿宋" w:eastAsia="仿宋" w:cs="仿宋"/>
              <w:sz w:val="32"/>
              <w:szCs w:val="32"/>
            </w:rPr>
            <w:fldChar w:fldCharType="separate"/>
          </w:r>
          <w:r>
            <w:rPr>
              <w:rFonts w:hint="eastAsia" w:ascii="仿宋" w:hAnsi="仿宋" w:eastAsia="仿宋" w:cs="仿宋"/>
              <w:sz w:val="32"/>
              <w:szCs w:val="32"/>
            </w:rPr>
            <w:t>第二部分 2022年度部门决算情况说明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_Toc18226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_Toc28343 </w:instrText>
          </w:r>
          <w:r>
            <w:rPr>
              <w:rFonts w:hint="eastAsia" w:ascii="仿宋" w:hAnsi="仿宋" w:eastAsia="仿宋" w:cs="仿宋"/>
              <w:sz w:val="32"/>
              <w:szCs w:val="32"/>
            </w:rPr>
            <w:fldChar w:fldCharType="separate"/>
          </w:r>
          <w:r>
            <w:rPr>
              <w:rFonts w:hint="eastAsia" w:ascii="仿宋" w:hAnsi="仿宋" w:eastAsia="仿宋" w:cs="仿宋"/>
              <w:sz w:val="32"/>
              <w:szCs w:val="32"/>
            </w:rPr>
            <w:t>一、 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_Toc28343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_Toc24430 </w:instrText>
          </w:r>
          <w:r>
            <w:rPr>
              <w:rFonts w:hint="eastAsia" w:ascii="仿宋" w:hAnsi="仿宋" w:eastAsia="仿宋" w:cs="仿宋"/>
              <w:sz w:val="32"/>
              <w:szCs w:val="32"/>
            </w:rPr>
            <w:fldChar w:fldCharType="separate"/>
          </w:r>
          <w:r>
            <w:rPr>
              <w:rFonts w:hint="eastAsia" w:ascii="仿宋" w:hAnsi="仿宋" w:eastAsia="仿宋" w:cs="仿宋"/>
              <w:sz w:val="32"/>
              <w:szCs w:val="32"/>
            </w:rPr>
            <w:t>二、 收</w:t>
          </w:r>
          <w:r>
            <w:rPr>
              <w:rFonts w:hint="eastAsia" w:ascii="仿宋" w:hAnsi="仿宋" w:eastAsia="仿宋" w:cs="仿宋"/>
              <w:bCs/>
              <w:sz w:val="32"/>
              <w:szCs w:val="32"/>
            </w:rPr>
            <w:t>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_Toc24430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_Toc7141 </w:instrText>
          </w:r>
          <w:r>
            <w:rPr>
              <w:rFonts w:hint="eastAsia" w:ascii="仿宋" w:hAnsi="仿宋" w:eastAsia="仿宋" w:cs="仿宋"/>
              <w:sz w:val="32"/>
              <w:szCs w:val="32"/>
            </w:rPr>
            <w:fldChar w:fldCharType="separate"/>
          </w:r>
          <w:r>
            <w:rPr>
              <w:rFonts w:hint="eastAsia" w:ascii="仿宋" w:hAnsi="仿宋" w:eastAsia="仿宋" w:cs="仿宋"/>
              <w:sz w:val="32"/>
              <w:szCs w:val="32"/>
            </w:rPr>
            <w:t>三、 支</w:t>
          </w:r>
          <w:r>
            <w:rPr>
              <w:rFonts w:hint="eastAsia" w:ascii="仿宋" w:hAnsi="仿宋" w:eastAsia="仿宋" w:cs="仿宋"/>
              <w:bCs/>
              <w:sz w:val="32"/>
              <w:szCs w:val="32"/>
            </w:rPr>
            <w:t>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_Toc7141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_Toc3169 </w:instrText>
          </w:r>
          <w:r>
            <w:rPr>
              <w:rFonts w:hint="eastAsia" w:ascii="仿宋" w:hAnsi="仿宋" w:eastAsia="仿宋" w:cs="仿宋"/>
              <w:sz w:val="32"/>
              <w:szCs w:val="32"/>
            </w:rPr>
            <w:fldChar w:fldCharType="separate"/>
          </w:r>
          <w:r>
            <w:rPr>
              <w:rFonts w:hint="eastAsia" w:ascii="仿宋" w:hAnsi="仿宋" w:eastAsia="仿宋" w:cs="仿宋"/>
              <w:sz w:val="32"/>
              <w:szCs w:val="32"/>
            </w:rPr>
            <w:t>四、 财</w:t>
          </w:r>
          <w:r>
            <w:rPr>
              <w:rFonts w:hint="eastAsia" w:ascii="仿宋" w:hAnsi="仿宋" w:eastAsia="仿宋" w:cs="仿宋"/>
              <w:bCs/>
              <w:sz w:val="32"/>
              <w:szCs w:val="32"/>
            </w:rPr>
            <w:t>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_Toc3169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_Toc26610 </w:instrText>
          </w:r>
          <w:r>
            <w:rPr>
              <w:rFonts w:hint="eastAsia" w:ascii="仿宋" w:hAnsi="仿宋" w:eastAsia="仿宋" w:cs="仿宋"/>
              <w:sz w:val="32"/>
              <w:szCs w:val="32"/>
            </w:rPr>
            <w:fldChar w:fldCharType="separate"/>
          </w:r>
          <w:r>
            <w:rPr>
              <w:rFonts w:hint="eastAsia" w:ascii="仿宋" w:hAnsi="仿宋" w:eastAsia="仿宋" w:cs="仿宋"/>
              <w:sz w:val="32"/>
              <w:szCs w:val="32"/>
            </w:rPr>
            <w:t>五、 一</w:t>
          </w:r>
          <w:r>
            <w:rPr>
              <w:rFonts w:hint="eastAsia" w:ascii="仿宋" w:hAnsi="仿宋" w:eastAsia="仿宋" w:cs="仿宋"/>
              <w:bCs/>
              <w:sz w:val="32"/>
              <w:szCs w:val="32"/>
            </w:rPr>
            <w:t>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_Toc26610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_Toc16055 </w:instrText>
          </w:r>
          <w:r>
            <w:rPr>
              <w:rFonts w:hint="eastAsia" w:ascii="仿宋" w:hAnsi="仿宋" w:eastAsia="仿宋" w:cs="仿宋"/>
              <w:sz w:val="32"/>
              <w:szCs w:val="32"/>
            </w:rPr>
            <w:fldChar w:fldCharType="separate"/>
          </w:r>
          <w:r>
            <w:rPr>
              <w:rFonts w:hint="eastAsia" w:ascii="仿宋" w:hAnsi="仿宋" w:eastAsia="仿宋" w:cs="仿宋"/>
              <w:sz w:val="32"/>
              <w:szCs w:val="32"/>
            </w:rPr>
            <w:t>六、 一</w:t>
          </w:r>
          <w:r>
            <w:rPr>
              <w:rFonts w:hint="eastAsia" w:ascii="仿宋" w:hAnsi="仿宋" w:eastAsia="仿宋" w:cs="仿宋"/>
              <w:bCs/>
              <w:sz w:val="32"/>
              <w:szCs w:val="32"/>
            </w:rPr>
            <w:t>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_Toc16055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_Toc17637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七、 </w:t>
          </w:r>
          <w:r>
            <w:rPr>
              <w:rFonts w:hint="eastAsia" w:ascii="仿宋" w:hAnsi="仿宋" w:eastAsia="仿宋" w:cs="仿宋"/>
              <w:bCs/>
              <w:sz w:val="32"/>
              <w:szCs w:val="32"/>
            </w:rPr>
            <w:t>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_Toc17637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_Toc32174 </w:instrText>
          </w:r>
          <w:r>
            <w:rPr>
              <w:rFonts w:hint="eastAsia" w:ascii="仿宋" w:hAnsi="仿宋" w:eastAsia="仿宋" w:cs="仿宋"/>
              <w:sz w:val="32"/>
              <w:szCs w:val="32"/>
            </w:rPr>
            <w:fldChar w:fldCharType="separate"/>
          </w:r>
          <w:r>
            <w:rPr>
              <w:rFonts w:hint="eastAsia" w:ascii="仿宋" w:hAnsi="仿宋" w:eastAsia="仿宋" w:cs="仿宋"/>
              <w:sz w:val="32"/>
              <w:szCs w:val="32"/>
            </w:rPr>
            <w:t>八、 政府性</w:t>
          </w:r>
          <w:r>
            <w:rPr>
              <w:rFonts w:hint="eastAsia" w:ascii="仿宋" w:hAnsi="仿宋" w:eastAsia="仿宋" w:cs="仿宋"/>
              <w:bCs/>
              <w:sz w:val="32"/>
              <w:szCs w:val="32"/>
            </w:rPr>
            <w:t>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_Toc32174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_Toc24184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九、 </w:t>
          </w:r>
          <w:r>
            <w:rPr>
              <w:rFonts w:hint="eastAsia" w:ascii="仿宋" w:hAnsi="仿宋" w:eastAsia="仿宋" w:cs="仿宋"/>
              <w:bCs/>
              <w:sz w:val="32"/>
              <w:szCs w:val="32"/>
            </w:rPr>
            <w:t>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_Toc24184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_Toc21260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十、 </w:t>
          </w:r>
          <w:r>
            <w:rPr>
              <w:rFonts w:hint="eastAsia" w:ascii="仿宋" w:hAnsi="仿宋" w:eastAsia="仿宋" w:cs="仿宋"/>
              <w:bCs/>
              <w:sz w:val="32"/>
              <w:szCs w:val="32"/>
            </w:rPr>
            <w:t>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_Toc21260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_Toc25984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第三部分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名词解释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_Toc25984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_Toc18660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第四部分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_Toc18660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_Toc12609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第五部分 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_Toc12609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_Toc32197 </w:instrText>
          </w:r>
          <w:r>
            <w:rPr>
              <w:rFonts w:hint="eastAsia" w:ascii="仿宋" w:hAnsi="仿宋" w:eastAsia="仿宋" w:cs="仿宋"/>
              <w:sz w:val="32"/>
              <w:szCs w:val="32"/>
            </w:rPr>
            <w:fldChar w:fldCharType="separate"/>
          </w:r>
          <w:r>
            <w:rPr>
              <w:rFonts w:hint="eastAsia" w:ascii="仿宋" w:hAnsi="仿宋" w:eastAsia="仿宋" w:cs="仿宋"/>
              <w:sz w:val="32"/>
              <w:szCs w:val="32"/>
            </w:rPr>
            <w:t>一、收入支出决算总表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_Toc32197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_Toc15889 </w:instrText>
          </w:r>
          <w:r>
            <w:rPr>
              <w:rFonts w:hint="eastAsia" w:ascii="仿宋" w:hAnsi="仿宋" w:eastAsia="仿宋" w:cs="仿宋"/>
              <w:sz w:val="32"/>
              <w:szCs w:val="32"/>
            </w:rPr>
            <w:fldChar w:fldCharType="separate"/>
          </w:r>
          <w:r>
            <w:rPr>
              <w:rFonts w:hint="eastAsia" w:ascii="仿宋" w:hAnsi="仿宋" w:eastAsia="仿宋" w:cs="仿宋"/>
              <w:sz w:val="32"/>
              <w:szCs w:val="32"/>
            </w:rPr>
            <w:t>二、收入决算表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_Toc15889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_Toc10613 </w:instrText>
          </w:r>
          <w:r>
            <w:rPr>
              <w:rFonts w:hint="eastAsia" w:ascii="仿宋" w:hAnsi="仿宋" w:eastAsia="仿宋" w:cs="仿宋"/>
              <w:sz w:val="32"/>
              <w:szCs w:val="32"/>
            </w:rPr>
            <w:fldChar w:fldCharType="separate"/>
          </w:r>
          <w:r>
            <w:rPr>
              <w:rFonts w:hint="eastAsia" w:ascii="仿宋" w:hAnsi="仿宋" w:eastAsia="仿宋" w:cs="仿宋"/>
              <w:sz w:val="32"/>
              <w:szCs w:val="32"/>
            </w:rPr>
            <w:t>三、支出决算表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_Toc10613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_Toc8615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_Toc8615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_Toc3175 </w:instrText>
          </w:r>
          <w:r>
            <w:rPr>
              <w:rFonts w:hint="eastAsia" w:ascii="仿宋" w:hAnsi="仿宋" w:eastAsia="仿宋" w:cs="仿宋"/>
              <w:sz w:val="32"/>
              <w:szCs w:val="32"/>
            </w:rPr>
            <w:fldChar w:fldCharType="separate"/>
          </w:r>
          <w:r>
            <w:rPr>
              <w:rFonts w:hint="eastAsia" w:ascii="仿宋" w:hAnsi="仿宋" w:eastAsia="仿宋" w:cs="仿宋"/>
              <w:sz w:val="32"/>
              <w:szCs w:val="32"/>
            </w:rPr>
            <w:t>五、财政拨款支出决算明细表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_Toc3175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_Toc2772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_Toc2772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_Toc26998 </w:instrText>
          </w:r>
          <w:r>
            <w:rPr>
              <w:rFonts w:hint="eastAsia" w:ascii="仿宋" w:hAnsi="仿宋" w:eastAsia="仿宋" w:cs="仿宋"/>
              <w:sz w:val="32"/>
              <w:szCs w:val="32"/>
            </w:rPr>
            <w:fldChar w:fldCharType="separate"/>
          </w:r>
          <w:r>
            <w:rPr>
              <w:rFonts w:hint="eastAsia" w:ascii="仿宋" w:hAnsi="仿宋" w:eastAsia="仿宋" w:cs="仿宋"/>
              <w:sz w:val="32"/>
              <w:szCs w:val="32"/>
            </w:rPr>
            <w:t>七、一般公共预算财政拨款支出决算明细表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_Toc26998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_Toc15872 </w:instrText>
          </w:r>
          <w:r>
            <w:rPr>
              <w:rFonts w:hint="eastAsia" w:ascii="仿宋" w:hAnsi="仿宋" w:eastAsia="仿宋" w:cs="仿宋"/>
              <w:sz w:val="32"/>
              <w:szCs w:val="32"/>
            </w:rPr>
            <w:fldChar w:fldCharType="separate"/>
          </w:r>
          <w:r>
            <w:rPr>
              <w:rFonts w:hint="eastAsia" w:ascii="仿宋" w:hAnsi="仿宋" w:eastAsia="仿宋" w:cs="仿宋"/>
              <w:sz w:val="32"/>
              <w:szCs w:val="32"/>
            </w:rPr>
            <w:t>八、一般公共预算财政拨款基本支出决算表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_Toc15872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_Toc13435 </w:instrText>
          </w:r>
          <w:r>
            <w:rPr>
              <w:rFonts w:hint="eastAsia" w:ascii="仿宋" w:hAnsi="仿宋" w:eastAsia="仿宋" w:cs="仿宋"/>
              <w:sz w:val="32"/>
              <w:szCs w:val="32"/>
            </w:rPr>
            <w:fldChar w:fldCharType="separate"/>
          </w:r>
          <w:r>
            <w:rPr>
              <w:rFonts w:hint="eastAsia" w:ascii="仿宋" w:hAnsi="仿宋" w:eastAsia="仿宋" w:cs="仿宋"/>
              <w:sz w:val="32"/>
              <w:szCs w:val="32"/>
            </w:rPr>
            <w:t>九、一般公共预算财政拨款项目支出决算表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_Toc13435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_Toc25715 </w:instrText>
          </w:r>
          <w:r>
            <w:rPr>
              <w:rFonts w:hint="eastAsia" w:ascii="仿宋" w:hAnsi="仿宋" w:eastAsia="仿宋" w:cs="仿宋"/>
              <w:sz w:val="32"/>
              <w:szCs w:val="32"/>
            </w:rPr>
            <w:fldChar w:fldCharType="separate"/>
          </w:r>
          <w:r>
            <w:rPr>
              <w:rFonts w:hint="eastAsia" w:ascii="仿宋" w:hAnsi="仿宋" w:eastAsia="仿宋" w:cs="仿宋"/>
              <w:sz w:val="32"/>
              <w:szCs w:val="32"/>
            </w:rPr>
            <w:t>十、政府性基金预算财政拨款收入支出决算表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_Toc25715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_Toc2883 </w:instrText>
          </w:r>
          <w:r>
            <w:rPr>
              <w:rFonts w:hint="eastAsia" w:ascii="仿宋" w:hAnsi="仿宋" w:eastAsia="仿宋" w:cs="仿宋"/>
              <w:sz w:val="32"/>
              <w:szCs w:val="32"/>
            </w:rPr>
            <w:fldChar w:fldCharType="separate"/>
          </w:r>
          <w:r>
            <w:rPr>
              <w:rFonts w:hint="eastAsia" w:ascii="仿宋" w:hAnsi="仿宋" w:eastAsia="仿宋" w:cs="仿宋"/>
              <w:sz w:val="32"/>
              <w:szCs w:val="32"/>
            </w:rPr>
            <w:t>十一、国有资本经营预算财政拨款收入支出决算表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_Toc2883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_Toc24534 </w:instrText>
          </w:r>
          <w:r>
            <w:rPr>
              <w:rFonts w:hint="eastAsia" w:ascii="仿宋" w:hAnsi="仿宋" w:eastAsia="仿宋" w:cs="仿宋"/>
              <w:sz w:val="32"/>
              <w:szCs w:val="32"/>
            </w:rPr>
            <w:fldChar w:fldCharType="separate"/>
          </w:r>
          <w:r>
            <w:rPr>
              <w:rFonts w:hint="eastAsia" w:ascii="仿宋" w:hAnsi="仿宋" w:eastAsia="仿宋" w:cs="仿宋"/>
              <w:sz w:val="32"/>
              <w:szCs w:val="32"/>
            </w:rPr>
            <w:t>十二、国有资本经营预算财政拨款支出决算表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_Toc24534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_Toc32645 </w:instrText>
          </w:r>
          <w:r>
            <w:rPr>
              <w:rFonts w:hint="eastAsia" w:ascii="仿宋" w:hAnsi="仿宋" w:eastAsia="仿宋" w:cs="仿宋"/>
              <w:sz w:val="32"/>
              <w:szCs w:val="32"/>
            </w:rPr>
            <w:fldChar w:fldCharType="separate"/>
          </w:r>
          <w:r>
            <w:rPr>
              <w:rFonts w:hint="eastAsia" w:ascii="仿宋" w:hAnsi="仿宋" w:eastAsia="仿宋" w:cs="仿宋"/>
              <w:sz w:val="32"/>
              <w:szCs w:val="32"/>
            </w:rPr>
            <w:t>十三、财政拨款“三公”经费支出决算表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_Toc32645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rPr>
              <w:rFonts w:hint="eastAsia" w:ascii="黑体" w:hAnsi="黑体" w:eastAsia="黑体"/>
              <w:b w:val="0"/>
            </w:rPr>
          </w:pPr>
          <w:r>
            <w:rPr>
              <w:rFonts w:hint="eastAsia" w:ascii="仿宋" w:hAnsi="仿宋" w:eastAsia="仿宋" w:cs="仿宋"/>
              <w:sz w:val="32"/>
              <w:szCs w:val="32"/>
            </w:rPr>
            <w:fldChar w:fldCharType="end"/>
          </w:r>
          <w:bookmarkStart w:id="14" w:name="_Toc15396599"/>
          <w:bookmarkStart w:id="15" w:name="_Toc16669"/>
          <w:bookmarkStart w:id="16" w:name="_Toc15377196"/>
        </w:p>
      </w:sdtContent>
    </w:sdt>
    <w:p>
      <w:pPr>
        <w:pStyle w:val="6"/>
        <w:ind w:firstLine="1760" w:firstLineChars="400"/>
        <w:jc w:val="both"/>
        <w:rPr>
          <w:rFonts w:hint="eastAsia" w:ascii="黑体" w:hAnsi="黑体" w:eastAsia="黑体"/>
          <w:b w:val="0"/>
        </w:rPr>
      </w:pPr>
    </w:p>
    <w:p>
      <w:pPr>
        <w:pStyle w:val="6"/>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4"/>
      <w:bookmarkEnd w:id="15"/>
      <w:bookmarkEnd w:id="16"/>
    </w:p>
    <w:p>
      <w:pPr>
        <w:widowControl/>
        <w:jc w:val="left"/>
        <w:rPr>
          <w:rFonts w:ascii="黑体" w:eastAsia="黑体"/>
          <w:sz w:val="32"/>
          <w:szCs w:val="32"/>
        </w:rPr>
      </w:pPr>
    </w:p>
    <w:p>
      <w:pPr>
        <w:pStyle w:val="7"/>
        <w:numPr>
          <w:ilvl w:val="0"/>
          <w:numId w:val="1"/>
        </w:numPr>
        <w:rPr>
          <w:rFonts w:hint="eastAsia" w:ascii="黑体" w:hAnsi="黑体" w:eastAsia="黑体"/>
          <w:b w:val="0"/>
        </w:rPr>
      </w:pPr>
      <w:bookmarkStart w:id="17" w:name="_Toc9292"/>
      <w:r>
        <w:rPr>
          <w:rFonts w:hint="eastAsia" w:ascii="黑体" w:hAnsi="黑体" w:eastAsia="黑体"/>
          <w:b w:val="0"/>
        </w:rPr>
        <w:t>部门职责及重点工作</w:t>
      </w:r>
      <w:bookmarkEnd w:id="17"/>
    </w:p>
    <w:p>
      <w:pPr>
        <w:pStyle w:val="8"/>
        <w:bidi w:val="0"/>
        <w:rPr>
          <w:rFonts w:hint="default"/>
          <w:lang w:val="en-US" w:eastAsia="zh-CN"/>
        </w:rPr>
      </w:pPr>
      <w:bookmarkStart w:id="18" w:name="_Toc725"/>
      <w:bookmarkStart w:id="19" w:name="_Toc14138"/>
      <w:r>
        <w:rPr>
          <w:rFonts w:hint="eastAsia"/>
          <w:lang w:eastAsia="zh-CN"/>
        </w:rPr>
        <w:t>（</w:t>
      </w:r>
      <w:r>
        <w:rPr>
          <w:rFonts w:hint="eastAsia"/>
          <w:lang w:val="en-US" w:eastAsia="zh-CN"/>
        </w:rPr>
        <w:t>一</w:t>
      </w:r>
      <w:r>
        <w:rPr>
          <w:rFonts w:hint="eastAsia"/>
          <w:lang w:eastAsia="zh-CN"/>
        </w:rPr>
        <w:t>）</w:t>
      </w:r>
      <w:r>
        <w:rPr>
          <w:rFonts w:hint="eastAsia"/>
          <w:lang w:val="en-US" w:eastAsia="zh-CN"/>
        </w:rPr>
        <w:t>部门职责</w:t>
      </w:r>
      <w:bookmarkEnd w:id="18"/>
      <w:bookmarkEnd w:id="19"/>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1.贯彻执行中国共产党和国家教育工作的方针、政策和</w:t>
      </w:r>
      <w:r>
        <w:rPr>
          <w:rFonts w:hint="eastAsia" w:ascii="仿宋_GB2312" w:eastAsia="仿宋_GB2312" w:cs="Times New Roman"/>
          <w:kern w:val="2"/>
          <w:sz w:val="32"/>
          <w:szCs w:val="32"/>
          <w:highlight w:val="none"/>
          <w:lang w:val="en-US" w:eastAsia="zh-CN" w:bidi="ar-SA"/>
        </w:rPr>
        <w:t>法律法规</w:t>
      </w:r>
      <w:r>
        <w:rPr>
          <w:rFonts w:hint="default" w:ascii="仿宋_GB2312" w:hAnsi="Times New Roman" w:eastAsia="仿宋_GB2312" w:cs="Times New Roman"/>
          <w:kern w:val="2"/>
          <w:sz w:val="32"/>
          <w:szCs w:val="32"/>
          <w:highlight w:val="none"/>
          <w:lang w:val="en-US" w:eastAsia="zh-CN" w:bidi="ar-SA"/>
        </w:rPr>
        <w:t>，负责起草有关政策规定并监督实施。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2.拟定全县教育体制改革政策和教育事业发展规划，负责各级各类教育的统筹规划和协调管理，指导各级各类学校的教育教学改革和中小学布局结构的调整，负责全县教育系统基本信息的统计、分析、发布工作，指导教育信息化建设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3.负责义务教育的宏观指导与协调，推进全县义务教育均衡发展和促进教育公平，指导普通高中教育、幼儿教育和特殊教育工作，推进基础教育教学改革，全面实施素质教育。</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4.统筹和指导全县教育督导工作，负责组织和指导对中等及中等以下教育、扫除青壮年文盲工作的督导检查和评估验收工作，指导基础教育发展水平和质量的监测工作。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5.协调、指导高等教育和以就业为导向的职业教育的发展与改革，组织实施民族地区免费中等职业教育工作。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6.负责本部门教育经费的统筹管理，参与拟订筹措教育经费、教育拨款、教育基建投资的政策措施，监督全县教育经费的筹措和使用情况，指导国(境)外教育援助、教育贷款和教育合作项目的执行。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7.指导少数民族教育工作，协调对少数民族地区的教育援助。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8.统筹规划、综合管理全县民办教育，规范民办教育办学秩序，促进民办教育事业健康发展。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9.主管全县教师工作，负责实施教师继续教育和专业技术职务资格评审的有关工作，组织指导教师资格制度的实施和教育系统人才队伍建设，会同有关部门加强县直属学校领导班子建设。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10.指导各级各类学校的思想政治、德育、体育卫生与艺术教育、国防教育、安全和稳定工作。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11.贯彻执行国家语言文字工作的方针政策，拟定语言文字工作中长期规划和工作计划，指导普通话推广和普通话师资培训工作。承担剑阁县语言文字工作委员会的具体工作。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12.组织指导教育系统对外交流与合作，负责全县出国留学人员和教育系统来剑外籍教师、专家及留学人员的有关管理工作。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13.负责普通高校、成人高校、中等专业学校的招生考试工作和高等教育自学考试工作。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14.承担剑阁县政府公布的有关行政审批事项。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default" w:ascii="仿宋_GB2312" w:hAnsi="Times New Roman" w:eastAsia="仿宋_GB2312" w:cs="Times New Roman"/>
          <w:kern w:val="2"/>
          <w:sz w:val="32"/>
          <w:szCs w:val="32"/>
          <w:highlight w:val="none"/>
          <w:lang w:val="en-US" w:eastAsia="zh-CN" w:bidi="ar-SA"/>
        </w:rPr>
        <w:t>15.承办剑阁县政府交办的其他事项。</w:t>
      </w:r>
    </w:p>
    <w:p>
      <w:pPr>
        <w:pStyle w:val="8"/>
        <w:bidi w:val="0"/>
        <w:rPr>
          <w:rFonts w:hint="eastAsia" w:ascii="Times New Roman" w:hAnsi="Times New Roman" w:eastAsia="宋体" w:cs="Times New Roman"/>
          <w:lang w:eastAsia="zh-CN"/>
        </w:rPr>
      </w:pPr>
      <w:bookmarkStart w:id="20" w:name="_Toc7794"/>
      <w:bookmarkStart w:id="21" w:name="_Toc17206"/>
      <w:r>
        <w:rPr>
          <w:rFonts w:hint="eastAsia" w:ascii="Times New Roman" w:hAnsi="Times New Roman" w:eastAsia="宋体" w:cs="Times New Roman"/>
          <w:lang w:eastAsia="zh-CN"/>
        </w:rPr>
        <w:t>（二）2022年重点工作完成情况</w:t>
      </w:r>
      <w:bookmarkEnd w:id="20"/>
      <w:bookmarkEnd w:id="21"/>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全面加强系统党的建设。规范学校党组织设置，完成高中学校党委书记、校长分设，义务教育及学前教育阶段党组织书记与校长一肩挑，新提拔、转任党组织副书记27人，党建办主任及副主任41人。厘清县直属学校组织隶属关系，6所县管学校组织关系划转至县委教育工委。完成7个党组织换届选举，15个党组织委员增补工作。严格落实“三会一课”制度，定期调阅学校党组织“三会一课”记录。积极培育学校党建品牌，申报市级党建品牌2个，省级党建示范点1个，学校党建工作被《中国教育报》深度报道。广泛开展喜迎党的二十大和庆祝建党101周年系列活动，深入学习宣传贯彻习近平总书记来川视察重要指示精神、省第十二次党代会精神和党的二十大精神。全面履行从严治党主体责任，召开局党组党风廉政建设专题会4次、全系统党风廉政建设暨警示教育大会2次，落实“三重一大”议事决策、审计监督、政治</w:t>
      </w:r>
      <w:r>
        <w:rPr>
          <w:rFonts w:hint="eastAsia" w:ascii="仿宋_GB2312" w:eastAsia="仿宋_GB2312" w:cs="Times New Roman"/>
          <w:kern w:val="2"/>
          <w:sz w:val="32"/>
          <w:szCs w:val="32"/>
          <w:highlight w:val="none"/>
          <w:lang w:val="en-US" w:eastAsia="zh-CN" w:bidi="ar-SA"/>
        </w:rPr>
        <w:t>巡察</w:t>
      </w:r>
      <w:r>
        <w:rPr>
          <w:rFonts w:hint="eastAsia" w:ascii="仿宋_GB2312" w:hAnsi="Times New Roman" w:eastAsia="仿宋_GB2312" w:cs="Times New Roman"/>
          <w:kern w:val="2"/>
          <w:sz w:val="32"/>
          <w:szCs w:val="32"/>
          <w:highlight w:val="none"/>
          <w:lang w:val="en-US" w:eastAsia="zh-CN" w:bidi="ar-SA"/>
        </w:rPr>
        <w:t>、校级领导述职述廉等制度，不断推进“清廉机关”“清廉学校”建设，着力营造风清气正的教育环境。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有序推进各类教育发展。一是学前教育普惠发展。全面规范幼儿园办园行为，对县内36所幼儿园办园行为开展实地督导评估。深入开展“小学化”专项治理，积极推进“幼小衔接”试点、省级示范园创建工作，强化研训互促，我县“幼小衔接”经验先后在中国教师报、四川新闻网等媒体刊登，鼓楼幼儿园成功创建省级示范幼儿园。学前三年毛入园率94 %，普惠性学前教育资源覆盖率95.3%，公办幼儿园在园幼儿占比 69.2% 。二是义务教育均衡发展。科学编制《剑阁县创建义务教育优质均衡发展县工作实施方案》，落实公、民办义务教育学校同步招生，实现适龄儿童少年在户籍所在地学校就近入学、常住人口义务教育全覆盖，义务教育学生入学巩固率100%。全面落实特殊教育学生特校就读、随班就读和“送教上门”等教育安置措施，辖区户籍残疾儿童入学率达99%。龙江小学创建省义务教育领航学校已通过省市专家组复核。姚家小学、杨村小学、王河小学等3所学校成功创建市级乡村温馨校园。三是高中教育优质发展。</w:t>
      </w:r>
      <w:r>
        <w:rPr>
          <w:rFonts w:hint="default" w:ascii="仿宋_GB2312" w:hAnsi="Times New Roman" w:eastAsia="仿宋_GB2312" w:cs="Times New Roman"/>
          <w:kern w:val="2"/>
          <w:sz w:val="32"/>
          <w:szCs w:val="32"/>
          <w:highlight w:val="none"/>
          <w:lang w:val="en-US" w:eastAsia="zh-CN" w:bidi="ar-SA"/>
        </w:rPr>
        <w:t>剑门关高中成功创建为省二级示范性高中</w:t>
      </w:r>
      <w:r>
        <w:rPr>
          <w:rFonts w:hint="eastAsia" w:ascii="仿宋_GB2312" w:hAnsi="Times New Roman" w:eastAsia="仿宋_GB2312" w:cs="Times New Roman"/>
          <w:kern w:val="2"/>
          <w:sz w:val="32"/>
          <w:szCs w:val="32"/>
          <w:highlight w:val="none"/>
          <w:lang w:val="en-US" w:eastAsia="zh-CN" w:bidi="ar-SA"/>
        </w:rPr>
        <w:t>，并与北京化工大学签署“部属高校县中托管帮扶合作”框架协议。剑阁中学与成都市教科院附属高中建立结对帮扶机制，与西南石油大学建立合作帮扶关系，就学校管理、课程建设、拔尖人才培养、高考改革等进行全方位交流合作。今年全县</w:t>
      </w:r>
      <w:r>
        <w:rPr>
          <w:rFonts w:hint="default" w:ascii="仿宋_GB2312" w:hAnsi="Times New Roman" w:eastAsia="仿宋_GB2312" w:cs="Times New Roman"/>
          <w:kern w:val="2"/>
          <w:sz w:val="32"/>
          <w:szCs w:val="32"/>
          <w:highlight w:val="none"/>
          <w:lang w:val="en-US" w:eastAsia="zh-CN" w:bidi="ar-SA"/>
        </w:rPr>
        <w:t>高考一本上线288人，本科上线1619人，上线率连续</w:t>
      </w:r>
      <w:r>
        <w:rPr>
          <w:rFonts w:hint="eastAsia" w:ascii="仿宋_GB2312" w:hAnsi="Times New Roman" w:eastAsia="仿宋_GB2312" w:cs="Times New Roman"/>
          <w:kern w:val="2"/>
          <w:sz w:val="32"/>
          <w:szCs w:val="32"/>
          <w:highlight w:val="none"/>
          <w:lang w:val="en-US" w:eastAsia="zh-CN" w:bidi="ar-SA"/>
        </w:rPr>
        <w:t>七</w:t>
      </w:r>
      <w:r>
        <w:rPr>
          <w:rFonts w:hint="default" w:ascii="仿宋_GB2312" w:hAnsi="Times New Roman" w:eastAsia="仿宋_GB2312" w:cs="Times New Roman"/>
          <w:kern w:val="2"/>
          <w:sz w:val="32"/>
          <w:szCs w:val="32"/>
          <w:highlight w:val="none"/>
          <w:lang w:val="en-US" w:eastAsia="zh-CN" w:bidi="ar-SA"/>
        </w:rPr>
        <w:t>年实现正增长</w:t>
      </w:r>
      <w:r>
        <w:rPr>
          <w:rFonts w:hint="eastAsia" w:ascii="仿宋_GB2312" w:hAnsi="Times New Roman" w:eastAsia="仿宋_GB2312" w:cs="Times New Roman"/>
          <w:kern w:val="2"/>
          <w:sz w:val="32"/>
          <w:szCs w:val="32"/>
          <w:highlight w:val="none"/>
          <w:lang w:val="en-US" w:eastAsia="zh-CN" w:bidi="ar-SA"/>
        </w:rPr>
        <w:t>。剑阁中学附磊被北京大学录取，成为全市公办学校、县区学校唯一考取北大清华的学生。四是职业教育融合发展。坚持职业教育与普通教育同等重要、协调发展，超额完成中职招生任务。持续深化产教融合、校企合作，与杭州一面之缘餐饮、四川长虹、四川一汽丰田等3家企业签订校企合作协议，不断满足学生多元成才需求。2022年</w:t>
      </w:r>
      <w:r>
        <w:rPr>
          <w:rFonts w:hint="default" w:ascii="仿宋_GB2312" w:hAnsi="Times New Roman" w:eastAsia="仿宋_GB2312" w:cs="Times New Roman"/>
          <w:kern w:val="2"/>
          <w:sz w:val="32"/>
          <w:szCs w:val="32"/>
          <w:highlight w:val="none"/>
          <w:lang w:val="en-US" w:eastAsia="zh-CN" w:bidi="ar-SA"/>
        </w:rPr>
        <w:t>剑阁职中</w:t>
      </w:r>
      <w:r>
        <w:rPr>
          <w:rFonts w:hint="eastAsia" w:ascii="仿宋_GB2312" w:hAnsi="Times New Roman" w:eastAsia="仿宋_GB2312" w:cs="Times New Roman"/>
          <w:kern w:val="2"/>
          <w:sz w:val="32"/>
          <w:szCs w:val="32"/>
          <w:highlight w:val="none"/>
          <w:lang w:val="en-US" w:eastAsia="zh-CN" w:bidi="ar-SA"/>
        </w:rPr>
        <w:t>被纳入四川省中职“三名工程”建设项目单位，荣评</w:t>
      </w:r>
      <w:r>
        <w:rPr>
          <w:rFonts w:hint="default" w:ascii="仿宋_GB2312" w:hAnsi="Times New Roman" w:eastAsia="仿宋_GB2312" w:cs="Times New Roman"/>
          <w:kern w:val="2"/>
          <w:sz w:val="32"/>
          <w:szCs w:val="32"/>
          <w:highlight w:val="none"/>
          <w:lang w:val="en-US" w:eastAsia="zh-CN" w:bidi="ar-SA"/>
        </w:rPr>
        <w:t>“全国教育先进集体”</w:t>
      </w:r>
      <w:r>
        <w:rPr>
          <w:rFonts w:hint="eastAsia" w:ascii="仿宋_GB2312" w:hAnsi="Times New Roman" w:eastAsia="仿宋_GB2312" w:cs="Times New Roman"/>
          <w:kern w:val="2"/>
          <w:sz w:val="32"/>
          <w:szCs w:val="32"/>
          <w:highlight w:val="none"/>
          <w:lang w:val="en-US" w:eastAsia="zh-CN" w:bidi="ar-SA"/>
        </w:rPr>
        <w:t>称号</w:t>
      </w:r>
      <w:r>
        <w:rPr>
          <w:rFonts w:hint="default" w:ascii="仿宋_GB2312" w:hAnsi="Times New Roman" w:eastAsia="仿宋_GB2312"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组织师生省职业技能大赛获奖总数与学校综合排位再次名列广元第一。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3.系统推进“五育并举”。坚持上好思想政治课和课程思政，大力推动社会主义核心价值观进教材进课堂进头脑。建立体育、书法、绘画、音乐、科学五大专委会，全年举办读书节、体育节、科技节、艺术节“四节”活动120余场次，召开学生发展专题会议47次，成立学生社团430余个，开展系列新时代文明实践活动450余次。积极推进劳动实践（研学）基地建设，建成各级劳动教育（研学）实践基地13个、校园小农场83个。加强中小学生心理健康教育，依托87个心理咨询室、180名心理健康专兼职教师对全县47606名中小学生开展全覆盖心理健康筛查。组织639名学生参加体育艺术节比赛，获市级等次奖24个。</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4.不断夯实教育发展基础。一是队伍素质持续提升。构建教育、管理、考核、监督于一体的中小学教师师德师风建设长效机制，利用暑期集中开展“立德修身 行为世范”师德师风专项教育活动，全系统举办集中学习会356场、撰写剖析材料4667份、签订师德承诺书4660份。重新核定全县学校教职工事业编制4109名。持续加大教师补充力度，全县新补充教师145人。推评市级先进个人28人次，推评成立广元名师工作室4个。开展名师送教活动36余次，培训教师4400余人次。推进中小学教师能力提升工程2.0培训，4739名教师参培。组织教师参加学科教材网络培训14项10800人次，培训完成率和参培率均100%。二是办学条件有效改善。谋划清江中学等16个教育建设滚动储备项目，规划总投资47亿元。向上争取各类资金2.23亿元。申报专项债券项目2个、一般债券项目2个、中央预算内投资项目1个。实施各类教育项目19个，其中新开工建设项目6个，开展项目前期工作4个，剑阁职中产教融合项目、清江翰林幼儿园项目、公兴小学学生宿舍项目等14个新（改）扩建项目稳步推进，预计新增学位1450个。三是惠民政策全面落实。全面落实“三免一补”、国家贫困助学金等各类资助金4022.16万元，惠及学生62124人次，34224名农村义务教育阶段学生全覆盖享受营养改善计划补助。引导社会力量参与慈善公益活动12次，募集或投入资金（含物资）229万元，惠及师生1257人。全面完成市教育局下达的1695万元脱贫产品采购任务。选派10名干部赴元山镇开展驻村帮扶工作，协调解决硬化通村公路9.5公里，助力广爱村“剑橙”品种改良、石楼村羊肚菌产业发展。协调学校食堂，采购当地绿色蔬菜、水果等农副产品近3万余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5.持续改善教育发展生态。落实省市两项改革“后半篇”文章工作部署，整合撤并3所九年一贯制学校初中部和4所完全小学，圆满完成年度调整任务。深入推进“双规双减”“五项管理”“课后服务”落地落实，全年注销校外培训机构5家，校外培训机构归口审批和管理工作顺利移交县文旅体局。全县77所中小学校100%开展“5+2”1+N课后服务，作业辅导、体育运动、社团活动一同推进，学生参与率达100%。深化课堂教学改革，开展“赛训结合”形式的教学大比武、学科优质课、微课竞赛等活动，参赛教师 2750人次，推荐39人参加市级决赛。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6.切实守护校园安全稳定。构建党委领导、政府主导、相关部门和单位联动协作的学校安全风险防控体系，定期开展各类安全隐患排查及专项治理校园安全“八大行动”。常态化开展疫情防控、校园反欺凌、禁毒防邪、食品卫生、法治教育、防溺水、森林防火、应急演练等安全教育活动。圆满完成高考、中考、成考等6次组考工作，18689人次考试平稳顺利。全年办理各类信访件246件、接待来访群众11次，回复率与满意度均100%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县教育局先后获四川教育宣传工作先进单位、全省教育事业统计工作先进单位、市委宣传部“文化传承 强国有我”优秀组织奖、广元市基础教育质量一等奖、全市生源稳控一等奖、全市职业教育先进集体、全市继续教育工作先进集体、全市德育教育工作先进集体、全省普法教育先进集体、县项目投资先进单位、县目标绩效考核一等奖、县委议案（提案）办理先进集体、四川省第四届中小学生诗词大会优秀组织奖、2022年“奔跑吧·少年”儿童青少年主题健身活动暨广元市“剑门关杯”校园球类比赛先进单位、广元市第24届全国推广普通话宣传周“美语、美文、美术”活动先进集体、广元市“文化传承 强国有我”青少年书画传习大会优秀组织奖等荣誉，剑阁教育发展态势继续行进在向上向好的轨道上，迈向“教育强县”步伐更加稳健。</w:t>
      </w:r>
    </w:p>
    <w:p>
      <w:pPr>
        <w:pStyle w:val="36"/>
        <w:rPr>
          <w:rFonts w:hint="eastAsia" w:ascii="仿宋_GB2312" w:hAnsi="Times New Roman" w:eastAsia="仿宋_GB2312" w:cs="Times New Roman"/>
          <w:kern w:val="2"/>
          <w:sz w:val="32"/>
          <w:szCs w:val="32"/>
          <w:highlight w:val="none"/>
          <w:lang w:val="en-US" w:eastAsia="zh-CN" w:bidi="ar-SA"/>
        </w:rPr>
      </w:pPr>
    </w:p>
    <w:p>
      <w:pPr>
        <w:pStyle w:val="7"/>
        <w:numPr>
          <w:ilvl w:val="0"/>
          <w:numId w:val="1"/>
        </w:numPr>
        <w:rPr>
          <w:rFonts w:hint="eastAsia" w:ascii="黑体" w:hAnsi="黑体" w:eastAsia="黑体"/>
          <w:b w:val="0"/>
        </w:rPr>
      </w:pPr>
      <w:bookmarkStart w:id="22" w:name="_Toc15377200"/>
      <w:bookmarkStart w:id="23" w:name="_Toc8801"/>
      <w:bookmarkStart w:id="24" w:name="_Toc15396601"/>
      <w:r>
        <w:rPr>
          <w:rFonts w:hint="eastAsia" w:ascii="黑体" w:hAnsi="黑体" w:eastAsia="黑体"/>
          <w:b w:val="0"/>
        </w:rPr>
        <w:t>机构设置</w:t>
      </w:r>
      <w:bookmarkEnd w:id="22"/>
      <w:bookmarkEnd w:id="23"/>
      <w:bookmarkEnd w:id="24"/>
    </w:p>
    <w:p>
      <w:pPr>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剑阁县教育局</w:t>
      </w:r>
      <w:r>
        <w:rPr>
          <w:rFonts w:hint="eastAsia" w:ascii="仿宋_GB2312" w:hAnsi="Times New Roman" w:eastAsia="仿宋_GB2312" w:cs="Times New Roman"/>
          <w:sz w:val="32"/>
          <w:szCs w:val="32"/>
          <w:highlight w:val="none"/>
        </w:rPr>
        <w:t>下属二级预算单位</w:t>
      </w:r>
      <w:r>
        <w:rPr>
          <w:rFonts w:hint="eastAsia" w:ascii="仿宋_GB2312" w:hAnsi="Times New Roman" w:eastAsia="仿宋_GB2312" w:cs="Times New Roman"/>
          <w:sz w:val="32"/>
          <w:szCs w:val="32"/>
          <w:highlight w:val="none"/>
          <w:lang w:val="en-US" w:eastAsia="zh-CN"/>
        </w:rPr>
        <w:t>89</w:t>
      </w:r>
      <w:r>
        <w:rPr>
          <w:rFonts w:hint="eastAsia" w:ascii="仿宋_GB2312" w:hAnsi="Times New Roman" w:eastAsia="仿宋_GB2312" w:cs="Times New Roman"/>
          <w:sz w:val="32"/>
          <w:szCs w:val="32"/>
          <w:highlight w:val="none"/>
        </w:rPr>
        <w:t>个，其中行政单位</w:t>
      </w:r>
      <w:r>
        <w:rPr>
          <w:rFonts w:hint="eastAsia" w:ascii="仿宋_GB2312" w:hAnsi="Times New Roman" w:eastAsia="仿宋_GB2312" w:cs="Times New Roman"/>
          <w:sz w:val="32"/>
          <w:szCs w:val="32"/>
          <w:highlight w:val="none"/>
          <w:lang w:val="en-US" w:eastAsia="zh-CN"/>
        </w:rPr>
        <w:t>1</w:t>
      </w:r>
      <w:r>
        <w:rPr>
          <w:rFonts w:hint="eastAsia" w:ascii="仿宋_GB2312" w:hAnsi="Times New Roman" w:eastAsia="仿宋_GB2312" w:cs="Times New Roman"/>
          <w:sz w:val="32"/>
          <w:szCs w:val="32"/>
          <w:highlight w:val="none"/>
        </w:rPr>
        <w:t>个，参照公务员法管理的事业单位</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个，其他事业单位</w:t>
      </w:r>
      <w:r>
        <w:rPr>
          <w:rFonts w:hint="eastAsia" w:ascii="仿宋_GB2312" w:hAnsi="Times New Roman" w:eastAsia="仿宋_GB2312" w:cs="Times New Roman"/>
          <w:sz w:val="32"/>
          <w:szCs w:val="32"/>
          <w:highlight w:val="none"/>
          <w:lang w:val="en-US" w:eastAsia="zh-CN"/>
        </w:rPr>
        <w:t>88</w:t>
      </w:r>
      <w:r>
        <w:rPr>
          <w:rFonts w:hint="eastAsia" w:ascii="仿宋_GB2312" w:hAnsi="Times New Roman" w:eastAsia="仿宋_GB2312" w:cs="Times New Roman"/>
          <w:sz w:val="32"/>
          <w:szCs w:val="32"/>
          <w:highlight w:val="none"/>
        </w:rPr>
        <w:t>个。</w:t>
      </w:r>
    </w:p>
    <w:p>
      <w:pPr>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纳入</w:t>
      </w:r>
      <w:r>
        <w:rPr>
          <w:rFonts w:hint="eastAsia" w:ascii="仿宋_GB2312" w:hAnsi="Times New Roman" w:eastAsia="仿宋_GB2312" w:cs="Times New Roman"/>
          <w:sz w:val="32"/>
          <w:szCs w:val="32"/>
          <w:highlight w:val="none"/>
          <w:lang w:val="en-US" w:eastAsia="zh-CN"/>
        </w:rPr>
        <w:t>剑阁县教育局</w:t>
      </w:r>
      <w:r>
        <w:rPr>
          <w:rFonts w:hint="eastAsia" w:ascii="仿宋_GB2312" w:hAnsi="Times New Roman" w:eastAsia="仿宋_GB2312" w:cs="Times New Roman"/>
          <w:sz w:val="32"/>
          <w:szCs w:val="32"/>
          <w:highlight w:val="none"/>
        </w:rPr>
        <w:t>2022年度部门决算编制范围的二级预算单位包括：</w:t>
      </w:r>
    </w:p>
    <w:p>
      <w:pPr>
        <w:ind w:firstLine="640" w:firstLineChars="200"/>
        <w:rPr>
          <w:rFonts w:ascii="仿宋" w:hAnsi="仿宋" w:eastAsia="仿宋"/>
          <w:kern w:val="0"/>
          <w:sz w:val="32"/>
          <w:szCs w:val="32"/>
        </w:rPr>
      </w:pPr>
      <w:r>
        <w:rPr>
          <w:rFonts w:hint="eastAsia" w:ascii="仿宋_GB2312" w:hAnsi="Times New Roman" w:eastAsia="仿宋_GB2312" w:cs="Times New Roman"/>
          <w:sz w:val="32"/>
          <w:szCs w:val="32"/>
          <w:highlight w:val="none"/>
          <w:lang w:val="en-US" w:eastAsia="zh-CN"/>
        </w:rPr>
        <w:t>剑阁县教育局、剑阁县教育科学研究室</w:t>
      </w:r>
      <w:r>
        <w:rPr>
          <w:rFonts w:hint="eastAsia" w:ascii="仿宋_GB2312" w:hAnsi="Times New Roman" w:eastAsia="仿宋_GB2312" w:cs="Times New Roman"/>
          <w:sz w:val="32"/>
          <w:szCs w:val="32"/>
          <w:highlight w:val="none"/>
          <w:lang w:val="en-US" w:eastAsia="zh-CN"/>
        </w:rPr>
        <w:tab/>
      </w:r>
      <w:r>
        <w:rPr>
          <w:rFonts w:hint="eastAsia" w:ascii="仿宋_GB2312" w:hAnsi="Times New Roman" w:eastAsia="仿宋_GB2312" w:cs="Times New Roman"/>
          <w:sz w:val="32"/>
          <w:szCs w:val="32"/>
          <w:highlight w:val="none"/>
          <w:lang w:val="en-US" w:eastAsia="zh-CN"/>
        </w:rPr>
        <w:t>、剑阁县青少年校外活动中心、四川省剑阁成人教育中心、四川省剑州中学校、四川省剑阁职业高级中学校、剑阁县普安幼儿园、四川省剑阁中学校、剑阁县实验学校、剑阁县普安中学校、剑阁县普安小学校、剑阁县南禅小学校、剑阁县江石小学校、剑阁县龙源育才学校、剑阁县田家小学校、剑阁县闻溪小学校、剑阁县城北小学校、剑阁县抄手小学校、剑阁县柳垭小学校、剑阁县北庙小学校、剑阁县姚家小学校、剑阁县盐店小学校、剑阁县西庙小学校、剑阁县柳沟中学校</w:t>
      </w:r>
      <w:r>
        <w:rPr>
          <w:rFonts w:hint="eastAsia" w:ascii="仿宋_GB2312" w:hAnsi="Times New Roman" w:eastAsia="仿宋_GB2312" w:cs="Times New Roman"/>
          <w:sz w:val="32"/>
          <w:szCs w:val="32"/>
          <w:highlight w:val="none"/>
          <w:lang w:val="en-US" w:eastAsia="zh-CN"/>
        </w:rPr>
        <w:tab/>
      </w:r>
      <w:r>
        <w:rPr>
          <w:rFonts w:hint="eastAsia" w:ascii="仿宋_GB2312" w:hAnsi="Times New Roman" w:eastAsia="仿宋_GB2312" w:cs="Times New Roman"/>
          <w:sz w:val="32"/>
          <w:szCs w:val="32"/>
          <w:highlight w:val="none"/>
          <w:lang w:val="en-US" w:eastAsia="zh-CN"/>
        </w:rPr>
        <w:t>、剑阁县柳沟小学校、剑阁县垂泉小学校、剑阁县毛坝小学校、</w:t>
      </w:r>
      <w:r>
        <w:rPr>
          <w:rFonts w:hint="eastAsia" w:ascii="仿宋_GB2312" w:hAnsi="Times New Roman" w:eastAsia="仿宋_GB2312" w:cs="Times New Roman"/>
          <w:sz w:val="32"/>
          <w:szCs w:val="32"/>
          <w:highlight w:val="none"/>
          <w:lang w:val="en-US" w:eastAsia="zh-CN"/>
        </w:rPr>
        <w:tab/>
      </w:r>
      <w:r>
        <w:rPr>
          <w:rFonts w:hint="eastAsia" w:ascii="仿宋_GB2312" w:hAnsi="Times New Roman" w:eastAsia="仿宋_GB2312" w:cs="Times New Roman"/>
          <w:sz w:val="32"/>
          <w:szCs w:val="32"/>
          <w:highlight w:val="none"/>
          <w:lang w:val="en-US" w:eastAsia="zh-CN"/>
        </w:rPr>
        <w:t>剑阁县义兴小学校、剑阁县凉山小学校、四川省剑阁县武连职业中学、剑阁县武连小学校、剑阁县东宝小学校、剑阁县秀钟小学校、剑阁县正兴小学校、剑阁县马灯小学校、四川省剑阁县开封中学、剑阁县开封小学校、剑阁县国光小学校、剑阁县迎水小学校、剑阁县高池小学校、剑阁县碗泉小学校、四川省剑阁县元山初级中学校、剑阁县元山小学校</w:t>
      </w:r>
      <w:r>
        <w:rPr>
          <w:rFonts w:hint="eastAsia" w:ascii="仿宋_GB2312" w:hAnsi="Times New Roman" w:eastAsia="仿宋_GB2312" w:cs="Times New Roman"/>
          <w:sz w:val="32"/>
          <w:szCs w:val="32"/>
          <w:highlight w:val="none"/>
          <w:lang w:val="en-US" w:eastAsia="zh-CN"/>
        </w:rPr>
        <w:tab/>
      </w:r>
      <w:r>
        <w:rPr>
          <w:rFonts w:hint="eastAsia" w:ascii="仿宋_GB2312" w:hAnsi="Times New Roman" w:eastAsia="仿宋_GB2312" w:cs="Times New Roman"/>
          <w:sz w:val="32"/>
          <w:szCs w:val="32"/>
          <w:highlight w:val="none"/>
          <w:lang w:val="en-US" w:eastAsia="zh-CN"/>
        </w:rPr>
        <w:t>、剑阁县时古小学校、剑阁县演圣小学校、剑阁县柘坝小学校</w:t>
      </w:r>
      <w:r>
        <w:rPr>
          <w:rFonts w:hint="eastAsia" w:ascii="仿宋_GB2312" w:hAnsi="Times New Roman" w:eastAsia="仿宋_GB2312" w:cs="Times New Roman"/>
          <w:sz w:val="32"/>
          <w:szCs w:val="32"/>
          <w:highlight w:val="none"/>
          <w:lang w:val="en-US" w:eastAsia="zh-CN"/>
        </w:rPr>
        <w:tab/>
      </w:r>
      <w:r>
        <w:rPr>
          <w:rFonts w:hint="eastAsia" w:ascii="仿宋_GB2312" w:hAnsi="Times New Roman" w:eastAsia="仿宋_GB2312" w:cs="Times New Roman"/>
          <w:sz w:val="32"/>
          <w:szCs w:val="32"/>
          <w:highlight w:val="none"/>
          <w:lang w:val="en-US" w:eastAsia="zh-CN"/>
        </w:rPr>
        <w:t>、剑阁县王河小学校、剑阁县公店小学校、剑阁县公兴初级中学校、剑阁县公兴小学校、剑阁县吼狮小学校、剑阁县金仙小学校、剑阁县长岭小学校、剑阁县涂山小学校、剑阁县香沉小学校、剑阁县圈龙小学校、四川省剑阁县白龙中学、剑阁县白龙镇小学校剑阁县碑垭小学校、剑阁县广坪小学校、剑阁县摇铃小学校、剑阁县禾丰小学校、剑阁县店子小学校、四川省剑阁县鹤龄中学、剑阁县羊岭小学校、剑阁县鹤龄小学校、剑阁县鸯溪小学校、剑阁县樵店小学校、剑阁县杨村小学校、剑阁县锦屏小学校、剑阁县石城小学校</w:t>
      </w:r>
      <w:r>
        <w:rPr>
          <w:rFonts w:hint="eastAsia" w:ascii="仿宋_GB2312" w:hAnsi="Times New Roman" w:eastAsia="仿宋_GB2312" w:cs="Times New Roman"/>
          <w:sz w:val="32"/>
          <w:szCs w:val="32"/>
          <w:highlight w:val="none"/>
          <w:lang w:val="en-US" w:eastAsia="zh-CN"/>
        </w:rPr>
        <w:tab/>
      </w:r>
      <w:r>
        <w:rPr>
          <w:rFonts w:hint="eastAsia" w:ascii="仿宋_GB2312" w:hAnsi="Times New Roman" w:eastAsia="仿宋_GB2312" w:cs="Times New Roman"/>
          <w:sz w:val="32"/>
          <w:szCs w:val="32"/>
          <w:highlight w:val="none"/>
          <w:lang w:val="en-US" w:eastAsia="zh-CN"/>
        </w:rPr>
        <w:t>、四川省剑阁县木马初级中学校、剑阁县江口嘉陵学校、剑阁县木马小学校、剑阁县柏垭小学校、剑阁县高观小学校、四川省剑阁县剑门中学校、剑阁县汉阳初级中学校、剑阁县剑门关小学校、剑阁县汉阳小学校、剑阁县小剑小学校、剑阁县张王小学校、四川省剑门关高级中学、剑阁县龙江小学校、剑阁县上寺小学校、剑门关实验学校、剑阁县香江国际幼儿园、剑阁县香江国际实验学校、剑阁县鼓楼幼儿园。</w:t>
      </w:r>
      <w:r>
        <w:rPr>
          <w:rFonts w:ascii="仿宋" w:hAnsi="仿宋" w:eastAsia="仿宋"/>
          <w:sz w:val="32"/>
          <w:szCs w:val="32"/>
        </w:rPr>
        <w:br w:type="page"/>
      </w:r>
    </w:p>
    <w:p>
      <w:pPr>
        <w:pStyle w:val="6"/>
        <w:jc w:val="center"/>
        <w:rPr>
          <w:rFonts w:hint="eastAsia" w:ascii="黑体" w:hAnsi="黑体" w:eastAsia="黑体" w:cs="Times New Roman"/>
          <w:b w:val="0"/>
        </w:rPr>
      </w:pPr>
      <w:bookmarkStart w:id="25" w:name="_Toc15396602"/>
      <w:bookmarkStart w:id="26" w:name="_Toc15377204"/>
      <w:bookmarkStart w:id="27" w:name="_Toc18226"/>
      <w:r>
        <w:rPr>
          <w:rFonts w:hint="eastAsia" w:ascii="黑体" w:hAnsi="黑体" w:eastAsia="黑体" w:cs="Times New Roman"/>
          <w:b w:val="0"/>
        </w:rPr>
        <w:t>第二部分 2022年度部门决算情况说明</w:t>
      </w:r>
      <w:bookmarkEnd w:id="25"/>
      <w:bookmarkEnd w:id="26"/>
      <w:bookmarkEnd w:id="27"/>
    </w:p>
    <w:p/>
    <w:p>
      <w:pPr>
        <w:pStyle w:val="7"/>
        <w:numPr>
          <w:ilvl w:val="0"/>
          <w:numId w:val="2"/>
        </w:numPr>
        <w:rPr>
          <w:rFonts w:hint="eastAsia" w:ascii="黑体" w:hAnsi="黑体" w:eastAsia="黑体"/>
          <w:b w:val="0"/>
        </w:rPr>
      </w:pPr>
      <w:bookmarkStart w:id="28" w:name="_Toc15396603"/>
      <w:bookmarkStart w:id="29" w:name="_Toc15377205"/>
      <w:bookmarkStart w:id="30" w:name="_Toc28343"/>
      <w:r>
        <w:rPr>
          <w:rFonts w:hint="eastAsia" w:ascii="黑体" w:hAnsi="黑体" w:eastAsia="黑体"/>
          <w:b w:val="0"/>
        </w:rPr>
        <w:t>收入支出决算总体情况说明</w:t>
      </w:r>
      <w:bookmarkEnd w:id="28"/>
      <w:bookmarkEnd w:id="29"/>
      <w:bookmarkEnd w:id="30"/>
    </w:p>
    <w:p>
      <w:pPr>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2022年度收、支总计89693.75万元。与2021年相比，收、支总计各减</w:t>
      </w:r>
      <w:r>
        <w:rPr>
          <w:rFonts w:hint="eastAsia" w:ascii="仿宋_GB2312" w:eastAsia="仿宋_GB2312" w:cs="Times New Roman"/>
          <w:sz w:val="32"/>
          <w:szCs w:val="32"/>
          <w:highlight w:val="none"/>
          <w:lang w:val="en-US" w:eastAsia="zh-CN"/>
        </w:rPr>
        <w:t>少</w:t>
      </w:r>
      <w:r>
        <w:rPr>
          <w:rFonts w:hint="eastAsia" w:ascii="仿宋_GB2312" w:hAnsi="Times New Roman" w:eastAsia="仿宋_GB2312" w:cs="Times New Roman"/>
          <w:sz w:val="32"/>
          <w:szCs w:val="32"/>
          <w:highlight w:val="none"/>
        </w:rPr>
        <w:t>10514.21万元，下降</w:t>
      </w:r>
      <w:r>
        <w:rPr>
          <w:rFonts w:hint="eastAsia" w:ascii="仿宋_GB2312" w:hAnsi="Times New Roman" w:eastAsia="仿宋_GB2312" w:cs="Times New Roman"/>
          <w:sz w:val="32"/>
          <w:szCs w:val="32"/>
          <w:highlight w:val="none"/>
          <w:lang w:val="en-US" w:eastAsia="zh-CN"/>
        </w:rPr>
        <w:t>10.49</w:t>
      </w:r>
      <w:r>
        <w:rPr>
          <w:rFonts w:hint="eastAsia" w:ascii="仿宋_GB2312" w:hAnsi="Times New Roman" w:eastAsia="仿宋_GB2312" w:cs="Times New Roman"/>
          <w:sz w:val="32"/>
          <w:szCs w:val="32"/>
          <w:highlight w:val="none"/>
        </w:rPr>
        <w:t>%。主要变动原因是</w:t>
      </w:r>
      <w:r>
        <w:rPr>
          <w:rFonts w:hint="eastAsia" w:ascii="仿宋_GB2312" w:hAnsi="Times New Roman" w:eastAsia="仿宋_GB2312" w:cs="Times New Roman"/>
          <w:sz w:val="32"/>
          <w:szCs w:val="32"/>
          <w:highlight w:val="none"/>
          <w:lang w:val="en-US" w:eastAsia="zh-CN"/>
        </w:rPr>
        <w:t>教育系统项目减少导致政府性基金减少</w:t>
      </w:r>
      <w:r>
        <w:rPr>
          <w:rFonts w:hint="eastAsia" w:ascii="仿宋_GB2312" w:hAnsi="Times New Roman" w:eastAsia="仿宋_GB2312" w:cs="Times New Roman"/>
          <w:sz w:val="32"/>
          <w:szCs w:val="32"/>
          <w:highlight w:val="none"/>
        </w:rPr>
        <w:t>。</w:t>
      </w:r>
    </w:p>
    <w:p>
      <w:pPr>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drawing>
          <wp:anchor distT="0" distB="0" distL="114300" distR="114300" simplePos="0" relativeHeight="251659264" behindDoc="0" locked="0" layoutInCell="1" allowOverlap="1">
            <wp:simplePos x="0" y="0"/>
            <wp:positionH relativeFrom="column">
              <wp:posOffset>560705</wp:posOffset>
            </wp:positionH>
            <wp:positionV relativeFrom="paragraph">
              <wp:posOffset>96520</wp:posOffset>
            </wp:positionV>
            <wp:extent cx="4091940" cy="2926080"/>
            <wp:effectExtent l="4445" t="5080" r="18415" b="1016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7"/>
        <w:numPr>
          <w:ilvl w:val="0"/>
          <w:numId w:val="2"/>
        </w:numPr>
        <w:rPr>
          <w:rStyle w:val="30"/>
          <w:rFonts w:ascii="黑体" w:hAnsi="黑体" w:eastAsia="黑体"/>
          <w:b w:val="0"/>
          <w:bCs/>
        </w:rPr>
      </w:pPr>
      <w:bookmarkStart w:id="31" w:name="_Toc24430"/>
      <w:bookmarkStart w:id="32" w:name="_Toc15377206"/>
      <w:bookmarkStart w:id="33" w:name="_Toc15396604"/>
      <w:r>
        <w:rPr>
          <w:rFonts w:hint="eastAsia" w:ascii="黑体" w:hAnsi="黑体" w:eastAsia="黑体"/>
          <w:sz w:val="32"/>
          <w:szCs w:val="32"/>
        </w:rPr>
        <w:t>收</w:t>
      </w:r>
      <w:r>
        <w:rPr>
          <w:rStyle w:val="30"/>
          <w:rFonts w:hint="eastAsia" w:ascii="黑体" w:hAnsi="黑体" w:eastAsia="黑体"/>
          <w:b w:val="0"/>
          <w:bCs/>
        </w:rPr>
        <w:t>入决算情况说明</w:t>
      </w:r>
      <w:bookmarkEnd w:id="31"/>
      <w:bookmarkEnd w:id="32"/>
      <w:bookmarkEnd w:id="33"/>
    </w:p>
    <w:p>
      <w:pPr>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2022年本年收入合计88016.41万元，其中：一般公共预算财政拨款收入83319.99万元，占</w:t>
      </w:r>
      <w:r>
        <w:rPr>
          <w:rFonts w:hint="eastAsia" w:ascii="仿宋_GB2312" w:hAnsi="Times New Roman" w:eastAsia="仿宋_GB2312" w:cs="Times New Roman"/>
          <w:sz w:val="32"/>
          <w:szCs w:val="32"/>
          <w:highlight w:val="none"/>
          <w:lang w:val="en-US" w:eastAsia="zh-CN"/>
        </w:rPr>
        <w:t>94.66</w:t>
      </w:r>
      <w:r>
        <w:rPr>
          <w:rFonts w:hint="eastAsia" w:ascii="仿宋_GB2312" w:hAnsi="Times New Roman" w:eastAsia="仿宋_GB2312" w:cs="Times New Roman"/>
          <w:sz w:val="32"/>
          <w:szCs w:val="32"/>
          <w:highlight w:val="none"/>
        </w:rPr>
        <w:t>%；政府性基金预算财政拨款收入3161.5万元，占</w:t>
      </w:r>
      <w:r>
        <w:rPr>
          <w:rFonts w:hint="eastAsia" w:ascii="仿宋_GB2312" w:hAnsi="Times New Roman" w:eastAsia="仿宋_GB2312" w:cs="Times New Roman"/>
          <w:sz w:val="32"/>
          <w:szCs w:val="32"/>
          <w:highlight w:val="none"/>
          <w:lang w:val="en-US" w:eastAsia="zh-CN"/>
        </w:rPr>
        <w:t>3.59</w:t>
      </w:r>
      <w:r>
        <w:rPr>
          <w:rFonts w:hint="eastAsia" w:ascii="仿宋_GB2312" w:hAnsi="Times New Roman" w:eastAsia="仿宋_GB2312" w:cs="Times New Roman"/>
          <w:sz w:val="32"/>
          <w:szCs w:val="32"/>
          <w:highlight w:val="none"/>
        </w:rPr>
        <w:t>%；国有资本经营预算财政拨款收入</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万元，占</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%；上级补助收入</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万元，占</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%；事业收入1534.62万元，占</w:t>
      </w:r>
      <w:r>
        <w:rPr>
          <w:rFonts w:hint="eastAsia" w:ascii="仿宋_GB2312" w:hAnsi="Times New Roman" w:eastAsia="仿宋_GB2312" w:cs="Times New Roman"/>
          <w:sz w:val="32"/>
          <w:szCs w:val="32"/>
          <w:highlight w:val="none"/>
          <w:lang w:val="en-US" w:eastAsia="zh-CN"/>
        </w:rPr>
        <w:t>1.74</w:t>
      </w:r>
      <w:r>
        <w:rPr>
          <w:rFonts w:hint="eastAsia" w:ascii="仿宋_GB2312" w:hAnsi="Times New Roman" w:eastAsia="仿宋_GB2312" w:cs="Times New Roman"/>
          <w:sz w:val="32"/>
          <w:szCs w:val="32"/>
          <w:highlight w:val="none"/>
        </w:rPr>
        <w:t>%；经营收入</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万元，占</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%；附属单位上缴收入</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万元，占</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%；其他收入</w:t>
      </w:r>
      <w:r>
        <w:rPr>
          <w:rFonts w:hint="eastAsia" w:ascii="仿宋_GB2312" w:hAnsi="Times New Roman" w:eastAsia="仿宋_GB2312" w:cs="Times New Roman"/>
          <w:sz w:val="32"/>
          <w:szCs w:val="32"/>
          <w:highlight w:val="none"/>
          <w:lang w:val="en-US" w:eastAsia="zh-CN"/>
        </w:rPr>
        <w:t>0.3</w:t>
      </w:r>
      <w:r>
        <w:rPr>
          <w:rFonts w:hint="eastAsia" w:ascii="仿宋_GB2312" w:hAnsi="Times New Roman" w:eastAsia="仿宋_GB2312" w:cs="Times New Roman"/>
          <w:sz w:val="32"/>
          <w:szCs w:val="32"/>
          <w:highlight w:val="none"/>
        </w:rPr>
        <w:t>万元，占</w:t>
      </w:r>
      <w:r>
        <w:rPr>
          <w:rFonts w:hint="eastAsia" w:ascii="仿宋_GB2312" w:hAnsi="Times New Roman" w:eastAsia="仿宋_GB2312" w:cs="Times New Roman"/>
          <w:sz w:val="32"/>
          <w:szCs w:val="32"/>
          <w:highlight w:val="none"/>
          <w:lang w:val="en-US" w:eastAsia="zh-CN"/>
        </w:rPr>
        <w:t>0.01</w:t>
      </w:r>
      <w:r>
        <w:rPr>
          <w:rFonts w:hint="eastAsia" w:ascii="仿宋_GB2312" w:hAnsi="Times New Roman" w:eastAsia="仿宋_GB2312" w:cs="Times New Roman"/>
          <w:sz w:val="32"/>
          <w:szCs w:val="32"/>
          <w:highlight w:val="none"/>
        </w:rPr>
        <w:t>%。</w:t>
      </w:r>
    </w:p>
    <w:p>
      <w:pPr>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drawing>
          <wp:anchor distT="0" distB="0" distL="114300" distR="114300" simplePos="0" relativeHeight="251660288" behindDoc="0" locked="0" layoutInCell="1" allowOverlap="1">
            <wp:simplePos x="0" y="0"/>
            <wp:positionH relativeFrom="column">
              <wp:posOffset>286385</wp:posOffset>
            </wp:positionH>
            <wp:positionV relativeFrom="paragraph">
              <wp:posOffset>195580</wp:posOffset>
            </wp:positionV>
            <wp:extent cx="4154170" cy="3154680"/>
            <wp:effectExtent l="4445" t="5080" r="17145" b="1016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7"/>
        <w:numPr>
          <w:ilvl w:val="0"/>
          <w:numId w:val="2"/>
        </w:numPr>
        <w:rPr>
          <w:rStyle w:val="30"/>
          <w:rFonts w:ascii="黑体" w:hAnsi="黑体" w:eastAsia="黑体"/>
          <w:b w:val="0"/>
          <w:bCs/>
        </w:rPr>
      </w:pPr>
      <w:bookmarkStart w:id="34" w:name="_Toc7141"/>
      <w:bookmarkStart w:id="35" w:name="_Toc15396605"/>
      <w:bookmarkStart w:id="36" w:name="_Toc15377207"/>
      <w:r>
        <w:rPr>
          <w:rFonts w:hint="eastAsia" w:ascii="黑体" w:hAnsi="黑体" w:eastAsia="黑体"/>
          <w:sz w:val="32"/>
          <w:szCs w:val="32"/>
        </w:rPr>
        <w:t>支</w:t>
      </w:r>
      <w:r>
        <w:rPr>
          <w:rStyle w:val="30"/>
          <w:rFonts w:hint="eastAsia" w:ascii="黑体" w:hAnsi="黑体" w:eastAsia="黑体"/>
          <w:b w:val="0"/>
          <w:bCs/>
        </w:rPr>
        <w:t>出决算情况说明</w:t>
      </w:r>
      <w:bookmarkEnd w:id="34"/>
      <w:bookmarkEnd w:id="35"/>
      <w:bookmarkEnd w:id="36"/>
    </w:p>
    <w:p>
      <w:pPr>
        <w:spacing w:line="600" w:lineRule="exact"/>
        <w:ind w:firstLine="640" w:firstLineChars="200"/>
        <w:outlineLvl w:val="1"/>
        <w:rPr>
          <w:rFonts w:hint="eastAsia" w:ascii="仿宋" w:hAnsi="仿宋" w:eastAsia="仿宋"/>
          <w:sz w:val="32"/>
          <w:szCs w:val="32"/>
        </w:rPr>
      </w:pPr>
      <w:bookmarkStart w:id="37" w:name="_Toc11609"/>
      <w:r>
        <w:rPr>
          <w:rFonts w:hint="eastAsia" w:ascii="仿宋_GB2312" w:hAnsi="Times New Roman" w:eastAsia="仿宋_GB2312" w:cs="Times New Roman"/>
          <w:sz w:val="32"/>
          <w:szCs w:val="32"/>
          <w:highlight w:val="none"/>
        </w:rPr>
        <w:t>2022年本年支出合计89693.75万元，其中：基本支出81957.16万元，占</w:t>
      </w:r>
      <w:r>
        <w:rPr>
          <w:rFonts w:hint="eastAsia" w:ascii="仿宋_GB2312" w:hAnsi="Times New Roman" w:eastAsia="仿宋_GB2312" w:cs="Times New Roman"/>
          <w:sz w:val="32"/>
          <w:szCs w:val="32"/>
          <w:highlight w:val="none"/>
          <w:lang w:val="en-US" w:eastAsia="zh-CN"/>
        </w:rPr>
        <w:t>91.37</w:t>
      </w:r>
      <w:r>
        <w:rPr>
          <w:rFonts w:hint="eastAsia" w:ascii="仿宋_GB2312" w:hAnsi="Times New Roman" w:eastAsia="仿宋_GB2312" w:cs="Times New Roman"/>
          <w:sz w:val="32"/>
          <w:szCs w:val="32"/>
          <w:highlight w:val="none"/>
        </w:rPr>
        <w:t>%；项目支出7736.59万元，占</w:t>
      </w:r>
      <w:r>
        <w:rPr>
          <w:rFonts w:hint="eastAsia" w:ascii="仿宋_GB2312" w:hAnsi="Times New Roman" w:eastAsia="仿宋_GB2312" w:cs="Times New Roman"/>
          <w:sz w:val="32"/>
          <w:szCs w:val="32"/>
          <w:highlight w:val="none"/>
          <w:lang w:val="en-US" w:eastAsia="zh-CN"/>
        </w:rPr>
        <w:t>8.63</w:t>
      </w:r>
      <w:r>
        <w:rPr>
          <w:rFonts w:hint="eastAsia" w:ascii="仿宋_GB2312" w:hAnsi="Times New Roman" w:eastAsia="仿宋_GB2312" w:cs="Times New Roman"/>
          <w:sz w:val="32"/>
          <w:szCs w:val="32"/>
          <w:highlight w:val="none"/>
        </w:rPr>
        <w:t>%；上缴上级支出</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万元，占</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%；经营支出</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万元，占</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%；对附属单位补助支出</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万元，占</w:t>
      </w:r>
      <w:r>
        <w:rPr>
          <w:rFonts w:hint="eastAsia"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rPr>
        <w:t>%</w:t>
      </w:r>
      <w:r>
        <w:rPr>
          <w:rFonts w:hint="eastAsia" w:ascii="仿宋" w:hAnsi="仿宋" w:eastAsia="仿宋"/>
          <w:sz w:val="32"/>
          <w:szCs w:val="32"/>
        </w:rPr>
        <w:t>。</w:t>
      </w:r>
      <w:bookmarkEnd w:id="37"/>
    </w:p>
    <w:p>
      <w:pPr>
        <w:pStyle w:val="2"/>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r>
        <w:drawing>
          <wp:anchor distT="0" distB="0" distL="114300" distR="114300" simplePos="0" relativeHeight="251661312" behindDoc="0" locked="0" layoutInCell="1" allowOverlap="1">
            <wp:simplePos x="0" y="0"/>
            <wp:positionH relativeFrom="column">
              <wp:posOffset>591820</wp:posOffset>
            </wp:positionH>
            <wp:positionV relativeFrom="paragraph">
              <wp:posOffset>52070</wp:posOffset>
            </wp:positionV>
            <wp:extent cx="3703955" cy="2477135"/>
            <wp:effectExtent l="4445" t="5080" r="10160" b="171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pStyle w:val="7"/>
        <w:numPr>
          <w:ilvl w:val="0"/>
          <w:numId w:val="2"/>
        </w:numPr>
        <w:rPr>
          <w:rStyle w:val="30"/>
          <w:rFonts w:ascii="黑体" w:hAnsi="黑体" w:eastAsia="黑体"/>
          <w:b w:val="0"/>
          <w:bCs/>
        </w:rPr>
      </w:pPr>
      <w:bookmarkStart w:id="38" w:name="_Toc15377208"/>
      <w:bookmarkStart w:id="39" w:name="_Toc15396606"/>
      <w:bookmarkStart w:id="40" w:name="_Toc3169"/>
      <w:r>
        <w:rPr>
          <w:rFonts w:hint="eastAsia" w:ascii="黑体" w:hAnsi="黑体" w:eastAsia="黑体"/>
          <w:sz w:val="32"/>
          <w:szCs w:val="32"/>
        </w:rPr>
        <w:t>财</w:t>
      </w:r>
      <w:r>
        <w:rPr>
          <w:rStyle w:val="30"/>
          <w:rFonts w:hint="eastAsia" w:ascii="黑体" w:hAnsi="黑体" w:eastAsia="黑体"/>
          <w:b w:val="0"/>
          <w:bCs/>
        </w:rPr>
        <w:t>政拨款收入支出决算总体情况说明</w:t>
      </w:r>
      <w:bookmarkEnd w:id="38"/>
      <w:bookmarkEnd w:id="39"/>
      <w:bookmarkEnd w:id="40"/>
    </w:p>
    <w:p>
      <w:pPr>
        <w:spacing w:line="600" w:lineRule="exact"/>
        <w:ind w:firstLine="640" w:firstLineChars="200"/>
        <w:outlineLvl w:val="1"/>
        <w:rPr>
          <w:rFonts w:hint="default" w:ascii="仿宋_GB2312" w:hAnsi="Times New Roman" w:eastAsia="仿宋_GB2312" w:cs="Times New Roman"/>
          <w:sz w:val="32"/>
          <w:szCs w:val="32"/>
          <w:highlight w:val="none"/>
          <w:lang w:val="en-US" w:eastAsia="zh-CN"/>
        </w:rPr>
      </w:pPr>
      <w:bookmarkStart w:id="41" w:name="_Toc15692"/>
      <w:r>
        <w:rPr>
          <w:rFonts w:hint="eastAsia" w:ascii="仿宋_GB2312" w:hAnsi="Times New Roman" w:eastAsia="仿宋_GB2312" w:cs="Times New Roman"/>
          <w:sz w:val="32"/>
          <w:szCs w:val="32"/>
          <w:highlight w:val="none"/>
        </w:rPr>
        <w:t>2022年财政拨款收、支总计88158.83万元。与2021年相比，财政拨款收、支总计各减少</w:t>
      </w:r>
      <w:r>
        <w:rPr>
          <w:rFonts w:hint="eastAsia" w:ascii="仿宋_GB2312" w:hAnsi="Times New Roman" w:eastAsia="仿宋_GB2312" w:cs="Times New Roman"/>
          <w:sz w:val="32"/>
          <w:szCs w:val="32"/>
          <w:highlight w:val="none"/>
          <w:lang w:val="en-US" w:eastAsia="zh-CN"/>
        </w:rPr>
        <w:t>10466.07</w:t>
      </w:r>
      <w:r>
        <w:rPr>
          <w:rFonts w:hint="eastAsia" w:ascii="仿宋_GB2312" w:hAnsi="Times New Roman" w:eastAsia="仿宋_GB2312" w:cs="Times New Roman"/>
          <w:sz w:val="32"/>
          <w:szCs w:val="32"/>
          <w:highlight w:val="none"/>
        </w:rPr>
        <w:t>万元，下降</w:t>
      </w:r>
      <w:r>
        <w:rPr>
          <w:rFonts w:hint="eastAsia" w:ascii="仿宋_GB2312" w:hAnsi="Times New Roman" w:eastAsia="仿宋_GB2312" w:cs="Times New Roman"/>
          <w:sz w:val="32"/>
          <w:szCs w:val="32"/>
          <w:highlight w:val="none"/>
          <w:lang w:val="en-US" w:eastAsia="zh-CN"/>
        </w:rPr>
        <w:t>10.61</w:t>
      </w:r>
      <w:r>
        <w:rPr>
          <w:rFonts w:hint="eastAsia" w:ascii="仿宋_GB2312" w:hAnsi="Times New Roman" w:eastAsia="仿宋_GB2312" w:cs="Times New Roman"/>
          <w:sz w:val="32"/>
          <w:szCs w:val="32"/>
          <w:highlight w:val="none"/>
        </w:rPr>
        <w:t>%。主要变动原因是</w:t>
      </w:r>
      <w:r>
        <w:rPr>
          <w:rFonts w:hint="eastAsia" w:ascii="仿宋_GB2312" w:hAnsi="Times New Roman" w:eastAsia="仿宋_GB2312" w:cs="Times New Roman"/>
          <w:sz w:val="32"/>
          <w:szCs w:val="32"/>
          <w:highlight w:val="none"/>
          <w:lang w:val="en-US" w:eastAsia="zh-CN"/>
        </w:rPr>
        <w:t>项目减少。</w:t>
      </w:r>
      <w:bookmarkEnd w:id="41"/>
    </w:p>
    <w:p>
      <w:pPr>
        <w:spacing w:line="600" w:lineRule="exact"/>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454025</wp:posOffset>
            </wp:positionH>
            <wp:positionV relativeFrom="paragraph">
              <wp:posOffset>50165</wp:posOffset>
            </wp:positionV>
            <wp:extent cx="4084320" cy="2926080"/>
            <wp:effectExtent l="4445" t="4445" r="10795" b="10795"/>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pStyle w:val="7"/>
        <w:numPr>
          <w:ilvl w:val="0"/>
          <w:numId w:val="2"/>
        </w:numPr>
        <w:rPr>
          <w:rStyle w:val="30"/>
          <w:rFonts w:ascii="黑体" w:hAnsi="黑体" w:eastAsia="黑体"/>
          <w:b w:val="0"/>
          <w:bCs/>
        </w:rPr>
      </w:pPr>
      <w:bookmarkStart w:id="42" w:name="_Toc15377209"/>
      <w:bookmarkStart w:id="43" w:name="_Toc26610"/>
      <w:bookmarkStart w:id="44" w:name="_Toc15396607"/>
      <w:r>
        <w:rPr>
          <w:rFonts w:hint="eastAsia" w:ascii="黑体" w:hAnsi="黑体" w:eastAsia="黑体"/>
          <w:b/>
          <w:sz w:val="32"/>
          <w:szCs w:val="32"/>
        </w:rPr>
        <w:t>一</w:t>
      </w:r>
      <w:r>
        <w:rPr>
          <w:rStyle w:val="30"/>
          <w:rFonts w:hint="eastAsia" w:ascii="黑体" w:hAnsi="黑体" w:eastAsia="黑体"/>
          <w:b w:val="0"/>
          <w:bCs/>
        </w:rPr>
        <w:t>般公共预算财政拨款支出决算情况说明</w:t>
      </w:r>
      <w:bookmarkEnd w:id="42"/>
      <w:bookmarkEnd w:id="43"/>
      <w:bookmarkEnd w:id="44"/>
    </w:p>
    <w:p>
      <w:pPr>
        <w:pStyle w:val="8"/>
        <w:bidi w:val="0"/>
        <w:rPr>
          <w:rFonts w:ascii="仿宋" w:hAnsi="仿宋" w:eastAsia="仿宋"/>
          <w:b/>
          <w:sz w:val="32"/>
          <w:szCs w:val="32"/>
        </w:rPr>
      </w:pPr>
      <w:bookmarkStart w:id="45" w:name="_Toc15377210"/>
      <w:bookmarkStart w:id="46" w:name="_Toc31101"/>
      <w:r>
        <w:rPr>
          <w:rFonts w:hint="eastAsia" w:ascii="仿宋" w:hAnsi="仿宋" w:eastAsia="仿宋"/>
          <w:b/>
          <w:sz w:val="32"/>
          <w:szCs w:val="32"/>
        </w:rPr>
        <w:t>（一）一般公共预算财政拨款支出决算总体情况</w:t>
      </w:r>
      <w:bookmarkEnd w:id="45"/>
      <w:bookmarkEnd w:id="46"/>
    </w:p>
    <w:p>
      <w:pPr>
        <w:spacing w:line="600" w:lineRule="exact"/>
        <w:ind w:firstLine="640" w:firstLineChars="200"/>
        <w:outlineLvl w:val="1"/>
        <w:rPr>
          <w:rFonts w:hint="eastAsia" w:ascii="仿宋_GB2312" w:hAnsi="Times New Roman" w:eastAsia="仿宋_GB2312" w:cs="Times New Roman"/>
          <w:sz w:val="32"/>
          <w:szCs w:val="32"/>
          <w:highlight w:val="none"/>
          <w:lang w:eastAsia="zh-CN"/>
        </w:rPr>
      </w:pPr>
      <w:bookmarkStart w:id="47" w:name="_Toc29529"/>
      <w:r>
        <w:rPr>
          <w:rFonts w:hint="eastAsia" w:ascii="仿宋_GB2312" w:hAnsi="Times New Roman" w:eastAsia="仿宋_GB2312" w:cs="Times New Roman"/>
          <w:sz w:val="32"/>
          <w:szCs w:val="32"/>
          <w:highlight w:val="none"/>
        </w:rPr>
        <w:t>2022年一般公共预算财政拨款支出84994.12万元，占本年支出合计的</w:t>
      </w:r>
      <w:r>
        <w:rPr>
          <w:rFonts w:hint="eastAsia" w:ascii="仿宋_GB2312" w:hAnsi="Times New Roman" w:eastAsia="仿宋_GB2312" w:cs="Times New Roman"/>
          <w:sz w:val="32"/>
          <w:szCs w:val="32"/>
          <w:highlight w:val="none"/>
          <w:lang w:val="en-US" w:eastAsia="zh-CN"/>
        </w:rPr>
        <w:t>94.76</w:t>
      </w:r>
      <w:r>
        <w:rPr>
          <w:rFonts w:hint="eastAsia" w:ascii="仿宋_GB2312" w:hAnsi="Times New Roman" w:eastAsia="仿宋_GB2312" w:cs="Times New Roman"/>
          <w:sz w:val="32"/>
          <w:szCs w:val="32"/>
          <w:highlight w:val="none"/>
        </w:rPr>
        <w:t>%。与2021年相比，一般公共预算财政拨款支出减少</w:t>
      </w:r>
      <w:r>
        <w:rPr>
          <w:rFonts w:hint="eastAsia" w:ascii="仿宋_GB2312" w:hAnsi="Times New Roman" w:eastAsia="仿宋_GB2312" w:cs="Times New Roman"/>
          <w:sz w:val="32"/>
          <w:szCs w:val="32"/>
          <w:highlight w:val="none"/>
          <w:lang w:val="en-US" w:eastAsia="zh-CN"/>
        </w:rPr>
        <w:t>6213.35</w:t>
      </w:r>
      <w:r>
        <w:rPr>
          <w:rFonts w:hint="eastAsia" w:ascii="仿宋_GB2312" w:hAnsi="Times New Roman" w:eastAsia="仿宋_GB2312" w:cs="Times New Roman"/>
          <w:sz w:val="32"/>
          <w:szCs w:val="32"/>
          <w:highlight w:val="none"/>
        </w:rPr>
        <w:t>万元，下降</w:t>
      </w:r>
      <w:r>
        <w:rPr>
          <w:rFonts w:hint="eastAsia" w:ascii="仿宋_GB2312" w:hAnsi="Times New Roman" w:eastAsia="仿宋_GB2312" w:cs="Times New Roman"/>
          <w:sz w:val="32"/>
          <w:szCs w:val="32"/>
          <w:highlight w:val="none"/>
          <w:lang w:val="en-US" w:eastAsia="zh-CN"/>
        </w:rPr>
        <w:t>6.81</w:t>
      </w:r>
      <w:r>
        <w:rPr>
          <w:rFonts w:hint="eastAsia" w:ascii="仿宋_GB2312" w:hAnsi="Times New Roman" w:eastAsia="仿宋_GB2312" w:cs="Times New Roman"/>
          <w:sz w:val="32"/>
          <w:szCs w:val="32"/>
          <w:highlight w:val="none"/>
        </w:rPr>
        <w:t>%。主要变动原因是</w:t>
      </w:r>
      <w:r>
        <w:rPr>
          <w:rFonts w:hint="eastAsia" w:ascii="仿宋_GB2312" w:hAnsi="Times New Roman" w:eastAsia="仿宋_GB2312" w:cs="Times New Roman"/>
          <w:sz w:val="32"/>
          <w:szCs w:val="32"/>
          <w:highlight w:val="none"/>
          <w:lang w:val="en-US" w:eastAsia="zh-CN"/>
        </w:rPr>
        <w:t>项目减少。</w:t>
      </w:r>
      <w:bookmarkEnd w:id="47"/>
    </w:p>
    <w:p>
      <w:pPr>
        <w:spacing w:line="600" w:lineRule="exact"/>
        <w:ind w:firstLine="640" w:firstLineChars="200"/>
        <w:rPr>
          <w:rFonts w:ascii="仿宋" w:hAnsi="仿宋" w:eastAsia="仿宋"/>
          <w:sz w:val="32"/>
          <w:szCs w:val="32"/>
        </w:rPr>
      </w:pPr>
    </w:p>
    <w:p>
      <w:pPr>
        <w:spacing w:line="600" w:lineRule="exact"/>
        <w:ind w:firstLine="420" w:firstLineChars="200"/>
        <w:rPr>
          <w:rFonts w:hint="eastAsia" w:ascii="仿宋" w:hAnsi="仿宋" w:eastAsia="仿宋"/>
          <w:sz w:val="32"/>
          <w:szCs w:val="32"/>
        </w:rPr>
      </w:pPr>
      <w:r>
        <w:drawing>
          <wp:anchor distT="0" distB="0" distL="114300" distR="114300" simplePos="0" relativeHeight="251663360" behindDoc="0" locked="0" layoutInCell="1" allowOverlap="1">
            <wp:simplePos x="0" y="0"/>
            <wp:positionH relativeFrom="column">
              <wp:posOffset>903605</wp:posOffset>
            </wp:positionH>
            <wp:positionV relativeFrom="paragraph">
              <wp:posOffset>-56515</wp:posOffset>
            </wp:positionV>
            <wp:extent cx="3985260" cy="2926080"/>
            <wp:effectExtent l="4445" t="4445" r="18415" b="10795"/>
            <wp:wrapSquare wrapText="bothSides"/>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8"/>
        <w:bidi w:val="0"/>
        <w:rPr>
          <w:rFonts w:ascii="仿宋" w:hAnsi="仿宋" w:eastAsia="仿宋"/>
          <w:b/>
          <w:sz w:val="32"/>
          <w:szCs w:val="32"/>
        </w:rPr>
      </w:pPr>
      <w:bookmarkStart w:id="48" w:name="_Toc4479"/>
      <w:bookmarkStart w:id="49" w:name="_Toc15377211"/>
      <w:r>
        <w:rPr>
          <w:rFonts w:hint="eastAsia" w:ascii="仿宋" w:hAnsi="仿宋" w:eastAsia="仿宋"/>
          <w:b/>
          <w:sz w:val="32"/>
          <w:szCs w:val="32"/>
        </w:rPr>
        <w:t>（二）一般公共预算财政拨款支出决算结构情况</w:t>
      </w:r>
      <w:bookmarkEnd w:id="48"/>
      <w:bookmarkEnd w:id="49"/>
    </w:p>
    <w:p>
      <w:pPr>
        <w:spacing w:line="600" w:lineRule="exact"/>
        <w:ind w:firstLine="640"/>
        <w:rPr>
          <w:rFonts w:hint="eastAsia" w:ascii="仿宋" w:hAnsi="仿宋" w:eastAsia="仿宋"/>
          <w:sz w:val="32"/>
          <w:szCs w:val="32"/>
        </w:rPr>
      </w:pPr>
      <w:r>
        <w:rPr>
          <w:rFonts w:hint="eastAsia" w:ascii="仿宋_GB2312" w:hAnsi="Times New Roman" w:eastAsia="仿宋_GB2312" w:cs="Times New Roman"/>
          <w:sz w:val="32"/>
          <w:szCs w:val="32"/>
          <w:highlight w:val="none"/>
        </w:rPr>
        <w:t>2022年一般公共预算财政拨款支出84994.12万元，主要用于以下方面</w:t>
      </w:r>
      <w:r>
        <w:rPr>
          <w:rFonts w:hint="eastAsia" w:ascii="仿宋_GB2312" w:eastAsia="仿宋_GB2312" w:cs="Times New Roman"/>
          <w:sz w:val="32"/>
          <w:szCs w:val="32"/>
          <w:highlight w:val="none"/>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71171.42万元，占</w:t>
      </w:r>
      <w:r>
        <w:rPr>
          <w:rFonts w:hint="eastAsia" w:ascii="仿宋" w:hAnsi="仿宋" w:eastAsia="仿宋"/>
          <w:sz w:val="32"/>
          <w:szCs w:val="32"/>
          <w:lang w:val="en-US" w:eastAsia="zh-CN"/>
        </w:rPr>
        <w:t>83.74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6</w:t>
      </w:r>
      <w:r>
        <w:rPr>
          <w:rFonts w:hint="eastAsia" w:ascii="仿宋" w:hAnsi="仿宋" w:eastAsia="仿宋"/>
          <w:b/>
          <w:bCs/>
          <w:sz w:val="32"/>
          <w:szCs w:val="32"/>
        </w:rPr>
        <w:t>万元，</w:t>
      </w:r>
      <w:r>
        <w:rPr>
          <w:rFonts w:hint="eastAsia" w:ascii="仿宋" w:hAnsi="仿宋" w:eastAsia="仿宋" w:cs="Times New Roman"/>
          <w:sz w:val="32"/>
          <w:szCs w:val="32"/>
          <w:lang w:val="en-US" w:eastAsia="zh-CN"/>
        </w:rPr>
        <w:t>占0.007%</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6254.08万元，占</w:t>
      </w:r>
      <w:r>
        <w:rPr>
          <w:rFonts w:hint="eastAsia" w:ascii="仿宋" w:hAnsi="仿宋" w:eastAsia="仿宋"/>
          <w:sz w:val="32"/>
          <w:szCs w:val="32"/>
          <w:lang w:val="en-US" w:eastAsia="zh-CN"/>
        </w:rPr>
        <w:t>7.36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2999.3万元，占</w:t>
      </w:r>
      <w:r>
        <w:rPr>
          <w:rFonts w:hint="eastAsia" w:ascii="仿宋" w:hAnsi="仿宋" w:eastAsia="仿宋"/>
          <w:sz w:val="32"/>
          <w:szCs w:val="32"/>
          <w:lang w:val="en-US" w:eastAsia="zh-CN"/>
        </w:rPr>
        <w:t>3.52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农林水支出</w:t>
      </w:r>
      <w:r>
        <w:rPr>
          <w:rFonts w:hint="eastAsia" w:ascii="仿宋" w:hAnsi="仿宋" w:eastAsia="仿宋" w:cs="Times New Roman"/>
          <w:sz w:val="32"/>
          <w:szCs w:val="32"/>
          <w:lang w:val="en-US" w:eastAsia="zh-CN"/>
        </w:rPr>
        <w:t>64万元，占0.083%</w:t>
      </w:r>
      <w:r>
        <w:rPr>
          <w:rFonts w:hint="eastAsia" w:ascii="仿宋" w:hAnsi="仿宋" w:eastAsia="仿宋"/>
          <w:b/>
          <w:bCs/>
          <w:sz w:val="32"/>
          <w:szCs w:val="32"/>
        </w:rPr>
        <w:t>住房保障支出</w:t>
      </w:r>
      <w:r>
        <w:rPr>
          <w:rFonts w:hint="eastAsia" w:ascii="仿宋" w:hAnsi="仿宋" w:eastAsia="仿宋"/>
          <w:sz w:val="32"/>
          <w:szCs w:val="32"/>
        </w:rPr>
        <w:t>4499.32万元，占</w:t>
      </w:r>
      <w:r>
        <w:rPr>
          <w:rFonts w:hint="eastAsia" w:ascii="仿宋" w:hAnsi="仿宋" w:eastAsia="仿宋"/>
          <w:sz w:val="32"/>
          <w:szCs w:val="32"/>
          <w:lang w:val="en-US" w:eastAsia="zh-CN"/>
        </w:rPr>
        <w:t>5.29</w:t>
      </w:r>
      <w:r>
        <w:rPr>
          <w:rFonts w:ascii="仿宋" w:hAnsi="仿宋" w:eastAsia="仿宋"/>
          <w:sz w:val="32"/>
          <w:szCs w:val="32"/>
        </w:rPr>
        <w:t>%</w:t>
      </w:r>
      <w:r>
        <w:rPr>
          <w:rFonts w:hint="eastAsia" w:ascii="仿宋" w:hAnsi="仿宋" w:eastAsia="仿宋"/>
          <w:sz w:val="32"/>
          <w:szCs w:val="32"/>
        </w:rPr>
        <w:t>。</w:t>
      </w:r>
    </w:p>
    <w:p>
      <w:pPr>
        <w:pStyle w:val="36"/>
        <w:rPr>
          <w:rFonts w:hint="eastAsia" w:ascii="仿宋" w:hAnsi="仿宋" w:eastAsia="仿宋"/>
          <w:sz w:val="32"/>
          <w:szCs w:val="32"/>
        </w:rPr>
      </w:pPr>
    </w:p>
    <w:p>
      <w:pPr>
        <w:pStyle w:val="36"/>
        <w:rPr>
          <w:rFonts w:hint="eastAsia" w:ascii="仿宋" w:hAnsi="仿宋" w:eastAsia="仿宋"/>
          <w:sz w:val="32"/>
          <w:szCs w:val="32"/>
        </w:rPr>
      </w:pPr>
    </w:p>
    <w:p>
      <w:pPr>
        <w:pStyle w:val="36"/>
        <w:rPr>
          <w:rFonts w:hint="eastAsia" w:ascii="仿宋" w:hAnsi="仿宋" w:eastAsia="仿宋"/>
          <w:sz w:val="32"/>
          <w:szCs w:val="32"/>
        </w:rPr>
      </w:pPr>
    </w:p>
    <w:p>
      <w:pPr>
        <w:pStyle w:val="36"/>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492125</wp:posOffset>
            </wp:positionH>
            <wp:positionV relativeFrom="paragraph">
              <wp:posOffset>218440</wp:posOffset>
            </wp:positionV>
            <wp:extent cx="4091940" cy="2926080"/>
            <wp:effectExtent l="4445" t="5080" r="18415" b="10160"/>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8"/>
        <w:bidi w:val="0"/>
        <w:rPr>
          <w:rFonts w:ascii="仿宋" w:hAnsi="仿宋" w:eastAsia="仿宋"/>
          <w:b/>
          <w:sz w:val="32"/>
          <w:szCs w:val="32"/>
        </w:rPr>
      </w:pPr>
      <w:bookmarkStart w:id="50" w:name="_Toc3658"/>
      <w:bookmarkStart w:id="51" w:name="_Toc15377212"/>
      <w:r>
        <w:rPr>
          <w:rFonts w:hint="eastAsia" w:ascii="仿宋" w:hAnsi="仿宋" w:eastAsia="仿宋"/>
          <w:b/>
          <w:sz w:val="32"/>
          <w:szCs w:val="32"/>
        </w:rPr>
        <w:t>（三）一般公共预算财政拨款支出决算具体情况</w:t>
      </w:r>
      <w:bookmarkEnd w:id="50"/>
      <w:bookmarkEnd w:id="51"/>
    </w:p>
    <w:p>
      <w:pPr>
        <w:spacing w:line="600" w:lineRule="exact"/>
        <w:ind w:firstLine="643" w:firstLineChars="200"/>
        <w:outlineLvl w:val="1"/>
        <w:rPr>
          <w:rFonts w:ascii="仿宋" w:hAnsi="仿宋" w:eastAsia="仿宋"/>
          <w:b/>
          <w:sz w:val="32"/>
          <w:szCs w:val="32"/>
        </w:rPr>
      </w:pPr>
      <w:bookmarkStart w:id="52" w:name="_Toc15377213"/>
      <w:bookmarkStart w:id="53" w:name="_Toc15377444"/>
      <w:bookmarkStart w:id="54" w:name="_Toc15378460"/>
      <w:bookmarkStart w:id="55" w:name="_Toc25317"/>
      <w:r>
        <w:rPr>
          <w:rFonts w:hint="eastAsia" w:ascii="仿宋" w:hAnsi="仿宋" w:eastAsia="仿宋"/>
          <w:b/>
          <w:sz w:val="32"/>
          <w:szCs w:val="32"/>
        </w:rPr>
        <w:t>2022年一般公共预算支出决算数为84994.12</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52"/>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lang w:val="en-US" w:eastAsia="zh-CN"/>
        </w:rPr>
      </w:pPr>
      <w:r>
        <w:rPr>
          <w:rStyle w:val="18"/>
          <w:rFonts w:hint="eastAsia" w:ascii="仿宋" w:hAnsi="仿宋" w:eastAsia="仿宋"/>
          <w:bCs/>
          <w:sz w:val="32"/>
          <w:szCs w:val="32"/>
          <w:lang w:val="en-US" w:eastAsia="zh-CN"/>
        </w:rPr>
        <w:t>1.</w:t>
      </w:r>
      <w:r>
        <w:rPr>
          <w:rStyle w:val="18"/>
          <w:rFonts w:hint="eastAsia" w:ascii="仿宋" w:hAnsi="仿宋" w:eastAsia="仿宋"/>
          <w:bCs/>
          <w:sz w:val="32"/>
          <w:szCs w:val="32"/>
        </w:rPr>
        <w:t>教育（类）教育管理事务（款）行政运行（项）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支出决算为303.35万元，完成预算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教育（类）教育管理事务（款）其他教育管理事务支出（项）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支出决算为804.93万元，完成预算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spacing w:line="600" w:lineRule="exact"/>
        <w:ind w:firstLine="643" w:firstLineChars="200"/>
        <w:rPr>
          <w:rFonts w:hint="eastAsia" w:ascii="仿宋" w:hAnsi="仿宋" w:eastAsia="仿宋"/>
          <w:b/>
          <w:sz w:val="32"/>
          <w:szCs w:val="32"/>
          <w:lang w:eastAsia="zh-CN"/>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（款）学前教育（项）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支出决算为2274.94万元，完成预算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小学</w:t>
      </w:r>
      <w:r>
        <w:rPr>
          <w:rStyle w:val="18"/>
          <w:rFonts w:hint="eastAsia" w:ascii="仿宋" w:hAnsi="仿宋" w:eastAsia="仿宋"/>
          <w:bCs/>
          <w:sz w:val="32"/>
          <w:szCs w:val="32"/>
        </w:rPr>
        <w:t>教育（项）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支出决算为34030.51万元，完成预算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spacing w:line="600" w:lineRule="exact"/>
        <w:ind w:firstLine="643" w:firstLineChars="200"/>
        <w:rPr>
          <w:rFonts w:hint="eastAsia"/>
          <w:lang w:val="en-US" w:eastAsia="zh-CN"/>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初中</w:t>
      </w:r>
      <w:r>
        <w:rPr>
          <w:rStyle w:val="18"/>
          <w:rFonts w:hint="eastAsia" w:ascii="仿宋" w:hAnsi="仿宋" w:eastAsia="仿宋"/>
          <w:bCs/>
          <w:sz w:val="32"/>
          <w:szCs w:val="32"/>
        </w:rPr>
        <w:t>教育（项）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支出决算为15897.47万元，完成预算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高中</w:t>
      </w:r>
      <w:r>
        <w:rPr>
          <w:rStyle w:val="18"/>
          <w:rFonts w:hint="eastAsia" w:ascii="仿宋" w:hAnsi="仿宋" w:eastAsia="仿宋"/>
          <w:bCs/>
          <w:sz w:val="32"/>
          <w:szCs w:val="32"/>
        </w:rPr>
        <w:t>教育（项）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支出决算为10983.08万元，完成预算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spacing w:line="600" w:lineRule="exact"/>
        <w:ind w:firstLine="643" w:firstLineChars="200"/>
        <w:outlineLvl w:val="1"/>
        <w:rPr>
          <w:rStyle w:val="18"/>
          <w:rFonts w:hint="eastAsia" w:ascii="仿宋" w:hAnsi="仿宋" w:eastAsia="仿宋"/>
          <w:b w:val="0"/>
          <w:bCs/>
          <w:sz w:val="32"/>
          <w:szCs w:val="32"/>
          <w:lang w:eastAsia="zh-CN"/>
        </w:rPr>
      </w:pPr>
      <w:bookmarkStart w:id="56" w:name="_Toc21012"/>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职业教育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中等</w:t>
      </w:r>
      <w:r>
        <w:rPr>
          <w:rStyle w:val="18"/>
          <w:rFonts w:hint="eastAsia" w:ascii="仿宋" w:hAnsi="仿宋" w:eastAsia="仿宋"/>
          <w:bCs/>
          <w:sz w:val="32"/>
          <w:szCs w:val="32"/>
        </w:rPr>
        <w:t>教育（项）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支出决算为5202.</w:t>
      </w:r>
      <w:r>
        <w:rPr>
          <w:rFonts w:hint="eastAsia" w:ascii="仿宋_GB2312" w:hAnsi="Times New Roman" w:eastAsia="仿宋_GB2312" w:cs="Times New Roman"/>
          <w:sz w:val="32"/>
          <w:szCs w:val="32"/>
          <w:highlight w:val="none"/>
        </w:rPr>
        <w:t>65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bookmarkEnd w:id="56"/>
    </w:p>
    <w:p>
      <w:pPr>
        <w:spacing w:line="600" w:lineRule="exact"/>
        <w:ind w:firstLine="643" w:firstLineChars="200"/>
        <w:outlineLvl w:val="1"/>
        <w:rPr>
          <w:rStyle w:val="18"/>
          <w:rFonts w:hint="eastAsia" w:ascii="仿宋" w:hAnsi="仿宋" w:eastAsia="仿宋"/>
          <w:b w:val="0"/>
          <w:bCs/>
          <w:sz w:val="32"/>
          <w:szCs w:val="32"/>
          <w:lang w:eastAsia="zh-CN"/>
        </w:rPr>
      </w:pPr>
      <w:bookmarkStart w:id="57" w:name="_Toc5046"/>
      <w:r>
        <w:rPr>
          <w:rStyle w:val="18"/>
          <w:rFonts w:hint="eastAsia" w:ascii="仿宋" w:hAnsi="仿宋" w:eastAsia="仿宋"/>
          <w:bCs/>
          <w:sz w:val="32"/>
          <w:szCs w:val="32"/>
          <w:lang w:val="en-US" w:eastAsia="zh-CN"/>
        </w:rPr>
        <w:t>8</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进修及培训</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教师进修</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支出决算为567.68万元，完成预算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bookmarkEnd w:id="57"/>
    </w:p>
    <w:p>
      <w:pPr>
        <w:spacing w:line="600" w:lineRule="exact"/>
        <w:ind w:firstLine="643" w:firstLineChars="200"/>
        <w:outlineLvl w:val="1"/>
        <w:rPr>
          <w:rStyle w:val="18"/>
          <w:rFonts w:hint="eastAsia" w:ascii="仿宋" w:hAnsi="仿宋" w:eastAsia="仿宋"/>
          <w:b w:val="0"/>
          <w:bCs/>
          <w:sz w:val="32"/>
          <w:szCs w:val="32"/>
          <w:lang w:eastAsia="zh-CN"/>
        </w:rPr>
      </w:pPr>
      <w:bookmarkStart w:id="58" w:name="_Toc24238"/>
      <w:r>
        <w:rPr>
          <w:rStyle w:val="18"/>
          <w:rFonts w:hint="eastAsia" w:ascii="仿宋" w:hAnsi="仿宋" w:eastAsia="仿宋"/>
          <w:bCs/>
          <w:sz w:val="32"/>
          <w:szCs w:val="32"/>
          <w:lang w:val="en-US" w:eastAsia="zh-CN"/>
        </w:rPr>
        <w:t>9</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教育费附加安排的支出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农村中小学校舍建设</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支出决算为111.66万元，完成预算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bookmarkEnd w:id="58"/>
    </w:p>
    <w:p>
      <w:pPr>
        <w:spacing w:line="600" w:lineRule="exact"/>
        <w:ind w:firstLine="643" w:firstLineChars="200"/>
        <w:outlineLvl w:val="1"/>
        <w:rPr>
          <w:rStyle w:val="18"/>
          <w:rFonts w:hint="eastAsia" w:ascii="仿宋" w:hAnsi="仿宋" w:eastAsia="仿宋"/>
          <w:b w:val="0"/>
          <w:bCs/>
          <w:sz w:val="32"/>
          <w:szCs w:val="32"/>
          <w:lang w:eastAsia="zh-CN"/>
        </w:rPr>
      </w:pPr>
      <w:bookmarkStart w:id="59" w:name="_Toc21980"/>
      <w:r>
        <w:rPr>
          <w:rStyle w:val="18"/>
          <w:rFonts w:hint="eastAsia" w:ascii="仿宋" w:hAnsi="仿宋" w:eastAsia="仿宋"/>
          <w:bCs/>
          <w:sz w:val="32"/>
          <w:szCs w:val="32"/>
          <w:lang w:val="en-US" w:eastAsia="zh-CN"/>
        </w:rPr>
        <w:t>10</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教育费附加安排的支出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农村中小学教学设施</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51.38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bookmarkEnd w:id="59"/>
    </w:p>
    <w:p>
      <w:pPr>
        <w:spacing w:line="600" w:lineRule="exact"/>
        <w:ind w:firstLine="643" w:firstLineChars="200"/>
        <w:outlineLvl w:val="1"/>
        <w:rPr>
          <w:rFonts w:hint="eastAsia"/>
          <w:lang w:eastAsia="zh-CN"/>
        </w:rPr>
      </w:pPr>
      <w:bookmarkStart w:id="60" w:name="_Toc4353"/>
      <w:r>
        <w:rPr>
          <w:rStyle w:val="18"/>
          <w:rFonts w:hint="eastAsia" w:ascii="仿宋" w:hAnsi="仿宋" w:eastAsia="仿宋"/>
          <w:bCs/>
          <w:sz w:val="32"/>
          <w:szCs w:val="32"/>
          <w:lang w:val="en-US" w:eastAsia="zh-CN"/>
        </w:rPr>
        <w:t>11</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教育费附加安排的支出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城市中小学教学设施</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w:t>
      </w:r>
      <w:r>
        <w:rPr>
          <w:rFonts w:hint="eastAsia" w:ascii="仿宋_GB2312" w:hAnsi="Times New Roman" w:eastAsia="仿宋_GB2312" w:cs="Times New Roman"/>
          <w:sz w:val="32"/>
          <w:szCs w:val="32"/>
          <w:highlight w:val="none"/>
        </w:rPr>
        <w:t>预算</w:t>
      </w:r>
      <w:r>
        <w:rPr>
          <w:rStyle w:val="18"/>
          <w:rFonts w:hint="eastAsia" w:ascii="仿宋" w:hAnsi="仿宋" w:eastAsia="仿宋"/>
          <w:b w:val="0"/>
          <w:bCs/>
          <w:sz w:val="32"/>
          <w:szCs w:val="32"/>
        </w:rPr>
        <w:t>数</w:t>
      </w:r>
      <w:r>
        <w:rPr>
          <w:rStyle w:val="18"/>
          <w:rFonts w:hint="eastAsia" w:ascii="仿宋" w:hAnsi="仿宋" w:eastAsia="仿宋"/>
          <w:b w:val="0"/>
          <w:bCs/>
          <w:sz w:val="32"/>
          <w:szCs w:val="32"/>
          <w:lang w:eastAsia="zh-CN"/>
        </w:rPr>
        <w:t>。</w:t>
      </w:r>
      <w:bookmarkEnd w:id="60"/>
    </w:p>
    <w:p>
      <w:pPr>
        <w:spacing w:line="600" w:lineRule="exact"/>
        <w:ind w:firstLine="643" w:firstLineChars="200"/>
        <w:outlineLvl w:val="1"/>
        <w:rPr>
          <w:rFonts w:hint="eastAsia"/>
          <w:lang w:eastAsia="zh-CN"/>
        </w:rPr>
      </w:pPr>
      <w:bookmarkStart w:id="61" w:name="_Toc17077"/>
      <w:r>
        <w:rPr>
          <w:rStyle w:val="18"/>
          <w:rFonts w:hint="eastAsia" w:ascii="仿宋" w:hAnsi="仿宋" w:eastAsia="仿宋"/>
          <w:bCs/>
          <w:sz w:val="32"/>
          <w:szCs w:val="32"/>
          <w:lang w:val="en-US" w:eastAsia="zh-CN"/>
        </w:rPr>
        <w:t>12</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教育费附加安排的支出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中等职业学校教学设施</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w:t>
      </w:r>
      <w:r>
        <w:rPr>
          <w:rFonts w:hint="eastAsia" w:ascii="仿宋_GB2312" w:hAnsi="Times New Roman" w:eastAsia="仿宋_GB2312" w:cs="Times New Roman"/>
          <w:sz w:val="32"/>
          <w:szCs w:val="32"/>
          <w:highlight w:val="none"/>
        </w:rPr>
        <w:t>预算</w:t>
      </w:r>
      <w:r>
        <w:rPr>
          <w:rStyle w:val="18"/>
          <w:rFonts w:hint="eastAsia" w:ascii="仿宋" w:hAnsi="仿宋" w:eastAsia="仿宋"/>
          <w:b w:val="0"/>
          <w:bCs/>
          <w:sz w:val="32"/>
          <w:szCs w:val="32"/>
        </w:rPr>
        <w:t>数</w:t>
      </w:r>
      <w:r>
        <w:rPr>
          <w:rStyle w:val="18"/>
          <w:rFonts w:hint="eastAsia" w:ascii="仿宋" w:hAnsi="仿宋" w:eastAsia="仿宋"/>
          <w:b w:val="0"/>
          <w:bCs/>
          <w:sz w:val="32"/>
          <w:szCs w:val="32"/>
          <w:lang w:eastAsia="zh-CN"/>
        </w:rPr>
        <w:t>。</w:t>
      </w:r>
      <w:bookmarkEnd w:id="61"/>
    </w:p>
    <w:p>
      <w:pPr>
        <w:spacing w:line="600" w:lineRule="exact"/>
        <w:ind w:firstLine="643" w:firstLineChars="200"/>
        <w:outlineLvl w:val="1"/>
        <w:rPr>
          <w:rFonts w:hint="eastAsia"/>
          <w:lang w:val="en-US" w:eastAsia="zh-CN"/>
        </w:rPr>
      </w:pPr>
      <w:bookmarkStart w:id="62" w:name="_Toc29859"/>
      <w:r>
        <w:rPr>
          <w:rStyle w:val="18"/>
          <w:rFonts w:hint="eastAsia" w:ascii="仿宋" w:hAnsi="仿宋" w:eastAsia="仿宋"/>
          <w:bCs/>
          <w:sz w:val="32"/>
          <w:szCs w:val="32"/>
          <w:lang w:val="en-US" w:eastAsia="zh-CN"/>
        </w:rPr>
        <w:t>13</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教育费附加安排的支出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其他教育费附加安排的支出</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774.77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hAnsi="Times New Roman" w:eastAsia="仿宋_GB2312" w:cs="Times New Roman"/>
          <w:sz w:val="32"/>
          <w:szCs w:val="32"/>
          <w:highlight w:val="none"/>
        </w:rPr>
        <w:t>决算</w:t>
      </w:r>
      <w:r>
        <w:rPr>
          <w:rStyle w:val="18"/>
          <w:rFonts w:hint="eastAsia" w:ascii="仿宋" w:hAnsi="仿宋" w:eastAsia="仿宋"/>
          <w:b w:val="0"/>
          <w:bCs/>
          <w:sz w:val="32"/>
          <w:szCs w:val="32"/>
        </w:rPr>
        <w:t>数等于预算数</w:t>
      </w:r>
      <w:r>
        <w:rPr>
          <w:rStyle w:val="18"/>
          <w:rFonts w:hint="eastAsia" w:ascii="仿宋" w:hAnsi="仿宋" w:eastAsia="仿宋"/>
          <w:b w:val="0"/>
          <w:bCs/>
          <w:sz w:val="32"/>
          <w:szCs w:val="32"/>
          <w:lang w:eastAsia="zh-CN"/>
        </w:rPr>
        <w:t>。</w:t>
      </w:r>
      <w:bookmarkEnd w:id="62"/>
    </w:p>
    <w:p>
      <w:pPr>
        <w:spacing w:line="600" w:lineRule="exact"/>
        <w:ind w:firstLine="643" w:firstLineChars="200"/>
        <w:outlineLvl w:val="1"/>
        <w:rPr>
          <w:rFonts w:ascii="仿宋" w:hAnsi="仿宋" w:eastAsia="仿宋"/>
          <w:b/>
          <w:sz w:val="32"/>
          <w:szCs w:val="32"/>
        </w:rPr>
      </w:pPr>
      <w:bookmarkStart w:id="63" w:name="_Toc30821"/>
      <w:r>
        <w:rPr>
          <w:rStyle w:val="18"/>
          <w:rFonts w:hint="eastAsia" w:ascii="仿宋" w:hAnsi="仿宋" w:eastAsia="仿宋"/>
          <w:bCs/>
          <w:sz w:val="32"/>
          <w:szCs w:val="32"/>
          <w:lang w:val="en-US" w:eastAsia="zh-CN"/>
        </w:rPr>
        <w:t>14</w:t>
      </w:r>
      <w:r>
        <w:rPr>
          <w:rStyle w:val="18"/>
          <w:rFonts w:ascii="仿宋" w:hAnsi="仿宋" w:eastAsia="仿宋"/>
          <w:bCs/>
          <w:sz w:val="32"/>
          <w:szCs w:val="32"/>
        </w:rPr>
        <w:t>.</w:t>
      </w:r>
      <w:r>
        <w:rPr>
          <w:rStyle w:val="18"/>
          <w:rFonts w:hint="eastAsia" w:ascii="仿宋" w:hAnsi="仿宋" w:eastAsia="仿宋"/>
          <w:bCs/>
          <w:sz w:val="32"/>
          <w:szCs w:val="32"/>
        </w:rPr>
        <w:t>文化旅游体育与传媒（类）其他文化旅游体育与传媒支出（款）宣传文化发展专项支出（项）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bookmarkEnd w:id="63"/>
    </w:p>
    <w:p>
      <w:pPr>
        <w:spacing w:line="600" w:lineRule="exact"/>
        <w:ind w:firstLine="643" w:firstLineChars="200"/>
        <w:outlineLvl w:val="1"/>
        <w:rPr>
          <w:rStyle w:val="18"/>
          <w:rFonts w:hint="eastAsia" w:ascii="仿宋" w:hAnsi="仿宋" w:eastAsia="仿宋"/>
          <w:b w:val="0"/>
          <w:bCs/>
          <w:sz w:val="32"/>
          <w:szCs w:val="32"/>
        </w:rPr>
      </w:pPr>
      <w:bookmarkStart w:id="64" w:name="_Toc5227"/>
      <w:r>
        <w:rPr>
          <w:rStyle w:val="18"/>
          <w:rFonts w:hint="eastAsia" w:ascii="仿宋" w:hAnsi="仿宋" w:eastAsia="仿宋"/>
          <w:bCs/>
          <w:sz w:val="32"/>
          <w:szCs w:val="32"/>
          <w:lang w:val="en-US" w:eastAsia="zh-CN"/>
        </w:rPr>
        <w:t>1</w:t>
      </w:r>
      <w:r>
        <w:rPr>
          <w:rStyle w:val="18"/>
          <w:rFonts w:ascii="仿宋" w:hAnsi="仿宋" w:eastAsia="仿宋"/>
          <w:bCs/>
          <w:sz w:val="32"/>
          <w:szCs w:val="32"/>
        </w:rPr>
        <w:t>5.</w:t>
      </w:r>
      <w:r>
        <w:rPr>
          <w:rStyle w:val="18"/>
          <w:rFonts w:hint="eastAsia" w:ascii="仿宋" w:hAnsi="仿宋" w:eastAsia="仿宋"/>
          <w:bCs/>
          <w:sz w:val="32"/>
          <w:szCs w:val="32"/>
        </w:rPr>
        <w:t>社会保障和就业（类）行政事业单位养老支出（款）事业单位离退休（项）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107.26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bookmarkEnd w:id="64"/>
    </w:p>
    <w:p>
      <w:pPr>
        <w:spacing w:line="600" w:lineRule="exact"/>
        <w:ind w:firstLine="643" w:firstLineChars="200"/>
        <w:outlineLvl w:val="1"/>
        <w:rPr>
          <w:rStyle w:val="18"/>
          <w:rFonts w:hint="eastAsia" w:ascii="仿宋" w:hAnsi="仿宋" w:eastAsia="仿宋"/>
          <w:b w:val="0"/>
          <w:bCs/>
          <w:sz w:val="32"/>
          <w:szCs w:val="32"/>
        </w:rPr>
      </w:pPr>
      <w:bookmarkStart w:id="65" w:name="_Toc11944"/>
      <w:r>
        <w:rPr>
          <w:rStyle w:val="18"/>
          <w:rFonts w:hint="eastAsia" w:ascii="仿宋" w:hAnsi="仿宋" w:eastAsia="仿宋"/>
          <w:bCs/>
          <w:sz w:val="32"/>
          <w:szCs w:val="32"/>
          <w:lang w:val="en-US" w:eastAsia="zh-CN"/>
        </w:rPr>
        <w:t>16</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社会保障和就业（类）行政事业单位养老支出（款）机关事业单位基本养老保险缴费支出（项）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5991.24</w:t>
      </w:r>
      <w:r>
        <w:rPr>
          <w:rStyle w:val="18"/>
          <w:rFonts w:hint="eastAsia" w:ascii="仿宋" w:hAnsi="仿宋" w:eastAsia="仿宋"/>
          <w:b w:val="0"/>
          <w:bCs/>
          <w:sz w:val="32"/>
          <w:szCs w:val="32"/>
        </w:rPr>
        <w:t>万元，</w:t>
      </w:r>
      <w:r>
        <w:rPr>
          <w:rFonts w:hint="eastAsia" w:ascii="仿宋_GB2312" w:hAnsi="Times New Roman" w:eastAsia="仿宋_GB2312" w:cs="Times New Roman"/>
          <w:sz w:val="32"/>
          <w:szCs w:val="32"/>
          <w:highlight w:val="none"/>
        </w:rPr>
        <w:t>完成</w:t>
      </w:r>
      <w:r>
        <w:rPr>
          <w:rStyle w:val="18"/>
          <w:rFonts w:hint="eastAsia" w:ascii="仿宋" w:hAnsi="仿宋" w:eastAsia="仿宋"/>
          <w:b w:val="0"/>
          <w:bCs/>
          <w:sz w:val="32"/>
          <w:szCs w:val="32"/>
        </w:rPr>
        <w:t>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bookmarkEnd w:id="65"/>
    </w:p>
    <w:p>
      <w:pPr>
        <w:spacing w:line="600" w:lineRule="exact"/>
        <w:ind w:firstLine="643" w:firstLineChars="200"/>
        <w:outlineLvl w:val="1"/>
        <w:rPr>
          <w:rStyle w:val="18"/>
          <w:rFonts w:hint="eastAsia" w:ascii="仿宋" w:hAnsi="仿宋" w:eastAsia="仿宋"/>
          <w:b w:val="0"/>
          <w:bCs/>
          <w:sz w:val="32"/>
          <w:szCs w:val="32"/>
        </w:rPr>
      </w:pPr>
      <w:bookmarkStart w:id="66" w:name="_Toc10358"/>
      <w:r>
        <w:rPr>
          <w:rStyle w:val="18"/>
          <w:rFonts w:hint="eastAsia" w:ascii="仿宋" w:hAnsi="仿宋" w:eastAsia="仿宋"/>
          <w:bCs/>
          <w:sz w:val="32"/>
          <w:szCs w:val="32"/>
          <w:lang w:val="en-US" w:eastAsia="zh-CN"/>
        </w:rPr>
        <w:t>17</w:t>
      </w:r>
      <w:r>
        <w:rPr>
          <w:rStyle w:val="18"/>
          <w:rFonts w:ascii="仿宋" w:hAnsi="仿宋" w:eastAsia="仿宋"/>
          <w:bCs/>
          <w:sz w:val="32"/>
          <w:szCs w:val="32"/>
        </w:rPr>
        <w:t>.</w:t>
      </w:r>
      <w:r>
        <w:rPr>
          <w:rStyle w:val="18"/>
          <w:rFonts w:hint="eastAsia" w:ascii="仿宋" w:hAnsi="仿宋" w:eastAsia="仿宋"/>
          <w:bCs/>
          <w:sz w:val="32"/>
          <w:szCs w:val="32"/>
        </w:rPr>
        <w:t>社会保障和就业（类）抚恤（款）</w:t>
      </w:r>
      <w:r>
        <w:rPr>
          <w:rStyle w:val="18"/>
          <w:rFonts w:hint="eastAsia" w:ascii="仿宋" w:hAnsi="仿宋" w:eastAsia="仿宋"/>
          <w:bCs/>
          <w:sz w:val="32"/>
          <w:szCs w:val="32"/>
          <w:lang w:val="en-US" w:eastAsia="zh-CN"/>
        </w:rPr>
        <w:t>死亡抚恤</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19.04</w:t>
      </w:r>
      <w:r>
        <w:rPr>
          <w:rFonts w:hint="eastAsia" w:ascii="仿宋_GB2312" w:hAnsi="Times New Roman" w:eastAsia="仿宋_GB2312" w:cs="Times New Roman"/>
          <w:sz w:val="32"/>
          <w:szCs w:val="32"/>
          <w:highlight w:val="none"/>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bookmarkEnd w:id="66"/>
    </w:p>
    <w:p>
      <w:pPr>
        <w:spacing w:line="600" w:lineRule="exact"/>
        <w:ind w:firstLine="643" w:firstLineChars="200"/>
        <w:outlineLvl w:val="1"/>
        <w:rPr>
          <w:rStyle w:val="18"/>
          <w:rFonts w:hint="eastAsia" w:ascii="仿宋" w:hAnsi="仿宋" w:eastAsia="仿宋"/>
          <w:b w:val="0"/>
          <w:bCs/>
          <w:sz w:val="32"/>
          <w:szCs w:val="32"/>
        </w:rPr>
      </w:pPr>
      <w:bookmarkStart w:id="67" w:name="_Toc26411"/>
      <w:r>
        <w:rPr>
          <w:rStyle w:val="18"/>
          <w:rFonts w:hint="eastAsia" w:ascii="仿宋" w:hAnsi="仿宋" w:eastAsia="仿宋"/>
          <w:bCs/>
          <w:sz w:val="32"/>
          <w:szCs w:val="32"/>
          <w:lang w:val="en-US" w:eastAsia="zh-CN"/>
        </w:rPr>
        <w:t>18</w:t>
      </w:r>
      <w:r>
        <w:rPr>
          <w:rStyle w:val="18"/>
          <w:rFonts w:ascii="仿宋" w:hAnsi="仿宋" w:eastAsia="仿宋"/>
          <w:bCs/>
          <w:sz w:val="32"/>
          <w:szCs w:val="32"/>
        </w:rPr>
        <w:t>.</w:t>
      </w:r>
      <w:r>
        <w:rPr>
          <w:rStyle w:val="18"/>
          <w:rFonts w:hint="eastAsia" w:ascii="仿宋" w:hAnsi="仿宋" w:eastAsia="仿宋"/>
          <w:bCs/>
          <w:sz w:val="32"/>
          <w:szCs w:val="32"/>
        </w:rPr>
        <w:t>社会保障和就业（类）其他社会保障和就业支出（款</w:t>
      </w:r>
      <w:r>
        <w:rPr>
          <w:rStyle w:val="18"/>
          <w:rFonts w:hint="eastAsia" w:ascii="仿宋" w:hAnsi="仿宋" w:eastAsia="仿宋"/>
          <w:bCs/>
          <w:sz w:val="32"/>
          <w:szCs w:val="32"/>
          <w:lang w:eastAsia="zh-CN"/>
        </w:rPr>
        <w:t>）</w:t>
      </w:r>
      <w:r>
        <w:rPr>
          <w:rStyle w:val="18"/>
          <w:rFonts w:hint="eastAsia" w:ascii="仿宋" w:hAnsi="仿宋" w:eastAsia="仿宋"/>
          <w:bCs/>
          <w:sz w:val="32"/>
          <w:szCs w:val="32"/>
        </w:rPr>
        <w:t>其他社会保障和就业支出（项）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136.54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hAnsi="Times New Roman" w:eastAsia="仿宋_GB2312" w:cs="Times New Roman"/>
          <w:sz w:val="32"/>
          <w:szCs w:val="32"/>
          <w:highlight w:val="none"/>
        </w:rPr>
        <w:t>决算</w:t>
      </w:r>
      <w:r>
        <w:rPr>
          <w:rStyle w:val="18"/>
          <w:rFonts w:hint="eastAsia" w:ascii="仿宋" w:hAnsi="仿宋" w:eastAsia="仿宋"/>
          <w:b w:val="0"/>
          <w:bCs/>
          <w:sz w:val="32"/>
          <w:szCs w:val="32"/>
        </w:rPr>
        <w:t>数等于预算数。</w:t>
      </w:r>
      <w:bookmarkEnd w:id="67"/>
    </w:p>
    <w:p>
      <w:pPr>
        <w:spacing w:line="600" w:lineRule="exact"/>
        <w:ind w:firstLine="643" w:firstLineChars="200"/>
        <w:outlineLvl w:val="1"/>
        <w:rPr>
          <w:rFonts w:hint="eastAsia" w:ascii="仿宋_GB2312" w:hAnsi="Times New Roman" w:eastAsia="仿宋_GB2312" w:cs="Times New Roman"/>
          <w:sz w:val="32"/>
          <w:szCs w:val="32"/>
          <w:highlight w:val="none"/>
        </w:rPr>
      </w:pPr>
      <w:bookmarkStart w:id="68" w:name="_Toc21920"/>
      <w:r>
        <w:rPr>
          <w:rStyle w:val="18"/>
          <w:rFonts w:hint="eastAsia" w:ascii="仿宋" w:hAnsi="仿宋" w:eastAsia="仿宋"/>
          <w:bCs/>
          <w:sz w:val="32"/>
          <w:szCs w:val="32"/>
          <w:lang w:val="en-US" w:eastAsia="zh-CN"/>
        </w:rPr>
        <w:t>19</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（类）行政事业单位医疗（款）行政单位医疗（项）</w:t>
      </w:r>
      <w:r>
        <w:rPr>
          <w:rStyle w:val="18"/>
          <w:rFonts w:hint="eastAsia" w:ascii="仿宋" w:hAnsi="仿宋" w:eastAsia="仿宋"/>
          <w:bCs/>
          <w:sz w:val="32"/>
          <w:szCs w:val="32"/>
          <w:lang w:eastAsia="zh-CN"/>
        </w:rPr>
        <w:t>：</w:t>
      </w:r>
      <w:r>
        <w:rPr>
          <w:rFonts w:hint="eastAsia" w:ascii="仿宋_GB2312" w:hAnsi="Times New Roman" w:eastAsia="仿宋_GB2312" w:cs="Times New Roman"/>
          <w:sz w:val="32"/>
          <w:szCs w:val="32"/>
          <w:highlight w:val="none"/>
        </w:rPr>
        <w:t>支出决算为</w:t>
      </w:r>
      <w:r>
        <w:rPr>
          <w:rFonts w:hint="eastAsia" w:ascii="仿宋_GB2312" w:hAnsi="Times New Roman" w:eastAsia="仿宋_GB2312" w:cs="Times New Roman"/>
          <w:sz w:val="32"/>
          <w:szCs w:val="32"/>
          <w:highlight w:val="none"/>
          <w:lang w:val="en-US" w:eastAsia="zh-CN"/>
        </w:rPr>
        <w:t>27.8</w:t>
      </w:r>
      <w:r>
        <w:rPr>
          <w:rFonts w:hint="eastAsia" w:ascii="仿宋_GB2312" w:hAnsi="Times New Roman" w:eastAsia="仿宋_GB2312" w:cs="Times New Roman"/>
          <w:sz w:val="32"/>
          <w:szCs w:val="32"/>
          <w:highlight w:val="none"/>
        </w:rPr>
        <w:t>万元，完成预算</w:t>
      </w:r>
      <w:r>
        <w:rPr>
          <w:rFonts w:hint="eastAsia" w:ascii="仿宋_GB2312" w:hAnsi="Times New Roman" w:eastAsia="仿宋_GB2312" w:cs="Times New Roman"/>
          <w:sz w:val="32"/>
          <w:szCs w:val="32"/>
          <w:highlight w:val="none"/>
          <w:lang w:val="en-US" w:eastAsia="zh-CN"/>
        </w:rPr>
        <w:t>100</w:t>
      </w:r>
      <w:r>
        <w:rPr>
          <w:rFonts w:hint="eastAsia" w:ascii="仿宋_GB2312" w:hAnsi="Times New Roman" w:eastAsia="仿宋_GB2312" w:cs="Times New Roman"/>
          <w:sz w:val="32"/>
          <w:szCs w:val="32"/>
          <w:highlight w:val="none"/>
        </w:rPr>
        <w:t>%，决算数等于预算数。</w:t>
      </w:r>
      <w:bookmarkEnd w:id="68"/>
    </w:p>
    <w:p>
      <w:pPr>
        <w:pStyle w:val="36"/>
        <w:keepNext w:val="0"/>
        <w:keepLines w:val="0"/>
        <w:pageBreakBefore w:val="0"/>
        <w:widowControl w:val="0"/>
        <w:kinsoku/>
        <w:wordWrap/>
        <w:overflowPunct/>
        <w:topLinePunct w:val="0"/>
        <w:autoSpaceDE/>
        <w:autoSpaceDN/>
        <w:bidi w:val="0"/>
        <w:adjustRightInd/>
        <w:snapToGrid/>
        <w:ind w:firstLine="643" w:firstLineChars="200"/>
        <w:textAlignment w:val="auto"/>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20</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hint="eastAsia" w:ascii="仿宋" w:hAnsi="仿宋" w:eastAsia="仿宋"/>
          <w:bCs/>
          <w:sz w:val="32"/>
          <w:szCs w:val="32"/>
          <w:lang w:eastAsia="zh-CN"/>
        </w:rPr>
        <w:t>：</w:t>
      </w:r>
      <w:r>
        <w:rPr>
          <w:rFonts w:hint="eastAsia" w:ascii="仿宋_GB2312" w:hAnsi="Times New Roman" w:eastAsia="仿宋_GB2312" w:cs="Times New Roman"/>
          <w:kern w:val="2"/>
          <w:sz w:val="32"/>
          <w:szCs w:val="32"/>
          <w:highlight w:val="none"/>
          <w:lang w:val="en-US" w:eastAsia="zh-CN" w:bidi="ar-SA"/>
        </w:rPr>
        <w:t>支出决算为2971.5万元，完成预算100%，决算数等于预算数。</w:t>
      </w:r>
    </w:p>
    <w:p>
      <w:pPr>
        <w:spacing w:line="600" w:lineRule="exact"/>
        <w:ind w:firstLine="643" w:firstLineChars="200"/>
        <w:outlineLvl w:val="1"/>
        <w:rPr>
          <w:rStyle w:val="18"/>
          <w:rFonts w:hint="eastAsia" w:ascii="仿宋" w:hAnsi="仿宋" w:eastAsia="仿宋"/>
          <w:b w:val="0"/>
          <w:bCs/>
          <w:sz w:val="32"/>
          <w:szCs w:val="32"/>
        </w:rPr>
      </w:pPr>
      <w:bookmarkStart w:id="69" w:name="_Toc15799"/>
      <w:r>
        <w:rPr>
          <w:rStyle w:val="18"/>
          <w:rFonts w:hint="eastAsia" w:ascii="仿宋" w:hAnsi="仿宋" w:eastAsia="仿宋"/>
          <w:bCs/>
          <w:sz w:val="32"/>
          <w:szCs w:val="32"/>
          <w:lang w:val="en-US" w:eastAsia="zh-CN"/>
        </w:rPr>
        <w:t>21</w:t>
      </w:r>
      <w:r>
        <w:rPr>
          <w:rStyle w:val="18"/>
          <w:rFonts w:ascii="仿宋" w:hAnsi="仿宋" w:eastAsia="仿宋"/>
          <w:bCs/>
          <w:sz w:val="32"/>
          <w:szCs w:val="32"/>
        </w:rPr>
        <w:t>.</w:t>
      </w:r>
      <w:r>
        <w:rPr>
          <w:rFonts w:hint="eastAsia" w:ascii="仿宋" w:hAnsi="仿宋" w:eastAsia="仿宋"/>
          <w:b/>
          <w:bCs/>
          <w:sz w:val="32"/>
          <w:szCs w:val="32"/>
        </w:rPr>
        <w:t>农林水</w:t>
      </w:r>
      <w:r>
        <w:rPr>
          <w:rStyle w:val="18"/>
          <w:rFonts w:hint="eastAsia" w:ascii="仿宋" w:hAnsi="仿宋" w:eastAsia="仿宋"/>
          <w:bCs/>
          <w:sz w:val="32"/>
          <w:szCs w:val="32"/>
        </w:rPr>
        <w:t>（类）巩固脱贫衔接乡村振兴（款）社会发展（项）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bookmarkEnd w:id="69"/>
    </w:p>
    <w:p>
      <w:pPr>
        <w:spacing w:line="600" w:lineRule="exact"/>
        <w:ind w:firstLine="643" w:firstLineChars="200"/>
        <w:outlineLvl w:val="1"/>
        <w:rPr>
          <w:rStyle w:val="18"/>
          <w:rFonts w:hint="eastAsia" w:ascii="仿宋" w:hAnsi="仿宋" w:eastAsia="仿宋"/>
          <w:b w:val="0"/>
          <w:bCs/>
          <w:sz w:val="32"/>
          <w:szCs w:val="32"/>
        </w:rPr>
      </w:pPr>
      <w:bookmarkStart w:id="70" w:name="_Toc4478"/>
      <w:r>
        <w:rPr>
          <w:rStyle w:val="18"/>
          <w:rFonts w:hint="eastAsia" w:ascii="仿宋" w:hAnsi="仿宋" w:eastAsia="仿宋"/>
          <w:bCs/>
          <w:sz w:val="32"/>
          <w:szCs w:val="32"/>
          <w:lang w:val="en-US" w:eastAsia="zh-CN"/>
        </w:rPr>
        <w:t>22</w:t>
      </w:r>
      <w:r>
        <w:rPr>
          <w:rStyle w:val="18"/>
          <w:rFonts w:ascii="仿宋" w:hAnsi="仿宋" w:eastAsia="仿宋"/>
          <w:bCs/>
          <w:sz w:val="32"/>
          <w:szCs w:val="32"/>
        </w:rPr>
        <w:t>.</w:t>
      </w:r>
      <w:r>
        <w:rPr>
          <w:rFonts w:hint="eastAsia" w:ascii="仿宋" w:hAnsi="仿宋" w:eastAsia="仿宋"/>
          <w:b/>
          <w:bCs/>
          <w:sz w:val="32"/>
          <w:szCs w:val="32"/>
        </w:rPr>
        <w:t>农住房保障</w:t>
      </w:r>
      <w:r>
        <w:rPr>
          <w:rStyle w:val="18"/>
          <w:rFonts w:hint="eastAsia" w:ascii="仿宋" w:hAnsi="仿宋" w:eastAsia="仿宋"/>
          <w:bCs/>
          <w:sz w:val="32"/>
          <w:szCs w:val="32"/>
        </w:rPr>
        <w:t>（类）住房改革支出（款）住房公积金（项）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w:t>
      </w:r>
      <w:r>
        <w:rPr>
          <w:rFonts w:hint="eastAsia" w:ascii="仿宋_GB2312" w:hAnsi="Times New Roman" w:eastAsia="仿宋_GB2312" w:cs="Times New Roman"/>
          <w:sz w:val="32"/>
          <w:szCs w:val="32"/>
          <w:highlight w:val="none"/>
        </w:rPr>
        <w:t>决算</w:t>
      </w:r>
      <w:r>
        <w:rPr>
          <w:rStyle w:val="18"/>
          <w:rFonts w:hint="eastAsia" w:ascii="仿宋" w:hAnsi="仿宋" w:eastAsia="仿宋"/>
          <w:b w:val="0"/>
          <w:bCs/>
          <w:sz w:val="32"/>
          <w:szCs w:val="32"/>
        </w:rPr>
        <w:t>为</w:t>
      </w:r>
      <w:r>
        <w:rPr>
          <w:rStyle w:val="18"/>
          <w:rFonts w:hint="eastAsia" w:ascii="仿宋" w:hAnsi="仿宋" w:eastAsia="仿宋"/>
          <w:b w:val="0"/>
          <w:bCs/>
          <w:sz w:val="32"/>
          <w:szCs w:val="32"/>
          <w:lang w:val="en-US" w:eastAsia="zh-CN"/>
        </w:rPr>
        <w:t>4499.32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bookmarkEnd w:id="70"/>
    </w:p>
    <w:p>
      <w:pPr>
        <w:pStyle w:val="7"/>
        <w:numPr>
          <w:ilvl w:val="0"/>
          <w:numId w:val="2"/>
        </w:numPr>
        <w:rPr>
          <w:rStyle w:val="30"/>
          <w:b/>
          <w:bCs/>
        </w:rPr>
      </w:pPr>
      <w:bookmarkStart w:id="71" w:name="_Toc15396608"/>
      <w:bookmarkStart w:id="72" w:name="_Toc15377214"/>
      <w:bookmarkStart w:id="73" w:name="_Toc16055"/>
      <w:r>
        <w:rPr>
          <w:rFonts w:hint="eastAsia" w:ascii="黑体" w:hAnsi="黑体" w:eastAsia="黑体"/>
          <w:b/>
          <w:sz w:val="32"/>
          <w:szCs w:val="32"/>
        </w:rPr>
        <w:t>一</w:t>
      </w:r>
      <w:r>
        <w:rPr>
          <w:rStyle w:val="30"/>
          <w:rFonts w:hint="eastAsia" w:ascii="黑体" w:hAnsi="黑体" w:eastAsia="黑体"/>
          <w:b w:val="0"/>
          <w:bCs/>
        </w:rPr>
        <w:t>般公共预算财政拨款基本支出决算情况说明</w:t>
      </w:r>
      <w:bookmarkEnd w:id="71"/>
      <w:bookmarkEnd w:id="72"/>
      <w:bookmarkEnd w:id="73"/>
      <w:r>
        <w:rPr>
          <w:rStyle w:val="30"/>
          <w:rFonts w:ascii="黑体" w:hAnsi="黑体" w:eastAsia="黑体"/>
          <w:b w:val="0"/>
          <w:bCs/>
        </w:rPr>
        <w:tab/>
      </w:r>
    </w:p>
    <w:p>
      <w:pPr>
        <w:spacing w:line="600" w:lineRule="exact"/>
        <w:ind w:firstLine="640" w:firstLineChars="200"/>
        <w:outlineLvl w:val="2"/>
        <w:rPr>
          <w:rFonts w:hint="eastAsia" w:ascii="仿宋_GB2312" w:hAnsi="Times New Roman" w:eastAsia="仿宋_GB2312" w:cs="Times New Roman"/>
          <w:sz w:val="32"/>
          <w:szCs w:val="32"/>
          <w:highlight w:val="none"/>
        </w:rPr>
      </w:pPr>
      <w:bookmarkStart w:id="74" w:name="_Toc5971"/>
      <w:r>
        <w:rPr>
          <w:rFonts w:hint="eastAsia" w:ascii="仿宋_GB2312" w:hAnsi="Times New Roman" w:eastAsia="仿宋_GB2312" w:cs="Times New Roman"/>
          <w:sz w:val="32"/>
          <w:szCs w:val="32"/>
          <w:highlight w:val="none"/>
        </w:rPr>
        <w:t>2022年一般公共预算财政拨款基本支出80822.24万元，其中：</w:t>
      </w:r>
      <w:bookmarkEnd w:id="74"/>
    </w:p>
    <w:p>
      <w:pPr>
        <w:spacing w:line="600" w:lineRule="exact"/>
        <w:ind w:firstLine="640" w:firstLineChars="200"/>
        <w:outlineLvl w:val="1"/>
        <w:rPr>
          <w:rFonts w:hint="eastAsia" w:ascii="仿宋_GB2312" w:hAnsi="Times New Roman" w:eastAsia="仿宋_GB2312" w:cs="Times New Roman"/>
          <w:sz w:val="32"/>
          <w:szCs w:val="32"/>
          <w:highlight w:val="none"/>
          <w:lang w:eastAsia="zh-CN"/>
        </w:rPr>
      </w:pPr>
      <w:bookmarkStart w:id="75" w:name="_Toc7898"/>
      <w:r>
        <w:rPr>
          <w:rFonts w:hint="eastAsia" w:ascii="仿宋_GB2312" w:hAnsi="Times New Roman" w:eastAsia="仿宋_GB2312" w:cs="Times New Roman"/>
          <w:sz w:val="32"/>
          <w:szCs w:val="32"/>
          <w:highlight w:val="none"/>
        </w:rPr>
        <w:t>人员经费66695.83万元，主要包括：基本工资、津贴补贴、奖金、绩效工资、机关事业单位基本养老保险缴费、职业年金缴费、其他社会保障缴费、其他工资福利支出、抚恤金、生活补助、</w:t>
      </w:r>
      <w:r>
        <w:rPr>
          <w:rFonts w:hint="eastAsia" w:ascii="仿宋_GB2312" w:hAnsi="Times New Roman" w:eastAsia="仿宋_GB2312" w:cs="Times New Roman"/>
          <w:sz w:val="32"/>
          <w:szCs w:val="32"/>
          <w:highlight w:val="none"/>
          <w:lang w:val="en-US" w:eastAsia="zh-CN"/>
        </w:rPr>
        <w:t>助学金</w:t>
      </w:r>
      <w:r>
        <w:rPr>
          <w:rFonts w:hint="eastAsia" w:ascii="仿宋_GB2312" w:hAnsi="Times New Roman" w:eastAsia="仿宋_GB2312" w:cs="Times New Roman"/>
          <w:sz w:val="32"/>
          <w:szCs w:val="32"/>
          <w:highlight w:val="none"/>
        </w:rPr>
        <w:t>、奖励金、住房公积金、其他对个人和家庭的补助支出等。</w:t>
      </w:r>
      <w:bookmarkEnd w:id="75"/>
    </w:p>
    <w:p>
      <w:pPr>
        <w:spacing w:line="600" w:lineRule="exact"/>
        <w:ind w:firstLine="640" w:firstLineChars="200"/>
        <w:outlineLvl w:val="1"/>
        <w:rPr>
          <w:rFonts w:hint="eastAsia" w:ascii="仿宋_GB2312" w:hAnsi="Times New Roman" w:eastAsia="仿宋_GB2312" w:cs="Times New Roman"/>
          <w:sz w:val="32"/>
          <w:szCs w:val="32"/>
          <w:highlight w:val="none"/>
          <w:lang w:eastAsia="zh-CN"/>
        </w:rPr>
      </w:pPr>
      <w:bookmarkStart w:id="76" w:name="_Toc32161"/>
      <w:r>
        <w:rPr>
          <w:rFonts w:hint="eastAsia" w:ascii="仿宋_GB2312" w:hAnsi="Times New Roman" w:eastAsia="仿宋_GB2312" w:cs="Times New Roman"/>
          <w:sz w:val="32"/>
          <w:szCs w:val="32"/>
          <w:highlight w:val="none"/>
        </w:rPr>
        <w:t>公用经费7513.3万元，主要包括：办公费、印刷费、咨询费、手续费、水费、电费、邮电费、物业管理费、差旅费、维修（护）费、租赁费、会议费、培训费、公务接待费、</w:t>
      </w:r>
      <w:r>
        <w:rPr>
          <w:rFonts w:hint="eastAsia" w:ascii="仿宋_GB2312" w:hAnsi="Times New Roman" w:eastAsia="仿宋_GB2312" w:cs="Times New Roman"/>
          <w:sz w:val="32"/>
          <w:szCs w:val="32"/>
          <w:highlight w:val="none"/>
          <w:lang w:val="en-US" w:eastAsia="zh-CN"/>
        </w:rPr>
        <w:t>专用材料费、</w:t>
      </w:r>
      <w:r>
        <w:rPr>
          <w:rFonts w:hint="eastAsia" w:ascii="仿宋_GB2312" w:hAnsi="Times New Roman" w:eastAsia="仿宋_GB2312" w:cs="Times New Roman"/>
          <w:sz w:val="32"/>
          <w:szCs w:val="32"/>
          <w:highlight w:val="none"/>
        </w:rPr>
        <w:t>劳务费、委托业务费、工会经费、福利费、其他交通费、其他商品和服务支出、办公设备购置</w:t>
      </w:r>
      <w:r>
        <w:rPr>
          <w:rFonts w:hint="eastAsia" w:ascii="仿宋_GB2312" w:hAnsi="Times New Roman" w:eastAsia="仿宋_GB2312" w:cs="Times New Roman"/>
          <w:sz w:val="32"/>
          <w:szCs w:val="32"/>
          <w:highlight w:val="none"/>
          <w:lang w:val="en-US" w:eastAsia="zh-CN"/>
        </w:rPr>
        <w:t>等</w:t>
      </w:r>
      <w:r>
        <w:rPr>
          <w:rFonts w:hint="eastAsia" w:ascii="仿宋_GB2312" w:hAnsi="Times New Roman" w:eastAsia="仿宋_GB2312" w:cs="Times New Roman"/>
          <w:sz w:val="32"/>
          <w:szCs w:val="32"/>
          <w:highlight w:val="none"/>
          <w:lang w:eastAsia="zh-CN"/>
        </w:rPr>
        <w:t>。</w:t>
      </w:r>
      <w:bookmarkEnd w:id="76"/>
    </w:p>
    <w:p>
      <w:pPr>
        <w:pStyle w:val="7"/>
        <w:numPr>
          <w:ilvl w:val="0"/>
          <w:numId w:val="2"/>
        </w:numPr>
        <w:rPr>
          <w:rStyle w:val="30"/>
          <w:rFonts w:ascii="黑体" w:hAnsi="黑体" w:eastAsia="黑体"/>
          <w:b w:val="0"/>
          <w:bCs/>
        </w:rPr>
      </w:pPr>
      <w:bookmarkStart w:id="77" w:name="_Toc15377215"/>
      <w:bookmarkStart w:id="78" w:name="_Toc15396609"/>
      <w:bookmarkStart w:id="79" w:name="_Toc17637"/>
      <w:r>
        <w:rPr>
          <w:rStyle w:val="30"/>
          <w:rFonts w:hint="eastAsia" w:ascii="黑体" w:hAnsi="黑体" w:eastAsia="黑体"/>
          <w:b w:val="0"/>
          <w:bCs/>
        </w:rPr>
        <w:t>财政拨款</w:t>
      </w:r>
      <w:r>
        <w:rPr>
          <w:rStyle w:val="30"/>
          <w:rFonts w:hint="eastAsia" w:ascii="黑体" w:hAnsi="黑体" w:eastAsia="黑体"/>
          <w:b/>
          <w:bCs/>
        </w:rPr>
        <w:t>“</w:t>
      </w:r>
      <w:r>
        <w:rPr>
          <w:rStyle w:val="30"/>
          <w:rFonts w:hint="eastAsia" w:ascii="黑体" w:hAnsi="黑体" w:eastAsia="黑体"/>
          <w:b w:val="0"/>
          <w:bCs/>
        </w:rPr>
        <w:t>三公”经费支出决算情况说明</w:t>
      </w:r>
      <w:bookmarkEnd w:id="77"/>
      <w:bookmarkEnd w:id="78"/>
      <w:bookmarkEnd w:id="79"/>
    </w:p>
    <w:p>
      <w:pPr>
        <w:pStyle w:val="8"/>
        <w:bidi w:val="0"/>
        <w:rPr>
          <w:rFonts w:ascii="仿宋" w:hAnsi="仿宋" w:eastAsia="仿宋"/>
          <w:b/>
          <w:sz w:val="32"/>
          <w:szCs w:val="32"/>
        </w:rPr>
      </w:pPr>
      <w:bookmarkStart w:id="80" w:name="_Toc15377216"/>
      <w:bookmarkStart w:id="81" w:name="_Toc14655"/>
      <w:r>
        <w:rPr>
          <w:rFonts w:hint="eastAsia" w:ascii="仿宋" w:hAnsi="仿宋" w:eastAsia="仿宋"/>
          <w:b/>
          <w:sz w:val="32"/>
          <w:szCs w:val="32"/>
        </w:rPr>
        <w:t>（一）“三公”经费财政拨款支出决算总体情况说明</w:t>
      </w:r>
      <w:bookmarkEnd w:id="80"/>
      <w:bookmarkEnd w:id="81"/>
    </w:p>
    <w:p>
      <w:pPr>
        <w:spacing w:line="600" w:lineRule="exact"/>
        <w:ind w:firstLine="640" w:firstLineChars="200"/>
        <w:outlineLvl w:val="1"/>
        <w:rPr>
          <w:rFonts w:ascii="仿宋" w:hAnsi="仿宋" w:eastAsia="仿宋"/>
          <w:sz w:val="32"/>
          <w:szCs w:val="32"/>
        </w:rPr>
      </w:pPr>
      <w:bookmarkStart w:id="82" w:name="_Toc24303"/>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36.78</w:t>
      </w:r>
      <w:r>
        <w:rPr>
          <w:rFonts w:hint="eastAsia" w:ascii="仿宋" w:hAnsi="仿宋" w:eastAsia="仿宋"/>
          <w:sz w:val="32"/>
          <w:szCs w:val="32"/>
        </w:rPr>
        <w:t>万元，完成预算</w:t>
      </w:r>
      <w:r>
        <w:rPr>
          <w:rFonts w:hint="eastAsia" w:ascii="仿宋" w:hAnsi="仿宋" w:eastAsia="仿宋"/>
          <w:sz w:val="32"/>
          <w:szCs w:val="32"/>
          <w:lang w:val="en-US" w:eastAsia="zh-CN"/>
        </w:rPr>
        <w:t>95.53</w:t>
      </w:r>
      <w:r>
        <w:rPr>
          <w:rFonts w:ascii="仿宋" w:hAnsi="仿宋" w:eastAsia="仿宋"/>
          <w:sz w:val="32"/>
          <w:szCs w:val="32"/>
        </w:rPr>
        <w:t>%</w:t>
      </w:r>
      <w:r>
        <w:rPr>
          <w:rFonts w:hint="eastAsia" w:ascii="仿宋" w:hAnsi="仿宋" w:eastAsia="仿宋"/>
          <w:sz w:val="32"/>
          <w:szCs w:val="32"/>
        </w:rPr>
        <w:t>，较</w:t>
      </w:r>
      <w:r>
        <w:rPr>
          <w:rFonts w:hint="eastAsia" w:ascii="仿宋_GB2312" w:hAnsi="Times New Roman" w:eastAsia="仿宋_GB2312" w:cs="Times New Roman"/>
          <w:sz w:val="32"/>
          <w:szCs w:val="32"/>
          <w:highlight w:val="none"/>
        </w:rPr>
        <w:t>上年</w:t>
      </w:r>
      <w:r>
        <w:rPr>
          <w:rFonts w:hint="eastAsia" w:ascii="仿宋" w:hAnsi="仿宋" w:eastAsia="仿宋"/>
          <w:sz w:val="32"/>
          <w:szCs w:val="32"/>
        </w:rPr>
        <w:t>增加</w:t>
      </w:r>
      <w:r>
        <w:rPr>
          <w:rFonts w:hint="eastAsia" w:ascii="仿宋" w:hAnsi="仿宋" w:eastAsia="仿宋"/>
          <w:sz w:val="32"/>
          <w:szCs w:val="32"/>
          <w:lang w:val="en-US" w:eastAsia="zh-CN"/>
        </w:rPr>
        <w:t>0.09</w:t>
      </w:r>
      <w:r>
        <w:rPr>
          <w:rFonts w:hint="eastAsia" w:ascii="仿宋" w:hAnsi="仿宋" w:eastAsia="仿宋"/>
          <w:sz w:val="32"/>
          <w:szCs w:val="32"/>
        </w:rPr>
        <w:t>万元，增长</w:t>
      </w:r>
      <w:r>
        <w:rPr>
          <w:rFonts w:hint="eastAsia" w:ascii="仿宋" w:hAnsi="仿宋" w:eastAsia="仿宋"/>
          <w:sz w:val="32"/>
          <w:szCs w:val="32"/>
          <w:lang w:val="en-US" w:eastAsia="zh-CN"/>
        </w:rPr>
        <w:t>0.25</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公务接待次数减少</w:t>
      </w:r>
      <w:r>
        <w:rPr>
          <w:rFonts w:hint="eastAsia" w:ascii="仿宋" w:hAnsi="仿宋" w:eastAsia="仿宋"/>
          <w:sz w:val="32"/>
          <w:szCs w:val="32"/>
        </w:rPr>
        <w:t>。</w:t>
      </w:r>
      <w:bookmarkEnd w:id="82"/>
    </w:p>
    <w:p>
      <w:pPr>
        <w:pStyle w:val="8"/>
        <w:bidi w:val="0"/>
        <w:rPr>
          <w:rFonts w:ascii="仿宋" w:hAnsi="仿宋" w:eastAsia="仿宋"/>
          <w:b/>
          <w:sz w:val="32"/>
          <w:szCs w:val="32"/>
        </w:rPr>
      </w:pPr>
      <w:bookmarkStart w:id="83" w:name="_Toc15377217"/>
      <w:bookmarkStart w:id="84" w:name="_Toc537"/>
      <w:r>
        <w:rPr>
          <w:rFonts w:hint="eastAsia" w:ascii="仿宋" w:hAnsi="仿宋" w:eastAsia="仿宋"/>
          <w:b/>
          <w:sz w:val="32"/>
          <w:szCs w:val="32"/>
        </w:rPr>
        <w:t>（二）“三公”经费财政拨款支出决算具体情况说明</w:t>
      </w:r>
      <w:bookmarkEnd w:id="83"/>
      <w:bookmarkEnd w:id="84"/>
    </w:p>
    <w:p>
      <w:pPr>
        <w:spacing w:line="600" w:lineRule="exact"/>
        <w:ind w:firstLine="640" w:firstLineChars="200"/>
        <w:outlineLvl w:val="1"/>
        <w:rPr>
          <w:rFonts w:hint="eastAsia" w:ascii="仿宋" w:hAnsi="仿宋" w:eastAsia="仿宋"/>
          <w:sz w:val="32"/>
          <w:szCs w:val="32"/>
        </w:rPr>
      </w:pPr>
      <w:bookmarkStart w:id="85" w:name="_Toc18073"/>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36.78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bookmarkEnd w:id="85"/>
    </w:p>
    <w:p>
      <w:pPr>
        <w:pStyle w:val="36"/>
      </w:pPr>
      <w:r>
        <w:drawing>
          <wp:anchor distT="0" distB="0" distL="114300" distR="114300" simplePos="0" relativeHeight="251665408" behindDoc="0" locked="0" layoutInCell="1" allowOverlap="1">
            <wp:simplePos x="0" y="0"/>
            <wp:positionH relativeFrom="column">
              <wp:posOffset>354965</wp:posOffset>
            </wp:positionH>
            <wp:positionV relativeFrom="paragraph">
              <wp:posOffset>95885</wp:posOffset>
            </wp:positionV>
            <wp:extent cx="4367530" cy="2867025"/>
            <wp:effectExtent l="4445" t="4445" r="17145" b="8890"/>
            <wp:wrapTopAndBottom/>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outlineLvl w:val="1"/>
        <w:rPr>
          <w:rFonts w:ascii="仿宋_GB2312" w:eastAsia="仿宋_GB2312"/>
          <w:b/>
          <w:sz w:val="32"/>
          <w:szCs w:val="32"/>
        </w:rPr>
      </w:pPr>
      <w:bookmarkStart w:id="86" w:name="_Toc28429"/>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w:t>
      </w:r>
      <w:r>
        <w:rPr>
          <w:rFonts w:hint="eastAsia" w:ascii="仿宋_GB2312" w:hAnsi="Times New Roman" w:eastAsia="仿宋_GB2312" w:cs="Times New Roman"/>
          <w:sz w:val="32"/>
          <w:szCs w:val="32"/>
          <w:highlight w:val="none"/>
        </w:rPr>
        <w:t>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bookmarkEnd w:id="86"/>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3" w:firstLineChars="200"/>
        <w:outlineLvl w:val="1"/>
        <w:rPr>
          <w:rFonts w:hint="default" w:ascii="仿宋_GB2312" w:eastAsia="仿宋_GB2312"/>
          <w:sz w:val="32"/>
          <w:szCs w:val="32"/>
          <w:lang w:val="en-US" w:eastAsia="zh-CN"/>
        </w:rPr>
      </w:pPr>
      <w:bookmarkStart w:id="87" w:name="_Toc21514"/>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36.78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Fonts w:hint="eastAsia" w:ascii="仿宋" w:hAnsi="仿宋" w:eastAsia="仿宋"/>
          <w:sz w:val="32"/>
          <w:szCs w:val="32"/>
          <w:lang w:val="en-US" w:eastAsia="zh-CN"/>
        </w:rPr>
        <w:t>95.53</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0.09</w:t>
      </w:r>
      <w:r>
        <w:rPr>
          <w:rFonts w:hint="eastAsia" w:ascii="仿宋_GB2312" w:eastAsia="仿宋_GB2312"/>
          <w:sz w:val="32"/>
          <w:szCs w:val="32"/>
        </w:rPr>
        <w:t>万元，增长</w:t>
      </w:r>
      <w:r>
        <w:rPr>
          <w:rFonts w:hint="eastAsia" w:ascii="仿宋_GB2312" w:eastAsia="仿宋_GB2312"/>
          <w:sz w:val="32"/>
          <w:szCs w:val="32"/>
          <w:lang w:val="en-US" w:eastAsia="zh-CN"/>
        </w:rPr>
        <w:t>0.25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活动开展较多，接待增加。</w:t>
      </w:r>
      <w:bookmarkEnd w:id="87"/>
    </w:p>
    <w:p>
      <w:pPr>
        <w:spacing w:line="600" w:lineRule="exact"/>
        <w:ind w:firstLine="643" w:firstLineChars="200"/>
        <w:outlineLvl w:val="1"/>
        <w:rPr>
          <w:rFonts w:hint="eastAsia" w:ascii="仿宋_GB2312" w:eastAsia="仿宋_GB2312"/>
          <w:sz w:val="32"/>
          <w:szCs w:val="32"/>
          <w:lang w:val="en-US" w:eastAsia="zh-CN"/>
        </w:rPr>
      </w:pPr>
      <w:bookmarkStart w:id="88" w:name="_Toc2424"/>
      <w:r>
        <w:rPr>
          <w:rFonts w:hint="eastAsia" w:ascii="仿宋" w:hAnsi="仿宋" w:eastAsia="仿宋"/>
          <w:b/>
          <w:sz w:val="32"/>
          <w:szCs w:val="32"/>
        </w:rPr>
        <w:t>国内公务接待支出</w:t>
      </w:r>
      <w:r>
        <w:rPr>
          <w:rFonts w:hint="eastAsia" w:ascii="仿宋" w:hAnsi="仿宋" w:eastAsia="仿宋"/>
          <w:sz w:val="32"/>
          <w:szCs w:val="32"/>
          <w:lang w:val="en-US" w:eastAsia="zh-CN"/>
        </w:rPr>
        <w:t>36.78</w:t>
      </w:r>
      <w:r>
        <w:rPr>
          <w:rFonts w:hint="eastAsia" w:ascii="仿宋_GB2312" w:eastAsia="仿宋_GB2312"/>
          <w:sz w:val="32"/>
          <w:szCs w:val="32"/>
        </w:rPr>
        <w:t>万元，主要用于开展业务活动开支的交通费、</w:t>
      </w:r>
      <w:r>
        <w:rPr>
          <w:rFonts w:hint="eastAsia" w:ascii="仿宋_GB2312" w:hAnsi="Times New Roman" w:eastAsia="仿宋_GB2312" w:cs="Times New Roman"/>
          <w:sz w:val="32"/>
          <w:szCs w:val="32"/>
          <w:highlight w:val="none"/>
        </w:rPr>
        <w:t>住宿费</w:t>
      </w:r>
      <w:r>
        <w:rPr>
          <w:rFonts w:hint="eastAsia" w:ascii="仿宋_GB2312" w:eastAsia="仿宋_GB2312"/>
          <w:sz w:val="32"/>
          <w:szCs w:val="32"/>
        </w:rPr>
        <w:t>、用餐费等。国内公务接待</w:t>
      </w:r>
      <w:r>
        <w:rPr>
          <w:rFonts w:hint="eastAsia" w:ascii="仿宋_GB2312" w:eastAsia="仿宋_GB2312"/>
          <w:sz w:val="32"/>
          <w:szCs w:val="32"/>
          <w:lang w:val="en-US" w:eastAsia="zh-CN"/>
        </w:rPr>
        <w:t>403</w:t>
      </w:r>
      <w:r>
        <w:rPr>
          <w:rFonts w:hint="eastAsia" w:ascii="仿宋_GB2312" w:eastAsia="仿宋_GB2312"/>
          <w:sz w:val="32"/>
          <w:szCs w:val="32"/>
        </w:rPr>
        <w:t>批次，</w:t>
      </w:r>
      <w:r>
        <w:rPr>
          <w:rFonts w:hint="eastAsia" w:ascii="仿宋_GB2312" w:eastAsia="仿宋_GB2312"/>
          <w:sz w:val="32"/>
          <w:szCs w:val="32"/>
          <w:lang w:val="en-US" w:eastAsia="zh-CN"/>
        </w:rPr>
        <w:t>4020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36.78</w:t>
      </w:r>
      <w:r>
        <w:rPr>
          <w:rFonts w:hint="eastAsia" w:ascii="仿宋_GB2312" w:eastAsia="仿宋_GB2312"/>
          <w:sz w:val="32"/>
          <w:szCs w:val="32"/>
        </w:rPr>
        <w:t>万元</w:t>
      </w:r>
      <w:r>
        <w:rPr>
          <w:rFonts w:hint="eastAsia" w:ascii="仿宋_GB2312" w:eastAsia="仿宋_GB2312"/>
          <w:sz w:val="32"/>
          <w:szCs w:val="32"/>
          <w:lang w:val="en-US" w:eastAsia="zh-CN"/>
        </w:rPr>
        <w:t>.</w:t>
      </w:r>
      <w:bookmarkEnd w:id="88"/>
    </w:p>
    <w:p>
      <w:pPr>
        <w:spacing w:line="600" w:lineRule="exact"/>
        <w:ind w:firstLine="643" w:firstLineChars="200"/>
        <w:rPr>
          <w:rFonts w:hint="eastAsia" w:ascii="仿宋_GB2312" w:eastAsia="仿宋_GB2312"/>
          <w:sz w:val="32"/>
          <w:szCs w:val="32"/>
          <w:lang w:val="en-US"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9"/>
        <w:rPr>
          <w:rFonts w:ascii="黑体" w:eastAsia="黑体"/>
          <w:sz w:val="32"/>
          <w:szCs w:val="32"/>
        </w:rPr>
      </w:pPr>
      <w:bookmarkStart w:id="89" w:name="_Toc15377218"/>
      <w:bookmarkStart w:id="90" w:name="_Toc15396610"/>
    </w:p>
    <w:p>
      <w:pPr>
        <w:pStyle w:val="7"/>
        <w:numPr>
          <w:ilvl w:val="0"/>
          <w:numId w:val="2"/>
        </w:numPr>
        <w:rPr>
          <w:rStyle w:val="30"/>
          <w:rFonts w:ascii="黑体" w:hAnsi="黑体" w:eastAsia="黑体"/>
          <w:b/>
          <w:bCs/>
        </w:rPr>
      </w:pPr>
      <w:bookmarkStart w:id="91" w:name="_Toc32174"/>
      <w:r>
        <w:rPr>
          <w:rFonts w:hint="eastAsia" w:ascii="黑体" w:hAnsi="黑体" w:eastAsia="黑体"/>
          <w:b w:val="0"/>
        </w:rPr>
        <w:t>政府性</w:t>
      </w:r>
      <w:r>
        <w:rPr>
          <w:rStyle w:val="30"/>
          <w:rFonts w:hint="eastAsia" w:ascii="黑体" w:hAnsi="黑体" w:eastAsia="黑体"/>
          <w:b w:val="0"/>
          <w:bCs/>
        </w:rPr>
        <w:t>基金预算支出决算情况说明</w:t>
      </w:r>
      <w:bookmarkEnd w:id="89"/>
      <w:bookmarkEnd w:id="90"/>
      <w:bookmarkEnd w:id="9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22年政府性基金预算财政拨款支出3164.71万元。</w:t>
      </w:r>
    </w:p>
    <w:p>
      <w:pPr>
        <w:spacing w:line="600" w:lineRule="exact"/>
        <w:ind w:firstLine="640"/>
        <w:rPr>
          <w:rFonts w:ascii="仿宋_GB2312" w:eastAsia="仿宋_GB2312"/>
          <w:sz w:val="32"/>
          <w:szCs w:val="32"/>
        </w:rPr>
      </w:pPr>
    </w:p>
    <w:p>
      <w:pPr>
        <w:pStyle w:val="7"/>
        <w:numPr>
          <w:ilvl w:val="0"/>
          <w:numId w:val="2"/>
        </w:numPr>
        <w:rPr>
          <w:rStyle w:val="30"/>
          <w:rFonts w:ascii="黑体" w:hAnsi="黑体" w:eastAsia="黑体"/>
          <w:b w:val="0"/>
          <w:bCs/>
        </w:rPr>
      </w:pPr>
      <w:bookmarkStart w:id="92" w:name="_Toc15377219"/>
      <w:bookmarkStart w:id="93" w:name="_Toc15396611"/>
      <w:bookmarkStart w:id="94" w:name="_Toc24184"/>
      <w:r>
        <w:rPr>
          <w:rStyle w:val="30"/>
          <w:rFonts w:hint="eastAsia" w:ascii="黑体" w:hAnsi="黑体" w:eastAsia="黑体"/>
          <w:b w:val="0"/>
          <w:bCs/>
        </w:rPr>
        <w:t>国有资本经营预算支出决算情况说明</w:t>
      </w:r>
      <w:bookmarkEnd w:id="92"/>
      <w:bookmarkEnd w:id="93"/>
      <w:bookmarkEnd w:id="9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pStyle w:val="7"/>
        <w:numPr>
          <w:ilvl w:val="0"/>
          <w:numId w:val="2"/>
        </w:numPr>
        <w:rPr>
          <w:rStyle w:val="30"/>
          <w:rFonts w:ascii="黑体" w:hAnsi="黑体" w:eastAsia="黑体"/>
          <w:b w:val="0"/>
          <w:bCs/>
        </w:rPr>
      </w:pPr>
      <w:bookmarkStart w:id="95" w:name="_Toc15377221"/>
      <w:bookmarkStart w:id="96" w:name="_Toc15396612"/>
      <w:bookmarkStart w:id="97" w:name="_Toc21260"/>
      <w:r>
        <w:rPr>
          <w:rStyle w:val="30"/>
          <w:rFonts w:hint="eastAsia" w:ascii="黑体" w:hAnsi="黑体" w:eastAsia="黑体"/>
          <w:b w:val="0"/>
          <w:bCs/>
        </w:rPr>
        <w:t>其他重要事项的情况说明</w:t>
      </w:r>
      <w:bookmarkEnd w:id="95"/>
      <w:bookmarkEnd w:id="96"/>
      <w:bookmarkEnd w:id="97"/>
    </w:p>
    <w:p>
      <w:pPr>
        <w:pStyle w:val="8"/>
        <w:bidi w:val="0"/>
        <w:rPr>
          <w:rFonts w:ascii="仿宋" w:hAnsi="仿宋" w:eastAsia="仿宋"/>
          <w:sz w:val="32"/>
          <w:szCs w:val="32"/>
        </w:rPr>
      </w:pPr>
      <w:bookmarkStart w:id="98" w:name="_Toc15377222"/>
      <w:bookmarkStart w:id="99" w:name="_Toc746"/>
      <w:r>
        <w:rPr>
          <w:rFonts w:hint="eastAsia" w:ascii="仿宋" w:hAnsi="仿宋" w:eastAsia="仿宋"/>
          <w:b/>
          <w:sz w:val="32"/>
          <w:szCs w:val="32"/>
        </w:rPr>
        <w:t>（一）机关运行经费支出情况</w:t>
      </w:r>
      <w:bookmarkEnd w:id="98"/>
      <w:bookmarkEnd w:id="99"/>
    </w:p>
    <w:p>
      <w:pPr>
        <w:spacing w:line="600" w:lineRule="exact"/>
        <w:ind w:firstLine="640" w:firstLineChars="200"/>
        <w:outlineLvl w:val="1"/>
        <w:rPr>
          <w:rFonts w:hint="default" w:ascii="仿宋_GB2312" w:eastAsia="仿宋_GB2312"/>
          <w:sz w:val="32"/>
          <w:szCs w:val="32"/>
          <w:lang w:val="en-US" w:eastAsia="zh-CN"/>
        </w:rPr>
      </w:pPr>
      <w:bookmarkStart w:id="100" w:name="_Toc4911"/>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剑阁县教育系统</w:t>
      </w:r>
      <w:r>
        <w:rPr>
          <w:rFonts w:hint="eastAsia" w:ascii="仿宋_GB2312" w:eastAsia="仿宋_GB2312"/>
          <w:sz w:val="32"/>
          <w:szCs w:val="32"/>
        </w:rPr>
        <w:t>机关运行经费支出7513.3万元，比</w:t>
      </w:r>
      <w:r>
        <w:rPr>
          <w:rFonts w:ascii="仿宋_GB2312" w:eastAsia="仿宋_GB2312"/>
          <w:sz w:val="32"/>
          <w:szCs w:val="32"/>
        </w:rPr>
        <w:t>20</w:t>
      </w:r>
      <w:r>
        <w:rPr>
          <w:rFonts w:hint="eastAsia" w:ascii="仿宋_GB2312" w:eastAsia="仿宋_GB2312"/>
          <w:sz w:val="32"/>
          <w:szCs w:val="32"/>
        </w:rPr>
        <w:t>21年</w:t>
      </w:r>
      <w:r>
        <w:rPr>
          <w:rFonts w:hint="eastAsia" w:ascii="仿宋_GB2312" w:hAnsi="Times New Roman" w:eastAsia="仿宋_GB2312" w:cs="Times New Roman"/>
          <w:sz w:val="32"/>
          <w:szCs w:val="32"/>
          <w:highlight w:val="none"/>
        </w:rPr>
        <w:t>减少</w:t>
      </w:r>
      <w:r>
        <w:rPr>
          <w:rFonts w:hint="eastAsia" w:ascii="仿宋_GB2312" w:eastAsia="仿宋_GB2312"/>
          <w:sz w:val="32"/>
          <w:szCs w:val="32"/>
          <w:lang w:val="en-US" w:eastAsia="zh-CN"/>
        </w:rPr>
        <w:t>3206.96</w:t>
      </w:r>
      <w:r>
        <w:rPr>
          <w:rFonts w:hint="eastAsia" w:ascii="仿宋_GB2312" w:eastAsia="仿宋_GB2312"/>
          <w:sz w:val="32"/>
          <w:szCs w:val="32"/>
        </w:rPr>
        <w:t>万元，下降</w:t>
      </w:r>
      <w:r>
        <w:rPr>
          <w:rFonts w:hint="eastAsia" w:ascii="仿宋_GB2312" w:eastAsia="仿宋_GB2312"/>
          <w:sz w:val="32"/>
          <w:szCs w:val="32"/>
          <w:lang w:val="en-US" w:eastAsia="zh-CN"/>
        </w:rPr>
        <w:t>29.91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按政府要求，厉行节约，减少支出。</w:t>
      </w:r>
      <w:bookmarkEnd w:id="100"/>
    </w:p>
    <w:p>
      <w:pPr>
        <w:pStyle w:val="8"/>
        <w:bidi w:val="0"/>
        <w:rPr>
          <w:rFonts w:ascii="仿宋" w:hAnsi="仿宋" w:eastAsia="仿宋"/>
          <w:b/>
          <w:sz w:val="32"/>
          <w:szCs w:val="32"/>
        </w:rPr>
      </w:pPr>
      <w:bookmarkStart w:id="101" w:name="_Toc26799"/>
      <w:bookmarkStart w:id="102" w:name="_Toc15377223"/>
      <w:r>
        <w:rPr>
          <w:rFonts w:hint="eastAsia" w:ascii="仿宋" w:hAnsi="仿宋" w:eastAsia="仿宋"/>
          <w:b/>
          <w:sz w:val="32"/>
          <w:szCs w:val="32"/>
        </w:rPr>
        <w:t>（二）政府采购支出情况</w:t>
      </w:r>
      <w:bookmarkEnd w:id="101"/>
      <w:bookmarkEnd w:id="102"/>
    </w:p>
    <w:p>
      <w:pPr>
        <w:spacing w:line="600" w:lineRule="exact"/>
        <w:ind w:firstLine="640" w:firstLineChars="200"/>
        <w:outlineLvl w:val="1"/>
        <w:rPr>
          <w:rFonts w:ascii="仿宋" w:hAnsi="仿宋" w:eastAsia="仿宋"/>
          <w:b/>
          <w:sz w:val="32"/>
          <w:szCs w:val="32"/>
          <w:highlight w:val="none"/>
        </w:rPr>
      </w:pPr>
      <w:bookmarkStart w:id="103" w:name="_Toc25463"/>
      <w:r>
        <w:rPr>
          <w:rFonts w:ascii="仿宋_GB2312" w:eastAsia="仿宋_GB2312"/>
          <w:sz w:val="32"/>
          <w:szCs w:val="32"/>
          <w:highlight w:val="none"/>
        </w:rPr>
        <w:t>20</w:t>
      </w:r>
      <w:r>
        <w:rPr>
          <w:rFonts w:hint="eastAsia" w:ascii="仿宋_GB2312" w:eastAsia="仿宋_GB2312"/>
          <w:sz w:val="32"/>
          <w:szCs w:val="32"/>
          <w:highlight w:val="none"/>
        </w:rPr>
        <w:t>22年，剑阁县教育系统政府采购支出总额</w:t>
      </w:r>
      <w:r>
        <w:rPr>
          <w:rFonts w:hint="eastAsia" w:ascii="仿宋_GB2312" w:eastAsia="仿宋_GB2312"/>
          <w:sz w:val="32"/>
          <w:szCs w:val="32"/>
          <w:highlight w:val="none"/>
          <w:lang w:val="en-US" w:eastAsia="zh-CN"/>
        </w:rPr>
        <w:t>2083.35</w:t>
      </w:r>
      <w:r>
        <w:rPr>
          <w:rFonts w:hint="eastAsia" w:ascii="仿宋_GB2312" w:eastAsia="仿宋_GB2312"/>
          <w:sz w:val="32"/>
          <w:szCs w:val="32"/>
          <w:highlight w:val="none"/>
        </w:rPr>
        <w:t>万元，其中：政府采购货物支出</w:t>
      </w:r>
      <w:r>
        <w:rPr>
          <w:rFonts w:hint="eastAsia" w:ascii="仿宋_GB2312" w:eastAsia="仿宋_GB2312"/>
          <w:sz w:val="32"/>
          <w:szCs w:val="32"/>
          <w:highlight w:val="none"/>
          <w:lang w:val="en-US" w:eastAsia="zh-CN"/>
        </w:rPr>
        <w:t>1510.08</w:t>
      </w:r>
      <w:r>
        <w:rPr>
          <w:rFonts w:hint="eastAsia" w:ascii="仿宋_GB2312" w:eastAsia="仿宋_GB2312"/>
          <w:sz w:val="32"/>
          <w:szCs w:val="32"/>
          <w:highlight w:val="none"/>
        </w:rPr>
        <w:t>万元、政府采购工程支出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万元、政府</w:t>
      </w:r>
      <w:r>
        <w:rPr>
          <w:rFonts w:hint="eastAsia" w:ascii="仿宋_GB2312" w:hAnsi="Times New Roman" w:eastAsia="仿宋_GB2312" w:cs="Times New Roman"/>
          <w:sz w:val="32"/>
          <w:szCs w:val="32"/>
          <w:highlight w:val="none"/>
        </w:rPr>
        <w:t>采购</w:t>
      </w:r>
      <w:r>
        <w:rPr>
          <w:rFonts w:hint="eastAsia" w:ascii="仿宋_GB2312" w:eastAsia="仿宋_GB2312"/>
          <w:sz w:val="32"/>
          <w:szCs w:val="32"/>
          <w:highlight w:val="none"/>
        </w:rPr>
        <w:t>服务支出</w:t>
      </w:r>
      <w:r>
        <w:rPr>
          <w:rFonts w:hint="eastAsia" w:ascii="仿宋_GB2312" w:eastAsia="仿宋_GB2312"/>
          <w:sz w:val="32"/>
          <w:szCs w:val="32"/>
          <w:highlight w:val="none"/>
          <w:lang w:val="en-US" w:eastAsia="zh-CN"/>
        </w:rPr>
        <w:t>573.27</w:t>
      </w:r>
      <w:r>
        <w:rPr>
          <w:rFonts w:hint="eastAsia" w:ascii="仿宋_GB2312" w:eastAsia="仿宋_GB2312"/>
          <w:sz w:val="32"/>
          <w:szCs w:val="32"/>
          <w:highlight w:val="none"/>
        </w:rPr>
        <w:t>万元。授予中小企业合同金额</w:t>
      </w:r>
      <w:r>
        <w:rPr>
          <w:rFonts w:hint="eastAsia" w:ascii="仿宋_GB2312" w:eastAsia="仿宋_GB2312"/>
          <w:sz w:val="32"/>
          <w:szCs w:val="32"/>
          <w:highlight w:val="none"/>
          <w:lang w:val="en-US" w:eastAsia="zh-CN"/>
        </w:rPr>
        <w:t>2083.35</w:t>
      </w:r>
      <w:r>
        <w:rPr>
          <w:rFonts w:hint="eastAsia" w:ascii="仿宋_GB2312" w:eastAsia="仿宋_GB2312"/>
          <w:sz w:val="32"/>
          <w:szCs w:val="32"/>
          <w:highlight w:val="none"/>
        </w:rPr>
        <w:t>万元，占政府采购支出总额的</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r>
        <w:rPr>
          <w:rFonts w:hint="eastAsia" w:ascii="仿宋_GB2312" w:eastAsia="仿宋_GB2312"/>
          <w:sz w:val="32"/>
          <w:szCs w:val="32"/>
          <w:highlight w:val="none"/>
        </w:rPr>
        <w:t>，其中：授予小微企业合同金额</w:t>
      </w:r>
      <w:r>
        <w:rPr>
          <w:rFonts w:hint="eastAsia" w:ascii="仿宋_GB2312" w:eastAsia="仿宋_GB2312"/>
          <w:sz w:val="32"/>
          <w:szCs w:val="32"/>
          <w:highlight w:val="none"/>
          <w:lang w:val="en-US" w:eastAsia="zh-CN"/>
        </w:rPr>
        <w:t>2083.35</w:t>
      </w:r>
      <w:r>
        <w:rPr>
          <w:rFonts w:hint="eastAsia" w:ascii="仿宋_GB2312" w:eastAsia="仿宋_GB2312"/>
          <w:sz w:val="32"/>
          <w:szCs w:val="32"/>
          <w:highlight w:val="none"/>
        </w:rPr>
        <w:t>万元，占政府采购支出总额的</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r>
        <w:rPr>
          <w:rFonts w:hint="eastAsia" w:ascii="仿宋_GB2312" w:eastAsia="仿宋_GB2312"/>
          <w:sz w:val="32"/>
          <w:szCs w:val="32"/>
          <w:highlight w:val="none"/>
        </w:rPr>
        <w:t>。</w:t>
      </w:r>
      <w:bookmarkEnd w:id="103"/>
    </w:p>
    <w:p>
      <w:pPr>
        <w:pStyle w:val="8"/>
        <w:bidi w:val="0"/>
        <w:rPr>
          <w:rFonts w:ascii="仿宋" w:hAnsi="仿宋" w:eastAsia="仿宋"/>
          <w:b/>
          <w:sz w:val="32"/>
          <w:szCs w:val="32"/>
        </w:rPr>
      </w:pPr>
      <w:bookmarkStart w:id="104" w:name="_Toc5819"/>
      <w:bookmarkStart w:id="105" w:name="_Toc15377224"/>
      <w:r>
        <w:rPr>
          <w:rFonts w:hint="eastAsia" w:ascii="仿宋" w:hAnsi="仿宋" w:eastAsia="仿宋"/>
          <w:b/>
          <w:sz w:val="32"/>
          <w:szCs w:val="32"/>
        </w:rPr>
        <w:t>（三）国有资产占有使用情况</w:t>
      </w:r>
      <w:bookmarkEnd w:id="104"/>
      <w:bookmarkEnd w:id="10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剑阁县教育系统</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pStyle w:val="8"/>
        <w:bidi w:val="0"/>
        <w:rPr>
          <w:rFonts w:ascii="仿宋" w:hAnsi="仿宋" w:eastAsia="仿宋"/>
          <w:b/>
          <w:sz w:val="32"/>
          <w:szCs w:val="32"/>
        </w:rPr>
      </w:pPr>
      <w:bookmarkStart w:id="106" w:name="_Toc4554"/>
      <w:r>
        <w:rPr>
          <w:rFonts w:hint="eastAsia" w:ascii="仿宋" w:hAnsi="仿宋" w:eastAsia="仿宋"/>
          <w:b/>
          <w:sz w:val="32"/>
          <w:szCs w:val="32"/>
        </w:rPr>
        <w:t>（四）预算绩效管理情况</w:t>
      </w:r>
      <w:bookmarkEnd w:id="106"/>
    </w:p>
    <w:p>
      <w:pPr>
        <w:widowControl/>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根据预算绩效管理要求，本部门在2022年度预算编制阶段，组织对</w:t>
      </w:r>
      <w:r>
        <w:rPr>
          <w:rFonts w:hint="eastAsia" w:ascii="仿宋_GB2312" w:hAnsi="仿宋_GB2312" w:eastAsia="仿宋_GB2312" w:cs="仿宋_GB2312"/>
          <w:sz w:val="32"/>
          <w:szCs w:val="32"/>
          <w:highlight w:val="none"/>
          <w:lang w:eastAsia="zh-CN"/>
        </w:rPr>
        <w:t>广元市市级名师及名师工作室奖励</w:t>
      </w:r>
      <w:r>
        <w:rPr>
          <w:rFonts w:hint="eastAsia" w:ascii="仿宋_GB2312" w:hAnsi="仿宋_GB2312" w:eastAsia="仿宋_GB2312" w:cs="仿宋_GB2312"/>
          <w:sz w:val="32"/>
          <w:szCs w:val="32"/>
          <w:highlight w:val="none"/>
        </w:rPr>
        <w:t>项目等XX个项目开展了预算事前绩效评估，对</w:t>
      </w:r>
      <w:r>
        <w:rPr>
          <w:rFonts w:hint="eastAsia" w:ascii="仿宋_GB2312" w:hAnsi="仿宋_GB2312" w:eastAsia="仿宋_GB2312" w:cs="仿宋_GB2312"/>
          <w:sz w:val="32"/>
          <w:szCs w:val="32"/>
          <w:highlight w:val="none"/>
          <w:lang w:val="en-US" w:eastAsia="zh-CN"/>
        </w:rPr>
        <w:t>533</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237</w:t>
      </w:r>
      <w:r>
        <w:rPr>
          <w:rFonts w:hint="eastAsia" w:ascii="仿宋_GB2312" w:hAnsi="仿宋_GB2312" w:eastAsia="仿宋_GB2312" w:cs="仿宋_GB2312"/>
          <w:sz w:val="32"/>
          <w:szCs w:val="32"/>
          <w:highlight w:val="none"/>
        </w:rPr>
        <w:t>个项目开展绩效监控。</w:t>
      </w:r>
    </w:p>
    <w:p>
      <w:pPr>
        <w:spacing w:line="600" w:lineRule="exact"/>
        <w:ind w:firstLine="640" w:firstLineChars="200"/>
        <w:outlineLvl w:val="1"/>
        <w:rPr>
          <w:rFonts w:ascii="仿宋_GB2312" w:eastAsia="仿宋_GB2312"/>
          <w:b/>
          <w:sz w:val="32"/>
          <w:szCs w:val="32"/>
          <w:highlight w:val="none"/>
        </w:rPr>
      </w:pPr>
      <w:bookmarkStart w:id="107" w:name="_Toc8954"/>
      <w:r>
        <w:rPr>
          <w:rFonts w:hint="eastAsia" w:ascii="仿宋_GB2312" w:hAnsi="仿宋_GB2312" w:eastAsia="仿宋_GB2312" w:cs="仿宋_GB2312"/>
          <w:sz w:val="32"/>
          <w:szCs w:val="32"/>
          <w:highlight w:val="none"/>
        </w:rPr>
        <w:t>组织对2022年度一般公共预算、政府性基金预算、国有资本经营预算、</w:t>
      </w:r>
      <w:r>
        <w:rPr>
          <w:rFonts w:hint="eastAsia" w:ascii="仿宋_GB2312" w:hAnsi="Times New Roman" w:eastAsia="仿宋_GB2312" w:cs="Times New Roman"/>
          <w:sz w:val="32"/>
          <w:szCs w:val="32"/>
          <w:highlight w:val="none"/>
        </w:rPr>
        <w:t>社会保险</w:t>
      </w:r>
      <w:r>
        <w:rPr>
          <w:rFonts w:hint="eastAsia" w:ascii="仿宋_GB2312" w:hAnsi="仿宋_GB2312" w:eastAsia="仿宋_GB2312" w:cs="仿宋_GB2312"/>
          <w:sz w:val="32"/>
          <w:szCs w:val="32"/>
          <w:highlight w:val="none"/>
        </w:rPr>
        <w:t>基金预算以及资本资产、债券资金等全面开展绩效自评，形成</w:t>
      </w:r>
      <w:r>
        <w:rPr>
          <w:rFonts w:hint="eastAsia" w:ascii="仿宋_GB2312" w:hAnsi="仿宋_GB2312" w:eastAsia="仿宋_GB2312" w:cs="仿宋_GB2312"/>
          <w:sz w:val="32"/>
          <w:szCs w:val="32"/>
          <w:highlight w:val="none"/>
          <w:lang w:eastAsia="zh-CN"/>
        </w:rPr>
        <w:t>剑阁县教育局</w:t>
      </w:r>
      <w:r>
        <w:rPr>
          <w:rFonts w:hint="eastAsia" w:ascii="仿宋_GB2312" w:hAnsi="仿宋_GB2312" w:eastAsia="仿宋_GB2312" w:cs="仿宋_GB2312"/>
          <w:sz w:val="32"/>
          <w:szCs w:val="32"/>
          <w:highlight w:val="none"/>
        </w:rPr>
        <w:t>部门整体（含部门预算项目）绩效自评报告，其中，</w:t>
      </w:r>
      <w:r>
        <w:rPr>
          <w:rFonts w:hint="eastAsia" w:ascii="仿宋_GB2312" w:hAnsi="仿宋_GB2312" w:eastAsia="仿宋_GB2312" w:cs="仿宋_GB2312"/>
          <w:sz w:val="32"/>
          <w:szCs w:val="32"/>
          <w:highlight w:val="none"/>
          <w:lang w:eastAsia="zh-CN"/>
        </w:rPr>
        <w:t>剑阁县教育局</w:t>
      </w:r>
      <w:r>
        <w:rPr>
          <w:rFonts w:hint="eastAsia" w:ascii="仿宋_GB2312" w:hAnsi="仿宋_GB2312" w:eastAsia="仿宋_GB2312" w:cs="仿宋_GB2312"/>
          <w:sz w:val="32"/>
          <w:szCs w:val="32"/>
          <w:highlight w:val="none"/>
        </w:rPr>
        <w:t>部门整体（含部门预算项目）绩效自评得分为</w:t>
      </w:r>
      <w:r>
        <w:rPr>
          <w:rFonts w:hint="eastAsia" w:ascii="仿宋_GB2312" w:hAnsi="仿宋_GB2312" w:eastAsia="仿宋_GB2312" w:cs="仿宋_GB2312"/>
          <w:sz w:val="32"/>
          <w:szCs w:val="32"/>
          <w:highlight w:val="none"/>
          <w:lang w:val="en-US" w:eastAsia="zh-CN"/>
        </w:rPr>
        <w:t>93</w:t>
      </w:r>
      <w:r>
        <w:rPr>
          <w:rFonts w:hint="eastAsia" w:ascii="仿宋_GB2312" w:hAnsi="仿宋_GB2312" w:eastAsia="仿宋_GB2312" w:cs="仿宋_GB2312"/>
          <w:sz w:val="32"/>
          <w:szCs w:val="32"/>
          <w:highlight w:val="none"/>
        </w:rPr>
        <w:t>分，绩效自评综述：</w:t>
      </w:r>
      <w:r>
        <w:rPr>
          <w:rFonts w:hint="eastAsia" w:ascii="仿宋_GB2312" w:hAnsi="仿宋_GB2312" w:eastAsia="仿宋_GB2312" w:cs="仿宋_GB2312"/>
          <w:sz w:val="32"/>
          <w:szCs w:val="32"/>
          <w:highlight w:val="none"/>
          <w:lang w:eastAsia="zh-CN"/>
        </w:rPr>
        <w:t>根据年初设定目标，我部门一是做好常态化疫情防控，强化食品安全、校园安全</w:t>
      </w:r>
      <w:r>
        <w:rPr>
          <w:rFonts w:hint="eastAsia" w:ascii="仿宋_GB2312" w:hAnsi="Times New Roman" w:eastAsia="仿宋_GB2312" w:cs="Times New Roman"/>
          <w:sz w:val="32"/>
          <w:szCs w:val="32"/>
          <w:highlight w:val="none"/>
          <w:lang w:eastAsia="zh-CN"/>
        </w:rPr>
        <w:t>隐患</w:t>
      </w:r>
      <w:r>
        <w:rPr>
          <w:rFonts w:hint="eastAsia" w:ascii="仿宋_GB2312" w:hAnsi="仿宋_GB2312" w:eastAsia="仿宋_GB2312" w:cs="仿宋_GB2312"/>
          <w:sz w:val="32"/>
          <w:szCs w:val="32"/>
          <w:highlight w:val="none"/>
          <w:lang w:eastAsia="zh-CN"/>
        </w:rPr>
        <w:t>排查和校园周边环境整治；二是积极稳妥推进学校布局调整，有效解决“城挤镇拥乡弱”问题；三是强化师德师风建设和纪律作风建设，以信息技术能力提升工程2.0 为抓手；四是加强学校党建工作，坚持党对教育事业的全面领导；五是加强生有效课堂改革研究，落实好“双减”和“五项管理”，高考综合排名在全市上档升位。基本完成年初设定目标任务。</w:t>
      </w:r>
      <w:r>
        <w:rPr>
          <w:rFonts w:ascii="仿宋_GB2312" w:eastAsia="仿宋_GB2312"/>
          <w:b/>
          <w:sz w:val="32"/>
          <w:szCs w:val="32"/>
          <w:highlight w:val="none"/>
        </w:rPr>
        <w:br w:type="page"/>
      </w:r>
      <w:bookmarkEnd w:id="107"/>
    </w:p>
    <w:p>
      <w:pPr>
        <w:pStyle w:val="6"/>
        <w:jc w:val="center"/>
        <w:rPr>
          <w:rFonts w:hint="eastAsia" w:ascii="黑体" w:hAnsi="黑体" w:eastAsia="黑体" w:cs="Times New Roman"/>
          <w:b w:val="0"/>
        </w:rPr>
      </w:pPr>
      <w:bookmarkStart w:id="108" w:name="_Toc15377225"/>
      <w:bookmarkStart w:id="109" w:name="_Toc25984"/>
      <w:bookmarkStart w:id="110" w:name="_Toc15396613"/>
      <w:r>
        <w:rPr>
          <w:rFonts w:hint="eastAsia" w:ascii="黑体" w:hAnsi="黑体" w:eastAsia="黑体" w:cs="Times New Roman"/>
          <w:b w:val="0"/>
          <w:lang w:eastAsia="zh-CN"/>
        </w:rPr>
        <w:t>第三部分</w:t>
      </w:r>
      <w:r>
        <w:rPr>
          <w:rFonts w:hint="eastAsia" w:ascii="黑体" w:hAnsi="黑体" w:eastAsia="黑体" w:cs="Times New Roman"/>
          <w:b w:val="0"/>
          <w:lang w:val="en-US" w:eastAsia="zh-CN"/>
        </w:rPr>
        <w:t xml:space="preserve">  </w:t>
      </w:r>
      <w:r>
        <w:rPr>
          <w:rFonts w:hint="eastAsia" w:ascii="黑体" w:hAnsi="黑体" w:eastAsia="黑体" w:cs="Times New Roman"/>
          <w:b w:val="0"/>
        </w:rPr>
        <w:t>名词解释</w:t>
      </w:r>
      <w:bookmarkEnd w:id="108"/>
      <w:bookmarkEnd w:id="109"/>
      <w:bookmarkEnd w:id="110"/>
    </w:p>
    <w:p>
      <w:pPr>
        <w:spacing w:line="600" w:lineRule="exact"/>
        <w:jc w:val="left"/>
        <w:rPr>
          <w:rFonts w:ascii="宋体"/>
          <w:b/>
          <w:sz w:val="44"/>
          <w:szCs w:val="44"/>
          <w:highlight w:val="none"/>
        </w:rPr>
      </w:pPr>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11" w:name="_Toc1049"/>
      <w:r>
        <w:rPr>
          <w:rFonts w:hint="eastAsia" w:ascii="仿宋_GB2312" w:hAnsi="Times New Roman" w:eastAsia="仿宋_GB2312" w:cs="Times New Roman"/>
          <w:sz w:val="32"/>
          <w:szCs w:val="32"/>
          <w:highlight w:val="none"/>
        </w:rPr>
        <w:t>1.财政拨款收入：指单位从同级财政部门取得的财政预算资金。</w:t>
      </w:r>
      <w:bookmarkEnd w:id="111"/>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12" w:name="_Toc23681"/>
      <w:r>
        <w:rPr>
          <w:rFonts w:hint="eastAsia" w:ascii="仿宋_GB2312" w:hAnsi="Times New Roman" w:eastAsia="仿宋_GB2312" w:cs="Times New Roman"/>
          <w:sz w:val="32"/>
          <w:szCs w:val="32"/>
          <w:highlight w:val="none"/>
        </w:rPr>
        <w:t>2.事业收入：指事业单位开展专业业务活动及辅助活动取得的收入。</w:t>
      </w:r>
      <w:bookmarkEnd w:id="112"/>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13" w:name="_Toc17057"/>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rPr>
        <w:t>.其他收入：指单位取得的除上述收入以外的各项收入。</w:t>
      </w:r>
      <w:bookmarkEnd w:id="113"/>
      <w:r>
        <w:rPr>
          <w:rFonts w:hint="eastAsia" w:ascii="仿宋_GB2312" w:hAnsi="Times New Roman" w:eastAsia="仿宋_GB2312" w:cs="Times New Roman"/>
          <w:sz w:val="32"/>
          <w:szCs w:val="32"/>
          <w:highlight w:val="none"/>
        </w:rPr>
        <w:t xml:space="preserve"> </w:t>
      </w:r>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14" w:name="_Toc24166"/>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.使用非财政拨款结余：指事业单位使用以前年度积累的非财政拨款结余弥补当年收支差额的金额。</w:t>
      </w:r>
      <w:bookmarkEnd w:id="114"/>
      <w:r>
        <w:rPr>
          <w:rFonts w:hint="eastAsia" w:ascii="仿宋_GB2312" w:hAnsi="Times New Roman" w:eastAsia="仿宋_GB2312" w:cs="Times New Roman"/>
          <w:sz w:val="32"/>
          <w:szCs w:val="32"/>
          <w:highlight w:val="none"/>
        </w:rPr>
        <w:t xml:space="preserve"> </w:t>
      </w:r>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15" w:name="_Toc3098"/>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.年初结转和结余：指以前年度尚未完成、结转到本年按有关规定继续使用的资金。</w:t>
      </w:r>
      <w:bookmarkEnd w:id="115"/>
      <w:r>
        <w:rPr>
          <w:rFonts w:hint="eastAsia" w:ascii="仿宋_GB2312" w:hAnsi="Times New Roman" w:eastAsia="仿宋_GB2312" w:cs="Times New Roman"/>
          <w:sz w:val="32"/>
          <w:szCs w:val="32"/>
          <w:highlight w:val="none"/>
        </w:rPr>
        <w:t xml:space="preserve"> </w:t>
      </w:r>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16" w:name="_Toc32163"/>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.结余分配：指事业单位按照会计制度规定缴纳的所得税、提取的专用结余以及转入非财政拨款结余的金额等。</w:t>
      </w:r>
      <w:bookmarkEnd w:id="116"/>
    </w:p>
    <w:p>
      <w:pPr>
        <w:spacing w:line="600" w:lineRule="exact"/>
        <w:ind w:firstLine="640" w:firstLineChars="200"/>
        <w:outlineLvl w:val="1"/>
        <w:rPr>
          <w:rFonts w:hint="eastAsia" w:ascii="仿宋_GB2312" w:hAnsi="Times New Roman" w:eastAsia="仿宋_GB2312" w:cs="Times New Roman"/>
          <w:sz w:val="32"/>
          <w:szCs w:val="32"/>
          <w:highlight w:val="none"/>
          <w:lang w:eastAsia="zh-CN"/>
        </w:rPr>
      </w:pPr>
      <w:bookmarkStart w:id="117" w:name="_Toc10"/>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.教育（类）教育管理事务（款）行政运行（项）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lang w:eastAsia="zh-CN"/>
        </w:rPr>
        <w:t>指保障行政机关正常运行，保障人员经费，主要包括调资、基本工资、绩效工资、其他工资福利支出、津贴补贴、其他社会保障缴费（工伤保险和医疗保险）、住房公积金。</w:t>
      </w:r>
      <w:bookmarkEnd w:id="117"/>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18" w:name="_Toc24323"/>
      <w:r>
        <w:rPr>
          <w:rFonts w:hint="eastAsia" w:ascii="仿宋_GB2312" w:hAnsi="Times New Roman" w:eastAsia="仿宋_GB2312" w:cs="Times New Roman"/>
          <w:sz w:val="32"/>
          <w:szCs w:val="32"/>
          <w:highlight w:val="none"/>
          <w:lang w:val="en-US" w:eastAsia="zh-CN"/>
        </w:rPr>
        <w:t>8</w:t>
      </w:r>
      <w:r>
        <w:rPr>
          <w:rFonts w:hint="eastAsia" w:ascii="仿宋_GB2312" w:hAnsi="Times New Roman" w:eastAsia="仿宋_GB2312" w:cs="Times New Roman"/>
          <w:sz w:val="32"/>
          <w:szCs w:val="32"/>
          <w:highlight w:val="none"/>
        </w:rPr>
        <w:t>.教育（类）教育管理事务（款）其他教育管理事务支出（项）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指保障机构全额拨款事业单位正常运行，保障人员经费，主要包括调资、基本工资、绩效工资、其他工资福利支出、津贴补贴、其他社会保障缴费（失业保险和工伤保险医疗保险）、住房公积金、生活补助支出（遗属生活补助）。</w:t>
      </w:r>
      <w:bookmarkEnd w:id="118"/>
      <w:r>
        <w:rPr>
          <w:rFonts w:hint="eastAsia" w:ascii="仿宋_GB2312" w:hAnsi="Times New Roman" w:eastAsia="仿宋_GB2312" w:cs="Times New Roman"/>
          <w:sz w:val="32"/>
          <w:szCs w:val="32"/>
          <w:highlight w:val="none"/>
        </w:rPr>
        <w:t xml:space="preserve"> </w:t>
      </w:r>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19" w:name="_Toc3585"/>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.教育（类）普通教育（款）学前教育（项）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指各部门举办的</w:t>
      </w:r>
      <w:r>
        <w:rPr>
          <w:rFonts w:hint="eastAsia" w:ascii="仿宋_GB2312" w:hAnsi="Times New Roman" w:eastAsia="仿宋_GB2312" w:cs="Times New Roman"/>
          <w:sz w:val="32"/>
          <w:szCs w:val="32"/>
          <w:highlight w:val="none"/>
          <w:lang w:eastAsia="zh-CN"/>
        </w:rPr>
        <w:t>学前</w:t>
      </w:r>
      <w:r>
        <w:rPr>
          <w:rFonts w:hint="eastAsia" w:ascii="仿宋_GB2312" w:hAnsi="Times New Roman" w:eastAsia="仿宋_GB2312" w:cs="Times New Roman"/>
          <w:sz w:val="32"/>
          <w:szCs w:val="32"/>
          <w:highlight w:val="none"/>
        </w:rPr>
        <w:t>教育支出，包括政府各部门对社会中介组织等举办的</w:t>
      </w:r>
      <w:r>
        <w:rPr>
          <w:rFonts w:hint="eastAsia" w:ascii="仿宋_GB2312" w:hAnsi="Times New Roman" w:eastAsia="仿宋_GB2312" w:cs="Times New Roman"/>
          <w:sz w:val="32"/>
          <w:szCs w:val="32"/>
          <w:highlight w:val="none"/>
          <w:lang w:eastAsia="zh-CN"/>
        </w:rPr>
        <w:t>幼儿</w:t>
      </w:r>
      <w:r>
        <w:rPr>
          <w:rFonts w:hint="eastAsia" w:ascii="仿宋_GB2312" w:hAnsi="Times New Roman" w:eastAsia="仿宋_GB2312" w:cs="Times New Roman"/>
          <w:sz w:val="32"/>
          <w:szCs w:val="32"/>
          <w:highlight w:val="none"/>
        </w:rPr>
        <w:t>资助。</w:t>
      </w:r>
      <w:bookmarkEnd w:id="119"/>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0" w:name="_Toc25083"/>
      <w:r>
        <w:rPr>
          <w:rFonts w:hint="eastAsia" w:ascii="仿宋_GB2312" w:hAnsi="Times New Roman" w:eastAsia="仿宋_GB2312" w:cs="Times New Roman"/>
          <w:sz w:val="32"/>
          <w:szCs w:val="32"/>
          <w:highlight w:val="none"/>
          <w:lang w:val="en-US" w:eastAsia="zh-CN"/>
        </w:rPr>
        <w:t>10</w:t>
      </w:r>
      <w:r>
        <w:rPr>
          <w:rFonts w:hint="eastAsia" w:ascii="仿宋_GB2312" w:hAnsi="Times New Roman" w:eastAsia="仿宋_GB2312" w:cs="Times New Roman"/>
          <w:sz w:val="32"/>
          <w:szCs w:val="32"/>
          <w:highlight w:val="none"/>
        </w:rPr>
        <w:t>.教育（类）普通教育（款）小学教育（项）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指各部门举办的</w:t>
      </w:r>
      <w:r>
        <w:rPr>
          <w:rFonts w:hint="eastAsia" w:ascii="仿宋_GB2312" w:hAnsi="Times New Roman" w:eastAsia="仿宋_GB2312" w:cs="Times New Roman"/>
          <w:sz w:val="32"/>
          <w:szCs w:val="32"/>
          <w:highlight w:val="none"/>
          <w:lang w:eastAsia="zh-CN"/>
        </w:rPr>
        <w:t>小学</w:t>
      </w:r>
      <w:r>
        <w:rPr>
          <w:rFonts w:hint="eastAsia" w:ascii="仿宋_GB2312" w:hAnsi="Times New Roman" w:eastAsia="仿宋_GB2312" w:cs="Times New Roman"/>
          <w:sz w:val="32"/>
          <w:szCs w:val="32"/>
          <w:highlight w:val="none"/>
        </w:rPr>
        <w:t>教育支出，包括政府各部门对社会中介组织等举办的</w:t>
      </w:r>
      <w:r>
        <w:rPr>
          <w:rFonts w:hint="eastAsia" w:ascii="仿宋_GB2312" w:hAnsi="Times New Roman" w:eastAsia="仿宋_GB2312" w:cs="Times New Roman"/>
          <w:sz w:val="32"/>
          <w:szCs w:val="32"/>
          <w:highlight w:val="none"/>
          <w:lang w:eastAsia="zh-CN"/>
        </w:rPr>
        <w:t>小学</w:t>
      </w:r>
      <w:r>
        <w:rPr>
          <w:rFonts w:hint="eastAsia" w:ascii="仿宋_GB2312" w:hAnsi="Times New Roman" w:eastAsia="仿宋_GB2312" w:cs="Times New Roman"/>
          <w:sz w:val="32"/>
          <w:szCs w:val="32"/>
          <w:highlight w:val="none"/>
        </w:rPr>
        <w:t>资助。</w:t>
      </w:r>
      <w:bookmarkEnd w:id="120"/>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1" w:name="_Toc13601"/>
      <w:r>
        <w:rPr>
          <w:rFonts w:hint="eastAsia" w:ascii="仿宋_GB2312" w:hAnsi="Times New Roman" w:eastAsia="仿宋_GB2312" w:cs="Times New Roman"/>
          <w:sz w:val="32"/>
          <w:szCs w:val="32"/>
          <w:highlight w:val="none"/>
          <w:lang w:val="en-US" w:eastAsia="zh-CN"/>
        </w:rPr>
        <w:t>11</w:t>
      </w:r>
      <w:r>
        <w:rPr>
          <w:rFonts w:hint="eastAsia" w:ascii="仿宋_GB2312" w:hAnsi="Times New Roman" w:eastAsia="仿宋_GB2312" w:cs="Times New Roman"/>
          <w:sz w:val="32"/>
          <w:szCs w:val="32"/>
          <w:highlight w:val="none"/>
        </w:rPr>
        <w:t>.教育（类）普通教育（款）初中教育（项）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指各部门举办的</w:t>
      </w:r>
      <w:r>
        <w:rPr>
          <w:rFonts w:hint="eastAsia" w:ascii="仿宋_GB2312" w:hAnsi="Times New Roman" w:eastAsia="仿宋_GB2312" w:cs="Times New Roman"/>
          <w:sz w:val="32"/>
          <w:szCs w:val="32"/>
          <w:highlight w:val="none"/>
          <w:lang w:eastAsia="zh-CN"/>
        </w:rPr>
        <w:t>初中</w:t>
      </w:r>
      <w:r>
        <w:rPr>
          <w:rFonts w:hint="eastAsia" w:ascii="仿宋_GB2312" w:hAnsi="Times New Roman" w:eastAsia="仿宋_GB2312" w:cs="Times New Roman"/>
          <w:sz w:val="32"/>
          <w:szCs w:val="32"/>
          <w:highlight w:val="none"/>
        </w:rPr>
        <w:t>教育支出，包括政府各部门对社会中介组织等举办的</w:t>
      </w:r>
      <w:r>
        <w:rPr>
          <w:rFonts w:hint="eastAsia" w:ascii="仿宋_GB2312" w:hAnsi="Times New Roman" w:eastAsia="仿宋_GB2312" w:cs="Times New Roman"/>
          <w:sz w:val="32"/>
          <w:szCs w:val="32"/>
          <w:highlight w:val="none"/>
          <w:lang w:eastAsia="zh-CN"/>
        </w:rPr>
        <w:t>初中</w:t>
      </w:r>
      <w:r>
        <w:rPr>
          <w:rFonts w:hint="eastAsia" w:ascii="仿宋_GB2312" w:hAnsi="Times New Roman" w:eastAsia="仿宋_GB2312" w:cs="Times New Roman"/>
          <w:sz w:val="32"/>
          <w:szCs w:val="32"/>
          <w:highlight w:val="none"/>
        </w:rPr>
        <w:t>资助。</w:t>
      </w:r>
      <w:bookmarkEnd w:id="121"/>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2" w:name="_Toc14497"/>
      <w:r>
        <w:rPr>
          <w:rFonts w:hint="eastAsia" w:ascii="仿宋_GB2312" w:hAnsi="Times New Roman" w:eastAsia="仿宋_GB2312" w:cs="Times New Roman"/>
          <w:sz w:val="32"/>
          <w:szCs w:val="32"/>
          <w:highlight w:val="none"/>
          <w:lang w:val="en-US" w:eastAsia="zh-CN"/>
        </w:rPr>
        <w:t>12</w:t>
      </w:r>
      <w:r>
        <w:rPr>
          <w:rFonts w:hint="eastAsia" w:ascii="仿宋_GB2312" w:hAnsi="Times New Roman" w:eastAsia="仿宋_GB2312" w:cs="Times New Roman"/>
          <w:sz w:val="32"/>
          <w:szCs w:val="32"/>
          <w:highlight w:val="none"/>
        </w:rPr>
        <w:t>.教育（类）普通教育（款）高中教育（项）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指各部门举办的高级中学教育支出，包括政府各部门对社会中介组织等举办的高级中学的资助。</w:t>
      </w:r>
      <w:bookmarkEnd w:id="122"/>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3" w:name="_Toc14525"/>
      <w:r>
        <w:rPr>
          <w:rFonts w:hint="eastAsia" w:ascii="仿宋_GB2312" w:hAnsi="Times New Roman" w:eastAsia="仿宋_GB2312" w:cs="Times New Roman"/>
          <w:sz w:val="32"/>
          <w:szCs w:val="32"/>
          <w:highlight w:val="none"/>
          <w:lang w:val="en-US" w:eastAsia="zh-CN"/>
        </w:rPr>
        <w:t>13</w:t>
      </w:r>
      <w:r>
        <w:rPr>
          <w:rFonts w:hint="eastAsia" w:ascii="仿宋_GB2312" w:hAnsi="Times New Roman" w:eastAsia="仿宋_GB2312" w:cs="Times New Roman"/>
          <w:sz w:val="32"/>
          <w:szCs w:val="32"/>
          <w:highlight w:val="none"/>
        </w:rPr>
        <w:t>.教育（类）职业教育（款）中等教育（项）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指各部门举办的中等职业学校支出，包括中职学生各项资助。</w:t>
      </w:r>
      <w:bookmarkEnd w:id="123"/>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4" w:name="_Toc21575"/>
      <w:r>
        <w:rPr>
          <w:rFonts w:hint="eastAsia" w:ascii="仿宋_GB2312" w:hAnsi="Times New Roman" w:eastAsia="仿宋_GB2312" w:cs="Times New Roman"/>
          <w:sz w:val="32"/>
          <w:szCs w:val="32"/>
          <w:highlight w:val="none"/>
          <w:lang w:val="en-US" w:eastAsia="zh-CN"/>
        </w:rPr>
        <w:t>14</w:t>
      </w:r>
      <w:r>
        <w:rPr>
          <w:rFonts w:hint="eastAsia" w:ascii="仿宋_GB2312" w:hAnsi="Times New Roman" w:eastAsia="仿宋_GB2312" w:cs="Times New Roman"/>
          <w:sz w:val="32"/>
          <w:szCs w:val="32"/>
          <w:highlight w:val="none"/>
        </w:rPr>
        <w:t>.教育（类）进修及培训（款）教师进修（项）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lang w:eastAsia="zh-CN"/>
        </w:rPr>
        <w:t>指</w:t>
      </w:r>
      <w:r>
        <w:rPr>
          <w:rFonts w:hint="eastAsia" w:ascii="仿宋_GB2312" w:eastAsia="仿宋_GB2312" w:cs="Times New Roman"/>
          <w:sz w:val="32"/>
          <w:szCs w:val="32"/>
          <w:highlight w:val="none"/>
          <w:lang w:eastAsia="zh-CN"/>
        </w:rPr>
        <w:t>中小学教师</w:t>
      </w:r>
      <w:r>
        <w:rPr>
          <w:rFonts w:hint="eastAsia" w:ascii="仿宋_GB2312" w:hAnsi="Times New Roman" w:eastAsia="仿宋_GB2312" w:cs="Times New Roman"/>
          <w:sz w:val="32"/>
          <w:szCs w:val="32"/>
          <w:highlight w:val="none"/>
          <w:lang w:eastAsia="zh-CN"/>
        </w:rPr>
        <w:t>（含幼儿教师）相关师培费等支出</w:t>
      </w:r>
      <w:r>
        <w:rPr>
          <w:rFonts w:hint="eastAsia" w:ascii="仿宋_GB2312" w:hAnsi="Times New Roman" w:eastAsia="仿宋_GB2312" w:cs="Times New Roman"/>
          <w:sz w:val="32"/>
          <w:szCs w:val="32"/>
          <w:highlight w:val="none"/>
        </w:rPr>
        <w:t>。</w:t>
      </w:r>
      <w:bookmarkEnd w:id="124"/>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5" w:name="_Toc15100"/>
      <w:r>
        <w:rPr>
          <w:rFonts w:hint="eastAsia" w:ascii="仿宋_GB2312" w:hAnsi="Times New Roman" w:eastAsia="仿宋_GB2312" w:cs="Times New Roman"/>
          <w:sz w:val="32"/>
          <w:szCs w:val="32"/>
          <w:highlight w:val="none"/>
          <w:lang w:val="en-US" w:eastAsia="zh-CN"/>
        </w:rPr>
        <w:t>15</w:t>
      </w:r>
      <w:r>
        <w:rPr>
          <w:rFonts w:hint="eastAsia" w:ascii="仿宋_GB2312" w:hAnsi="Times New Roman" w:eastAsia="仿宋_GB2312" w:cs="Times New Roman"/>
          <w:sz w:val="32"/>
          <w:szCs w:val="32"/>
          <w:highlight w:val="none"/>
        </w:rPr>
        <w:t>.教育（类）教育费附加安排的支出（款）农村中小学校舍建设（项）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指改善</w:t>
      </w:r>
      <w:r>
        <w:rPr>
          <w:rFonts w:hint="eastAsia" w:ascii="仿宋_GB2312" w:hAnsi="Times New Roman" w:eastAsia="仿宋_GB2312" w:cs="Times New Roman"/>
          <w:sz w:val="32"/>
          <w:szCs w:val="32"/>
          <w:highlight w:val="none"/>
          <w:lang w:eastAsia="zh-CN"/>
        </w:rPr>
        <w:t>农村</w:t>
      </w:r>
      <w:r>
        <w:rPr>
          <w:rFonts w:hint="eastAsia" w:ascii="仿宋_GB2312" w:hAnsi="Times New Roman" w:eastAsia="仿宋_GB2312" w:cs="Times New Roman"/>
          <w:sz w:val="32"/>
          <w:szCs w:val="32"/>
          <w:highlight w:val="none"/>
        </w:rPr>
        <w:t>中小学办学条件的支出。</w:t>
      </w:r>
      <w:bookmarkEnd w:id="125"/>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6" w:name="_Toc29710"/>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.教育（类）教育费附加安排的支出（款）农村中小学教学设施（项）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指改善</w:t>
      </w:r>
      <w:r>
        <w:rPr>
          <w:rFonts w:hint="eastAsia" w:ascii="仿宋_GB2312" w:hAnsi="Times New Roman" w:eastAsia="仿宋_GB2312" w:cs="Times New Roman"/>
          <w:sz w:val="32"/>
          <w:szCs w:val="32"/>
          <w:highlight w:val="none"/>
          <w:lang w:eastAsia="zh-CN"/>
        </w:rPr>
        <w:t>农村</w:t>
      </w:r>
      <w:r>
        <w:rPr>
          <w:rFonts w:hint="eastAsia" w:ascii="仿宋_GB2312" w:hAnsi="Times New Roman" w:eastAsia="仿宋_GB2312" w:cs="Times New Roman"/>
          <w:sz w:val="32"/>
          <w:szCs w:val="32"/>
          <w:highlight w:val="none"/>
        </w:rPr>
        <w:t>中小学</w:t>
      </w:r>
      <w:r>
        <w:rPr>
          <w:rFonts w:hint="eastAsia" w:ascii="仿宋_GB2312" w:hAnsi="Times New Roman" w:eastAsia="仿宋_GB2312" w:cs="Times New Roman"/>
          <w:sz w:val="32"/>
          <w:szCs w:val="32"/>
          <w:highlight w:val="none"/>
          <w:lang w:eastAsia="zh-CN"/>
        </w:rPr>
        <w:t>教学设备</w:t>
      </w:r>
      <w:r>
        <w:rPr>
          <w:rFonts w:hint="eastAsia" w:ascii="仿宋_GB2312" w:hAnsi="Times New Roman" w:eastAsia="仿宋_GB2312" w:cs="Times New Roman"/>
          <w:sz w:val="32"/>
          <w:szCs w:val="32"/>
          <w:highlight w:val="none"/>
        </w:rPr>
        <w:t>条件的支出。</w:t>
      </w:r>
      <w:bookmarkEnd w:id="126"/>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7" w:name="_Toc30130"/>
      <w:r>
        <w:rPr>
          <w:rFonts w:hint="eastAsia" w:ascii="仿宋_GB2312" w:hAnsi="Times New Roman" w:eastAsia="仿宋_GB2312" w:cs="Times New Roman"/>
          <w:sz w:val="32"/>
          <w:szCs w:val="32"/>
          <w:highlight w:val="none"/>
          <w:lang w:val="en-US" w:eastAsia="zh-CN"/>
        </w:rPr>
        <w:t>17</w:t>
      </w:r>
      <w:r>
        <w:rPr>
          <w:rFonts w:hint="eastAsia" w:ascii="仿宋_GB2312" w:hAnsi="Times New Roman" w:eastAsia="仿宋_GB2312" w:cs="Times New Roman"/>
          <w:sz w:val="32"/>
          <w:szCs w:val="32"/>
          <w:highlight w:val="none"/>
        </w:rPr>
        <w:t>.教育（类）教育费附加安排的支出（款）城市中小学教学设施（项）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指改善</w:t>
      </w:r>
      <w:r>
        <w:rPr>
          <w:rFonts w:hint="eastAsia" w:ascii="仿宋_GB2312" w:hAnsi="Times New Roman" w:eastAsia="仿宋_GB2312" w:cs="Times New Roman"/>
          <w:sz w:val="32"/>
          <w:szCs w:val="32"/>
          <w:highlight w:val="none"/>
          <w:lang w:eastAsia="zh-CN"/>
        </w:rPr>
        <w:t>城镇</w:t>
      </w:r>
      <w:r>
        <w:rPr>
          <w:rFonts w:hint="eastAsia" w:ascii="仿宋_GB2312" w:hAnsi="Times New Roman" w:eastAsia="仿宋_GB2312" w:cs="Times New Roman"/>
          <w:sz w:val="32"/>
          <w:szCs w:val="32"/>
          <w:highlight w:val="none"/>
        </w:rPr>
        <w:t>中小学</w:t>
      </w:r>
      <w:r>
        <w:rPr>
          <w:rFonts w:hint="eastAsia" w:ascii="仿宋_GB2312" w:hAnsi="Times New Roman" w:eastAsia="仿宋_GB2312" w:cs="Times New Roman"/>
          <w:sz w:val="32"/>
          <w:szCs w:val="32"/>
          <w:highlight w:val="none"/>
          <w:lang w:eastAsia="zh-CN"/>
        </w:rPr>
        <w:t>教学设备</w:t>
      </w:r>
      <w:r>
        <w:rPr>
          <w:rFonts w:hint="eastAsia" w:ascii="仿宋_GB2312" w:hAnsi="Times New Roman" w:eastAsia="仿宋_GB2312" w:cs="Times New Roman"/>
          <w:sz w:val="32"/>
          <w:szCs w:val="32"/>
          <w:highlight w:val="none"/>
        </w:rPr>
        <w:t>条件的支出。</w:t>
      </w:r>
      <w:bookmarkEnd w:id="127"/>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8" w:name="_Toc19692"/>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val="en-US" w:eastAsia="zh-CN"/>
        </w:rPr>
        <w:t>8</w:t>
      </w:r>
      <w:r>
        <w:rPr>
          <w:rFonts w:hint="eastAsia" w:ascii="仿宋_GB2312" w:hAnsi="Times New Roman" w:eastAsia="仿宋_GB2312" w:cs="Times New Roman"/>
          <w:sz w:val="32"/>
          <w:szCs w:val="32"/>
          <w:highlight w:val="none"/>
        </w:rPr>
        <w:t>.教育（类）教育费附加安排的支出（款）中等职业学校教学设施（项）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指改善</w:t>
      </w:r>
      <w:r>
        <w:rPr>
          <w:rFonts w:hint="eastAsia" w:ascii="仿宋_GB2312" w:hAnsi="Times New Roman" w:eastAsia="仿宋_GB2312" w:cs="Times New Roman"/>
          <w:sz w:val="32"/>
          <w:szCs w:val="32"/>
          <w:highlight w:val="none"/>
          <w:lang w:eastAsia="zh-CN"/>
        </w:rPr>
        <w:t>中等职业学校教学设备</w:t>
      </w:r>
      <w:r>
        <w:rPr>
          <w:rFonts w:hint="eastAsia" w:ascii="仿宋_GB2312" w:hAnsi="Times New Roman" w:eastAsia="仿宋_GB2312" w:cs="Times New Roman"/>
          <w:sz w:val="32"/>
          <w:szCs w:val="32"/>
          <w:highlight w:val="none"/>
        </w:rPr>
        <w:t>条件的支出</w:t>
      </w:r>
      <w:bookmarkEnd w:id="128"/>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29" w:name="_Toc19136"/>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.教育（类）教育费附加安排的支出（款）其他教育费附加安排的支出（项）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指改善农村中小学教学设施和办学条件的支出。</w:t>
      </w:r>
      <w:bookmarkEnd w:id="129"/>
    </w:p>
    <w:p>
      <w:pPr>
        <w:spacing w:line="600" w:lineRule="exact"/>
        <w:ind w:firstLine="640" w:firstLineChars="200"/>
        <w:outlineLvl w:val="1"/>
        <w:rPr>
          <w:rFonts w:hint="eastAsia" w:ascii="仿宋_GB2312" w:hAnsi="Times New Roman" w:eastAsia="仿宋_GB2312" w:cs="Times New Roman"/>
          <w:sz w:val="32"/>
          <w:szCs w:val="32"/>
          <w:highlight w:val="none"/>
          <w:lang w:eastAsia="zh-CN"/>
        </w:rPr>
      </w:pPr>
      <w:bookmarkStart w:id="130" w:name="_Toc16115"/>
      <w:r>
        <w:rPr>
          <w:rFonts w:hint="eastAsia" w:ascii="仿宋_GB2312" w:hAnsi="Times New Roman" w:eastAsia="仿宋_GB2312" w:cs="Times New Roman"/>
          <w:sz w:val="32"/>
          <w:szCs w:val="32"/>
          <w:highlight w:val="none"/>
          <w:lang w:val="en-US" w:eastAsia="zh-CN"/>
        </w:rPr>
        <w:t>20</w:t>
      </w:r>
      <w:r>
        <w:rPr>
          <w:rFonts w:hint="eastAsia" w:ascii="仿宋_GB2312" w:hAnsi="Times New Roman" w:eastAsia="仿宋_GB2312" w:cs="Times New Roman"/>
          <w:sz w:val="32"/>
          <w:szCs w:val="32"/>
          <w:highlight w:val="none"/>
        </w:rPr>
        <w:t>.文化旅游体育与传媒（类）其他文化旅游体育与传媒支出（款）宣传文化发展专项支出（项）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lang w:eastAsia="zh-CN"/>
        </w:rPr>
        <w:t>指文化宣传等支出。</w:t>
      </w:r>
      <w:bookmarkEnd w:id="130"/>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1" w:name="_Toc28860"/>
      <w:r>
        <w:rPr>
          <w:rFonts w:hint="eastAsia" w:ascii="仿宋_GB2312" w:hAnsi="Times New Roman" w:eastAsia="仿宋_GB2312" w:cs="Times New Roman"/>
          <w:sz w:val="32"/>
          <w:szCs w:val="32"/>
          <w:highlight w:val="none"/>
          <w:lang w:val="en-US" w:eastAsia="zh-CN"/>
        </w:rPr>
        <w:t>21</w:t>
      </w:r>
      <w:r>
        <w:rPr>
          <w:rFonts w:hint="eastAsia" w:ascii="仿宋_GB2312" w:hAnsi="Times New Roman" w:eastAsia="仿宋_GB2312" w:cs="Times New Roman"/>
          <w:sz w:val="32"/>
          <w:szCs w:val="32"/>
          <w:highlight w:val="none"/>
        </w:rPr>
        <w:t>.社会保障和就业（类）行政事业单位养老支出（款）事业单位离退休（项）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指部门实施养老保险制度由单位</w:t>
      </w:r>
      <w:r>
        <w:rPr>
          <w:rFonts w:hint="eastAsia" w:ascii="仿宋_GB2312" w:hAnsi="Times New Roman" w:eastAsia="仿宋_GB2312" w:cs="Times New Roman"/>
          <w:sz w:val="32"/>
          <w:szCs w:val="32"/>
          <w:highlight w:val="none"/>
          <w:lang w:eastAsia="zh-CN"/>
        </w:rPr>
        <w:t>方法退休人员一次性补助支出</w:t>
      </w:r>
      <w:r>
        <w:rPr>
          <w:rFonts w:hint="eastAsia" w:ascii="仿宋_GB2312" w:hAnsi="Times New Roman" w:eastAsia="仿宋_GB2312" w:cs="Times New Roman"/>
          <w:sz w:val="32"/>
          <w:szCs w:val="32"/>
          <w:highlight w:val="none"/>
        </w:rPr>
        <w:t>。</w:t>
      </w:r>
      <w:bookmarkEnd w:id="131"/>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2" w:name="_Toc27111"/>
      <w:r>
        <w:rPr>
          <w:rFonts w:hint="eastAsia" w:ascii="仿宋_GB2312" w:hAnsi="Times New Roman" w:eastAsia="仿宋_GB2312" w:cs="Times New Roman"/>
          <w:sz w:val="32"/>
          <w:szCs w:val="32"/>
          <w:highlight w:val="none"/>
          <w:lang w:val="en-US" w:eastAsia="zh-CN"/>
        </w:rPr>
        <w:t>22</w:t>
      </w:r>
      <w:r>
        <w:rPr>
          <w:rFonts w:hint="eastAsia" w:ascii="仿宋_GB2312" w:hAnsi="Times New Roman" w:eastAsia="仿宋_GB2312" w:cs="Times New Roman"/>
          <w:sz w:val="32"/>
          <w:szCs w:val="32"/>
          <w:highlight w:val="none"/>
        </w:rPr>
        <w:t>.社会保障和就业（类）行政事业单位养老支出（款）机关事业单位基本养老保险缴费支出（项）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指部门实施养老保险制度由单位缴纳的养老保险费的支出。</w:t>
      </w:r>
      <w:bookmarkEnd w:id="132"/>
      <w:bookmarkStart w:id="191" w:name="_GoBack"/>
      <w:bookmarkEnd w:id="191"/>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3" w:name="_Toc26046"/>
      <w:r>
        <w:rPr>
          <w:rFonts w:hint="eastAsia" w:ascii="仿宋_GB2312" w:hAnsi="Times New Roman" w:eastAsia="仿宋_GB2312" w:cs="Times New Roman"/>
          <w:sz w:val="32"/>
          <w:szCs w:val="32"/>
          <w:highlight w:val="none"/>
          <w:lang w:val="en-US" w:eastAsia="zh-CN"/>
        </w:rPr>
        <w:t>23</w:t>
      </w:r>
      <w:r>
        <w:rPr>
          <w:rFonts w:hint="eastAsia" w:ascii="仿宋_GB2312" w:hAnsi="Times New Roman" w:eastAsia="仿宋_GB2312" w:cs="Times New Roman"/>
          <w:sz w:val="32"/>
          <w:szCs w:val="32"/>
          <w:highlight w:val="none"/>
        </w:rPr>
        <w:t>.社会保障和就业（类）抚恤（款）死亡抚恤（项）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 xml:space="preserve"> 指单位用于</w:t>
      </w:r>
      <w:r>
        <w:rPr>
          <w:rFonts w:hint="eastAsia" w:ascii="仿宋_GB2312" w:hAnsi="Times New Roman" w:eastAsia="仿宋_GB2312" w:cs="Times New Roman"/>
          <w:sz w:val="32"/>
          <w:szCs w:val="32"/>
          <w:highlight w:val="none"/>
          <w:lang w:eastAsia="zh-CN"/>
        </w:rPr>
        <w:t>补偿在职员工死亡津贴</w:t>
      </w:r>
      <w:r>
        <w:rPr>
          <w:rFonts w:hint="eastAsia" w:ascii="仿宋_GB2312" w:hAnsi="Times New Roman" w:eastAsia="仿宋_GB2312" w:cs="Times New Roman"/>
          <w:sz w:val="32"/>
          <w:szCs w:val="32"/>
          <w:highlight w:val="none"/>
        </w:rPr>
        <w:t>支出。</w:t>
      </w:r>
      <w:bookmarkEnd w:id="133"/>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4" w:name="_Toc17249"/>
      <w:r>
        <w:rPr>
          <w:rFonts w:hint="eastAsia" w:ascii="仿宋_GB2312" w:hAnsi="Times New Roman" w:eastAsia="仿宋_GB2312" w:cs="Times New Roman"/>
          <w:sz w:val="32"/>
          <w:szCs w:val="32"/>
          <w:highlight w:val="none"/>
          <w:lang w:val="en-US" w:eastAsia="zh-CN"/>
        </w:rPr>
        <w:t>24</w:t>
      </w:r>
      <w:r>
        <w:rPr>
          <w:rFonts w:hint="eastAsia" w:ascii="仿宋_GB2312" w:hAnsi="Times New Roman" w:eastAsia="仿宋_GB2312" w:cs="Times New Roman"/>
          <w:sz w:val="32"/>
          <w:szCs w:val="32"/>
          <w:highlight w:val="none"/>
        </w:rPr>
        <w:t>.社会保障和就业（类）其他社会保障和就业支出款其他社会保障和就业支出（项）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指单位用于缴纳单位基本</w:t>
      </w:r>
      <w:r>
        <w:rPr>
          <w:rFonts w:hint="eastAsia" w:ascii="仿宋_GB2312" w:hAnsi="Times New Roman" w:eastAsia="仿宋_GB2312" w:cs="Times New Roman"/>
          <w:sz w:val="32"/>
          <w:szCs w:val="32"/>
          <w:highlight w:val="none"/>
          <w:lang w:eastAsia="zh-CN"/>
        </w:rPr>
        <w:t>失业保险和工伤保险</w:t>
      </w:r>
      <w:r>
        <w:rPr>
          <w:rFonts w:hint="eastAsia" w:ascii="仿宋_GB2312" w:hAnsi="Times New Roman" w:eastAsia="仿宋_GB2312" w:cs="Times New Roman"/>
          <w:sz w:val="32"/>
          <w:szCs w:val="32"/>
          <w:highlight w:val="none"/>
        </w:rPr>
        <w:t>支出。</w:t>
      </w:r>
      <w:bookmarkEnd w:id="134"/>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5" w:name="_Toc24945"/>
      <w:r>
        <w:rPr>
          <w:rFonts w:hint="eastAsia" w:ascii="仿宋_GB2312" w:hAnsi="Times New Roman" w:eastAsia="仿宋_GB2312" w:cs="Times New Roman"/>
          <w:sz w:val="32"/>
          <w:szCs w:val="32"/>
          <w:highlight w:val="none"/>
          <w:lang w:val="en-US" w:eastAsia="zh-CN"/>
        </w:rPr>
        <w:t>25.</w:t>
      </w:r>
      <w:r>
        <w:rPr>
          <w:rFonts w:hint="eastAsia" w:ascii="仿宋_GB2312" w:hAnsi="Times New Roman" w:eastAsia="仿宋_GB2312" w:cs="Times New Roman"/>
          <w:sz w:val="32"/>
          <w:szCs w:val="32"/>
          <w:highlight w:val="none"/>
        </w:rPr>
        <w:t>卫生健康（类）行政事业单位医疗（款）行政单位医疗（项）</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指</w:t>
      </w:r>
      <w:r>
        <w:rPr>
          <w:rFonts w:hint="eastAsia" w:ascii="仿宋_GB2312" w:hAnsi="Times New Roman" w:eastAsia="仿宋_GB2312" w:cs="Times New Roman"/>
          <w:sz w:val="32"/>
          <w:szCs w:val="32"/>
          <w:highlight w:val="none"/>
          <w:lang w:eastAsia="zh-CN"/>
        </w:rPr>
        <w:t>行政</w:t>
      </w:r>
      <w:r>
        <w:rPr>
          <w:rFonts w:hint="eastAsia" w:ascii="仿宋_GB2312" w:hAnsi="Times New Roman" w:eastAsia="仿宋_GB2312" w:cs="Times New Roman"/>
          <w:sz w:val="32"/>
          <w:szCs w:val="32"/>
          <w:highlight w:val="none"/>
        </w:rPr>
        <w:t>单位用于缴纳单位基本医疗保险支出。</w:t>
      </w:r>
      <w:bookmarkEnd w:id="135"/>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6" w:name="_Toc8967"/>
      <w:r>
        <w:rPr>
          <w:rFonts w:hint="eastAsia" w:ascii="仿宋_GB2312" w:hAnsi="Times New Roman" w:eastAsia="仿宋_GB2312" w:cs="Times New Roman"/>
          <w:sz w:val="32"/>
          <w:szCs w:val="32"/>
          <w:highlight w:val="none"/>
          <w:lang w:val="en-US" w:eastAsia="zh-CN"/>
        </w:rPr>
        <w:t>26</w:t>
      </w:r>
      <w:r>
        <w:rPr>
          <w:rFonts w:hint="eastAsia" w:ascii="仿宋_GB2312" w:hAnsi="Times New Roman" w:eastAsia="仿宋_GB2312" w:cs="Times New Roman"/>
          <w:sz w:val="32"/>
          <w:szCs w:val="32"/>
          <w:highlight w:val="none"/>
        </w:rPr>
        <w:t>.卫生健康（类）行政事业单位医疗（款）事业单位医疗（项）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指事业单位用于缴纳单位基本医疗保险支出。</w:t>
      </w:r>
      <w:bookmarkEnd w:id="136"/>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7" w:name="_Toc2274"/>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.农林水（类）巩固脱贫衔接乡村振兴（款）社会发展（项）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eastAsia="zh-CN"/>
        </w:rPr>
        <w:t>指乡村振兴等相关支出</w:t>
      </w:r>
      <w:r>
        <w:rPr>
          <w:rFonts w:hint="eastAsia" w:ascii="仿宋_GB2312" w:hAnsi="Times New Roman" w:eastAsia="仿宋_GB2312" w:cs="Times New Roman"/>
          <w:sz w:val="32"/>
          <w:szCs w:val="32"/>
          <w:highlight w:val="none"/>
        </w:rPr>
        <w:t>。</w:t>
      </w:r>
      <w:bookmarkEnd w:id="137"/>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8" w:name="_Toc7597"/>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val="en-US" w:eastAsia="zh-CN"/>
        </w:rPr>
        <w:t>8</w:t>
      </w:r>
      <w:r>
        <w:rPr>
          <w:rFonts w:hint="eastAsia" w:ascii="仿宋_GB2312" w:hAnsi="Times New Roman" w:eastAsia="仿宋_GB2312" w:cs="Times New Roman"/>
          <w:sz w:val="32"/>
          <w:szCs w:val="32"/>
          <w:highlight w:val="none"/>
        </w:rPr>
        <w:t>.农住房保障（类）住房改革支出（款）住房公积金（项）</w:t>
      </w:r>
      <w:r>
        <w:rPr>
          <w:rFonts w:hint="eastAsia" w:ascii="仿宋_GB2312"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指按照《住房公积金管理条例》的规定，由单位及其在职职工缴存的长期住房储金。</w:t>
      </w:r>
      <w:bookmarkEnd w:id="138"/>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39" w:name="_Toc31143"/>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.基本支出：指为保障机构正常运转、完成日常工作任务而发生的人员支出和公用支出。</w:t>
      </w:r>
      <w:bookmarkEnd w:id="139"/>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40" w:name="_Toc3673"/>
      <w:r>
        <w:rPr>
          <w:rFonts w:hint="eastAsia" w:ascii="仿宋_GB2312" w:hAnsi="Times New Roman" w:eastAsia="仿宋_GB2312" w:cs="Times New Roman"/>
          <w:sz w:val="32"/>
          <w:szCs w:val="32"/>
          <w:highlight w:val="none"/>
          <w:lang w:val="en-US" w:eastAsia="zh-CN"/>
        </w:rPr>
        <w:t>30</w:t>
      </w:r>
      <w:r>
        <w:rPr>
          <w:rFonts w:hint="eastAsia" w:ascii="仿宋_GB2312" w:hAnsi="Times New Roman" w:eastAsia="仿宋_GB2312" w:cs="Times New Roman"/>
          <w:sz w:val="32"/>
          <w:szCs w:val="32"/>
          <w:highlight w:val="none"/>
        </w:rPr>
        <w:t>.项目支出：指在基本支出之外为完成特定行政任务和事业发展目标所发生的支出。</w:t>
      </w:r>
      <w:bookmarkEnd w:id="140"/>
      <w:r>
        <w:rPr>
          <w:rFonts w:hint="eastAsia" w:ascii="仿宋_GB2312" w:hAnsi="Times New Roman" w:eastAsia="仿宋_GB2312" w:cs="Times New Roman"/>
          <w:sz w:val="32"/>
          <w:szCs w:val="32"/>
          <w:highlight w:val="none"/>
        </w:rPr>
        <w:t xml:space="preserve"> </w:t>
      </w:r>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41" w:name="_Toc12110"/>
      <w:r>
        <w:rPr>
          <w:rFonts w:hint="eastAsia" w:ascii="仿宋_GB2312" w:hAnsi="Times New Roman" w:eastAsia="仿宋_GB2312" w:cs="Times New Roman"/>
          <w:sz w:val="32"/>
          <w:szCs w:val="32"/>
          <w:highlight w:val="none"/>
          <w:lang w:val="en-US" w:eastAsia="zh-CN"/>
        </w:rPr>
        <w:t>31</w:t>
      </w:r>
      <w:r>
        <w:rPr>
          <w:rFonts w:hint="eastAsia" w:ascii="仿宋_GB2312" w:hAnsi="Times New Roman" w:eastAsia="仿宋_GB2312" w:cs="Times New Roman"/>
          <w:sz w:val="32"/>
          <w:szCs w:val="32"/>
          <w:highlight w:val="none"/>
        </w:rPr>
        <w:t>.经营支出：指事业单位在专业业务活动及其辅助活动之外开展非独立核算经营活动发生的支出。</w:t>
      </w:r>
      <w:bookmarkEnd w:id="141"/>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42" w:name="_Toc25726"/>
      <w:r>
        <w:rPr>
          <w:rFonts w:hint="eastAsia"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142"/>
    </w:p>
    <w:p>
      <w:pPr>
        <w:spacing w:line="600" w:lineRule="exact"/>
        <w:ind w:firstLine="640" w:firstLineChars="200"/>
        <w:outlineLvl w:val="1"/>
        <w:rPr>
          <w:rFonts w:hint="eastAsia" w:ascii="仿宋_GB2312" w:hAnsi="Times New Roman" w:eastAsia="仿宋_GB2312" w:cs="Times New Roman"/>
          <w:sz w:val="32"/>
          <w:szCs w:val="32"/>
          <w:highlight w:val="none"/>
        </w:rPr>
      </w:pPr>
      <w:bookmarkStart w:id="143" w:name="_Toc7479"/>
      <w:r>
        <w:rPr>
          <w:rFonts w:hint="eastAsia"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143"/>
    </w:p>
    <w:p>
      <w:pPr>
        <w:pStyle w:val="27"/>
        <w:spacing w:line="560" w:lineRule="exact"/>
        <w:ind w:firstLine="640" w:firstLineChars="200"/>
        <w:rPr>
          <w:rFonts w:ascii="仿宋_GB2312" w:eastAsia="仿宋_GB2312" w:cs="黑体"/>
          <w:color w:val="auto"/>
          <w:sz w:val="32"/>
          <w:szCs w:val="32"/>
        </w:rPr>
      </w:pPr>
    </w:p>
    <w:p>
      <w:pPr>
        <w:spacing w:line="600" w:lineRule="exact"/>
        <w:jc w:val="center"/>
        <w:outlineLvl w:val="9"/>
        <w:rPr>
          <w:rFonts w:hint="eastAsia" w:ascii="黑体" w:hAnsi="黑体" w:eastAsia="黑体"/>
          <w:sz w:val="44"/>
          <w:szCs w:val="44"/>
        </w:rPr>
      </w:pPr>
      <w:bookmarkStart w:id="144" w:name="_Toc15396614"/>
      <w:bookmarkStart w:id="145" w:name="_Toc15377226"/>
    </w:p>
    <w:p>
      <w:pPr>
        <w:spacing w:line="600" w:lineRule="exact"/>
        <w:jc w:val="center"/>
        <w:outlineLvl w:val="9"/>
        <w:rPr>
          <w:rFonts w:hint="eastAsia" w:ascii="黑体" w:hAnsi="黑体" w:eastAsia="黑体"/>
          <w:sz w:val="44"/>
          <w:szCs w:val="44"/>
        </w:rPr>
      </w:pPr>
    </w:p>
    <w:p>
      <w:pPr>
        <w:pStyle w:val="2"/>
        <w:rPr>
          <w:rFonts w:hint="eastAsia" w:ascii="黑体" w:hAnsi="黑体" w:eastAsia="黑体"/>
          <w:sz w:val="44"/>
          <w:szCs w:val="44"/>
        </w:rPr>
      </w:pPr>
    </w:p>
    <w:p>
      <w:pPr>
        <w:pStyle w:val="4"/>
        <w:rPr>
          <w:rFonts w:hint="eastAsia" w:ascii="黑体" w:hAnsi="黑体" w:eastAsia="黑体"/>
          <w:sz w:val="44"/>
          <w:szCs w:val="44"/>
        </w:rPr>
      </w:pPr>
    </w:p>
    <w:p>
      <w:pPr>
        <w:pStyle w:val="4"/>
        <w:rPr>
          <w:rFonts w:hint="eastAsia" w:ascii="黑体" w:hAnsi="黑体" w:eastAsia="黑体"/>
          <w:sz w:val="44"/>
          <w:szCs w:val="44"/>
        </w:rPr>
      </w:pPr>
    </w:p>
    <w:p>
      <w:pPr>
        <w:pStyle w:val="4"/>
        <w:rPr>
          <w:rFonts w:hint="eastAsia" w:ascii="黑体" w:hAnsi="黑体" w:eastAsia="黑体"/>
          <w:sz w:val="44"/>
          <w:szCs w:val="44"/>
        </w:rPr>
      </w:pPr>
    </w:p>
    <w:p>
      <w:pPr>
        <w:pStyle w:val="4"/>
        <w:rPr>
          <w:rFonts w:hint="eastAsia" w:ascii="黑体" w:hAnsi="黑体" w:eastAsia="黑体"/>
          <w:sz w:val="44"/>
          <w:szCs w:val="44"/>
        </w:rPr>
      </w:pPr>
    </w:p>
    <w:p>
      <w:pPr>
        <w:pStyle w:val="4"/>
        <w:rPr>
          <w:rFonts w:hint="eastAsia" w:ascii="黑体" w:hAnsi="黑体" w:eastAsia="黑体"/>
          <w:sz w:val="44"/>
          <w:szCs w:val="44"/>
        </w:rPr>
      </w:pPr>
    </w:p>
    <w:p>
      <w:pPr>
        <w:pStyle w:val="4"/>
        <w:rPr>
          <w:rFonts w:hint="eastAsia" w:ascii="黑体" w:hAnsi="黑体" w:eastAsia="黑体"/>
          <w:sz w:val="44"/>
          <w:szCs w:val="44"/>
        </w:rPr>
      </w:pPr>
    </w:p>
    <w:p>
      <w:pPr>
        <w:pStyle w:val="4"/>
        <w:rPr>
          <w:rFonts w:hint="eastAsia" w:ascii="黑体" w:hAnsi="黑体" w:eastAsia="黑体"/>
          <w:sz w:val="44"/>
          <w:szCs w:val="44"/>
        </w:rPr>
      </w:pPr>
    </w:p>
    <w:p>
      <w:pPr>
        <w:pStyle w:val="4"/>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pStyle w:val="6"/>
        <w:jc w:val="center"/>
        <w:rPr>
          <w:rFonts w:hint="eastAsia" w:ascii="黑体" w:hAnsi="黑体" w:eastAsia="黑体" w:cs="Times New Roman"/>
          <w:b w:val="0"/>
          <w:lang w:eastAsia="zh-CN"/>
        </w:rPr>
      </w:pPr>
      <w:bookmarkStart w:id="146" w:name="_Toc18660"/>
      <w:r>
        <w:rPr>
          <w:rFonts w:hint="eastAsia" w:ascii="黑体" w:hAnsi="黑体" w:eastAsia="黑体" w:cs="Times New Roman"/>
          <w:b w:val="0"/>
          <w:lang w:eastAsia="zh-CN"/>
        </w:rPr>
        <w:t>第四部分 附件</w:t>
      </w:r>
      <w:bookmarkEnd w:id="144"/>
      <w:bookmarkEnd w:id="146"/>
    </w:p>
    <w:p>
      <w:pPr>
        <w:spacing w:line="572" w:lineRule="exact"/>
        <w:jc w:val="left"/>
        <w:outlineLvl w:val="1"/>
        <w:rPr>
          <w:rFonts w:ascii="方正小标宋简体" w:hAnsi="方正小标宋简体" w:eastAsia="方正小标宋简体" w:cs="方正小标宋简体"/>
          <w:sz w:val="44"/>
          <w:szCs w:val="44"/>
        </w:rPr>
      </w:pPr>
      <w:bookmarkStart w:id="147" w:name="_Toc26690"/>
      <w:r>
        <w:rPr>
          <w:rFonts w:hint="eastAsia" w:ascii="黑体" w:hAnsi="黑体" w:eastAsia="黑体" w:cs="黑体"/>
          <w:sz w:val="32"/>
          <w:szCs w:val="32"/>
        </w:rPr>
        <w:t>附件</w:t>
      </w:r>
      <w:bookmarkEnd w:id="147"/>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2023年</w:t>
      </w:r>
      <w:r>
        <w:rPr>
          <w:rFonts w:hint="eastAsia" w:ascii="宋体" w:hAnsi="宋体"/>
          <w:b/>
          <w:sz w:val="32"/>
          <w:szCs w:val="32"/>
          <w:shd w:val="clear" w:color="auto" w:fill="FFFFFF"/>
          <w:lang w:eastAsia="zh-CN"/>
        </w:rPr>
        <w:t>剑阁县教育局</w:t>
      </w:r>
      <w:r>
        <w:rPr>
          <w:rFonts w:hint="eastAsia" w:ascii="宋体" w:hAnsi="宋体"/>
          <w:b/>
          <w:sz w:val="32"/>
          <w:szCs w:val="32"/>
          <w:shd w:val="clear" w:color="auto" w:fill="FFFFFF"/>
        </w:rPr>
        <w:t>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3"/>
        </w:numPr>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lang w:val="zh-CN"/>
        </w:rPr>
      </w:pPr>
      <w:bookmarkStart w:id="148" w:name="_Toc30500"/>
      <w:r>
        <w:rPr>
          <w:rFonts w:hint="eastAsia" w:ascii="黑体" w:hAnsi="宋体" w:eastAsia="黑体" w:cs="宋体"/>
          <w:kern w:val="0"/>
          <w:sz w:val="32"/>
          <w:szCs w:val="32"/>
          <w:shd w:val="clear" w:color="auto" w:fill="FFFFFF"/>
          <w:lang w:val="zh-CN"/>
        </w:rPr>
        <w:t>部门（单位）基本情况</w:t>
      </w:r>
      <w:bookmarkEnd w:id="148"/>
    </w:p>
    <w:p>
      <w:pPr>
        <w:widowControl/>
        <w:numPr>
          <w:ilvl w:val="0"/>
          <w:numId w:val="4"/>
        </w:numPr>
        <w:adjustRightInd w:val="0"/>
        <w:snapToGrid w:val="0"/>
        <w:spacing w:line="560" w:lineRule="exact"/>
        <w:ind w:firstLine="643" w:firstLineChars="200"/>
        <w:contextualSpacing/>
        <w:jc w:val="left"/>
        <w:outlineLvl w:val="2"/>
        <w:rPr>
          <w:rFonts w:hint="eastAsia" w:ascii="楷体_GB2312" w:hAnsi="楷体_GB2312" w:eastAsia="楷体_GB2312" w:cs="楷体_GB2312"/>
          <w:b/>
          <w:bCs/>
          <w:kern w:val="0"/>
          <w:sz w:val="32"/>
          <w:szCs w:val="32"/>
          <w:shd w:val="clear" w:color="auto" w:fill="FFFFFF"/>
          <w:lang w:val="zh-CN"/>
        </w:rPr>
      </w:pPr>
      <w:bookmarkStart w:id="149" w:name="_Toc18176"/>
      <w:r>
        <w:rPr>
          <w:rFonts w:hint="eastAsia" w:ascii="楷体_GB2312" w:hAnsi="楷体_GB2312" w:eastAsia="楷体_GB2312" w:cs="楷体_GB2312"/>
          <w:b/>
          <w:bCs/>
          <w:kern w:val="0"/>
          <w:sz w:val="32"/>
          <w:szCs w:val="32"/>
          <w:shd w:val="clear" w:color="auto" w:fill="FFFFFF"/>
          <w:lang w:val="zh-CN"/>
        </w:rPr>
        <w:t>机构组成。</w:t>
      </w:r>
      <w:bookmarkEnd w:id="14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lang w:val="zh-CN"/>
        </w:rPr>
      </w:pPr>
      <w:r>
        <w:rPr>
          <w:rFonts w:hint="eastAsia" w:ascii="仿宋" w:hAnsi="仿宋" w:eastAsia="仿宋" w:cs="仿宋"/>
          <w:color w:val="000000"/>
          <w:kern w:val="0"/>
          <w:sz w:val="32"/>
          <w:szCs w:val="32"/>
          <w:shd w:val="clear" w:color="auto" w:fill="FFFFFF"/>
          <w:lang w:val="zh-CN" w:eastAsia="zh-CN" w:bidi="ar-SA"/>
        </w:rPr>
        <w:t>20</w:t>
      </w:r>
      <w:r>
        <w:rPr>
          <w:rFonts w:hint="eastAsia" w:ascii="仿宋" w:hAnsi="仿宋" w:eastAsia="仿宋" w:cs="仿宋"/>
          <w:color w:val="000000"/>
          <w:kern w:val="0"/>
          <w:sz w:val="32"/>
          <w:szCs w:val="32"/>
          <w:shd w:val="clear" w:color="auto" w:fill="FFFFFF"/>
          <w:lang w:val="en-US" w:eastAsia="zh-CN" w:bidi="ar-SA"/>
        </w:rPr>
        <w:t>22</w:t>
      </w:r>
      <w:r>
        <w:rPr>
          <w:rFonts w:hint="eastAsia" w:ascii="仿宋" w:hAnsi="仿宋" w:eastAsia="仿宋" w:cs="仿宋"/>
          <w:color w:val="000000"/>
          <w:kern w:val="0"/>
          <w:sz w:val="32"/>
          <w:szCs w:val="32"/>
          <w:shd w:val="clear" w:color="auto" w:fill="FFFFFF"/>
          <w:lang w:val="zh-CN" w:eastAsia="zh-CN" w:bidi="ar-SA"/>
        </w:rPr>
        <w:t>年末，剑阁县教育局下属二级预算单位</w:t>
      </w:r>
      <w:r>
        <w:rPr>
          <w:rFonts w:hint="eastAsia" w:ascii="仿宋" w:hAnsi="仿宋" w:eastAsia="仿宋" w:cs="仿宋"/>
          <w:color w:val="000000"/>
          <w:kern w:val="0"/>
          <w:sz w:val="32"/>
          <w:szCs w:val="32"/>
          <w:shd w:val="clear" w:color="auto" w:fill="FFFFFF"/>
          <w:lang w:val="en-US" w:eastAsia="zh-CN" w:bidi="ar-SA"/>
        </w:rPr>
        <w:t>89</w:t>
      </w:r>
      <w:r>
        <w:rPr>
          <w:rFonts w:hint="eastAsia" w:ascii="仿宋" w:hAnsi="仿宋" w:eastAsia="仿宋" w:cs="仿宋"/>
          <w:color w:val="000000"/>
          <w:kern w:val="0"/>
          <w:sz w:val="32"/>
          <w:szCs w:val="32"/>
          <w:shd w:val="clear" w:color="auto" w:fill="FFFFFF"/>
          <w:lang w:val="zh-CN" w:eastAsia="zh-CN" w:bidi="ar-SA"/>
        </w:rPr>
        <w:t>个，其中行政单位</w:t>
      </w:r>
      <w:r>
        <w:rPr>
          <w:rFonts w:hint="eastAsia" w:ascii="仿宋" w:hAnsi="仿宋" w:eastAsia="仿宋" w:cs="仿宋"/>
          <w:color w:val="000000"/>
          <w:kern w:val="0"/>
          <w:sz w:val="32"/>
          <w:szCs w:val="32"/>
          <w:shd w:val="clear" w:color="auto" w:fill="FFFFFF"/>
          <w:lang w:val="en-US" w:eastAsia="zh-CN" w:bidi="ar-SA"/>
        </w:rPr>
        <w:t>1</w:t>
      </w:r>
      <w:r>
        <w:rPr>
          <w:rFonts w:hint="eastAsia" w:ascii="仿宋" w:hAnsi="仿宋" w:eastAsia="仿宋" w:cs="仿宋"/>
          <w:color w:val="000000"/>
          <w:kern w:val="0"/>
          <w:sz w:val="32"/>
          <w:szCs w:val="32"/>
          <w:shd w:val="clear" w:color="auto" w:fill="FFFFFF"/>
          <w:lang w:val="zh-CN" w:eastAsia="zh-CN" w:bidi="ar-SA"/>
        </w:rPr>
        <w:t>个（</w:t>
      </w:r>
      <w:r>
        <w:rPr>
          <w:rFonts w:hint="eastAsia" w:ascii="仿宋" w:hAnsi="仿宋" w:eastAsia="仿宋" w:cs="仿宋"/>
          <w:color w:val="000000"/>
          <w:kern w:val="0"/>
          <w:sz w:val="32"/>
          <w:szCs w:val="32"/>
          <w:shd w:val="clear" w:color="auto" w:fill="FFFFFF"/>
          <w:lang w:val="en-US" w:eastAsia="zh-CN" w:bidi="ar-SA"/>
        </w:rPr>
        <w:t>剑阁县教育局机关</w:t>
      </w:r>
      <w:r>
        <w:rPr>
          <w:rFonts w:hint="eastAsia" w:ascii="仿宋" w:hAnsi="仿宋" w:eastAsia="仿宋" w:cs="仿宋"/>
          <w:color w:val="000000"/>
          <w:kern w:val="0"/>
          <w:sz w:val="32"/>
          <w:szCs w:val="32"/>
          <w:shd w:val="clear" w:color="auto" w:fill="FFFFFF"/>
          <w:lang w:val="zh-CN" w:eastAsia="zh-CN" w:bidi="ar-SA"/>
        </w:rPr>
        <w:t>），参照公务员法管理的事业单位</w:t>
      </w:r>
      <w:r>
        <w:rPr>
          <w:rFonts w:hint="eastAsia" w:ascii="仿宋" w:hAnsi="仿宋" w:eastAsia="仿宋" w:cs="仿宋"/>
          <w:color w:val="000000"/>
          <w:kern w:val="0"/>
          <w:sz w:val="32"/>
          <w:szCs w:val="32"/>
          <w:shd w:val="clear" w:color="auto" w:fill="FFFFFF"/>
          <w:lang w:val="en-US" w:eastAsia="zh-CN" w:bidi="ar-SA"/>
        </w:rPr>
        <w:t>0</w:t>
      </w:r>
      <w:r>
        <w:rPr>
          <w:rFonts w:hint="eastAsia" w:ascii="仿宋" w:hAnsi="仿宋" w:eastAsia="仿宋" w:cs="仿宋"/>
          <w:color w:val="000000"/>
          <w:kern w:val="0"/>
          <w:sz w:val="32"/>
          <w:szCs w:val="32"/>
          <w:shd w:val="clear" w:color="auto" w:fill="FFFFFF"/>
          <w:lang w:val="zh-CN" w:eastAsia="zh-CN" w:bidi="ar-SA"/>
        </w:rPr>
        <w:t>个，行政类事业单位</w:t>
      </w:r>
      <w:r>
        <w:rPr>
          <w:rFonts w:hint="eastAsia" w:ascii="仿宋" w:hAnsi="仿宋" w:eastAsia="仿宋" w:cs="仿宋"/>
          <w:color w:val="000000"/>
          <w:kern w:val="0"/>
          <w:sz w:val="32"/>
          <w:szCs w:val="32"/>
          <w:shd w:val="clear" w:color="auto" w:fill="FFFFFF"/>
          <w:lang w:val="en-US" w:eastAsia="zh-CN" w:bidi="ar-SA"/>
        </w:rPr>
        <w:t>0</w:t>
      </w:r>
      <w:r>
        <w:rPr>
          <w:rFonts w:hint="eastAsia" w:ascii="仿宋" w:hAnsi="仿宋" w:eastAsia="仿宋" w:cs="仿宋"/>
          <w:color w:val="000000"/>
          <w:kern w:val="0"/>
          <w:sz w:val="32"/>
          <w:szCs w:val="32"/>
          <w:shd w:val="clear" w:color="auto" w:fill="FFFFFF"/>
          <w:lang w:val="zh-CN" w:eastAsia="zh-CN" w:bidi="ar-SA"/>
        </w:rPr>
        <w:t>个，事业单位</w:t>
      </w:r>
      <w:r>
        <w:rPr>
          <w:rFonts w:hint="eastAsia" w:ascii="仿宋" w:hAnsi="仿宋" w:eastAsia="仿宋" w:cs="仿宋"/>
          <w:color w:val="000000"/>
          <w:kern w:val="0"/>
          <w:sz w:val="32"/>
          <w:szCs w:val="32"/>
          <w:shd w:val="clear" w:color="auto" w:fill="FFFFFF"/>
          <w:lang w:val="en-US" w:eastAsia="zh-CN" w:bidi="ar-SA"/>
        </w:rPr>
        <w:t>88</w:t>
      </w:r>
      <w:r>
        <w:rPr>
          <w:rFonts w:hint="eastAsia" w:ascii="仿宋" w:hAnsi="仿宋" w:eastAsia="仿宋" w:cs="仿宋"/>
          <w:color w:val="000000"/>
          <w:kern w:val="0"/>
          <w:sz w:val="32"/>
          <w:szCs w:val="32"/>
          <w:shd w:val="clear" w:color="auto" w:fill="FFFFFF"/>
          <w:lang w:val="zh-CN" w:eastAsia="zh-CN" w:bidi="ar-SA"/>
        </w:rPr>
        <w:t>个，生产经营类事业单位</w:t>
      </w:r>
      <w:r>
        <w:rPr>
          <w:rFonts w:hint="eastAsia" w:ascii="仿宋" w:hAnsi="仿宋" w:eastAsia="仿宋" w:cs="仿宋"/>
          <w:color w:val="000000"/>
          <w:kern w:val="0"/>
          <w:sz w:val="32"/>
          <w:szCs w:val="32"/>
          <w:shd w:val="clear" w:color="auto" w:fill="FFFFFF"/>
          <w:lang w:val="en-US" w:eastAsia="zh-CN" w:bidi="ar-SA"/>
        </w:rPr>
        <w:t>0</w:t>
      </w:r>
      <w:r>
        <w:rPr>
          <w:rFonts w:hint="eastAsia" w:ascii="仿宋" w:hAnsi="仿宋" w:eastAsia="仿宋" w:cs="仿宋"/>
          <w:color w:val="000000"/>
          <w:kern w:val="0"/>
          <w:sz w:val="32"/>
          <w:szCs w:val="32"/>
          <w:shd w:val="clear" w:color="auto" w:fill="FFFFFF"/>
          <w:lang w:val="zh-CN" w:eastAsia="zh-CN" w:bidi="ar-SA"/>
        </w:rPr>
        <w:t>个，暂未明确类别</w:t>
      </w:r>
      <w:r>
        <w:rPr>
          <w:rFonts w:hint="eastAsia" w:ascii="仿宋" w:hAnsi="仿宋" w:eastAsia="仿宋" w:cs="仿宋"/>
          <w:color w:val="000000"/>
          <w:kern w:val="0"/>
          <w:sz w:val="32"/>
          <w:szCs w:val="32"/>
          <w:shd w:val="clear" w:color="auto" w:fill="FFFFFF"/>
          <w:lang w:val="en-US" w:eastAsia="zh-CN" w:bidi="ar-SA"/>
        </w:rPr>
        <w:t>0</w:t>
      </w:r>
      <w:r>
        <w:rPr>
          <w:rFonts w:hint="eastAsia" w:ascii="仿宋" w:hAnsi="仿宋" w:eastAsia="仿宋" w:cs="仿宋"/>
          <w:color w:val="000000"/>
          <w:kern w:val="0"/>
          <w:sz w:val="32"/>
          <w:szCs w:val="32"/>
          <w:shd w:val="clear" w:color="auto" w:fill="FFFFFF"/>
          <w:lang w:val="zh-CN" w:eastAsia="zh-CN" w:bidi="ar-SA"/>
        </w:rPr>
        <w:t>个。</w:t>
      </w:r>
    </w:p>
    <w:p>
      <w:pPr>
        <w:widowControl/>
        <w:numPr>
          <w:ilvl w:val="0"/>
          <w:numId w:val="4"/>
        </w:numPr>
        <w:adjustRightInd w:val="0"/>
        <w:snapToGrid w:val="0"/>
        <w:spacing w:line="560" w:lineRule="exact"/>
        <w:ind w:firstLine="643" w:firstLineChars="200"/>
        <w:contextualSpacing/>
        <w:jc w:val="left"/>
        <w:outlineLvl w:val="2"/>
        <w:rPr>
          <w:rFonts w:ascii="楷体_GB2312" w:hAnsi="楷体_GB2312" w:eastAsia="楷体_GB2312" w:cs="楷体_GB2312"/>
          <w:b/>
          <w:bCs/>
          <w:kern w:val="0"/>
          <w:sz w:val="32"/>
          <w:szCs w:val="32"/>
          <w:shd w:val="clear" w:color="auto" w:fill="FFFFFF"/>
          <w:lang w:val="zh-CN"/>
        </w:rPr>
      </w:pPr>
      <w:bookmarkStart w:id="150" w:name="_Toc22423"/>
      <w:r>
        <w:rPr>
          <w:rFonts w:hint="eastAsia" w:ascii="楷体_GB2312" w:hAnsi="楷体_GB2312" w:eastAsia="楷体_GB2312" w:cs="楷体_GB2312"/>
          <w:b/>
          <w:bCs/>
          <w:kern w:val="0"/>
          <w:sz w:val="32"/>
          <w:szCs w:val="32"/>
          <w:shd w:val="clear" w:color="auto" w:fill="FFFFFF"/>
          <w:lang w:val="zh-CN"/>
        </w:rPr>
        <w:t>机构职能和人员概况。</w:t>
      </w:r>
      <w:bookmarkEnd w:id="15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1.贯彻执行中国共产党和国家教育工作的方针、政策和法律法规，负责起草有关政策规定并监督实施。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2.拟定全县教育体制改革政策和教育事业发展规划，负责各级各类教育的统筹规划和协调管理，指导各级各类学校的教育教学改革和中小学布局结构的调整，负责全县教育系统基本信息的统计、分析、发布工作，指导教育信息化建设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3.负责义务教育的宏观指导与协调，推进全县义务教育均衡发展和促进教育公平，指导普通高中教育、幼儿教育和特殊教育工作，推进基础教育教学改革，全面实施素质教育。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4.统筹和指导全县教育督导工作，负责组织和指导对中等及中等以下教育、扫除青壮年文盲工作的督导检查和评估验收工作，指导基础教育发展水平和质量的监测工作。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5.协调、指导高等教育和以就业为导向的职业教育的发展与改革，组织实施民族地区免费中等职业教育工作。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6.负责本部门教育经费的统筹管理，参与拟订筹措教育经费、教育拨款、教育基建投资的政策措施，监督全县教育经费的筹措和使用情况，指导国(境)外教育援助、教育贷款和教育合作项目的执行。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7.指导少数民族教育工作，协调对少数民族地区的教育援助。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8.统筹规划、综合管理全县民办教育，规范民办教育办学秩序，促进民办教育事业健康发展。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9.主管全县教师工作，负责实施教师继续教育和专业技术职务资格评审的有关工作，组织指导教师资格制度的实施和教育系统人才队伍建设，会同有关部门加强县直属学校领导班子建设。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10.指导各级各类学校的思想政治、德育、体育卫生与艺术教育、国防教育、安全和稳定工作。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11.贯彻执行国家语言文字工作的方针政策，拟定语言文字工作中长期规划和工作计划，指导普通话推广和普通话师资培训工作。承担剑阁县语言文字工作委员会的具体工作。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12.组织指导教育系统对外交流与合作，负责全县出国留学人员和教育系统来剑外籍教师、专家及留学人员的有关管理工作。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13.负责普通高校、成人高校、中等专业学校的招生考试工作和高等教育自学考试工作。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14.承担剑阁县政府公布的有关行政审批事项。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仿宋" w:hAnsi="仿宋" w:eastAsia="仿宋" w:cs="仿宋"/>
          <w:color w:val="000000"/>
          <w:kern w:val="0"/>
          <w:sz w:val="32"/>
          <w:szCs w:val="32"/>
          <w:shd w:val="clear" w:color="auto" w:fill="FFFFFF"/>
          <w:lang w:val="en-US" w:eastAsia="zh-CN" w:bidi="ar-SA"/>
        </w:rPr>
        <w:t>15.承办剑阁县政府交办的其他事项。</w:t>
      </w:r>
    </w:p>
    <w:p>
      <w:pPr>
        <w:widowControl/>
        <w:adjustRightInd w:val="0"/>
        <w:snapToGrid w:val="0"/>
        <w:spacing w:line="560" w:lineRule="exact"/>
        <w:ind w:firstLine="643" w:firstLineChars="200"/>
        <w:contextualSpacing/>
        <w:jc w:val="left"/>
        <w:outlineLvl w:val="2"/>
        <w:rPr>
          <w:rFonts w:hint="eastAsia" w:ascii="楷体_GB2312" w:hAnsi="楷体_GB2312" w:eastAsia="楷体_GB2312" w:cs="楷体_GB2312"/>
          <w:b/>
          <w:bCs/>
          <w:kern w:val="0"/>
          <w:sz w:val="32"/>
          <w:szCs w:val="32"/>
          <w:shd w:val="clear" w:color="auto" w:fill="FFFFFF"/>
          <w:lang w:val="zh-CN"/>
        </w:rPr>
      </w:pPr>
      <w:bookmarkStart w:id="151" w:name="_Toc1087"/>
      <w:r>
        <w:rPr>
          <w:rFonts w:hint="eastAsia" w:ascii="楷体_GB2312" w:hAnsi="楷体_GB2312" w:eastAsia="楷体_GB2312" w:cs="楷体_GB2312"/>
          <w:b/>
          <w:bCs/>
          <w:kern w:val="0"/>
          <w:sz w:val="32"/>
          <w:szCs w:val="32"/>
          <w:shd w:val="clear" w:color="auto" w:fill="FFFFFF"/>
          <w:lang w:val="zh-CN"/>
        </w:rPr>
        <w:t>（三）年度主要工作任务。</w:t>
      </w:r>
      <w:bookmarkEnd w:id="151"/>
    </w:p>
    <w:p>
      <w:pPr>
        <w:pStyle w:val="2"/>
        <w:rPr>
          <w:lang w:val="zh-CN"/>
        </w:rPr>
      </w:pPr>
      <w:r>
        <w:rPr>
          <w:rFonts w:hint="eastAsia" w:ascii="仿宋_GB2312" w:hAnsi="仿宋_GB2312" w:eastAsia="仿宋_GB2312" w:cs="仿宋_GB2312"/>
          <w:color w:val="000000"/>
          <w:sz w:val="32"/>
          <w:szCs w:val="32"/>
          <w:lang w:val="en-US" w:eastAsia="zh-CN"/>
        </w:rPr>
        <w:t>全县教育系统</w:t>
      </w:r>
      <w:r>
        <w:rPr>
          <w:rFonts w:hint="eastAsia" w:ascii="仿宋_GB2312" w:hAnsi="仿宋_GB2312" w:eastAsia="仿宋_GB2312" w:cs="仿宋_GB2312"/>
          <w:b w:val="0"/>
          <w:bCs/>
          <w:color w:val="000000"/>
          <w:kern w:val="2"/>
          <w:sz w:val="32"/>
          <w:szCs w:val="32"/>
          <w:lang w:val="en-US" w:eastAsia="zh-CN"/>
        </w:rPr>
        <w:t>坚持以习近平</w:t>
      </w:r>
      <w:r>
        <w:rPr>
          <w:rFonts w:hint="eastAsia" w:ascii="仿宋_GB2312" w:hAnsi="仿宋_GB2312" w:eastAsia="仿宋_GB2312" w:cs="仿宋_GB2312"/>
          <w:color w:val="000000"/>
          <w:sz w:val="32"/>
          <w:szCs w:val="32"/>
          <w:lang w:val="en-US" w:eastAsia="zh-CN"/>
        </w:rPr>
        <w:t>新时代中国特色社会主义思想和习近平总书记关于教育的系列重要论述为指导，</w:t>
      </w:r>
      <w:r>
        <w:rPr>
          <w:rFonts w:hint="eastAsia" w:ascii="仿宋_GB2312" w:hAnsi="仿宋_GB2312" w:eastAsia="仿宋_GB2312" w:cs="仿宋_GB2312"/>
          <w:b w:val="0"/>
          <w:bCs/>
          <w:color w:val="000000"/>
          <w:kern w:val="2"/>
          <w:sz w:val="32"/>
          <w:szCs w:val="32"/>
          <w:lang w:val="en-US" w:eastAsia="zh-CN"/>
        </w:rPr>
        <w:t>全面贯彻</w:t>
      </w:r>
      <w:r>
        <w:rPr>
          <w:rFonts w:hint="eastAsia" w:ascii="仿宋_GB2312" w:hAnsi="仿宋_GB2312" w:eastAsia="仿宋_GB2312" w:cs="仿宋_GB2312"/>
          <w:color w:val="000000"/>
          <w:sz w:val="32"/>
          <w:szCs w:val="32"/>
          <w:lang w:val="en-US" w:eastAsia="zh-CN"/>
        </w:rPr>
        <w:t>党的教育方针政策</w:t>
      </w:r>
      <w:r>
        <w:rPr>
          <w:rFonts w:hint="eastAsia" w:ascii="仿宋_GB2312" w:hAnsi="仿宋_GB2312" w:eastAsia="仿宋_GB2312" w:cs="仿宋_GB2312"/>
          <w:b w:val="0"/>
          <w:bCs/>
          <w:color w:val="000000"/>
          <w:kern w:val="2"/>
          <w:sz w:val="32"/>
          <w:szCs w:val="32"/>
          <w:lang w:val="en-US" w:eastAsia="zh-CN"/>
        </w:rPr>
        <w:t>，落实立德树人根本任务，紧紧围绕“1233”执政兴县战略，锚定“教育强县”目标，深入实施教育提质工程，办人民满意教育，努力让剑阁孩子在家门口就能享受更加公平优质的教育。</w:t>
      </w:r>
    </w:p>
    <w:p>
      <w:pPr>
        <w:widowControl/>
        <w:adjustRightInd w:val="0"/>
        <w:snapToGrid w:val="0"/>
        <w:spacing w:line="560" w:lineRule="exact"/>
        <w:ind w:firstLine="643" w:firstLineChars="200"/>
        <w:contextualSpacing/>
        <w:jc w:val="left"/>
        <w:outlineLvl w:val="2"/>
        <w:rPr>
          <w:rFonts w:hint="eastAsia" w:ascii="楷体_GB2312" w:hAnsi="楷体_GB2312" w:eastAsia="楷体_GB2312" w:cs="楷体_GB2312"/>
          <w:b/>
          <w:bCs/>
          <w:kern w:val="0"/>
          <w:sz w:val="32"/>
          <w:szCs w:val="32"/>
          <w:shd w:val="clear" w:color="auto" w:fill="FFFFFF"/>
          <w:lang w:val="zh-CN"/>
        </w:rPr>
      </w:pPr>
      <w:bookmarkStart w:id="152" w:name="_Toc1579"/>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四</w:t>
      </w:r>
      <w:r>
        <w:rPr>
          <w:rFonts w:hint="eastAsia" w:ascii="楷体_GB2312" w:hAnsi="楷体_GB2312" w:eastAsia="楷体_GB2312" w:cs="楷体_GB2312"/>
          <w:b/>
          <w:bCs/>
          <w:kern w:val="0"/>
          <w:sz w:val="32"/>
          <w:szCs w:val="32"/>
          <w:shd w:val="clear" w:color="auto" w:fill="FFFFFF"/>
          <w:lang w:val="zh-CN"/>
        </w:rPr>
        <w:t>）部门整体支出绩效目标。</w:t>
      </w:r>
      <w:bookmarkEnd w:id="152"/>
    </w:p>
    <w:p>
      <w:pPr>
        <w:pStyle w:val="2"/>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紧紧围绕县委县府中心工作，以推进教育现代化为目标，扎实推进我县教育振兴重点工作，锚定教育强县总目标，推动全县教育各项工作取得新突破新进展，全县教育事业呈现出良好的发展态势。</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153" w:name="_Toc16174"/>
      <w:r>
        <w:rPr>
          <w:rFonts w:hint="eastAsia" w:ascii="黑体" w:hAnsi="宋体" w:eastAsia="黑体" w:cs="宋体"/>
          <w:kern w:val="0"/>
          <w:sz w:val="32"/>
          <w:szCs w:val="32"/>
          <w:shd w:val="clear" w:color="auto" w:fill="FFFFFF"/>
        </w:rPr>
        <w:t>二、部门资金收支情况</w:t>
      </w:r>
      <w:bookmarkEnd w:id="153"/>
    </w:p>
    <w:p>
      <w:pPr>
        <w:widowControl/>
        <w:adjustRightInd w:val="0"/>
        <w:snapToGrid w:val="0"/>
        <w:spacing w:line="560" w:lineRule="exact"/>
        <w:ind w:firstLine="643" w:firstLineChars="200"/>
        <w:contextualSpacing/>
        <w:jc w:val="left"/>
        <w:outlineLvl w:val="2"/>
        <w:rPr>
          <w:rFonts w:ascii="楷体_GB2312" w:hAnsi="楷体_GB2312" w:eastAsia="楷体_GB2312" w:cs="楷体_GB2312"/>
          <w:b/>
          <w:bCs/>
          <w:kern w:val="0"/>
          <w:sz w:val="32"/>
          <w:szCs w:val="32"/>
          <w:shd w:val="clear" w:color="auto" w:fill="FFFFFF"/>
          <w:lang w:val="zh-CN"/>
        </w:rPr>
      </w:pPr>
      <w:bookmarkStart w:id="154" w:name="_Toc5248"/>
      <w:r>
        <w:rPr>
          <w:rFonts w:hint="eastAsia" w:ascii="楷体_GB2312" w:hAnsi="楷体_GB2312" w:eastAsia="楷体_GB2312" w:cs="楷体_GB2312"/>
          <w:b/>
          <w:bCs/>
          <w:kern w:val="0"/>
          <w:sz w:val="32"/>
          <w:szCs w:val="32"/>
          <w:shd w:val="clear" w:color="auto" w:fill="FFFFFF"/>
          <w:lang w:val="zh-CN"/>
        </w:rPr>
        <w:t>（一）部门总体收支情况。</w:t>
      </w:r>
      <w:bookmarkEnd w:id="154"/>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1.部门总体收入情况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highlight w:val="yellow"/>
          <w:lang w:val="zh-CN" w:eastAsia="zh-CN"/>
        </w:rPr>
      </w:pPr>
      <w:r>
        <w:rPr>
          <w:rFonts w:hint="eastAsia" w:ascii="仿宋_GB2312" w:hAnsi="仿宋_GB2312" w:eastAsia="仿宋_GB2312" w:cs="仿宋_GB2312"/>
          <w:color w:val="000000"/>
          <w:sz w:val="32"/>
          <w:szCs w:val="32"/>
          <w:highlight w:val="none"/>
          <w:lang w:val="zh-CN" w:eastAsia="zh-CN"/>
        </w:rPr>
        <w:t>我</w:t>
      </w:r>
      <w:r>
        <w:rPr>
          <w:rFonts w:hint="eastAsia" w:hAnsi="仿宋_GB2312" w:eastAsia="仿宋_GB2312" w:cs="仿宋_GB2312"/>
          <w:color w:val="000000"/>
          <w:sz w:val="32"/>
          <w:szCs w:val="32"/>
          <w:highlight w:val="none"/>
          <w:lang w:val="en-US" w:eastAsia="zh-CN"/>
        </w:rPr>
        <w:t>部门</w:t>
      </w:r>
      <w:r>
        <w:rPr>
          <w:rFonts w:hint="eastAsia" w:ascii="仿宋_GB2312" w:hAnsi="仿宋_GB2312" w:eastAsia="仿宋_GB2312" w:cs="仿宋_GB2312"/>
          <w:color w:val="000000"/>
          <w:sz w:val="32"/>
          <w:szCs w:val="32"/>
          <w:highlight w:val="none"/>
          <w:lang w:val="zh-CN"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zh-CN" w:eastAsia="zh-CN"/>
        </w:rPr>
        <w:t>年收入89693.75</w:t>
      </w:r>
      <w:r>
        <w:rPr>
          <w:rFonts w:hint="eastAsia" w:hAnsi="仿宋_GB2312" w:eastAsia="仿宋_GB2312" w:cs="仿宋_GB2312"/>
          <w:color w:val="000000"/>
          <w:sz w:val="32"/>
          <w:szCs w:val="32"/>
          <w:highlight w:val="none"/>
          <w:lang w:val="en-US" w:eastAsia="zh-CN"/>
        </w:rPr>
        <w:t>万</w:t>
      </w:r>
      <w:r>
        <w:rPr>
          <w:rFonts w:hint="eastAsia" w:ascii="仿宋_GB2312" w:hAnsi="仿宋_GB2312" w:eastAsia="仿宋_GB2312" w:cs="仿宋_GB2312"/>
          <w:color w:val="000000"/>
          <w:sz w:val="32"/>
          <w:szCs w:val="32"/>
          <w:highlight w:val="none"/>
          <w:lang w:val="zh-CN" w:eastAsia="zh-CN"/>
        </w:rPr>
        <w:t>元</w:t>
      </w:r>
      <w:r>
        <w:rPr>
          <w:rFonts w:hint="eastAsia" w:hAnsi="仿宋_GB2312" w:eastAsia="仿宋_GB2312" w:cs="仿宋_GB2312"/>
          <w:color w:val="000000"/>
          <w:sz w:val="32"/>
          <w:szCs w:val="32"/>
          <w:highlight w:val="none"/>
          <w:lang w:val="zh-CN" w:eastAsia="zh-CN"/>
        </w:rPr>
        <w:t>。</w:t>
      </w:r>
      <w:r>
        <w:rPr>
          <w:rFonts w:hint="eastAsia" w:ascii="仿宋" w:hAnsi="仿宋" w:eastAsia="仿宋"/>
          <w:sz w:val="32"/>
          <w:szCs w:val="32"/>
          <w:highlight w:val="none"/>
        </w:rPr>
        <w:t>一</w:t>
      </w:r>
      <w:r>
        <w:rPr>
          <w:rFonts w:hint="eastAsia" w:ascii="仿宋" w:hAnsi="仿宋" w:eastAsia="仿宋"/>
          <w:sz w:val="32"/>
          <w:szCs w:val="32"/>
        </w:rPr>
        <w:t>般公共预算财政拨款收入83319.99万元政府性基金预算财政拨款收入3161.5万元</w:t>
      </w:r>
      <w:r>
        <w:rPr>
          <w:rFonts w:hint="eastAsia" w:ascii="仿宋" w:hAnsi="仿宋" w:eastAsia="仿宋"/>
          <w:sz w:val="32"/>
          <w:szCs w:val="32"/>
          <w:lang w:eastAsia="zh-CN"/>
        </w:rPr>
        <w:t>，</w:t>
      </w:r>
      <w:r>
        <w:rPr>
          <w:rFonts w:hint="eastAsia" w:ascii="仿宋" w:hAnsi="仿宋" w:eastAsia="仿宋"/>
          <w:sz w:val="32"/>
          <w:szCs w:val="32"/>
        </w:rPr>
        <w:t>事业收入1534.62万元</w:t>
      </w:r>
      <w:r>
        <w:rPr>
          <w:rFonts w:hint="eastAsia" w:ascii="仿宋" w:hAnsi="仿宋" w:eastAsia="仿宋"/>
          <w:sz w:val="32"/>
          <w:szCs w:val="32"/>
          <w:lang w:eastAsia="zh-CN"/>
        </w:rPr>
        <w:t>，</w:t>
      </w:r>
      <w:r>
        <w:rPr>
          <w:rFonts w:hint="eastAsia" w:ascii="仿宋" w:hAnsi="仿宋" w:eastAsia="仿宋"/>
          <w:sz w:val="32"/>
          <w:szCs w:val="32"/>
        </w:rPr>
        <w:t>其他收入</w:t>
      </w:r>
      <w:r>
        <w:rPr>
          <w:rFonts w:hint="eastAsia" w:ascii="仿宋" w:hAnsi="仿宋" w:eastAsia="仿宋"/>
          <w:sz w:val="32"/>
          <w:szCs w:val="32"/>
          <w:lang w:val="en-US" w:eastAsia="zh-CN"/>
        </w:rPr>
        <w:t>0.3</w:t>
      </w:r>
      <w:r>
        <w:rPr>
          <w:rFonts w:hint="eastAsia" w:ascii="仿宋" w:hAnsi="仿宋" w:eastAsia="仿宋"/>
          <w:sz w:val="32"/>
          <w:szCs w:val="32"/>
        </w:rPr>
        <w:t>万元，</w:t>
      </w:r>
      <w:r>
        <w:rPr>
          <w:rFonts w:hint="eastAsia" w:ascii="仿宋" w:hAnsi="仿宋" w:eastAsia="仿宋"/>
          <w:sz w:val="32"/>
          <w:szCs w:val="32"/>
          <w:lang w:val="en-US" w:eastAsia="zh-CN"/>
        </w:rPr>
        <w:t>上年结转1677.34万元。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_GB2312" w:eastAsia="仿宋_GB2312" w:cs="仿宋_GB2312"/>
          <w:color w:val="000000"/>
          <w:sz w:val="32"/>
          <w:szCs w:val="32"/>
          <w:highlight w:val="none"/>
          <w:lang w:val="en-US" w:eastAsia="zh-CN"/>
        </w:rPr>
      </w:pPr>
      <w:r>
        <w:rPr>
          <w:rFonts w:hint="eastAsia" w:hAnsi="仿宋_GB2312" w:eastAsia="仿宋_GB2312" w:cs="仿宋_GB2312"/>
          <w:color w:val="000000"/>
          <w:sz w:val="32"/>
          <w:szCs w:val="32"/>
          <w:highlight w:val="none"/>
          <w:lang w:val="en-US" w:eastAsia="zh-CN"/>
        </w:rPr>
        <w:t>2.部门总体支出情况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_GB2312" w:eastAsia="仿宋_GB2312" w:cs="仿宋_GB2312"/>
          <w:color w:val="000000"/>
          <w:sz w:val="32"/>
          <w:szCs w:val="32"/>
          <w:highlight w:val="none"/>
          <w:lang w:val="en-US" w:eastAsia="zh-CN"/>
        </w:rPr>
      </w:pPr>
      <w:r>
        <w:rPr>
          <w:rFonts w:hint="eastAsia" w:hAnsi="仿宋_GB2312" w:eastAsia="仿宋_GB2312" w:cs="仿宋_GB2312"/>
          <w:color w:val="000000"/>
          <w:sz w:val="32"/>
          <w:szCs w:val="32"/>
          <w:highlight w:val="none"/>
          <w:lang w:val="en-US" w:eastAsia="zh-CN"/>
        </w:rPr>
        <w:t>我部门本年支出合计89693.75万元，其中：基本支出81957.16万元，占91.37%；项目支出7736.59万元，占8.63%；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_GB2312" w:eastAsia="仿宋_GB2312" w:cs="仿宋_GB2312"/>
          <w:color w:val="000000"/>
          <w:sz w:val="32"/>
          <w:szCs w:val="32"/>
          <w:highlight w:val="none"/>
          <w:lang w:val="en-US" w:eastAsia="zh-CN"/>
        </w:rPr>
      </w:pPr>
      <w:r>
        <w:rPr>
          <w:rFonts w:hint="eastAsia" w:hAnsi="仿宋_GB2312" w:eastAsia="仿宋_GB2312" w:cs="仿宋_GB2312"/>
          <w:color w:val="000000"/>
          <w:sz w:val="32"/>
          <w:szCs w:val="32"/>
          <w:highlight w:val="none"/>
          <w:lang w:val="en-US" w:eastAsia="zh-CN"/>
        </w:rPr>
        <w:t>3.部门总体结转结余情况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hAnsi="仿宋_GB2312" w:eastAsia="仿宋_GB2312" w:cs="仿宋_GB2312"/>
          <w:color w:val="000000"/>
          <w:sz w:val="32"/>
          <w:szCs w:val="32"/>
          <w:highlight w:val="none"/>
          <w:lang w:val="en-US" w:eastAsia="zh-CN"/>
        </w:rPr>
      </w:pPr>
      <w:r>
        <w:rPr>
          <w:rFonts w:hint="eastAsia" w:hAnsi="仿宋_GB2312" w:eastAsia="仿宋_GB2312" w:cs="仿宋_GB2312"/>
          <w:color w:val="000000"/>
          <w:sz w:val="32"/>
          <w:szCs w:val="32"/>
          <w:highlight w:val="none"/>
          <w:lang w:val="en-US" w:eastAsia="zh-CN"/>
        </w:rPr>
        <w:t>我部门总体结转结余万元。</w:t>
      </w:r>
    </w:p>
    <w:p>
      <w:pPr>
        <w:widowControl/>
        <w:adjustRightInd w:val="0"/>
        <w:snapToGrid w:val="0"/>
        <w:spacing w:line="560" w:lineRule="exact"/>
        <w:ind w:firstLine="643" w:firstLineChars="200"/>
        <w:contextualSpacing/>
        <w:jc w:val="left"/>
        <w:outlineLvl w:val="2"/>
        <w:rPr>
          <w:rFonts w:ascii="楷体_GB2312" w:hAnsi="楷体_GB2312" w:eastAsia="楷体_GB2312" w:cs="楷体_GB2312"/>
          <w:b/>
          <w:bCs/>
          <w:kern w:val="0"/>
          <w:sz w:val="32"/>
          <w:szCs w:val="32"/>
          <w:highlight w:val="none"/>
          <w:shd w:val="clear" w:color="auto" w:fill="FFFFFF"/>
          <w:lang w:val="zh-CN"/>
        </w:rPr>
      </w:pPr>
      <w:bookmarkStart w:id="155" w:name="_Toc7532"/>
      <w:r>
        <w:rPr>
          <w:rFonts w:hint="eastAsia" w:ascii="楷体_GB2312" w:hAnsi="楷体_GB2312" w:eastAsia="楷体_GB2312" w:cs="楷体_GB2312"/>
          <w:b/>
          <w:bCs/>
          <w:kern w:val="0"/>
          <w:sz w:val="32"/>
          <w:szCs w:val="32"/>
          <w:highlight w:val="none"/>
          <w:shd w:val="clear" w:color="auto" w:fill="FFFFFF"/>
          <w:lang w:val="zh-CN"/>
        </w:rPr>
        <w:t>（二）部门财政拨款收支情况。</w:t>
      </w:r>
      <w:bookmarkEnd w:id="155"/>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yellow"/>
          <w:shd w:val="clear" w:color="auto" w:fill="FFFFFF"/>
        </w:rPr>
      </w:pPr>
      <w:r>
        <w:rPr>
          <w:rFonts w:hint="eastAsia" w:ascii="仿宋_GB2312" w:hAnsi="仿宋_GB2312" w:eastAsia="仿宋_GB2312" w:cs="仿宋_GB2312"/>
          <w:kern w:val="0"/>
          <w:sz w:val="32"/>
          <w:szCs w:val="32"/>
          <w:highlight w:val="none"/>
          <w:shd w:val="clear" w:color="auto" w:fill="FFFFFF"/>
        </w:rPr>
        <w:t>1.部门财政拨款收入情况</w:t>
      </w:r>
    </w:p>
    <w:p>
      <w:pPr>
        <w:pStyle w:val="2"/>
        <w:rPr>
          <w:rFonts w:hint="default" w:ascii="Times New Roman" w:hAnsi="仿宋_GB2312" w:eastAsia="仿宋_GB2312" w:cs="仿宋_GB2312"/>
          <w:color w:val="000000"/>
          <w:kern w:val="2"/>
          <w:sz w:val="32"/>
          <w:szCs w:val="32"/>
          <w:highlight w:val="none"/>
          <w:lang w:val="en-US" w:eastAsia="zh-CN" w:bidi="ar-SA"/>
        </w:rPr>
      </w:pPr>
      <w:r>
        <w:rPr>
          <w:rFonts w:hint="eastAsia" w:ascii="Times New Roman" w:hAnsi="仿宋_GB2312" w:eastAsia="仿宋_GB2312" w:cs="仿宋_GB2312"/>
          <w:color w:val="000000"/>
          <w:kern w:val="2"/>
          <w:sz w:val="32"/>
          <w:szCs w:val="32"/>
          <w:highlight w:val="none"/>
          <w:lang w:val="en-US" w:eastAsia="zh-CN" w:bidi="ar-SA"/>
        </w:rPr>
        <w:t>我部门财政拨款收入88158.83万元，一般公共预算财政拨款83319.99万元，政府性基金预算财政拨款3161.5万元，年初财政拨款结转和结余1677.34万元。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2.</w:t>
      </w:r>
      <w:r>
        <w:rPr>
          <w:rFonts w:hint="eastAsia" w:ascii="仿宋_GB2312" w:hAnsi="仿宋_GB2312" w:eastAsia="仿宋_GB2312" w:cs="仿宋_GB2312"/>
          <w:kern w:val="0"/>
          <w:sz w:val="32"/>
          <w:szCs w:val="32"/>
          <w:highlight w:val="none"/>
          <w:shd w:val="clear" w:color="auto" w:fill="FFFFFF"/>
        </w:rPr>
        <w:t>部门财政拨款支出情况</w:t>
      </w:r>
    </w:p>
    <w:p>
      <w:pPr>
        <w:spacing w:line="600" w:lineRule="exact"/>
        <w:ind w:firstLine="64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我部门财政拨款支出88158.83万元，其中：</w:t>
      </w:r>
      <w:r>
        <w:rPr>
          <w:rFonts w:ascii="仿宋" w:hAnsi="仿宋" w:eastAsia="仿宋"/>
          <w:sz w:val="32"/>
          <w:szCs w:val="32"/>
          <w:highlight w:val="none"/>
        </w:rPr>
        <w:t>20</w:t>
      </w:r>
      <w:r>
        <w:rPr>
          <w:rFonts w:hint="eastAsia" w:ascii="仿宋" w:hAnsi="仿宋" w:eastAsia="仿宋"/>
          <w:sz w:val="32"/>
          <w:szCs w:val="32"/>
          <w:highlight w:val="none"/>
        </w:rPr>
        <w:t>22年一般公共预算财政拨款支出84994.12万元，主要用于以下方面</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%；教育支出71171.42万元，占</w:t>
      </w:r>
      <w:r>
        <w:rPr>
          <w:rFonts w:hint="eastAsia" w:ascii="仿宋" w:hAnsi="仿宋" w:eastAsia="仿宋"/>
          <w:sz w:val="32"/>
          <w:szCs w:val="32"/>
          <w:highlight w:val="none"/>
          <w:lang w:val="en-US" w:eastAsia="zh-CN"/>
        </w:rPr>
        <w:t>83.74</w:t>
      </w:r>
      <w:r>
        <w:rPr>
          <w:rFonts w:hint="eastAsia" w:ascii="仿宋" w:hAnsi="仿宋" w:eastAsia="仿宋"/>
          <w:sz w:val="32"/>
          <w:szCs w:val="32"/>
          <w:highlight w:val="none"/>
        </w:rPr>
        <w:t>%；科学技术支出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%；文化旅游体育与传媒支出</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占0.007%</w:t>
      </w:r>
      <w:r>
        <w:rPr>
          <w:rFonts w:hint="eastAsia" w:ascii="仿宋" w:hAnsi="仿宋" w:eastAsia="仿宋"/>
          <w:sz w:val="32"/>
          <w:szCs w:val="32"/>
          <w:highlight w:val="none"/>
        </w:rPr>
        <w:t>；社会保障和就业支出6254.08万元，占</w:t>
      </w:r>
      <w:r>
        <w:rPr>
          <w:rFonts w:hint="eastAsia" w:ascii="仿宋" w:hAnsi="仿宋" w:eastAsia="仿宋"/>
          <w:sz w:val="32"/>
          <w:szCs w:val="32"/>
          <w:highlight w:val="none"/>
          <w:lang w:val="en-US" w:eastAsia="zh-CN"/>
        </w:rPr>
        <w:t>7.36</w:t>
      </w:r>
      <w:r>
        <w:rPr>
          <w:rFonts w:hint="eastAsia" w:ascii="仿宋" w:hAnsi="仿宋" w:eastAsia="仿宋"/>
          <w:sz w:val="32"/>
          <w:szCs w:val="32"/>
          <w:highlight w:val="none"/>
        </w:rPr>
        <w:t>%；卫生健康支出2999.3万元，占</w:t>
      </w:r>
      <w:r>
        <w:rPr>
          <w:rFonts w:hint="eastAsia" w:ascii="仿宋" w:hAnsi="仿宋" w:eastAsia="仿宋"/>
          <w:sz w:val="32"/>
          <w:szCs w:val="32"/>
          <w:highlight w:val="none"/>
          <w:lang w:val="en-US" w:eastAsia="zh-CN"/>
        </w:rPr>
        <w:t>3.52</w:t>
      </w:r>
      <w:r>
        <w:rPr>
          <w:rFonts w:hint="eastAsia" w:ascii="仿宋" w:hAnsi="仿宋" w:eastAsia="仿宋"/>
          <w:sz w:val="32"/>
          <w:szCs w:val="32"/>
          <w:highlight w:val="none"/>
        </w:rPr>
        <w:t>%；农林水支出</w:t>
      </w:r>
      <w:r>
        <w:rPr>
          <w:rFonts w:hint="eastAsia" w:ascii="仿宋" w:hAnsi="仿宋" w:eastAsia="仿宋"/>
          <w:sz w:val="32"/>
          <w:szCs w:val="32"/>
          <w:highlight w:val="none"/>
          <w:lang w:val="en-US" w:eastAsia="zh-CN"/>
        </w:rPr>
        <w:t>64万元，占0.083%</w:t>
      </w:r>
      <w:r>
        <w:rPr>
          <w:rFonts w:hint="eastAsia" w:ascii="仿宋" w:hAnsi="仿宋" w:eastAsia="仿宋"/>
          <w:sz w:val="32"/>
          <w:szCs w:val="32"/>
          <w:highlight w:val="none"/>
        </w:rPr>
        <w:t>住房保障支出4499.32万元，占</w:t>
      </w:r>
      <w:r>
        <w:rPr>
          <w:rFonts w:hint="eastAsia" w:ascii="仿宋" w:hAnsi="仿宋" w:eastAsia="仿宋"/>
          <w:sz w:val="32"/>
          <w:szCs w:val="32"/>
          <w:highlight w:val="none"/>
          <w:lang w:val="en-US" w:eastAsia="zh-CN"/>
        </w:rPr>
        <w:t>5.29</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政府基金拨款收入3100万元。</w:t>
      </w:r>
    </w:p>
    <w:p>
      <w:pPr>
        <w:pStyle w:val="2"/>
        <w:numPr>
          <w:ilvl w:val="0"/>
          <w:numId w:val="0"/>
        </w:numPr>
        <w:ind w:leftChars="400"/>
        <w:rPr>
          <w:highlight w:val="none"/>
        </w:rPr>
      </w:pP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3.</w:t>
      </w:r>
      <w:r>
        <w:rPr>
          <w:rFonts w:hint="eastAsia" w:ascii="仿宋_GB2312" w:hAnsi="仿宋_GB2312" w:eastAsia="仿宋_GB2312" w:cs="仿宋_GB2312"/>
          <w:kern w:val="0"/>
          <w:sz w:val="32"/>
          <w:szCs w:val="32"/>
          <w:highlight w:val="none"/>
          <w:shd w:val="clear" w:color="auto" w:fill="FFFFFF"/>
        </w:rPr>
        <w:t>部门财政拨款结转结余情况</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我部门</w:t>
      </w:r>
      <w:r>
        <w:rPr>
          <w:rFonts w:hint="eastAsia" w:ascii="仿宋_GB2312" w:hAnsi="仿宋_GB2312" w:eastAsia="仿宋_GB2312" w:cs="仿宋_GB2312"/>
          <w:kern w:val="0"/>
          <w:sz w:val="32"/>
          <w:szCs w:val="32"/>
          <w:highlight w:val="none"/>
          <w:shd w:val="clear" w:color="auto" w:fill="FFFFFF"/>
        </w:rPr>
        <w:t>财政拨款结转结余</w:t>
      </w:r>
      <w:r>
        <w:rPr>
          <w:rFonts w:hint="eastAsia" w:ascii="仿宋_GB2312" w:hAnsi="仿宋_GB2312" w:eastAsia="仿宋_GB2312" w:cs="仿宋_GB2312"/>
          <w:kern w:val="0"/>
          <w:sz w:val="32"/>
          <w:szCs w:val="32"/>
          <w:highlight w:val="none"/>
          <w:shd w:val="clear" w:color="auto" w:fill="FFFFFF"/>
          <w:lang w:val="en-US" w:eastAsia="zh-CN"/>
        </w:rPr>
        <w:t>0万元。</w:t>
      </w:r>
    </w:p>
    <w:p>
      <w:pPr>
        <w:pStyle w:val="2"/>
        <w:numPr>
          <w:ilvl w:val="0"/>
          <w:numId w:val="0"/>
        </w:numPr>
        <w:ind w:leftChars="200"/>
        <w:rPr>
          <w:highlight w:val="none"/>
        </w:rPr>
      </w:pP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highlight w:val="none"/>
          <w:shd w:val="clear" w:color="auto" w:fill="FFFFFF"/>
        </w:rPr>
      </w:pPr>
      <w:bookmarkStart w:id="156" w:name="_Toc2608"/>
      <w:r>
        <w:rPr>
          <w:rFonts w:hint="eastAsia" w:ascii="黑体" w:hAnsi="宋体" w:eastAsia="黑体" w:cs="宋体"/>
          <w:kern w:val="0"/>
          <w:sz w:val="32"/>
          <w:szCs w:val="32"/>
          <w:highlight w:val="none"/>
          <w:shd w:val="clear" w:color="auto" w:fill="FFFFFF"/>
        </w:rPr>
        <w:t>三、部门整体绩效分析</w:t>
      </w:r>
      <w:bookmarkEnd w:id="156"/>
    </w:p>
    <w:p>
      <w:pPr>
        <w:widowControl/>
        <w:adjustRightInd w:val="0"/>
        <w:snapToGrid w:val="0"/>
        <w:spacing w:line="560" w:lineRule="exact"/>
        <w:ind w:firstLine="643" w:firstLineChars="200"/>
        <w:contextualSpacing/>
        <w:jc w:val="left"/>
        <w:outlineLvl w:val="2"/>
        <w:rPr>
          <w:rFonts w:hint="eastAsia" w:ascii="楷体_GB2312" w:hAnsi="楷体_GB2312" w:eastAsia="楷体_GB2312" w:cs="楷体_GB2312"/>
          <w:b/>
          <w:bCs/>
          <w:kern w:val="0"/>
          <w:sz w:val="32"/>
          <w:szCs w:val="32"/>
          <w:highlight w:val="none"/>
          <w:shd w:val="clear" w:color="auto" w:fill="FFFFFF"/>
          <w:lang w:val="zh-CN"/>
        </w:rPr>
      </w:pPr>
      <w:bookmarkStart w:id="157" w:name="_Toc1724"/>
      <w:r>
        <w:rPr>
          <w:rFonts w:hint="eastAsia" w:ascii="楷体_GB2312" w:hAnsi="楷体_GB2312" w:eastAsia="楷体_GB2312" w:cs="楷体_GB2312"/>
          <w:b/>
          <w:bCs/>
          <w:kern w:val="0"/>
          <w:sz w:val="32"/>
          <w:szCs w:val="32"/>
          <w:highlight w:val="none"/>
          <w:shd w:val="clear" w:color="auto" w:fill="FFFFFF"/>
          <w:lang w:val="zh-CN"/>
        </w:rPr>
        <w:t>（一）部门预算项目绩效分析。</w:t>
      </w:r>
      <w:bookmarkEnd w:id="157"/>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1.人员类项目绩效分析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我</w:t>
      </w:r>
      <w:r>
        <w:rPr>
          <w:rFonts w:hint="eastAsia" w:ascii="仿宋_GB2312" w:hAnsi="仿宋_GB2312" w:eastAsia="仿宋_GB2312" w:cs="仿宋_GB2312"/>
          <w:kern w:val="0"/>
          <w:sz w:val="32"/>
          <w:szCs w:val="32"/>
          <w:highlight w:val="none"/>
          <w:shd w:val="clear" w:color="auto" w:fill="FFFFFF"/>
          <w:lang w:val="en-US" w:eastAsia="zh-CN"/>
        </w:rPr>
        <w:t>部门</w:t>
      </w:r>
      <w:r>
        <w:rPr>
          <w:rFonts w:hint="eastAsia" w:ascii="仿宋_GB2312" w:hAnsi="仿宋_GB2312" w:eastAsia="仿宋_GB2312" w:cs="仿宋_GB2312"/>
          <w:kern w:val="0"/>
          <w:sz w:val="32"/>
          <w:szCs w:val="32"/>
          <w:highlight w:val="none"/>
          <w:shd w:val="clear" w:color="auto" w:fill="FFFFFF"/>
        </w:rPr>
        <w:t>严格按照县财政局预算编制通知和有关要求，按时提交了部门预算草案并认真完成了预算管理软件数据报送工作，部门绩效目标制定合理，确保预算编制的全面性和科学性。2022年人员类项目绩效目标均已实现，预算完成率100%，资金结余率0%，无违规记录。</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2.运转类项目绩效分析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根据“统筹兼顾、勤俭节约、量力而行、收支平衡”的原则，我局严格按照财政部门2022年预算编制口径并结合我局实际</w:t>
      </w:r>
      <w:r>
        <w:rPr>
          <w:rFonts w:hint="eastAsia" w:ascii="仿宋_GB2312" w:hAnsi="仿宋_GB2312" w:eastAsia="仿宋_GB2312" w:cs="仿宋_GB2312"/>
          <w:kern w:val="0"/>
          <w:sz w:val="32"/>
          <w:szCs w:val="32"/>
          <w:highlight w:val="none"/>
          <w:shd w:val="clear" w:color="auto" w:fill="FFFFFF"/>
          <w:lang w:eastAsia="zh-CN"/>
        </w:rPr>
        <w:t>情况</w:t>
      </w:r>
      <w:r>
        <w:rPr>
          <w:rFonts w:hint="eastAsia" w:ascii="仿宋_GB2312" w:hAnsi="仿宋_GB2312" w:eastAsia="仿宋_GB2312" w:cs="仿宋_GB2312"/>
          <w:kern w:val="0"/>
          <w:sz w:val="32"/>
          <w:szCs w:val="32"/>
          <w:highlight w:val="none"/>
          <w:shd w:val="clear" w:color="auto" w:fill="FFFFFF"/>
        </w:rPr>
        <w:t>进行预算编制，并按要求填报预算绩效项目目标申报表。根据“先有预算、后有支出”原则，我局加强对预算支出管理的监督管理，按照预算均衡进行费用的列支。2022年，我局运转类项目执行有序推进，预算完成率100%，资金结余率0%，无违规记录。</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3.特定目标类项目绩效分析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我</w:t>
      </w:r>
      <w:r>
        <w:rPr>
          <w:rFonts w:hint="eastAsia" w:ascii="仿宋_GB2312" w:hAnsi="仿宋_GB2312" w:eastAsia="仿宋_GB2312" w:cs="仿宋_GB2312"/>
          <w:kern w:val="0"/>
          <w:sz w:val="32"/>
          <w:szCs w:val="32"/>
          <w:highlight w:val="none"/>
          <w:shd w:val="clear" w:color="auto" w:fill="FFFFFF"/>
          <w:lang w:val="en-US" w:eastAsia="zh-CN"/>
        </w:rPr>
        <w:t>部门</w:t>
      </w:r>
      <w:r>
        <w:rPr>
          <w:rFonts w:hint="eastAsia" w:ascii="仿宋_GB2312" w:hAnsi="仿宋_GB2312" w:eastAsia="仿宋_GB2312" w:cs="仿宋_GB2312"/>
          <w:kern w:val="0"/>
          <w:sz w:val="32"/>
          <w:szCs w:val="32"/>
          <w:highlight w:val="none"/>
          <w:shd w:val="clear" w:color="auto" w:fill="FFFFFF"/>
        </w:rPr>
        <w:t>严格按要求，切实加强部门预算支出执行管理工作。一是控制支出范围，提高财政资金使用效率；二是多措并举加快预算执行进度，高质量完成年初确定的预算绩效目标。2022年特定目标类项目绩效目标均已实现（其中：智慧广元信息化一期项目316.27万元，剑门关天立国际学校建设及前期运营经费3000万元，香江人行道建设项目经费100万元，国家教育考试经费40万元</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，无违规记录。</w:t>
      </w:r>
    </w:p>
    <w:p>
      <w:pPr>
        <w:widowControl/>
        <w:adjustRightInd w:val="0"/>
        <w:snapToGrid w:val="0"/>
        <w:spacing w:line="560" w:lineRule="exact"/>
        <w:ind w:firstLine="643" w:firstLineChars="200"/>
        <w:contextualSpacing/>
        <w:jc w:val="left"/>
        <w:outlineLvl w:val="2"/>
        <w:rPr>
          <w:rFonts w:ascii="楷体_GB2312" w:hAnsi="楷体_GB2312" w:eastAsia="楷体_GB2312" w:cs="楷体_GB2312"/>
          <w:b/>
          <w:bCs/>
          <w:kern w:val="0"/>
          <w:sz w:val="32"/>
          <w:szCs w:val="32"/>
          <w:highlight w:val="none"/>
          <w:shd w:val="clear" w:color="auto" w:fill="FFFFFF"/>
          <w:lang w:val="zh-CN"/>
        </w:rPr>
      </w:pPr>
      <w:bookmarkStart w:id="158" w:name="_Toc31807"/>
      <w:r>
        <w:rPr>
          <w:rFonts w:hint="eastAsia" w:ascii="楷体_GB2312" w:hAnsi="楷体_GB2312" w:eastAsia="楷体_GB2312" w:cs="楷体_GB2312"/>
          <w:b/>
          <w:bCs/>
          <w:kern w:val="0"/>
          <w:sz w:val="32"/>
          <w:szCs w:val="32"/>
          <w:highlight w:val="none"/>
          <w:shd w:val="clear" w:color="auto" w:fill="FFFFFF"/>
          <w:lang w:val="zh-CN"/>
        </w:rPr>
        <w:t>（</w:t>
      </w:r>
      <w:r>
        <w:rPr>
          <w:rFonts w:hint="eastAsia" w:ascii="楷体_GB2312" w:hAnsi="楷体_GB2312" w:eastAsia="楷体_GB2312" w:cs="楷体_GB2312"/>
          <w:b/>
          <w:bCs/>
          <w:kern w:val="0"/>
          <w:sz w:val="32"/>
          <w:szCs w:val="32"/>
          <w:highlight w:val="none"/>
          <w:shd w:val="clear" w:color="auto" w:fill="FFFFFF"/>
          <w:lang w:val="en-US" w:eastAsia="zh-CN"/>
        </w:rPr>
        <w:t>二</w:t>
      </w:r>
      <w:r>
        <w:rPr>
          <w:rFonts w:hint="eastAsia" w:ascii="楷体_GB2312" w:hAnsi="楷体_GB2312" w:eastAsia="楷体_GB2312" w:cs="楷体_GB2312"/>
          <w:b/>
          <w:bCs/>
          <w:kern w:val="0"/>
          <w:sz w:val="32"/>
          <w:szCs w:val="32"/>
          <w:highlight w:val="none"/>
          <w:shd w:val="clear" w:color="auto" w:fill="FFFFFF"/>
          <w:lang w:val="zh-CN"/>
        </w:rPr>
        <w:t>）结果应用情况。</w:t>
      </w:r>
      <w:bookmarkEnd w:id="158"/>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zh-CN"/>
        </w:rPr>
        <w:t>我</w:t>
      </w:r>
      <w:r>
        <w:rPr>
          <w:rFonts w:hint="eastAsia" w:ascii="仿宋_GB2312" w:hAnsi="仿宋_GB2312" w:eastAsia="仿宋_GB2312" w:cs="仿宋_GB2312"/>
          <w:kern w:val="0"/>
          <w:sz w:val="32"/>
          <w:szCs w:val="32"/>
          <w:highlight w:val="none"/>
          <w:shd w:val="clear" w:color="auto" w:fill="FFFFFF"/>
          <w:lang w:val="en-US" w:eastAsia="zh-CN"/>
        </w:rPr>
        <w:t>部门</w:t>
      </w:r>
      <w:r>
        <w:rPr>
          <w:rFonts w:hint="eastAsia" w:ascii="仿宋_GB2312" w:hAnsi="仿宋_GB2312" w:eastAsia="仿宋_GB2312" w:cs="仿宋_GB2312"/>
          <w:kern w:val="0"/>
          <w:sz w:val="32"/>
          <w:szCs w:val="32"/>
          <w:highlight w:val="none"/>
          <w:shd w:val="clear" w:color="auto" w:fill="FFFFFF"/>
          <w:lang w:val="zh-CN"/>
        </w:rPr>
        <w:t>按要求将部门整体绩效自评情况和自行组织的评价情况向社会公开。绩效管理结果：一是全面加强系统党的建设，规范学校党组织设置，严格落实“三会一课”制度；二是有序推进各类教育发展，实现学前教育普惠发展、义务教育均衡发展、高中教育优质发展、职业教育融合发展；三是系统推进“五育并举”，坚持上好思想政治课；四是不断夯实教育发展基础，队伍素质持续提升，办学条件有效改善，惠民政策全面落实；五是持续改善教育发展生态，落实省市两项改革“后半篇”文章工作部署，深入推进“双规双减”“五项管理”“课后服务”落地落实；六是切实守护校园安全稳定，构建党委领导、政府主导、相关部门和单位联动协作的学校安全风险防控体系，常态化开展疫情防控、校园反欺凌、禁毒防邪、食品卫生、法治教育、防溺水、森林防火、应急演练等安全教育活动，办理各类信访件246件、接待来访群众11次，社会评价非常满意。</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highlight w:val="none"/>
          <w:shd w:val="clear" w:color="auto" w:fill="FFFFFF"/>
        </w:rPr>
      </w:pPr>
      <w:bookmarkStart w:id="159" w:name="_Toc32568"/>
      <w:r>
        <w:rPr>
          <w:rFonts w:hint="eastAsia" w:ascii="黑体" w:hAnsi="宋体" w:eastAsia="黑体" w:cs="宋体"/>
          <w:kern w:val="0"/>
          <w:sz w:val="32"/>
          <w:szCs w:val="32"/>
          <w:highlight w:val="none"/>
          <w:shd w:val="clear" w:color="auto" w:fill="FFFFFF"/>
        </w:rPr>
        <w:t>四、评价结论及建议</w:t>
      </w:r>
      <w:bookmarkEnd w:id="159"/>
    </w:p>
    <w:p>
      <w:pPr>
        <w:pStyle w:val="2"/>
        <w:spacing w:line="560" w:lineRule="exact"/>
        <w:ind w:left="0" w:leftChars="0" w:firstLine="640"/>
        <w:outlineLvl w:val="2"/>
        <w:rPr>
          <w:rFonts w:hint="eastAsia" w:ascii="楷体_GB2312" w:hAnsi="楷体_GB2312" w:eastAsia="楷体_GB2312" w:cs="楷体_GB2312"/>
          <w:b/>
          <w:bCs/>
          <w:kern w:val="0"/>
          <w:sz w:val="32"/>
          <w:szCs w:val="32"/>
          <w:highlight w:val="none"/>
          <w:shd w:val="clear" w:color="auto" w:fill="FFFFFF"/>
          <w:lang w:val="zh-CN"/>
        </w:rPr>
      </w:pPr>
      <w:bookmarkStart w:id="160" w:name="_Toc7412"/>
      <w:r>
        <w:rPr>
          <w:rFonts w:hint="eastAsia" w:ascii="楷体_GB2312" w:hAnsi="楷体_GB2312" w:eastAsia="楷体_GB2312" w:cs="楷体_GB2312"/>
          <w:b/>
          <w:bCs/>
          <w:kern w:val="0"/>
          <w:sz w:val="32"/>
          <w:szCs w:val="32"/>
          <w:highlight w:val="none"/>
          <w:shd w:val="clear" w:color="auto" w:fill="FFFFFF"/>
          <w:lang w:val="zh-CN"/>
        </w:rPr>
        <w:t>（一）评价结论。</w:t>
      </w:r>
      <w:bookmarkEnd w:id="160"/>
    </w:p>
    <w:p>
      <w:pPr>
        <w:pStyle w:val="2"/>
        <w:spacing w:line="560" w:lineRule="exact"/>
        <w:ind w:left="0" w:leftChars="0" w:firstLine="640"/>
        <w:rPr>
          <w:rFonts w:hint="eastAsia" w:ascii="仿宋_GB2312" w:hAnsi="仿宋_GB2312" w:eastAsia="仿宋_GB2312" w:cs="仿宋_GB2312"/>
          <w:kern w:val="0"/>
          <w:sz w:val="32"/>
          <w:szCs w:val="32"/>
          <w:highlight w:val="none"/>
          <w:shd w:val="clear" w:color="auto" w:fill="FFFFFF"/>
          <w:lang w:val="zh-CN" w:eastAsia="zh-CN" w:bidi="ar-SA"/>
        </w:rPr>
      </w:pPr>
      <w:r>
        <w:rPr>
          <w:rFonts w:hint="eastAsia" w:ascii="仿宋_GB2312" w:hAnsi="仿宋_GB2312" w:eastAsia="仿宋_GB2312" w:cs="仿宋_GB2312"/>
          <w:kern w:val="0"/>
          <w:sz w:val="32"/>
          <w:szCs w:val="32"/>
          <w:highlight w:val="none"/>
          <w:shd w:val="clear" w:color="auto" w:fill="FFFFFF"/>
          <w:lang w:val="zh-CN" w:eastAsia="zh-CN" w:bidi="ar-SA"/>
        </w:rPr>
        <w:t>按照预算绩效管理要求，我</w:t>
      </w:r>
      <w:r>
        <w:rPr>
          <w:rFonts w:hint="eastAsia" w:hAnsi="仿宋_GB2312" w:eastAsia="仿宋_GB2312" w:cs="仿宋_GB2312"/>
          <w:kern w:val="0"/>
          <w:sz w:val="32"/>
          <w:szCs w:val="32"/>
          <w:highlight w:val="none"/>
          <w:shd w:val="clear" w:color="auto" w:fill="FFFFFF"/>
          <w:lang w:val="en-US" w:eastAsia="zh-CN" w:bidi="ar-SA"/>
        </w:rPr>
        <w:t>部门</w:t>
      </w:r>
      <w:r>
        <w:rPr>
          <w:rFonts w:hint="eastAsia" w:ascii="仿宋_GB2312" w:hAnsi="仿宋_GB2312" w:eastAsia="仿宋_GB2312" w:cs="仿宋_GB2312"/>
          <w:kern w:val="0"/>
          <w:sz w:val="32"/>
          <w:szCs w:val="32"/>
          <w:highlight w:val="none"/>
          <w:shd w:val="clear" w:color="auto" w:fill="FFFFFF"/>
          <w:lang w:val="zh-CN" w:eastAsia="zh-CN" w:bidi="ar-SA"/>
        </w:rPr>
        <w:t>对2022年整体支出开展绩效自评，自查自评结果良好，全年基本支出保证了单位的正常运行和日常工作的正常开展，项目支出保障了我局重点项目的实施，达到了预期绩效管理目标。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pPr>
        <w:pStyle w:val="2"/>
        <w:spacing w:line="560" w:lineRule="exact"/>
        <w:ind w:left="0" w:leftChars="0" w:firstLine="640"/>
        <w:outlineLvl w:val="2"/>
        <w:rPr>
          <w:rFonts w:hint="eastAsia" w:ascii="楷体_GB2312" w:hAnsi="楷体_GB2312" w:eastAsia="楷体_GB2312" w:cs="楷体_GB2312"/>
          <w:b/>
          <w:bCs/>
          <w:kern w:val="0"/>
          <w:sz w:val="32"/>
          <w:szCs w:val="32"/>
          <w:highlight w:val="none"/>
          <w:shd w:val="clear" w:color="auto" w:fill="FFFFFF"/>
          <w:lang w:val="zh-CN"/>
        </w:rPr>
      </w:pPr>
      <w:bookmarkStart w:id="161" w:name="_Toc7223"/>
      <w:r>
        <w:rPr>
          <w:rFonts w:hint="eastAsia" w:ascii="楷体_GB2312" w:hAnsi="楷体_GB2312" w:eastAsia="楷体_GB2312" w:cs="楷体_GB2312"/>
          <w:b/>
          <w:bCs/>
          <w:kern w:val="0"/>
          <w:sz w:val="32"/>
          <w:szCs w:val="32"/>
          <w:highlight w:val="none"/>
          <w:shd w:val="clear" w:color="auto" w:fill="FFFFFF"/>
          <w:lang w:val="zh-CN"/>
        </w:rPr>
        <w:t>（二）存在问题。</w:t>
      </w:r>
      <w:bookmarkEnd w:id="161"/>
    </w:p>
    <w:p>
      <w:pPr>
        <w:pStyle w:val="2"/>
        <w:spacing w:line="560" w:lineRule="exact"/>
        <w:ind w:left="0" w:leftChars="0" w:firstLine="640"/>
        <w:rPr>
          <w:rFonts w:hint="eastAsia" w:ascii="仿宋_GB2312" w:hAnsi="仿宋_GB2312" w:eastAsia="仿宋_GB2312" w:cs="仿宋_GB2312"/>
          <w:kern w:val="0"/>
          <w:sz w:val="32"/>
          <w:szCs w:val="32"/>
          <w:highlight w:val="none"/>
          <w:shd w:val="clear" w:color="auto" w:fill="FFFFFF"/>
          <w:lang w:val="zh-CN" w:eastAsia="zh-CN" w:bidi="ar-SA"/>
        </w:rPr>
      </w:pPr>
      <w:r>
        <w:rPr>
          <w:rFonts w:hint="eastAsia" w:ascii="仿宋_GB2312" w:hAnsi="仿宋_GB2312" w:eastAsia="仿宋_GB2312" w:cs="仿宋_GB2312"/>
          <w:kern w:val="0"/>
          <w:sz w:val="32"/>
          <w:szCs w:val="32"/>
          <w:highlight w:val="none"/>
          <w:shd w:val="clear" w:color="auto" w:fill="FFFFFF"/>
          <w:lang w:val="zh-CN" w:eastAsia="zh-CN" w:bidi="ar-SA"/>
        </w:rPr>
        <w:t>预算编制还不够精准，因预算编制时间与下一年度重点工作安排时间存在差异、突发性自然灾害资金指标追加、人员调动等原因，导致预决算数据存在差异。</w:t>
      </w:r>
    </w:p>
    <w:p>
      <w:pPr>
        <w:pStyle w:val="2"/>
        <w:spacing w:line="560" w:lineRule="exact"/>
        <w:ind w:left="0" w:leftChars="0" w:firstLine="640"/>
        <w:outlineLvl w:val="2"/>
        <w:rPr>
          <w:rFonts w:hint="eastAsia" w:ascii="楷体_GB2312" w:hAnsi="楷体_GB2312" w:eastAsia="楷体_GB2312" w:cs="楷体_GB2312"/>
          <w:b/>
          <w:bCs/>
          <w:kern w:val="0"/>
          <w:sz w:val="32"/>
          <w:szCs w:val="32"/>
          <w:highlight w:val="none"/>
          <w:shd w:val="clear" w:color="auto" w:fill="FFFFFF"/>
          <w:lang w:val="zh-CN"/>
        </w:rPr>
      </w:pPr>
      <w:bookmarkStart w:id="162" w:name="_Toc28601"/>
      <w:r>
        <w:rPr>
          <w:rFonts w:hint="eastAsia" w:ascii="楷体_GB2312" w:hAnsi="楷体_GB2312" w:eastAsia="楷体_GB2312" w:cs="楷体_GB2312"/>
          <w:b/>
          <w:bCs/>
          <w:kern w:val="0"/>
          <w:sz w:val="32"/>
          <w:szCs w:val="32"/>
          <w:highlight w:val="none"/>
          <w:shd w:val="clear" w:color="auto" w:fill="FFFFFF"/>
          <w:lang w:val="zh-CN"/>
        </w:rPr>
        <w:t>（三）改进建议</w:t>
      </w:r>
      <w:bookmarkEnd w:id="162"/>
    </w:p>
    <w:p>
      <w:pPr>
        <w:pStyle w:val="2"/>
        <w:spacing w:line="560" w:lineRule="exact"/>
        <w:ind w:left="0" w:leftChars="0" w:firstLine="640"/>
        <w:rPr>
          <w:rFonts w:hint="eastAsia" w:ascii="仿宋_GB2312" w:hAnsi="仿宋_GB2312" w:eastAsia="仿宋_GB2312" w:cs="仿宋_GB2312"/>
          <w:kern w:val="0"/>
          <w:sz w:val="32"/>
          <w:szCs w:val="32"/>
          <w:highlight w:val="none"/>
          <w:shd w:val="clear" w:color="auto" w:fill="FFFFFF"/>
          <w:lang w:val="zh-CN" w:eastAsia="zh-CN" w:bidi="ar-SA"/>
        </w:rPr>
      </w:pPr>
      <w:r>
        <w:rPr>
          <w:rFonts w:hint="eastAsia" w:ascii="仿宋_GB2312" w:hAnsi="仿宋_GB2312" w:eastAsia="仿宋_GB2312" w:cs="仿宋_GB2312"/>
          <w:kern w:val="0"/>
          <w:sz w:val="32"/>
          <w:szCs w:val="32"/>
          <w:highlight w:val="none"/>
          <w:shd w:val="clear" w:color="auto" w:fill="FFFFFF"/>
          <w:lang w:val="zh-CN" w:eastAsia="zh-CN" w:bidi="ar-SA"/>
        </w:rPr>
        <w:t>1</w:t>
      </w:r>
      <w:r>
        <w:rPr>
          <w:rFonts w:hint="eastAsia" w:hAnsi="仿宋_GB2312" w:eastAsia="仿宋_GB2312" w:cs="仿宋_GB2312"/>
          <w:kern w:val="0"/>
          <w:sz w:val="32"/>
          <w:szCs w:val="32"/>
          <w:highlight w:val="none"/>
          <w:shd w:val="clear" w:color="auto" w:fill="FFFFFF"/>
          <w:lang w:val="en-US" w:eastAsia="zh-CN" w:bidi="ar-SA"/>
        </w:rPr>
        <w:t>.</w:t>
      </w:r>
      <w:r>
        <w:rPr>
          <w:rFonts w:hint="eastAsia" w:ascii="仿宋_GB2312" w:hAnsi="仿宋_GB2312" w:eastAsia="仿宋_GB2312" w:cs="仿宋_GB2312"/>
          <w:kern w:val="0"/>
          <w:sz w:val="32"/>
          <w:szCs w:val="32"/>
          <w:highlight w:val="none"/>
          <w:shd w:val="clear" w:color="auto" w:fill="FFFFFF"/>
          <w:lang w:val="zh-CN" w:eastAsia="zh-CN" w:bidi="ar-SA"/>
        </w:rPr>
        <w:t>进一步深入学习贯彻落实《中华人民共和国预算法》，加强预算管理，建立健全全面规范、公开透明的预算制度。</w:t>
      </w:r>
    </w:p>
    <w:p>
      <w:pPr>
        <w:pStyle w:val="2"/>
        <w:spacing w:line="560" w:lineRule="exact"/>
        <w:ind w:left="0" w:leftChars="0" w:firstLine="640"/>
        <w:rPr>
          <w:rFonts w:hint="eastAsia" w:ascii="仿宋_GB2312" w:hAnsi="仿宋_GB2312" w:eastAsia="仿宋_GB2312" w:cs="仿宋_GB2312"/>
          <w:kern w:val="0"/>
          <w:sz w:val="32"/>
          <w:szCs w:val="32"/>
          <w:highlight w:val="none"/>
          <w:shd w:val="clear" w:color="auto" w:fill="FFFFFF"/>
          <w:lang w:val="zh-CN" w:eastAsia="zh-CN" w:bidi="ar-SA"/>
        </w:rPr>
      </w:pPr>
      <w:r>
        <w:rPr>
          <w:rFonts w:hint="eastAsia" w:ascii="仿宋_GB2312" w:hAnsi="仿宋_GB2312" w:eastAsia="仿宋_GB2312" w:cs="仿宋_GB2312"/>
          <w:kern w:val="0"/>
          <w:sz w:val="32"/>
          <w:szCs w:val="32"/>
          <w:highlight w:val="none"/>
          <w:shd w:val="clear" w:color="auto" w:fill="FFFFFF"/>
          <w:lang w:val="zh-CN" w:eastAsia="zh-CN" w:bidi="ar-SA"/>
        </w:rPr>
        <w:t>2</w:t>
      </w:r>
      <w:r>
        <w:rPr>
          <w:rFonts w:hint="eastAsia" w:hAnsi="仿宋_GB2312" w:eastAsia="仿宋_GB2312" w:cs="仿宋_GB2312"/>
          <w:kern w:val="0"/>
          <w:sz w:val="32"/>
          <w:szCs w:val="32"/>
          <w:highlight w:val="none"/>
          <w:shd w:val="clear" w:color="auto" w:fill="FFFFFF"/>
          <w:lang w:val="en-US" w:eastAsia="zh-CN" w:bidi="ar-SA"/>
        </w:rPr>
        <w:t>.</w:t>
      </w:r>
      <w:r>
        <w:rPr>
          <w:rFonts w:hint="eastAsia" w:ascii="仿宋_GB2312" w:hAnsi="仿宋_GB2312" w:eastAsia="仿宋_GB2312" w:cs="仿宋_GB2312"/>
          <w:kern w:val="0"/>
          <w:sz w:val="32"/>
          <w:szCs w:val="32"/>
          <w:highlight w:val="none"/>
          <w:shd w:val="clear" w:color="auto" w:fill="FFFFFF"/>
          <w:lang w:val="zh-CN" w:eastAsia="zh-CN" w:bidi="ar-SA"/>
        </w:rPr>
        <w:t>建立健全财务管理制度及内部控制制度，在规范财政收支和控制经费增长上，创新管理手段，用新思路、新方法，改进完善财务管理方法。</w:t>
      </w:r>
    </w:p>
    <w:p>
      <w:pPr>
        <w:pStyle w:val="2"/>
        <w:spacing w:line="560" w:lineRule="exact"/>
        <w:ind w:left="0" w:leftChars="0" w:firstLine="640"/>
        <w:rPr>
          <w:rFonts w:hint="eastAsia" w:ascii="仿宋_GB2312" w:hAnsi="仿宋_GB2312" w:eastAsia="仿宋_GB2312" w:cs="仿宋_GB2312"/>
          <w:kern w:val="0"/>
          <w:sz w:val="32"/>
          <w:szCs w:val="32"/>
          <w:highlight w:val="none"/>
          <w:shd w:val="clear" w:color="auto" w:fill="FFFFFF"/>
          <w:lang w:val="zh-CN" w:eastAsia="zh-CN" w:bidi="ar-SA"/>
        </w:rPr>
      </w:pPr>
      <w:r>
        <w:rPr>
          <w:rFonts w:hint="eastAsia" w:ascii="仿宋_GB2312" w:hAnsi="仿宋_GB2312" w:eastAsia="仿宋_GB2312" w:cs="仿宋_GB2312"/>
          <w:kern w:val="0"/>
          <w:sz w:val="32"/>
          <w:szCs w:val="32"/>
          <w:highlight w:val="none"/>
          <w:shd w:val="clear" w:color="auto" w:fill="FFFFFF"/>
          <w:lang w:val="zh-CN" w:eastAsia="zh-CN" w:bidi="ar-SA"/>
        </w:rPr>
        <w:t>3</w:t>
      </w:r>
      <w:r>
        <w:rPr>
          <w:rFonts w:hint="eastAsia" w:hAnsi="仿宋_GB2312" w:eastAsia="仿宋_GB2312" w:cs="仿宋_GB2312"/>
          <w:kern w:val="0"/>
          <w:sz w:val="32"/>
          <w:szCs w:val="32"/>
          <w:highlight w:val="none"/>
          <w:shd w:val="clear" w:color="auto" w:fill="FFFFFF"/>
          <w:lang w:val="en-US" w:eastAsia="zh-CN" w:bidi="ar-SA"/>
        </w:rPr>
        <w:t>.</w:t>
      </w:r>
      <w:r>
        <w:rPr>
          <w:rFonts w:hint="eastAsia" w:ascii="仿宋_GB2312" w:hAnsi="仿宋_GB2312" w:eastAsia="仿宋_GB2312" w:cs="仿宋_GB2312"/>
          <w:kern w:val="0"/>
          <w:sz w:val="32"/>
          <w:szCs w:val="32"/>
          <w:highlight w:val="none"/>
          <w:shd w:val="clear" w:color="auto" w:fill="FFFFFF"/>
          <w:lang w:val="zh-CN" w:eastAsia="zh-CN" w:bidi="ar-SA"/>
        </w:rPr>
        <w:t>按照财政支出绩效管理的要求，建立科学的财政资金效益考评体系，牢固树立行政成本意识，不断提高财政资金使用管理的水平和效率。</w:t>
      </w:r>
    </w:p>
    <w:p>
      <w:pPr>
        <w:pStyle w:val="2"/>
        <w:spacing w:line="560" w:lineRule="exact"/>
        <w:ind w:left="0" w:leftChars="0" w:firstLine="640"/>
        <w:rPr>
          <w:rFonts w:hAnsi="仿宋_GB2312" w:eastAsia="仿宋_GB2312" w:cs="仿宋_GB2312"/>
          <w:sz w:val="32"/>
          <w:highlight w:val="none"/>
          <w:lang w:val="zh-CN"/>
        </w:rPr>
      </w:pPr>
      <w:r>
        <w:rPr>
          <w:rFonts w:hint="eastAsia" w:hAnsi="仿宋_GB2312" w:eastAsia="仿宋_GB2312" w:cs="仿宋_GB2312"/>
          <w:sz w:val="32"/>
          <w:highlight w:val="none"/>
          <w:lang w:val="zh-CN"/>
        </w:rPr>
        <w:t>附表：</w:t>
      </w:r>
      <w:r>
        <w:rPr>
          <w:rFonts w:hint="eastAsia" w:hAnsi="仿宋_GB2312" w:eastAsia="仿宋_GB2312" w:cs="仿宋_GB2312"/>
          <w:sz w:val="32"/>
          <w:highlight w:val="none"/>
        </w:rPr>
        <w:t>部门预算项目支出绩效自评表（2022年度）</w:t>
      </w:r>
    </w:p>
    <w:p>
      <w:pPr>
        <w:pStyle w:val="2"/>
        <w:spacing w:line="560" w:lineRule="exact"/>
        <w:ind w:left="0" w:leftChars="0" w:firstLine="0" w:firstLineChars="0"/>
        <w:rPr>
          <w:sz w:val="32"/>
          <w:lang w:val="zh-CN"/>
        </w:rPr>
      </w:pPr>
    </w:p>
    <w:p>
      <w:pPr>
        <w:spacing w:line="580" w:lineRule="exact"/>
        <w:rPr>
          <w:rStyle w:val="29"/>
          <w:rFonts w:ascii="黑体" w:hAnsi="黑体" w:eastAsia="黑体"/>
          <w:b w:val="0"/>
        </w:rPr>
      </w:pPr>
    </w:p>
    <w:p>
      <w:pPr>
        <w:widowControl/>
        <w:jc w:val="left"/>
        <w:rPr>
          <w:rStyle w:val="29"/>
          <w:rFonts w:ascii="黑体" w:hAnsi="黑体" w:eastAsia="黑体"/>
          <w:b w:val="0"/>
        </w:rPr>
      </w:pPr>
      <w:r>
        <w:rPr>
          <w:rStyle w:val="29"/>
          <w:rFonts w:ascii="黑体" w:hAnsi="黑体" w:eastAsia="黑体"/>
          <w:b w:val="0"/>
        </w:rPr>
        <w:br w:type="page"/>
      </w:r>
    </w:p>
    <w:p>
      <w:pPr>
        <w:pStyle w:val="6"/>
        <w:jc w:val="center"/>
        <w:rPr>
          <w:rFonts w:hint="eastAsia" w:ascii="黑体" w:hAnsi="黑体" w:eastAsia="黑体" w:cs="Times New Roman"/>
          <w:b w:val="0"/>
          <w:lang w:eastAsia="zh-CN"/>
        </w:rPr>
      </w:pPr>
      <w:bookmarkStart w:id="163" w:name="_Toc12609"/>
      <w:bookmarkStart w:id="164" w:name="_Toc15396618"/>
      <w:r>
        <w:rPr>
          <w:rFonts w:hint="eastAsia" w:ascii="黑体" w:hAnsi="黑体" w:eastAsia="黑体" w:cs="Times New Roman"/>
          <w:b w:val="0"/>
          <w:lang w:eastAsia="zh-CN"/>
        </w:rPr>
        <w:t>第五部分 附表</w:t>
      </w:r>
      <w:bookmarkEnd w:id="145"/>
      <w:bookmarkEnd w:id="163"/>
      <w:bookmarkEnd w:id="164"/>
      <w:bookmarkStart w:id="165" w:name="_Toc15396619"/>
    </w:p>
    <w:p>
      <w:pPr>
        <w:pStyle w:val="7"/>
        <w:bidi w:val="0"/>
      </w:pPr>
      <w:bookmarkStart w:id="166" w:name="_Toc32197"/>
      <w:r>
        <w:rPr>
          <w:rFonts w:hint="eastAsia"/>
        </w:rPr>
        <w:t>一、收入支出决算总表</w:t>
      </w:r>
      <w:bookmarkEnd w:id="165"/>
      <w:bookmarkEnd w:id="166"/>
    </w:p>
    <w:p>
      <w:pPr>
        <w:pStyle w:val="7"/>
        <w:bidi w:val="0"/>
      </w:pPr>
      <w:bookmarkStart w:id="167" w:name="_Toc15889"/>
      <w:bookmarkStart w:id="168" w:name="_Toc15396620"/>
      <w:r>
        <w:rPr>
          <w:rFonts w:hint="eastAsia"/>
        </w:rPr>
        <w:t>二、收入决算表</w:t>
      </w:r>
      <w:bookmarkEnd w:id="167"/>
      <w:bookmarkEnd w:id="168"/>
    </w:p>
    <w:p>
      <w:pPr>
        <w:pStyle w:val="7"/>
        <w:bidi w:val="0"/>
      </w:pPr>
      <w:bookmarkStart w:id="169" w:name="_Toc15396621"/>
      <w:bookmarkStart w:id="170" w:name="_Toc10613"/>
      <w:r>
        <w:rPr>
          <w:rFonts w:hint="eastAsia"/>
        </w:rPr>
        <w:t>三、支出决算表</w:t>
      </w:r>
      <w:bookmarkEnd w:id="169"/>
      <w:bookmarkEnd w:id="170"/>
    </w:p>
    <w:p>
      <w:pPr>
        <w:pStyle w:val="7"/>
        <w:bidi w:val="0"/>
      </w:pPr>
      <w:bookmarkStart w:id="171" w:name="_Toc15396622"/>
      <w:bookmarkStart w:id="172" w:name="_Toc8615"/>
      <w:r>
        <w:rPr>
          <w:rFonts w:hint="eastAsia"/>
        </w:rPr>
        <w:t>四、财政拨款收入支出决算总表</w:t>
      </w:r>
      <w:bookmarkEnd w:id="171"/>
      <w:bookmarkEnd w:id="172"/>
    </w:p>
    <w:p>
      <w:pPr>
        <w:pStyle w:val="7"/>
        <w:bidi w:val="0"/>
      </w:pPr>
      <w:bookmarkStart w:id="173" w:name="_Toc15396623"/>
      <w:bookmarkStart w:id="174" w:name="_Toc3175"/>
      <w:r>
        <w:rPr>
          <w:rFonts w:hint="eastAsia"/>
        </w:rPr>
        <w:t>五、财政拨款支出决算明细表</w:t>
      </w:r>
      <w:bookmarkEnd w:id="173"/>
      <w:bookmarkEnd w:id="174"/>
      <w:bookmarkStart w:id="175" w:name="_Toc15396624"/>
    </w:p>
    <w:p>
      <w:pPr>
        <w:pStyle w:val="7"/>
        <w:bidi w:val="0"/>
      </w:pPr>
      <w:bookmarkStart w:id="176" w:name="_Toc2772"/>
      <w:r>
        <w:rPr>
          <w:rFonts w:hint="eastAsia"/>
        </w:rPr>
        <w:t>六、一般公共预算财政拨款支出决算表</w:t>
      </w:r>
      <w:bookmarkEnd w:id="175"/>
      <w:bookmarkEnd w:id="176"/>
    </w:p>
    <w:p>
      <w:pPr>
        <w:pStyle w:val="7"/>
        <w:bidi w:val="0"/>
      </w:pPr>
      <w:bookmarkStart w:id="177" w:name="_Toc26998"/>
      <w:bookmarkStart w:id="178" w:name="_Toc15396625"/>
      <w:r>
        <w:rPr>
          <w:rFonts w:hint="eastAsia"/>
        </w:rPr>
        <w:t>七、一般公共预算财政拨款支出决算明细表</w:t>
      </w:r>
      <w:bookmarkEnd w:id="177"/>
      <w:bookmarkEnd w:id="178"/>
    </w:p>
    <w:p>
      <w:pPr>
        <w:pStyle w:val="7"/>
        <w:bidi w:val="0"/>
      </w:pPr>
      <w:bookmarkStart w:id="179" w:name="_Toc15396626"/>
      <w:bookmarkStart w:id="180" w:name="_Toc15872"/>
      <w:r>
        <w:rPr>
          <w:rFonts w:hint="eastAsia"/>
        </w:rPr>
        <w:t>八、一般公共预算财政拨款基本支出决算表</w:t>
      </w:r>
      <w:bookmarkEnd w:id="179"/>
      <w:bookmarkEnd w:id="180"/>
    </w:p>
    <w:p>
      <w:pPr>
        <w:pStyle w:val="7"/>
        <w:bidi w:val="0"/>
      </w:pPr>
      <w:bookmarkStart w:id="181" w:name="_Toc15396627"/>
      <w:bookmarkStart w:id="182" w:name="_Toc13435"/>
      <w:r>
        <w:rPr>
          <w:rFonts w:hint="eastAsia"/>
        </w:rPr>
        <w:t>九、一般公共预算财政拨款项目支出决算表</w:t>
      </w:r>
      <w:bookmarkEnd w:id="181"/>
      <w:bookmarkEnd w:id="182"/>
    </w:p>
    <w:p>
      <w:pPr>
        <w:pStyle w:val="7"/>
        <w:bidi w:val="0"/>
      </w:pPr>
      <w:bookmarkStart w:id="183" w:name="_Toc15396628"/>
      <w:bookmarkStart w:id="184" w:name="_Toc25715"/>
      <w:r>
        <w:rPr>
          <w:rFonts w:hint="eastAsia"/>
        </w:rPr>
        <w:t>十、</w:t>
      </w:r>
      <w:bookmarkEnd w:id="183"/>
      <w:r>
        <w:rPr>
          <w:rFonts w:hint="eastAsia"/>
        </w:rPr>
        <w:t>政府性基金预算财政拨款收入支出决算表</w:t>
      </w:r>
      <w:bookmarkEnd w:id="184"/>
    </w:p>
    <w:p>
      <w:pPr>
        <w:pStyle w:val="7"/>
        <w:bidi w:val="0"/>
      </w:pPr>
      <w:bookmarkStart w:id="185" w:name="_Toc15396629"/>
      <w:bookmarkStart w:id="186" w:name="_Toc2883"/>
      <w:r>
        <w:rPr>
          <w:rFonts w:hint="eastAsia"/>
        </w:rPr>
        <w:t>十一、</w:t>
      </w:r>
      <w:bookmarkEnd w:id="185"/>
      <w:r>
        <w:rPr>
          <w:rFonts w:hint="eastAsia"/>
        </w:rPr>
        <w:t>国有资本经营预算财政拨款收入支出决算表</w:t>
      </w:r>
      <w:bookmarkEnd w:id="186"/>
    </w:p>
    <w:p>
      <w:pPr>
        <w:pStyle w:val="7"/>
        <w:bidi w:val="0"/>
      </w:pPr>
      <w:bookmarkStart w:id="187" w:name="_Toc15396630"/>
      <w:bookmarkStart w:id="188" w:name="_Toc24534"/>
      <w:r>
        <w:rPr>
          <w:rFonts w:hint="eastAsia"/>
        </w:rPr>
        <w:t>十二、</w:t>
      </w:r>
      <w:bookmarkEnd w:id="187"/>
      <w:r>
        <w:rPr>
          <w:rFonts w:hint="eastAsia"/>
        </w:rPr>
        <w:t>国有资本经营预算财政拨款支出决算表</w:t>
      </w:r>
      <w:bookmarkEnd w:id="188"/>
    </w:p>
    <w:p>
      <w:pPr>
        <w:pStyle w:val="7"/>
        <w:bidi w:val="0"/>
      </w:pPr>
      <w:bookmarkStart w:id="189" w:name="_Toc15396631"/>
      <w:bookmarkStart w:id="190" w:name="_Toc32645"/>
      <w:r>
        <w:rPr>
          <w:rFonts w:hint="eastAsia"/>
        </w:rPr>
        <w:t>十三、</w:t>
      </w:r>
      <w:bookmarkEnd w:id="189"/>
      <w:r>
        <w:rPr>
          <w:rFonts w:hint="eastAsia"/>
        </w:rPr>
        <w:t>财政拨款“三公”经费支出决算表</w:t>
      </w:r>
      <w:bookmarkEnd w:id="190"/>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B215E"/>
    <w:multiLevelType w:val="singleLevel"/>
    <w:tmpl w:val="B82B215E"/>
    <w:lvl w:ilvl="0" w:tentative="0">
      <w:start w:val="1"/>
      <w:numFmt w:val="chineseCounting"/>
      <w:suff w:val="nothing"/>
      <w:lvlText w:val="%1、"/>
      <w:lvlJc w:val="left"/>
      <w:rPr>
        <w:rFonts w:hint="eastAsia"/>
      </w:rPr>
    </w:lvl>
  </w:abstractNum>
  <w:abstractNum w:abstractNumId="1">
    <w:nsid w:val="C04AEC23"/>
    <w:multiLevelType w:val="singleLevel"/>
    <w:tmpl w:val="C04AEC23"/>
    <w:lvl w:ilvl="0" w:tentative="0">
      <w:start w:val="1"/>
      <w:numFmt w:val="chineseCounting"/>
      <w:suff w:val="nothing"/>
      <w:lvlText w:val="%1、"/>
      <w:lvlJc w:val="left"/>
      <w:rPr>
        <w:rFonts w:hint="eastAsia"/>
      </w:rPr>
    </w:lvl>
  </w:abstractNum>
  <w:abstractNum w:abstractNumId="2">
    <w:nsid w:val="C0545293"/>
    <w:multiLevelType w:val="singleLevel"/>
    <w:tmpl w:val="C0545293"/>
    <w:lvl w:ilvl="0" w:tentative="0">
      <w:start w:val="1"/>
      <w:numFmt w:val="chineseCounting"/>
      <w:suff w:val="nothing"/>
      <w:lvlText w:val="（%1）"/>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66E0107"/>
    <w:rsid w:val="072C003F"/>
    <w:rsid w:val="07996F6E"/>
    <w:rsid w:val="0A2032A3"/>
    <w:rsid w:val="0F98263C"/>
    <w:rsid w:val="101860EC"/>
    <w:rsid w:val="10C055FF"/>
    <w:rsid w:val="118107EC"/>
    <w:rsid w:val="13D50BC4"/>
    <w:rsid w:val="16BB723D"/>
    <w:rsid w:val="19425665"/>
    <w:rsid w:val="1BE8440E"/>
    <w:rsid w:val="1D155CEE"/>
    <w:rsid w:val="1FF35744"/>
    <w:rsid w:val="23860B96"/>
    <w:rsid w:val="240371BF"/>
    <w:rsid w:val="29FD04D3"/>
    <w:rsid w:val="2C8A61B5"/>
    <w:rsid w:val="2DF04E50"/>
    <w:rsid w:val="2F040D46"/>
    <w:rsid w:val="319F7F4E"/>
    <w:rsid w:val="3304709D"/>
    <w:rsid w:val="36AA5135"/>
    <w:rsid w:val="376D39B2"/>
    <w:rsid w:val="37E16F03"/>
    <w:rsid w:val="38D469F0"/>
    <w:rsid w:val="3D98207C"/>
    <w:rsid w:val="3E726A81"/>
    <w:rsid w:val="3E78745D"/>
    <w:rsid w:val="44E268DA"/>
    <w:rsid w:val="47602859"/>
    <w:rsid w:val="4A627F82"/>
    <w:rsid w:val="4B0E749A"/>
    <w:rsid w:val="4B4F25DA"/>
    <w:rsid w:val="4BE068DB"/>
    <w:rsid w:val="4D577224"/>
    <w:rsid w:val="4EAB630A"/>
    <w:rsid w:val="4ECE2238"/>
    <w:rsid w:val="4F717048"/>
    <w:rsid w:val="537E6D0A"/>
    <w:rsid w:val="5AF92295"/>
    <w:rsid w:val="5CD71FC4"/>
    <w:rsid w:val="6C4A05C8"/>
    <w:rsid w:val="6E7E3605"/>
    <w:rsid w:val="6FF5CC65"/>
    <w:rsid w:val="715C0E4B"/>
    <w:rsid w:val="72734D90"/>
    <w:rsid w:val="73AD73D5"/>
    <w:rsid w:val="73B6EB34"/>
    <w:rsid w:val="744731E5"/>
    <w:rsid w:val="76E3355F"/>
    <w:rsid w:val="778769C8"/>
    <w:rsid w:val="778F619F"/>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4">
    <w:name w:val="Body Text First Indent"/>
    <w:basedOn w:val="5"/>
    <w:qFormat/>
    <w:uiPriority w:val="0"/>
    <w:pPr>
      <w:ind w:firstLine="420" w:firstLineChars="100"/>
    </w:pPr>
  </w:style>
  <w:style w:type="paragraph" w:styleId="5">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6"/>
    <w:qFormat/>
    <w:uiPriority w:val="9"/>
    <w:rPr>
      <w:rFonts w:ascii="Times New Roman" w:hAnsi="Times New Roman"/>
      <w:b/>
      <w:bCs/>
      <w:kern w:val="44"/>
      <w:sz w:val="44"/>
      <w:szCs w:val="44"/>
    </w:rPr>
  </w:style>
  <w:style w:type="character" w:customStyle="1" w:styleId="30">
    <w:name w:val="标题 2 字符"/>
    <w:basedOn w:val="17"/>
    <w:link w:val="7"/>
    <w:qFormat/>
    <w:uiPriority w:val="9"/>
    <w:rPr>
      <w:rFonts w:asciiTheme="majorHAnsi" w:hAnsiTheme="majorHAnsi" w:eastAsiaTheme="majorEastAsia" w:cstheme="majorBidi"/>
      <w:b/>
      <w:bCs/>
      <w:kern w:val="2"/>
      <w:sz w:val="32"/>
      <w:szCs w:val="32"/>
    </w:rPr>
  </w:style>
  <w:style w:type="paragraph" w:customStyle="1" w:styleId="31">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8"/>
    <w:qFormat/>
    <w:uiPriority w:val="9"/>
    <w:rPr>
      <w:rFonts w:ascii="Times New Roman" w:hAnsi="Times New Roman"/>
      <w:b/>
      <w:bCs/>
      <w:kern w:val="2"/>
      <w:sz w:val="32"/>
      <w:szCs w:val="32"/>
    </w:rPr>
  </w:style>
  <w:style w:type="paragraph" w:customStyle="1" w:styleId="34">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PlainText"/>
    <w:basedOn w:val="1"/>
    <w:qFormat/>
    <w:uiPriority w:val="0"/>
    <w:rPr>
      <w:rFonts w:ascii="宋体" w:hAnsi="Courier New"/>
    </w:rPr>
  </w:style>
  <w:style w:type="character" w:customStyle="1" w:styleId="37">
    <w:name w:val="NormalCharacter"/>
    <w:semiHidden/>
    <w:qFormat/>
    <w:uiPriority w:val="0"/>
    <w:rPr>
      <w:rFonts w:ascii="Calibri" w:hAnsi="Calibri" w:eastAsia="宋体" w:cs="Times New Roman"/>
      <w:kern w:val="2"/>
      <w:sz w:val="21"/>
      <w:szCs w:val="24"/>
      <w:lang w:val="en-US" w:eastAsia="zh-CN" w:bidi="ar-SA"/>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5945;&#32946;&#23616;\22&#24180;&#20915;&#3163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5945;&#32946;&#23616;\22&#24180;&#20915;&#3163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5945;&#32946;&#23616;\22&#24180;&#20915;&#3163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5945;&#32946;&#23616;\22&#24180;&#20915;&#3163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5945;&#32946;&#23616;\22&#24180;&#20915;&#3163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5945;&#32946;&#23616;\22&#24180;&#20915;&#3163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5945;&#32946;&#23616;\22&#24180;&#20915;&#3163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#,##0.00</c:formatCode>
                <c:ptCount val="2"/>
                <c:pt idx="0">
                  <c:v>100207.96</c:v>
                </c:pt>
                <c:pt idx="1" c:formatCode="General">
                  <c:v>89693.75</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0.9466</c:v>
                </c:pt>
                <c:pt idx="1">
                  <c:v>0.0359</c:v>
                </c:pt>
                <c:pt idx="2">
                  <c:v>0</c:v>
                </c:pt>
                <c:pt idx="3">
                  <c:v>0.0174</c:v>
                </c:pt>
                <c:pt idx="4">
                  <c:v>0</c:v>
                </c:pt>
                <c:pt idx="5">
                  <c:v>0.0001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21675328645674"/>
          <c:y val="0.65016103059581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0.9137</c:v>
                </c:pt>
                <c:pt idx="1">
                  <c:v>0.0863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#,##0.00</c:formatCode>
                <c:ptCount val="2"/>
                <c:pt idx="0">
                  <c:v>98624.9</c:v>
                </c:pt>
                <c:pt idx="1">
                  <c:v>88158.83</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75186567164179"/>
          <c:y val="0.296440972222222"/>
          <c:w val="0.220149253731343"/>
          <c:h val="0.3116319444444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#,##0.00</c:formatCode>
                <c:ptCount val="2"/>
                <c:pt idx="0">
                  <c:v>91207.47</c:v>
                </c:pt>
                <c:pt idx="1">
                  <c:v>84994.12</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83374084752313"/>
          <c:y val="0.413194444444444"/>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Pt>
            <c:idx val="5"/>
            <c:bubble3D val="0"/>
          </c:dPt>
          <c:dPt>
            <c:idx val="6"/>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50530689427408"/>
                  <c:y val="-0.03142699102287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282722878556227"/>
                  <c:y val="0.02065149148660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[决算公开插图制作示例.xlsx]图6!$A$2:$A$8</c:f>
              <c:strCache>
                <c:ptCount val="7"/>
                <c:pt idx="0">
                  <c:v>一般公共服务（类）支出</c:v>
                </c:pt>
                <c:pt idx="1">
                  <c:v>教育（类）支出</c:v>
                </c:pt>
                <c:pt idx="2">
                  <c:v>社会保障和就业（类）支出</c:v>
                </c:pt>
                <c:pt idx="3">
                  <c:v>文化旅游体育与传媒（类）支出</c:v>
                </c:pt>
                <c:pt idx="4">
                  <c:v>卫生健康(类)支出</c:v>
                </c:pt>
                <c:pt idx="5">
                  <c:v>农林水（类）支出</c:v>
                </c:pt>
                <c:pt idx="6">
                  <c:v>住房保障（类）支出</c:v>
                </c:pt>
              </c:strCache>
            </c:strRef>
          </c:cat>
          <c:val>
            <c:numRef>
              <c:f>[决算公开插图制作示例.xlsx]图6!$B$2:$B$8</c:f>
              <c:numCache>
                <c:formatCode>General</c:formatCode>
                <c:ptCount val="7"/>
                <c:pt idx="0">
                  <c:v>0</c:v>
                </c:pt>
                <c:pt idx="1">
                  <c:v>71171.42</c:v>
                </c:pt>
                <c:pt idx="2">
                  <c:v>6254.08</c:v>
                </c:pt>
                <c:pt idx="3">
                  <c:v>6</c:v>
                </c:pt>
                <c:pt idx="4">
                  <c:v>2999.3</c:v>
                </c:pt>
                <c:pt idx="5">
                  <c:v>64</c:v>
                </c:pt>
                <c:pt idx="6">
                  <c:v>4499.32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36.78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32</TotalTime>
  <ScaleCrop>false</ScaleCrop>
  <LinksUpToDate>false</LinksUpToDate>
  <CharactersWithSpaces>8226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2023-11-28T01:44:13Z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C57D127D2F624020A433F74C7783DA90_12</vt:lpwstr>
  </property>
</Properties>
</file>