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15378441"/>
      <w:bookmarkStart w:id="2" w:name="_Toc15377193"/>
      <w:bookmarkStart w:id="3" w:name="_Toc15396475"/>
      <w:bookmarkStart w:id="4" w:name="_Toc15396597"/>
      <w:bookmarkStart w:id="5" w:name="_Toc15377425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6" w:name="_Toc15396598"/>
      <w:bookmarkStart w:id="7" w:name="_Toc15378442"/>
      <w:bookmarkStart w:id="8" w:name="_Toc15377426"/>
      <w:bookmarkStart w:id="9" w:name="_Toc15396476"/>
      <w:bookmarkStart w:id="10" w:name="_Toc15377194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0"/>
      <w:bookmarkStart w:id="11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香江实验学校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决算</w:t>
      </w:r>
      <w:bookmarkEnd w:id="6"/>
      <w:bookmarkEnd w:id="7"/>
      <w:bookmarkEnd w:id="8"/>
      <w:bookmarkEnd w:id="9"/>
      <w:bookmarkEnd w:id="10"/>
      <w:bookmarkEnd w:id="11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公开</w:t>
      </w:r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0"/>
      </w:pPr>
      <w:r>
        <w:rPr>
          <w:rFonts w:hint="eastAsia"/>
        </w:rPr>
        <w:t>公开时间：2023年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/>
    <w:p>
      <w:pPr>
        <w:pStyle w:val="10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第一部分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单位概况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一、主要职责及重点</w:t>
      </w:r>
      <w:r>
        <w:rPr>
          <w:sz w:val="24"/>
        </w:rPr>
        <w:t>工作</w:t>
      </w:r>
    </w:p>
    <w:p>
      <w:pPr>
        <w:pStyle w:val="11"/>
        <w:adjustRightInd w:val="0"/>
        <w:snapToGrid w:val="0"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（一）单位</w:t>
      </w:r>
      <w:r>
        <w:rPr>
          <w:sz w:val="24"/>
        </w:rPr>
        <w:t>职责</w:t>
      </w:r>
    </w:p>
    <w:p>
      <w:pPr>
        <w:pStyle w:val="11"/>
        <w:adjustRightInd w:val="0"/>
        <w:snapToGrid w:val="0"/>
        <w:spacing w:line="440" w:lineRule="exact"/>
        <w:jc w:val="left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（二）2022年重点工作完成情况</w:t>
      </w:r>
    </w:p>
    <w:p>
      <w:pPr>
        <w:pStyle w:val="11"/>
        <w:adjustRightInd w:val="0"/>
        <w:snapToGrid w:val="0"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二、机构设置</w:t>
      </w:r>
    </w:p>
    <w:p>
      <w:pPr>
        <w:pStyle w:val="10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第二部分 2022年度单位决算情况说明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一、收入支出决算总体情况说明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二、收入决算情况说明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三、支出决算情况说明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四、财政拨款收入支出决算总体情况说明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五、一般公共预算财政拨款支出决算情况说明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六、一般公共预算财政拨款基本支出决算情况说明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七、财政拨款“三公”经费支出决算情况说明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八、政府性基金预算支出决算情况说明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九、国有资本经营预算支出决算情况说明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十、其他重要事项的情况说明</w:t>
      </w:r>
    </w:p>
    <w:p>
      <w:pPr>
        <w:pStyle w:val="10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第三部分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名词解释</w:t>
      </w:r>
    </w:p>
    <w:p>
      <w:pPr>
        <w:pStyle w:val="10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第四部分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附件</w:t>
      </w:r>
    </w:p>
    <w:p>
      <w:pPr>
        <w:pStyle w:val="10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第五部分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附表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一、收入支出决算总表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二、收入决算表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三、支出决算表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四、财政拨款收入支出决算总表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五、财政拨款支出决算明细表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六、一般公共预算财政拨款支出决算表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七、一般公共预算财政拨款支出决算明细表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八、一般公共预算财政拨款基本支出决算明细表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九、一般公共预算财政拨款项目支出决算表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十、政府性基金预算财政拨款收入支出决算表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十一、国有资本经营预算财政拨款收入支出决算表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十二、国有资本经营预算财政拨款支出决算表</w:t>
      </w:r>
    </w:p>
    <w:p>
      <w:pPr>
        <w:pStyle w:val="11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十三、财政拨款“三公”经费支出决算表</w:t>
      </w:r>
    </w:p>
    <w:p>
      <w:pPr>
        <w:widowControl/>
        <w:adjustRightInd w:val="0"/>
        <w:snapToGrid w:val="0"/>
        <w:spacing w:line="440" w:lineRule="exact"/>
        <w:ind w:firstLine="1320" w:firstLineChars="55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(注：</w:t>
      </w:r>
      <w:r>
        <w:rPr>
          <w:rFonts w:hint="eastAsia" w:ascii="仿宋" w:hAnsi="仿宋" w:eastAsia="仿宋"/>
          <w:sz w:val="24"/>
        </w:rPr>
        <w:t>请单位根据实际注明页码</w:t>
      </w:r>
      <w:r>
        <w:rPr>
          <w:rFonts w:ascii="仿宋" w:hAnsi="仿宋" w:eastAsia="仿宋"/>
          <w:sz w:val="24"/>
        </w:rPr>
        <w:t>)</w:t>
      </w:r>
    </w:p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</w:pPr>
      <w:bookmarkStart w:id="12" w:name="_Toc15377196"/>
      <w:bookmarkStart w:id="13" w:name="_Toc15396599"/>
      <w:r>
        <w:rPr>
          <w:rFonts w:ascii="仿宋" w:hAnsi="仿宋" w:eastAsia="仿宋"/>
          <w:b/>
          <w:sz w:val="24"/>
        </w:rPr>
        <w:br w:type="page"/>
      </w:r>
    </w:p>
    <w:p>
      <w:pPr>
        <w:pStyle w:val="2"/>
        <w:jc w:val="center"/>
        <w:rPr>
          <w:rStyle w:val="25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25"/>
          <w:rFonts w:hint="eastAsia" w:ascii="黑体" w:hAnsi="黑体" w:eastAsia="黑体"/>
          <w:b w:val="0"/>
          <w:bCs w:val="0"/>
        </w:rPr>
        <w:t>概况</w:t>
      </w:r>
      <w:bookmarkEnd w:id="12"/>
      <w:bookmarkEnd w:id="13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Style w:val="26"/>
          <w:rFonts w:hint="eastAsia" w:ascii="黑体" w:hAnsi="黑体" w:eastAsia="黑体"/>
          <w:b w:val="0"/>
          <w:bCs w:val="0"/>
          <w:lang w:eastAsia="zh-CN"/>
        </w:rPr>
      </w:pPr>
      <w:bookmarkStart w:id="14" w:name="_Toc15396600"/>
      <w:bookmarkStart w:id="15" w:name="_Toc15377197"/>
      <w:r>
        <w:rPr>
          <w:rStyle w:val="26"/>
          <w:rFonts w:hint="eastAsia" w:ascii="黑体" w:hAnsi="黑体" w:eastAsia="黑体"/>
          <w:b w:val="0"/>
          <w:bCs w:val="0"/>
        </w:rPr>
        <w:t>主要职责</w:t>
      </w:r>
      <w:r>
        <w:rPr>
          <w:rStyle w:val="26"/>
          <w:rFonts w:hint="eastAsia" w:ascii="黑体" w:hAnsi="黑体" w:eastAsia="黑体"/>
          <w:b w:val="0"/>
          <w:bCs w:val="0"/>
          <w:lang w:eastAsia="zh-CN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124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剑阁县香江国际实验学校属财政预算一级单位，执行事业单位会计制度，宗旨和业务范围：实施小学业务教育，促 进基础教育发展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一、工作目标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（一）坚持立德树人。把立德树人、五育并举作为学校工作的中心，以责任教育为抓手，加强家庭、学校、社区协同育人，构建香江育人新体系。狠抓班级管理和学生养成教育，教育学生养成良好行为习惯，提升学生综合素养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（二）加强党建引领。夯实学校党建品牌建设，发挥党员教师先锋模范作用，创建基层优秀党组织，积极参与志愿服务和文明创建工作。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（三）落实“双减”政策。注重“双减”各项规定与要求的执行，强化五项管理，推进课后服务，抓实常规教学，提高课堂效率，实现减负增效，确保教育教学质量稳步提升，各年级成绩全县前三位。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（四）立足教研强校。以“半天无课教研日”主题研修活动为平台，打造校本研修特色品牌，开展丰富有效的教科研活动，激发教师专业成长内驱力，促进教师专业水平提升。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（五）确保校园安全。明确校园安全主体责任，落实好一日常规，</w:t>
      </w:r>
      <w:r>
        <w:rPr>
          <w:rFonts w:hint="eastAsia" w:ascii="宋体" w:hAnsi="宋体" w:cs="宋体"/>
          <w:color w:val="222222"/>
          <w:spacing w:val="8"/>
          <w:kern w:val="0"/>
          <w:sz w:val="28"/>
          <w:szCs w:val="28"/>
          <w:shd w:val="clear" w:color="auto" w:fill="FFFFFF"/>
        </w:rPr>
        <w:t>强化人防、物防、技防，</w:t>
      </w: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确保师生生命健康、</w:t>
      </w:r>
      <w:r>
        <w:rPr>
          <w:rFonts w:hint="eastAsia" w:ascii="宋体" w:hAnsi="宋体" w:cs="宋体"/>
          <w:color w:val="222222"/>
          <w:spacing w:val="8"/>
          <w:kern w:val="0"/>
          <w:sz w:val="28"/>
          <w:szCs w:val="28"/>
          <w:shd w:val="clear" w:color="auto" w:fill="FFFFFF"/>
        </w:rPr>
        <w:t>校园和谐安全稳定</w:t>
      </w: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。及时发现、消除校园安全隐患，确保安全责任事故为零。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（六）强化师德教育。师德师风建设常抓不懈，开展警示教育，宣传优秀教师、师德标兵典型事迹，树立香江教师良好社会形象，构建风清气正的和谐美好校园。</w:t>
      </w:r>
    </w:p>
    <w:p>
      <w:pPr>
        <w:widowControl/>
        <w:shd w:val="clear" w:color="auto" w:fill="FFFFFF"/>
        <w:spacing w:line="0" w:lineRule="atLeast"/>
        <w:ind w:firstLine="1176" w:firstLineChars="4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（七）改善办学条件。不断提升学校文化建设，注重校园的美化、绿化，香化。推进校园数字化建设，不断提升学校办学档次。</w:t>
      </w:r>
    </w:p>
    <w:p>
      <w:pPr>
        <w:widowControl/>
        <w:shd w:val="clear" w:color="auto" w:fill="FFFFFF"/>
        <w:spacing w:line="0" w:lineRule="atLeast"/>
        <w:ind w:firstLine="882" w:firstLineChars="3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（八）推进学区制工作。加强校本研修，加强学区毕业班管理，完善学区评价体系建设，推进课程建设，提升学区教育质量。</w:t>
      </w:r>
    </w:p>
    <w:p>
      <w:pPr>
        <w:widowControl/>
        <w:shd w:val="clear" w:color="auto" w:fill="FFFFFF"/>
        <w:spacing w:line="0" w:lineRule="atLeast"/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二、重点特色创新工作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1、校园文化建设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2、责任教育体系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3、学生综合素质评价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4、教师评价体系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5、艺体、科技、阅读特色项目开展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6、幼小衔接教育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7、毕业班工作及五年级质量提升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8、学区制工作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9、教师成长体系建设</w:t>
      </w:r>
    </w:p>
    <w:p>
      <w:pPr>
        <w:widowControl/>
        <w:shd w:val="clear" w:color="auto" w:fill="FFFFFF"/>
        <w:spacing w:line="0" w:lineRule="atLeast"/>
        <w:ind w:firstLine="294" w:firstLineChars="100"/>
        <w:rPr>
          <w:rFonts w:ascii="宋体" w:hAnsi="宋体" w:cs="宋体"/>
          <w:b/>
          <w:bCs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10、双减及作业设计</w:t>
      </w:r>
    </w:p>
    <w:p>
      <w:pPr>
        <w:widowControl/>
        <w:shd w:val="clear" w:color="auto" w:fill="FFFFFF"/>
        <w:spacing w:line="0" w:lineRule="atLeast"/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三、主要措施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    （一）旗帜鲜明抓党建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1.常态化组织好每月支部主题党日活动，加强干部、党员教师队伍建设，积极培养入党积极分子。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2.强化党员示范作用。要求党员教师率先垂范，从业务和思想上凸显党员的先锋模范作用，动员党员教师积极参加文明创建志愿者公益活动。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3.围绕党的二十大召开，组织师生开展读书、演讲、征文、书画比赛等系列活动。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    （二）慎终如始抓教学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1.常规教学紧抓不懈。</w:t>
      </w:r>
      <w:r>
        <w:rPr>
          <w:sz w:val="28"/>
          <w:szCs w:val="28"/>
        </w:rPr>
        <w:t>加强教学常规管理。学校落实备、教、辅、改、考、评、查教学常规，保障教学有序开展。落实备课、作业和辅导检查，备课一周一查，作业一月一查，辅导一月一查，并与考试成绩结合，直接与工资考核挂钩。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杜绝无效课堂，提高课堂效率；规范教学检查，实行月查制，提升教师业务水平。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2.“双减”政策落地落实。严格执行“五项管理”：禁止学生手机进校园、落实作业的质量与时间分配、强化读物的方向与内涵、保证睡眠的时间与评价、增强体质健康与社会适应。高效落实课后服务：做好优化整合、协调沟通，做到时间、安全、质量三保障，切实减轻学生学业负担，减轻家长经济负担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3.体育工作做实做强。常规体育工作做实，严格执行“国家学生体质健康标准”，开齐开足体育课，保证每天活动一小时的刚性目标。特色体育课程助力，开好跳绳、乒乓球、篮球、武术、羽毛球、足球六项体育校本课程，让孩子们掌握可以受益终生的六项运动技能。提升阳光体育大课间及课后服务社团活动的质量，落实足球、乒乓球、篮球项目的训练与管理，争取在各项赛事取得优异成绩。</w:t>
      </w:r>
    </w:p>
    <w:p>
      <w:pPr>
        <w:widowControl/>
        <w:shd w:val="clear" w:color="auto" w:fill="FFFFFF"/>
        <w:spacing w:line="0" w:lineRule="atLeast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 4.科技艺术活动开展求新求效。启动好小提琴培训，开展艺体科技活动，促进学生综合水平提高；找准亮点突破口，积极探索美育及劳动教育活动形式，开展“四节”、劳动实践等活动。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w:t>落实各年级教学指导。</w:t>
      </w:r>
      <w:r>
        <w:rPr>
          <w:rFonts w:hint="eastAsia"/>
          <w:sz w:val="28"/>
          <w:szCs w:val="28"/>
        </w:rPr>
        <w:t>开展好幼小衔接教育，切实抓好毕业班工作</w:t>
      </w:r>
      <w:r>
        <w:rPr>
          <w:sz w:val="28"/>
          <w:szCs w:val="28"/>
        </w:rPr>
        <w:t>。</w:t>
      </w:r>
    </w:p>
    <w:p>
      <w:pPr>
        <w:pStyle w:val="12"/>
        <w:numPr>
          <w:ilvl w:val="0"/>
          <w:numId w:val="2"/>
        </w:numPr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加强作业及教辅资料管理，提高作业的实效性。</w:t>
      </w:r>
      <w:r>
        <w:rPr>
          <w:sz w:val="28"/>
          <w:szCs w:val="28"/>
        </w:rPr>
        <w:t>实行三清制。落实堂清、日清和月清，做到当堂过关、单元章节过关。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>7、开发校本课程。学校大力开发校本课程，</w:t>
      </w:r>
      <w:r>
        <w:rPr>
          <w:rFonts w:hint="eastAsia"/>
          <w:sz w:val="28"/>
          <w:szCs w:val="28"/>
        </w:rPr>
        <w:t>上好国学课程等特色课程，组织好课后服务</w:t>
      </w:r>
      <w:r>
        <w:rPr>
          <w:sz w:val="28"/>
          <w:szCs w:val="28"/>
        </w:rPr>
        <w:t>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（三）全心全意抓德育</w:t>
      </w:r>
    </w:p>
    <w:p>
      <w:pPr>
        <w:widowControl/>
        <w:shd w:val="clear" w:color="auto" w:fill="FFFFFF"/>
        <w:spacing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1.加强德育常规管理。落实班主任到位，对每天</w:t>
      </w:r>
      <w:r>
        <w:rPr>
          <w:rFonts w:hint="eastAsia"/>
          <w:color w:val="222222"/>
          <w:spacing w:val="7"/>
          <w:sz w:val="28"/>
          <w:szCs w:val="28"/>
          <w:lang w:eastAsia="zh-CN"/>
        </w:rPr>
        <w:t>的</w:t>
      </w:r>
      <w:r>
        <w:rPr>
          <w:rFonts w:hint="eastAsia"/>
          <w:color w:val="222222"/>
          <w:spacing w:val="7"/>
          <w:sz w:val="28"/>
          <w:szCs w:val="28"/>
        </w:rPr>
        <w:t>出勤、卫生、仪表、清洁、上课、课间、三操、就餐、午睡进行检查并公布，一周一总结。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2.主题教育。实行每月主题教育，每周活动，对学生进行系列教育。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3.以升旗仪式、班级展示、红领巾广播站、校中会、班队会、文明监督岗、心理咨询室等为平台和载体，结合重大节庆日，加强学生爱国爱党、法制、安全、环保、心理健康等教育，促进学生全面健康发展。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4.做好少先队工作。加强少先队干部梯队建设。充分利用少先队活动、红领巾广播站、国旗班、鼓号队、黑板报等阵地建设，加强学生思想教育，规范学生红领巾佩戴、校服穿着等行为习惯。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w:t>各班</w:t>
      </w:r>
      <w:r>
        <w:rPr>
          <w:rFonts w:hint="eastAsia"/>
          <w:sz w:val="28"/>
          <w:szCs w:val="28"/>
        </w:rPr>
        <w:t>特色化、</w:t>
      </w:r>
      <w:r>
        <w:rPr>
          <w:sz w:val="28"/>
          <w:szCs w:val="28"/>
        </w:rPr>
        <w:t>班会主题化。每周班会都有主题，班主任要先备课，使班会课程化。班级特色化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6.加强</w:t>
      </w:r>
      <w:r>
        <w:rPr>
          <w:sz w:val="28"/>
          <w:szCs w:val="28"/>
        </w:rPr>
        <w:t>班主任</w:t>
      </w:r>
      <w:r>
        <w:rPr>
          <w:rFonts w:hint="eastAsia"/>
          <w:sz w:val="28"/>
          <w:szCs w:val="28"/>
        </w:rPr>
        <w:t>队伍建设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落实</w:t>
      </w:r>
      <w:r>
        <w:rPr>
          <w:sz w:val="28"/>
          <w:szCs w:val="28"/>
        </w:rPr>
        <w:t>班主任进行培训和指导，使班主任工作更专业化。</w:t>
      </w:r>
      <w:r>
        <w:rPr>
          <w:rFonts w:hint="eastAsia"/>
          <w:sz w:val="28"/>
          <w:szCs w:val="28"/>
        </w:rPr>
        <w:t>完善</w:t>
      </w:r>
      <w:r>
        <w:rPr>
          <w:sz w:val="28"/>
          <w:szCs w:val="28"/>
        </w:rPr>
        <w:t>工作绩效考评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对班主任日常工作进行考评，包括日常常规和工作结果，实行奖优促劣。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>学生综合素质测评。每学期对学生进行综合素质的测评，并记录到个人档案之中，以此作为学生成长路径。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、落实养成教育、理想教育、感恩教育、法制教育和挫折教育，并开展相应的活动。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sz w:val="28"/>
          <w:szCs w:val="28"/>
        </w:rPr>
        <w:t>践行环境育人、文化育人、管理育人、服务育人、实践育人，学校每一面墙壁都会说话，每一</w:t>
      </w:r>
      <w:r>
        <w:rPr>
          <w:rFonts w:hint="eastAsia"/>
          <w:sz w:val="28"/>
          <w:szCs w:val="28"/>
          <w:lang w:eastAsia="zh-CN"/>
        </w:rPr>
        <w:t>株</w:t>
      </w:r>
      <w:r>
        <w:rPr>
          <w:sz w:val="28"/>
          <w:szCs w:val="28"/>
        </w:rPr>
        <w:t>花草都能育人。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22222"/>
          <w:spacing w:val="7"/>
          <w:kern w:val="0"/>
          <w:sz w:val="28"/>
          <w:szCs w:val="28"/>
        </w:rPr>
        <w:t>（四）静心务实抓教研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  1.立足课堂求高效。通过新进教师调研课、骨干教师示范课、组内教师交流课、领导班子随堂听课等多种形式深入课堂，达到提升课堂教学效率的目的。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2.立足学习有实效。加强校本培训，将业务学习、集体备课、示范课等教研活动纳入教研日活动中，做到时间保证，地点落实，组织严密，专题明确，群体投入，研讨深入，实效显著。</w:t>
      </w:r>
    </w:p>
    <w:p>
      <w:pPr>
        <w:widowControl/>
        <w:shd w:val="clear" w:color="auto" w:fill="FFFFFF"/>
        <w:spacing w:line="0" w:lineRule="atLeast"/>
        <w:rPr>
          <w:rFonts w:hint="eastAsia" w:ascii="微软雅黑" w:hAnsi="微软雅黑" w:eastAsia="微软雅黑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3.立足活动促提升。通过校际交流、学区教研、教学开放周等多形式多层次的教研活动，教师相互学习切磋，提升自我专业成长。</w:t>
      </w:r>
    </w:p>
    <w:p>
      <w:pPr>
        <w:widowControl/>
        <w:shd w:val="clear" w:color="auto" w:fill="FFFFFF"/>
        <w:spacing w:line="0" w:lineRule="atLeast"/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</w:pPr>
      <w:r>
        <w:rPr>
          <w:rFonts w:hint="eastAsia" w:ascii="宋体" w:hAnsi="宋体" w:cs="宋体"/>
          <w:color w:val="222222"/>
          <w:spacing w:val="7"/>
          <w:kern w:val="0"/>
          <w:sz w:val="28"/>
          <w:szCs w:val="28"/>
        </w:rPr>
        <w:t>     4.立足竞赛出成果。鼓励、帮助教师积极参加省市县各级各类教科研竞赛评选活动，争取培养出一批香江名师。</w:t>
      </w:r>
    </w:p>
    <w:p>
      <w:pPr>
        <w:pStyle w:val="12"/>
        <w:spacing w:before="0" w:beforeAutospacing="0" w:after="0" w:afterAutospacing="0" w:line="0" w:lineRule="atLeast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5.推进</w:t>
      </w:r>
      <w:r>
        <w:rPr>
          <w:sz w:val="28"/>
          <w:szCs w:val="28"/>
        </w:rPr>
        <w:t>青蓝工程。</w:t>
      </w:r>
      <w:r>
        <w:rPr>
          <w:rFonts w:hint="eastAsia"/>
          <w:sz w:val="28"/>
          <w:szCs w:val="28"/>
        </w:rPr>
        <w:t>推进</w:t>
      </w:r>
      <w:r>
        <w:rPr>
          <w:sz w:val="28"/>
          <w:szCs w:val="28"/>
        </w:rPr>
        <w:t>实行青蓝工程，每一位新教师都拜一位有经验的教师，实行教师带新。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</w:p>
    <w:p>
      <w:pPr>
        <w:pStyle w:val="12"/>
        <w:spacing w:before="0" w:beforeAutospacing="0" w:after="0" w:afterAutospacing="0" w:line="0" w:lineRule="atLeast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>打造教师名片。我们提倡教师名师化，对教学能力强、责任心好，教学有特色的教师进行推介，打造教师个人名片。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</w:p>
    <w:p>
      <w:pPr>
        <w:pStyle w:val="12"/>
        <w:spacing w:before="0" w:beforeAutospacing="0" w:after="0" w:afterAutospacing="0" w:line="0" w:lineRule="atLeast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>做好教师个人规划。帮助教师做好职业规划，一年站稳讲台，三年站亮讲台，六年成为骨干，九年成为名师。</w:t>
      </w:r>
    </w:p>
    <w:p>
      <w:pPr>
        <w:pStyle w:val="12"/>
        <w:spacing w:before="0" w:beforeAutospacing="0" w:after="0" w:afterAutospacing="0" w:line="0" w:lineRule="atLeast"/>
        <w:rPr>
          <w:sz w:val="28"/>
          <w:szCs w:val="28"/>
        </w:rPr>
      </w:pPr>
    </w:p>
    <w:p>
      <w:pPr>
        <w:pStyle w:val="12"/>
        <w:spacing w:before="0" w:beforeAutospacing="0" w:after="0" w:afterAutospacing="0" w:line="0" w:lineRule="atLeast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  <w:lang w:eastAsia="zh-CN"/>
        </w:rPr>
        <w:t>制定</w:t>
      </w:r>
      <w:r>
        <w:rPr>
          <w:sz w:val="28"/>
          <w:szCs w:val="28"/>
        </w:rPr>
        <w:t>绩效考评机制。对教师的教学管理、教学教研、教学结果进行考评，奖优促劣。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b/>
          <w:bCs/>
          <w:color w:val="222222"/>
          <w:spacing w:val="7"/>
          <w:sz w:val="28"/>
          <w:szCs w:val="28"/>
        </w:rPr>
        <w:t>（五）一刻不松抓安全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</w:t>
      </w:r>
      <w:r>
        <w:rPr>
          <w:rFonts w:hint="eastAsia"/>
          <w:color w:val="222222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222222"/>
          <w:spacing w:val="7"/>
          <w:sz w:val="28"/>
          <w:szCs w:val="28"/>
        </w:rPr>
        <w:t xml:space="preserve"> 1.抓好常态化新冠疫情防控、秋冬季传染病防控、防火防电、交通安全、防校园欺凌、学生心理健康教育等工作，增强学生安全意识和自我防范能力。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2.做好校园安全岗、家长志愿者值班工作，强化对校园保安的管理，规范进入校园登记、校门口家长接送学生车辆停放事宜。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3.坚持校园安全日常巡查，及时发现消除校园安全隐患，做好特异体质学生、留守儿童摸排登记与管理工作。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4.经常性开展安全应急演练，利用视频监控、校园广播、校中会对课间学生行为进行巡查与通报。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5.定期开展学生日常行为规范、文明礼仪、法治宣传、心理健康等安全教育活动。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 xml:space="preserve">    </w:t>
      </w:r>
      <w:r>
        <w:rPr>
          <w:rFonts w:hint="eastAsia"/>
          <w:b/>
          <w:bCs/>
          <w:color w:val="222222"/>
          <w:spacing w:val="7"/>
          <w:sz w:val="28"/>
          <w:szCs w:val="28"/>
        </w:rPr>
        <w:t>（六）贴心细微抓后勤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1.提升后勤服务意识，保障教育教学活动的顺利开展。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2.严格遵守财经纪律和财务规定，规范做好学校财务工作；做好教职工职称聘任、岗位晋升和工资调整发放工作。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3.及时维修教学设施、添置教学设备，做好固定资产登记保管工作。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4.加强电教设备、班班通教室、多媒体教室的使用管理与维护，努力提高设备的使用率，推动智慧校园建设。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5.加强食堂管理，确保菜品质量，落实安全责任，杜绝任何安全事故。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</w:t>
      </w:r>
      <w:r>
        <w:rPr>
          <w:rFonts w:hint="eastAsia"/>
          <w:b/>
          <w:bCs/>
          <w:color w:val="222222"/>
          <w:spacing w:val="7"/>
          <w:sz w:val="28"/>
          <w:szCs w:val="28"/>
        </w:rPr>
        <w:t> （七）凸显职能抓群团</w:t>
      </w:r>
    </w:p>
    <w:p>
      <w:pPr>
        <w:pStyle w:val="12"/>
        <w:spacing w:before="0" w:beforeAutospacing="0" w:after="0" w:afterAutospacing="0" w:line="0" w:lineRule="atLeast"/>
        <w:rPr>
          <w:rFonts w:hint="eastAsia"/>
          <w:color w:val="222222"/>
          <w:spacing w:val="7"/>
          <w:sz w:val="28"/>
          <w:szCs w:val="28"/>
        </w:rPr>
      </w:pPr>
      <w:r>
        <w:rPr>
          <w:rFonts w:hint="eastAsia"/>
          <w:color w:val="222222"/>
          <w:spacing w:val="7"/>
          <w:sz w:val="28"/>
          <w:szCs w:val="28"/>
        </w:rPr>
        <w:t>      1.开展有意义的教师文体活动，活跃校园生活，安排好中秋</w:t>
      </w:r>
      <w:r>
        <w:rPr>
          <w:rFonts w:hint="eastAsia"/>
          <w:color w:val="222222"/>
          <w:spacing w:val="7"/>
          <w:sz w:val="28"/>
          <w:szCs w:val="28"/>
          <w:lang w:eastAsia="zh-CN"/>
        </w:rPr>
        <w:t>节</w:t>
      </w:r>
      <w:bookmarkStart w:id="67" w:name="_GoBack"/>
      <w:bookmarkEnd w:id="67"/>
      <w:r>
        <w:rPr>
          <w:rFonts w:hint="eastAsia"/>
          <w:color w:val="222222"/>
          <w:spacing w:val="7"/>
          <w:sz w:val="28"/>
          <w:szCs w:val="28"/>
        </w:rPr>
        <w:t>、春节慰问、困难教师慰问、教职工体检等活动。</w:t>
      </w:r>
    </w:p>
    <w:p>
      <w:pPr>
        <w:pStyle w:val="12"/>
        <w:spacing w:before="0" w:beforeAutospacing="0" w:after="0" w:afterAutospacing="0" w:line="0" w:lineRule="atLeast"/>
        <w:rPr>
          <w:rStyle w:val="26"/>
          <w:rFonts w:ascii="黑体" w:hAnsi="黑体" w:eastAsia="黑体"/>
          <w:b w:val="0"/>
          <w:bCs w:val="0"/>
        </w:rPr>
      </w:pPr>
      <w:r>
        <w:rPr>
          <w:rFonts w:hint="eastAsia"/>
          <w:color w:val="222222"/>
          <w:spacing w:val="7"/>
          <w:sz w:val="28"/>
          <w:szCs w:val="28"/>
        </w:rPr>
        <w:t>      2.严格按照教代会工作要求，认真筹备、开好新一届教代会。</w:t>
      </w:r>
    </w:p>
    <w:p>
      <w:pPr>
        <w:pStyle w:val="3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pStyle w:val="3"/>
        <w:ind w:firstLine="588" w:firstLineChars="200"/>
        <w:rPr>
          <w:rFonts w:hint="default" w:ascii="黑体" w:hAnsi="黑体" w:eastAsia="黑体"/>
          <w:b w:val="0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222222"/>
          <w:spacing w:val="7"/>
          <w:kern w:val="0"/>
          <w:sz w:val="28"/>
          <w:szCs w:val="28"/>
          <w:lang w:val="en-US" w:eastAsia="zh-CN" w:bidi="ar-SA"/>
        </w:rPr>
        <w:t>剑阁县香江国际实验学校属财政预算一级单位，无下属机构，全校有在编教师85人。</w:t>
      </w:r>
    </w:p>
    <w:bookmarkEnd w:id="14"/>
    <w:bookmarkEnd w:id="15"/>
    <w:p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2"/>
        <w:ind w:right="440"/>
        <w:jc w:val="center"/>
        <w:rPr>
          <w:rStyle w:val="25"/>
          <w:rFonts w:ascii="黑体" w:hAnsi="黑体" w:eastAsia="黑体"/>
          <w:b w:val="0"/>
          <w:bCs/>
        </w:rPr>
      </w:pPr>
      <w:bookmarkStart w:id="16" w:name="_Toc15377204"/>
      <w:bookmarkStart w:id="17" w:name="_Toc15396602"/>
      <w:r>
        <w:rPr>
          <w:rFonts w:hint="eastAsia" w:ascii="黑体" w:hAnsi="黑体" w:eastAsia="黑体"/>
          <w:b w:val="0"/>
        </w:rPr>
        <w:t>第二部分 2022年度</w:t>
      </w:r>
      <w:r>
        <w:rPr>
          <w:rStyle w:val="25"/>
          <w:rFonts w:hint="eastAsia" w:ascii="黑体" w:hAnsi="黑体" w:eastAsia="黑体"/>
          <w:b w:val="0"/>
          <w:bCs/>
        </w:rPr>
        <w:t>单位决算情况说明</w:t>
      </w:r>
      <w:bookmarkEnd w:id="16"/>
      <w:bookmarkEnd w:id="17"/>
    </w:p>
    <w:p/>
    <w:p>
      <w:pPr>
        <w:pStyle w:val="24"/>
        <w:numPr>
          <w:ilvl w:val="0"/>
          <w:numId w:val="3"/>
        </w:numPr>
        <w:spacing w:line="600" w:lineRule="exact"/>
        <w:ind w:firstLineChars="0"/>
        <w:outlineLvl w:val="1"/>
        <w:rPr>
          <w:rStyle w:val="26"/>
          <w:rFonts w:ascii="黑体" w:hAnsi="黑体" w:eastAsia="黑体"/>
          <w:b w:val="0"/>
        </w:rPr>
      </w:pPr>
      <w:bookmarkStart w:id="18" w:name="_Toc15396603"/>
      <w:bookmarkStart w:id="19" w:name="_Toc15377205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6"/>
          <w:rFonts w:hint="eastAsia" w:ascii="黑体" w:hAnsi="黑体" w:eastAsia="黑体"/>
          <w:b w:val="0"/>
        </w:rPr>
        <w:t>入支出决算总体情况说明</w:t>
      </w:r>
      <w:bookmarkEnd w:id="18"/>
      <w:bookmarkEnd w:id="19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2022年度收、支总计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万元。与2021年相比，收、支总计各增加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</w:t>
      </w:r>
      <w:r>
        <w:rPr>
          <w:rFonts w:hint="eastAsia" w:ascii="仿宋" w:hAnsi="仿宋" w:eastAsia="仿宋"/>
          <w:sz w:val="32"/>
          <w:szCs w:val="32"/>
          <w:lang w:eastAsia="zh-CN"/>
        </w:rPr>
        <w:t>教师增加学生增加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pStyle w:val="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3825240" cy="1865630"/>
            <wp:effectExtent l="0" t="0" r="0" b="8890"/>
            <wp:docPr id="1" name="图片 1" descr="截图2023101810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2310181018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4"/>
        <w:numPr>
          <w:ilvl w:val="0"/>
          <w:numId w:val="0"/>
        </w:numPr>
        <w:spacing w:line="600" w:lineRule="exact"/>
        <w:ind w:firstLine="1600" w:firstLineChars="500"/>
        <w:outlineLvl w:val="1"/>
        <w:rPr>
          <w:rStyle w:val="26"/>
          <w:rFonts w:ascii="黑体" w:hAnsi="黑体" w:eastAsia="黑体"/>
          <w:b w:val="0"/>
        </w:rPr>
      </w:pPr>
      <w:bookmarkStart w:id="20" w:name="_Toc15396604"/>
      <w:bookmarkStart w:id="21" w:name="_Toc15377206"/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6"/>
          <w:rFonts w:hint="eastAsia" w:ascii="黑体" w:hAnsi="黑体" w:eastAsia="黑体"/>
          <w:b w:val="0"/>
        </w:rPr>
        <w:t>入决算情况说明</w:t>
      </w:r>
      <w:bookmarkEnd w:id="20"/>
      <w:bookmarkEnd w:id="21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1188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99.83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；政府性基金预算财政拨款收入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；国有资本经营预算财政拨款收入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；上级补助收入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；附属单位上缴收入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</w:p>
    <w:p>
      <w:pPr>
        <w:spacing w:line="24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183380" cy="2956560"/>
            <wp:effectExtent l="0" t="0" r="7620" b="0"/>
            <wp:docPr id="3" name="图片 3" descr="截图2023101810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图202310181034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4"/>
        <w:numPr>
          <w:ilvl w:val="0"/>
          <w:numId w:val="0"/>
        </w:numPr>
        <w:spacing w:line="600" w:lineRule="exact"/>
        <w:ind w:firstLine="1600" w:firstLineChars="500"/>
        <w:outlineLvl w:val="1"/>
        <w:rPr>
          <w:rStyle w:val="26"/>
          <w:rFonts w:ascii="黑体" w:hAnsi="黑体" w:eastAsia="黑体"/>
          <w:b w:val="0"/>
        </w:rPr>
      </w:pPr>
      <w:bookmarkStart w:id="22" w:name="_Toc15377207"/>
      <w:bookmarkStart w:id="23" w:name="_Toc15396605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26"/>
          <w:rFonts w:hint="eastAsia" w:ascii="黑体" w:hAnsi="黑体" w:eastAsia="黑体"/>
          <w:b w:val="0"/>
        </w:rPr>
        <w:t>出决算情况说明</w:t>
      </w:r>
      <w:bookmarkEnd w:id="22"/>
      <w:bookmarkEnd w:id="23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；上缴上级支出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；对附属单位补助支出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5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 xml:space="preserve">       </w:t>
      </w:r>
    </w:p>
    <w:p>
      <w:pPr>
        <w:pStyle w:val="5"/>
        <w:rPr>
          <w:rFonts w:hint="eastAsia" w:eastAsia="仿宋"/>
          <w:lang w:eastAsia="zh-CN"/>
        </w:rPr>
      </w:pPr>
      <w:r>
        <w:rPr>
          <w:rFonts w:hint="eastAsia" w:eastAsia="仿宋"/>
          <w:lang w:val="en-US" w:eastAsia="zh-CN"/>
        </w:rPr>
        <w:t xml:space="preserve">     </w:t>
      </w:r>
      <w:r>
        <w:rPr>
          <w:rFonts w:hint="eastAsia" w:eastAsia="仿宋"/>
          <w:lang w:eastAsia="zh-CN"/>
        </w:rPr>
        <w:drawing>
          <wp:inline distT="0" distB="0" distL="114300" distR="114300">
            <wp:extent cx="4091940" cy="2964180"/>
            <wp:effectExtent l="0" t="0" r="7620" b="7620"/>
            <wp:docPr id="5" name="图片 5" descr="截图20231018104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图202310181044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Style w:val="26"/>
          <w:rFonts w:ascii="黑体" w:hAnsi="黑体" w:eastAsia="黑体"/>
          <w:b w:val="0"/>
        </w:rPr>
      </w:pPr>
      <w:bookmarkStart w:id="24" w:name="_Toc15377208"/>
      <w:bookmarkStart w:id="25" w:name="_Toc15396606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26"/>
          <w:rFonts w:hint="eastAsia" w:ascii="黑体" w:hAnsi="黑体" w:eastAsia="黑体"/>
          <w:b w:val="0"/>
        </w:rPr>
        <w:t>政拨款收入支出决算总体情况说明</w:t>
      </w:r>
      <w:bookmarkEnd w:id="24"/>
      <w:bookmarkEnd w:id="25"/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万元。与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21年相比，财政拨款收、支总计各增加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20.20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学生和教师人数增加。</w:t>
      </w:r>
    </w:p>
    <w:p>
      <w:pPr>
        <w:pStyle w:val="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152900" cy="2994660"/>
            <wp:effectExtent l="0" t="0" r="7620" b="7620"/>
            <wp:docPr id="6" name="图片 6" descr="截图20231018105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截图202310181051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26"/>
          <w:rFonts w:ascii="黑体" w:hAnsi="黑体" w:eastAsia="黑体"/>
          <w:b w:val="0"/>
        </w:rPr>
      </w:pPr>
      <w:bookmarkStart w:id="26" w:name="_Toc15396607"/>
      <w:bookmarkStart w:id="27" w:name="_Toc15377209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6"/>
          <w:rFonts w:hint="eastAsia" w:ascii="黑体" w:hAnsi="黑体" w:eastAsia="黑体"/>
          <w:b w:val="0"/>
        </w:rPr>
        <w:t>般公共预算财政拨款支出决算情况说明</w:t>
      </w:r>
      <w:bookmarkEnd w:id="26"/>
      <w:bookmarkEnd w:id="27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8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28"/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21年相比，一般公共预算财政拨款支出增加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20.20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学生和教师人数增加。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5"/>
        <w:rPr>
          <w:rFonts w:ascii="仿宋" w:hAnsi="仿宋" w:eastAsia="仿宋"/>
          <w:sz w:val="32"/>
          <w:szCs w:val="32"/>
        </w:rPr>
      </w:pPr>
    </w:p>
    <w:p>
      <w:pPr>
        <w:pStyle w:val="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091940" cy="3009900"/>
            <wp:effectExtent l="0" t="0" r="7620" b="7620"/>
            <wp:docPr id="7" name="图片 7" descr="截图2023101810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截图202310181057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9" w:name="_Toc15377211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29"/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sz w:val="32"/>
          <w:szCs w:val="32"/>
        </w:rPr>
        <w:t>一般公共服务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教育支出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979.35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82.33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科学技术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文化旅游体育与传媒支出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万元，占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b/>
          <w:bCs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92.76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7.80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46.38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3.92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69.6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5.95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40" w:lineRule="auto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940175" cy="2840990"/>
            <wp:effectExtent l="0" t="0" r="6985" b="8890"/>
            <wp:docPr id="10" name="图片 10" descr="截图2023101811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截图202310181133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30" w:name="_Toc15377212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30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31" w:name="_Toc15378460"/>
      <w:bookmarkStart w:id="32" w:name="_Toc15377444"/>
      <w:bookmarkStart w:id="33" w:name="_Toc15377213"/>
      <w:r>
        <w:rPr>
          <w:rFonts w:hint="eastAsia" w:ascii="仿宋" w:hAnsi="仿宋" w:eastAsia="仿宋"/>
          <w:b/>
          <w:sz w:val="32"/>
          <w:szCs w:val="32"/>
        </w:rPr>
        <w:t>2022年一般公共预算支出决算数为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1190万元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完成预算</w:t>
      </w:r>
      <w:r>
        <w:rPr>
          <w:rStyle w:val="15"/>
          <w:rFonts w:hint="eastAsia" w:ascii="仿宋" w:hAnsi="仿宋" w:eastAsia="仿宋"/>
          <w:bCs/>
          <w:sz w:val="32"/>
          <w:szCs w:val="32"/>
          <w:lang w:val="en-US" w:eastAsia="zh-CN"/>
        </w:rPr>
        <w:t>100</w:t>
      </w:r>
      <w:r>
        <w:rPr>
          <w:rStyle w:val="15"/>
          <w:rFonts w:ascii="仿宋" w:hAnsi="仿宋" w:eastAsia="仿宋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。其中：</w:t>
      </w:r>
      <w:bookmarkEnd w:id="31"/>
      <w:bookmarkEnd w:id="32"/>
      <w:bookmarkEnd w:id="33"/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Style w:val="15"/>
          <w:rFonts w:ascii="仿宋" w:hAnsi="仿宋" w:eastAsia="仿宋"/>
          <w:bCs/>
          <w:sz w:val="32"/>
          <w:szCs w:val="32"/>
        </w:rPr>
        <w:t>1.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一般公共服务（类）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普通教育（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款）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小学教育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1190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Style w:val="15"/>
          <w:rFonts w:ascii="仿宋" w:hAnsi="仿宋" w:eastAsia="仿宋"/>
          <w:bCs/>
          <w:sz w:val="32"/>
          <w:szCs w:val="32"/>
        </w:rPr>
        <w:t>2.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教育（类）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普通教育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（款）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小学教育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979.35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5"/>
          <w:rFonts w:ascii="仿宋" w:hAnsi="仿宋" w:eastAsia="仿宋"/>
          <w:bCs/>
          <w:sz w:val="32"/>
          <w:szCs w:val="32"/>
        </w:rPr>
        <w:t>3.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科学技术（类）</w:t>
      </w:r>
      <w:r>
        <w:rPr>
          <w:rStyle w:val="15"/>
          <w:rFonts w:ascii="仿宋" w:hAnsi="仿宋" w:eastAsia="仿宋"/>
          <w:bCs/>
          <w:sz w:val="32"/>
          <w:szCs w:val="32"/>
        </w:rPr>
        <w:t>***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（款）</w:t>
      </w:r>
      <w:r>
        <w:rPr>
          <w:rStyle w:val="15"/>
          <w:rFonts w:ascii="仿宋" w:hAnsi="仿宋" w:eastAsia="仿宋"/>
          <w:bCs/>
          <w:sz w:val="32"/>
          <w:szCs w:val="32"/>
        </w:rPr>
        <w:t>***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，决算数小于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/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等于预算数的主要原因是…。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5"/>
          <w:rFonts w:ascii="仿宋" w:hAnsi="仿宋" w:eastAsia="仿宋"/>
          <w:bCs/>
          <w:sz w:val="32"/>
          <w:szCs w:val="32"/>
        </w:rPr>
        <w:t>4.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文化旅游体育与传媒（类）</w:t>
      </w:r>
      <w:r>
        <w:rPr>
          <w:rStyle w:val="15"/>
          <w:rFonts w:ascii="仿宋" w:hAnsi="仿宋" w:eastAsia="仿宋"/>
          <w:bCs/>
          <w:sz w:val="32"/>
          <w:szCs w:val="32"/>
        </w:rPr>
        <w:t>***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（款）</w:t>
      </w:r>
      <w:r>
        <w:rPr>
          <w:rStyle w:val="15"/>
          <w:rFonts w:ascii="仿宋" w:hAnsi="仿宋" w:eastAsia="仿宋"/>
          <w:bCs/>
          <w:sz w:val="32"/>
          <w:szCs w:val="32"/>
        </w:rPr>
        <w:t>***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，决算数小于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/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等于预算数的主要原因是…。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Style w:val="15"/>
          <w:rFonts w:ascii="仿宋" w:hAnsi="仿宋" w:eastAsia="仿宋"/>
          <w:bCs/>
          <w:sz w:val="32"/>
          <w:szCs w:val="32"/>
        </w:rPr>
        <w:t>5.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社会保障和就业（类）</w:t>
      </w:r>
      <w:r>
        <w:rPr>
          <w:rStyle w:val="15"/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行政事业单位养老支出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（款）</w:t>
      </w:r>
      <w:r>
        <w:rPr>
          <w:rStyle w:val="15"/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机关事业单位基本养老保险缴费支出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92.76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5"/>
          <w:rFonts w:ascii="仿宋" w:hAnsi="仿宋" w:eastAsia="仿宋"/>
          <w:bCs/>
          <w:sz w:val="32"/>
          <w:szCs w:val="32"/>
        </w:rPr>
        <w:t>6.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（类）</w:t>
      </w:r>
      <w:r>
        <w:rPr>
          <w:rStyle w:val="15"/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行政事业单位医疗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（款）</w:t>
      </w:r>
      <w:r>
        <w:rPr>
          <w:rStyle w:val="15"/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事业单位医疗</w:t>
      </w:r>
      <w:r>
        <w:rPr>
          <w:rStyle w:val="15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5"/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46.38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00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5"/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7.住房保障（类）住房改革支出（款）住房公积金（项）：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支出决算为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69.6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万元，完成预算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100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%。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6"/>
        </w:rPr>
      </w:pPr>
      <w:bookmarkStart w:id="34" w:name="_Toc15377214"/>
      <w:bookmarkStart w:id="35" w:name="_Toc15396608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6"/>
          <w:rFonts w:hint="eastAsia" w:ascii="黑体" w:hAnsi="黑体" w:eastAsia="黑体"/>
          <w:b w:val="0"/>
        </w:rPr>
        <w:t>般公共预算财政拨款基本支出决算情况说明</w:t>
      </w:r>
      <w:bookmarkEnd w:id="34"/>
      <w:bookmarkEnd w:id="35"/>
      <w:r>
        <w:rPr>
          <w:rStyle w:val="26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1190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1063.24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奖金、伙食补助费、绩效工资、机关事业单位基本养老保险缴费、职业年金缴费、其他社会保障缴费、其他工资福利支出、离休费、退休费、抚恤金、生活补助、医疗费补助、奖励金、住房公积金、其他对个人和家庭的补助支出等。</w:t>
      </w:r>
    </w:p>
    <w:p>
      <w:pPr>
        <w:spacing w:line="6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126.76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咨询费、手续费、水费、电费、邮电费、取暖费、物业管理费、差旅费、因公出国（境）费用、维修（护）费、租赁费、会议费、培训费、公务接待费、劳务费、委托业务费、工会经费、福利费、公务用车运行维护费、其他交通费、税金及附加费用、其他商品和服务支出、办公设备购置、专用设备购置、信息网络及软件购置更新、其他资本性支出等。</w:t>
      </w:r>
    </w:p>
    <w:p>
      <w:pPr>
        <w:spacing w:line="600" w:lineRule="exact"/>
        <w:ind w:firstLine="640"/>
        <w:outlineLvl w:val="1"/>
        <w:rPr>
          <w:rStyle w:val="26"/>
          <w:rFonts w:ascii="黑体" w:hAnsi="黑体" w:eastAsia="黑体"/>
          <w:b w:val="0"/>
        </w:rPr>
      </w:pPr>
      <w:bookmarkStart w:id="36" w:name="_Toc15396609"/>
      <w:bookmarkStart w:id="37" w:name="_Toc15377215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26"/>
          <w:rFonts w:hint="eastAsia" w:ascii="黑体" w:hAnsi="黑体" w:eastAsia="黑体"/>
          <w:b w:val="0"/>
        </w:rPr>
        <w:t>财政拨款</w:t>
      </w:r>
      <w:r>
        <w:rPr>
          <w:rStyle w:val="26"/>
          <w:rFonts w:hint="eastAsia" w:ascii="黑体" w:hAnsi="黑体" w:eastAsia="黑体"/>
        </w:rPr>
        <w:t>“</w:t>
      </w:r>
      <w:r>
        <w:rPr>
          <w:rStyle w:val="26"/>
          <w:rFonts w:hint="eastAsia" w:ascii="黑体" w:hAnsi="黑体" w:eastAsia="黑体"/>
          <w:b w:val="0"/>
        </w:rPr>
        <w:t>三公”经费支出决算情况说明</w:t>
      </w:r>
      <w:bookmarkEnd w:id="36"/>
      <w:bookmarkEnd w:id="37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38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38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0.38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，较上年减少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0.095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39" w:name="_Toc15377217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39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spacing w:line="240" w:lineRule="auto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450080" cy="2941320"/>
            <wp:effectExtent l="0" t="0" r="0" b="0"/>
            <wp:docPr id="11" name="图片 11" descr="截图2023101815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截图202310181533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次，出国（境）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**%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万元。全年按规定更新购置公务用车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万元，主要用于…。截至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（具体工作）等所需的公务用车燃料费、维修费、过路过桥费、保险费等支出。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5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5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公务接待费支出决算比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0.095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。主要原因是</w:t>
      </w:r>
      <w:r>
        <w:rPr>
          <w:rFonts w:hint="eastAsia" w:ascii="仿宋_GB2312" w:eastAsia="仿宋_GB2312"/>
          <w:sz w:val="32"/>
          <w:szCs w:val="32"/>
          <w:lang w:eastAsia="zh-CN"/>
        </w:rPr>
        <w:t>减少接待次数和开支</w:t>
      </w:r>
      <w:r>
        <w:rPr>
          <w:rFonts w:hint="eastAsia" w:ascii="仿宋_GB2312" w:eastAsia="仿宋_GB2312"/>
          <w:sz w:val="32"/>
          <w:szCs w:val="32"/>
        </w:rPr>
        <w:t>。其中：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国内公务接待支出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0.38</w:t>
      </w:r>
      <w:r>
        <w:rPr>
          <w:rFonts w:hint="eastAsia" w:ascii="仿宋_GB2312" w:eastAsia="仿宋_GB2312"/>
          <w:sz w:val="32"/>
          <w:szCs w:val="32"/>
        </w:rPr>
        <w:t>万元，主要用于……(执行公务、开展业务活动开支的交通费、住宿费、用餐费等)。国内公务接待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0.38</w:t>
      </w:r>
      <w:r>
        <w:rPr>
          <w:rFonts w:hint="eastAsia" w:ascii="仿宋_GB2312" w:eastAsia="仿宋_GB2312"/>
          <w:sz w:val="32"/>
          <w:szCs w:val="32"/>
        </w:rPr>
        <w:t>万元，具体内容包括：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开展业务活动开支的住宿费、用餐费等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万元，主要用于接待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（具体项目）。外事接待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/>
        <w:outlineLvl w:val="1"/>
        <w:rPr>
          <w:rFonts w:ascii="黑体" w:eastAsia="黑体"/>
          <w:sz w:val="32"/>
          <w:szCs w:val="32"/>
        </w:rPr>
      </w:pPr>
      <w:bookmarkStart w:id="40" w:name="_Toc15377218"/>
      <w:bookmarkStart w:id="41" w:name="_Toc15396610"/>
    </w:p>
    <w:p>
      <w:pPr>
        <w:spacing w:line="600" w:lineRule="exact"/>
        <w:ind w:firstLine="640"/>
        <w:outlineLvl w:val="1"/>
        <w:rPr>
          <w:rStyle w:val="26"/>
          <w:rFonts w:ascii="黑体" w:hAnsi="黑体" w:eastAsia="黑体"/>
        </w:rPr>
      </w:pPr>
      <w:r>
        <w:rPr>
          <w:rFonts w:hint="eastAsia" w:ascii="黑体" w:eastAsia="黑体"/>
          <w:sz w:val="32"/>
          <w:szCs w:val="32"/>
        </w:rPr>
        <w:t>八、</w:t>
      </w:r>
      <w:r>
        <w:rPr>
          <w:rStyle w:val="26"/>
          <w:rFonts w:hint="eastAsia" w:ascii="黑体" w:hAnsi="黑体" w:eastAsia="黑体"/>
          <w:b w:val="0"/>
        </w:rPr>
        <w:t>政府性基金预算支出决算情况说明</w:t>
      </w:r>
      <w:bookmarkEnd w:id="40"/>
      <w:bookmarkEnd w:id="41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22年政府性基金预算财政拨款支出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，经费用于乡村少年宫活动开展的办公经费。</w:t>
      </w:r>
    </w:p>
    <w:p>
      <w:pPr>
        <w:numPr>
          <w:ilvl w:val="0"/>
          <w:numId w:val="4"/>
        </w:numPr>
        <w:tabs>
          <w:tab w:val="left" w:pos="634"/>
        </w:tabs>
        <w:spacing w:line="600" w:lineRule="exact"/>
        <w:ind w:firstLine="640"/>
        <w:outlineLvl w:val="1"/>
        <w:rPr>
          <w:rStyle w:val="26"/>
          <w:rFonts w:ascii="黑体" w:hAnsi="黑体" w:eastAsia="黑体"/>
          <w:b w:val="0"/>
        </w:rPr>
      </w:pPr>
      <w:bookmarkStart w:id="42" w:name="_Toc15377219"/>
      <w:bookmarkStart w:id="43" w:name="_Toc15396611"/>
      <w:r>
        <w:rPr>
          <w:rStyle w:val="26"/>
          <w:rFonts w:hint="eastAsia" w:ascii="黑体" w:hAnsi="黑体" w:eastAsia="黑体"/>
          <w:b w:val="0"/>
        </w:rPr>
        <w:t>国有资本经营预算支出决算情况说明</w:t>
      </w:r>
      <w:bookmarkEnd w:id="42"/>
      <w:bookmarkEnd w:id="43"/>
    </w:p>
    <w:p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22年国有资本经营预算财政拨款支出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4"/>
        </w:numPr>
        <w:spacing w:line="600" w:lineRule="exact"/>
        <w:ind w:firstLine="640"/>
        <w:outlineLvl w:val="1"/>
        <w:rPr>
          <w:rStyle w:val="26"/>
          <w:rFonts w:ascii="黑体" w:hAnsi="黑体" w:eastAsia="黑体"/>
          <w:b w:val="0"/>
        </w:rPr>
      </w:pPr>
      <w:bookmarkStart w:id="44" w:name="_Toc15396612"/>
      <w:bookmarkStart w:id="45" w:name="_Toc15377221"/>
      <w:r>
        <w:rPr>
          <w:rStyle w:val="26"/>
          <w:rFonts w:hint="eastAsia" w:ascii="黑体" w:hAnsi="黑体" w:eastAsia="黑体"/>
          <w:b w:val="0"/>
        </w:rPr>
        <w:t>其他重要事项的情况说明</w:t>
      </w:r>
      <w:bookmarkEnd w:id="44"/>
      <w:bookmarkEnd w:id="45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46" w:name="_Toc15377222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46"/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eastAsia="zh-CN"/>
        </w:rPr>
        <w:t>剑阁县香江实验学校</w:t>
      </w:r>
      <w:r>
        <w:rPr>
          <w:rFonts w:hint="eastAsia" w:ascii="仿宋_GB2312" w:eastAsia="仿宋_GB2312"/>
          <w:sz w:val="32"/>
          <w:szCs w:val="32"/>
        </w:rPr>
        <w:t>运行经费支出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（或与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21年决算数持平）。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47" w:name="_Toc1537722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47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eastAsia="zh-CN"/>
        </w:rPr>
        <w:t>剑阁县香江实验学校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（具体工作）。授予中小企业合同金额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48" w:name="_Toc15377224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48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eastAsia="zh-CN"/>
        </w:rPr>
        <w:t>剑阁县香江实验学校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辆，其中：主要领导干部用车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辆、机要通信用车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辆、应急保障用车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辆，其他用车主要是用于……。单价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（四）预算绩效管理情况</w:t>
      </w:r>
    </w:p>
    <w:p>
      <w:pPr>
        <w:pStyle w:val="5"/>
        <w:spacing w:before="93"/>
        <w:ind w:firstLine="640" w:firstLineChars="200"/>
        <w:rPr>
          <w:highlight w:val="yellow"/>
        </w:rPr>
      </w:pPr>
      <w:r>
        <w:rPr>
          <w:rFonts w:hint="eastAsia" w:hAnsi="仿宋_GB2312" w:cs="仿宋_GB2312"/>
          <w:sz w:val="32"/>
          <w:szCs w:val="32"/>
        </w:rPr>
        <w:t>根据预算绩效管理要求，本单位在2022年度预算编制阶段，组织对</w:t>
      </w:r>
      <w:r>
        <w:rPr>
          <w:rFonts w:hint="eastAsia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hAnsi="仿宋_GB2312" w:cs="仿宋_GB2312"/>
          <w:sz w:val="32"/>
          <w:szCs w:val="32"/>
        </w:rPr>
        <w:t>项目（项目名称）等</w:t>
      </w:r>
      <w:r>
        <w:rPr>
          <w:rFonts w:hint="eastAsia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hAnsi="仿宋_GB2312" w:cs="仿宋_GB2312"/>
          <w:sz w:val="32"/>
          <w:szCs w:val="32"/>
        </w:rPr>
        <w:t>个项目开展了预算事前绩效评估，对</w:t>
      </w:r>
      <w:r>
        <w:rPr>
          <w:rFonts w:hint="eastAsia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hAnsi="仿宋_GB2312" w:cs="仿宋_GB2312"/>
          <w:sz w:val="32"/>
          <w:szCs w:val="32"/>
        </w:rPr>
        <w:t>个项目编制了绩效目标，预算执行过程中，选取</w:t>
      </w:r>
      <w:r>
        <w:rPr>
          <w:rFonts w:hint="eastAsia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hAnsi="仿宋_GB2312" w:cs="仿宋_GB2312"/>
          <w:sz w:val="32"/>
          <w:szCs w:val="32"/>
        </w:rPr>
        <w:t>个项目开展绩效监控，组织对</w:t>
      </w:r>
      <w:r>
        <w:rPr>
          <w:rFonts w:hint="eastAsia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hAnsi="仿宋_GB2312" w:cs="仿宋_GB2312"/>
          <w:sz w:val="32"/>
          <w:szCs w:val="32"/>
        </w:rPr>
        <w:t>个项目开展绩效自评，绩效自评表详见第四部分附件。</w:t>
      </w:r>
    </w:p>
    <w:p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numPr>
          <w:ilvl w:val="0"/>
          <w:numId w:val="5"/>
        </w:numPr>
        <w:spacing w:line="600" w:lineRule="exact"/>
        <w:ind w:firstLine="660" w:firstLineChars="150"/>
        <w:jc w:val="center"/>
        <w:outlineLvl w:val="0"/>
        <w:rPr>
          <w:rStyle w:val="25"/>
          <w:rFonts w:ascii="黑体" w:hAnsi="黑体" w:eastAsia="黑体"/>
          <w:b w:val="0"/>
        </w:rPr>
      </w:pPr>
      <w:bookmarkStart w:id="49" w:name="_Toc15377225"/>
      <w:bookmarkStart w:id="50" w:name="_Toc15396613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5"/>
          <w:rFonts w:hint="eastAsia" w:ascii="黑体" w:hAnsi="黑体" w:eastAsia="黑体"/>
          <w:b w:val="0"/>
        </w:rPr>
        <w:t>词解释</w:t>
      </w:r>
      <w:bookmarkEnd w:id="49"/>
      <w:bookmarkEnd w:id="50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bookmarkStart w:id="51" w:name="_Toc15396614"/>
      <w:bookmarkStart w:id="52" w:name="_Toc15377226"/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1.财政拨款收入：指单位从同级财政部门取得的财政预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算金。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2.年末结转和结余：指单位按有关规定结转到下年或以 后年度继续使用的资金。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3．一般公共预算拨款收入：指县级财政当年拨付的资 金。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4.教育（类）普通教育（款）初中教育（项）：指学校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正常运转的基本支出，包括基本工资、津贴补贴等人员经费，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工会经费、福利费、办公费、印刷费、水电费等日常公用经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费，其他社会保障缴费（失业保险和工伤保险）及遗属生活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补助、贫困非寄宿生生活补助等。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 社会保障和就业（类）行政事业单位养老支出（款）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机关事业单位基本养老保险缴费支出（项）：指部门实施养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老保险制度由单位缴纳的养老保险费的支出。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6.其他社会保障和就业支出（类）其他社会保障和就业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支出（款）：指财政拨付给单位，再由单位支付给退休人员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得一次性退休补贴。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7.卫生健康支出（类）行政事业单位医疗（款）事业单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位医疗（项）：指事业单位用于缴纳单位在职及退休人员基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本医疗保险支出。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8.住房保障（类）住房改革支出（款）住房公积金（项）：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指按照《住房公积金管理条例》的规定，由单位及其在职职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工缴存的长期住房储金。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9.基本支出：指为保障机构正常运转、完成日常工作任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务而发生的人员支出和公用支出。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10.项目支出：指在基本支出之外为完成特定行政任务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和事业发展目标所发生的支出。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11.“三公”经费：指部门用财政拨款安排的因公出国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境）费、公务用车购置及运行费和公务接待费。其中，因公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出国（境）费反映单位公务出国（境）的国际旅费、国外城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市间交通费住宿费、伙食费、培训费、公杂费等支出；公务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用车购置及运行费反映单位公务用车车辆购置支出（含车辆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购置税）及租用费、燃料费、维修费、过路过桥费、保险费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等支出；公务接待费反映单位按规定开支的各类公务接待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（含外宾接待）支出。</w:t>
      </w: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Style w:val="25"/>
          <w:rFonts w:ascii="黑体" w:hAnsi="黑体" w:eastAsia="黑体"/>
          <w:b w:val="0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5"/>
          <w:rFonts w:hint="eastAsia" w:ascii="黑体" w:hAnsi="黑体" w:eastAsia="黑体"/>
          <w:b w:val="0"/>
        </w:rPr>
        <w:t>四部分 附件</w:t>
      </w:r>
      <w:bookmarkEnd w:id="51"/>
    </w:p>
    <w:p>
      <w:pPr>
        <w:spacing w:line="572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宋体" w:hAnsi="宋体" w:cs="宋体"/>
          <w:kern w:val="0"/>
          <w:sz w:val="32"/>
          <w:szCs w:val="32"/>
        </w:rPr>
      </w:pPr>
      <w:bookmarkStart w:id="53" w:name="_Toc15396618"/>
      <w:r>
        <w:rPr>
          <w:rFonts w:hint="eastAsia" w:ascii="宋体" w:hAnsi="宋体" w:cs="宋体"/>
          <w:kern w:val="0"/>
          <w:sz w:val="32"/>
          <w:szCs w:val="32"/>
        </w:rPr>
        <w:t>部门预算项目支出绩效自评表（2022年度）</w:t>
      </w:r>
    </w:p>
    <w:p>
      <w:pPr>
        <w:spacing w:line="600" w:lineRule="exact"/>
        <w:jc w:val="left"/>
        <w:outlineLvl w:val="0"/>
        <w:rPr>
          <w:rFonts w:ascii="仿宋_GB2312" w:hAnsi="Calibri" w:eastAsia="仿宋_GB2312" w:cs="仿宋"/>
          <w:kern w:val="0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5"/>
          <w:rFonts w:hint="eastAsia" w:ascii="黑体" w:hAnsi="黑体" w:eastAsia="黑体"/>
          <w:b w:val="0"/>
        </w:rPr>
        <w:t>五部分 附表</w:t>
      </w:r>
      <w:bookmarkEnd w:id="52"/>
      <w:bookmarkEnd w:id="53"/>
      <w:bookmarkStart w:id="54" w:name="_Toc15396619"/>
    </w:p>
    <w:p>
      <w:pPr>
        <w:pStyle w:val="3"/>
        <w:rPr>
          <w:rFonts w:ascii="仿宋" w:hAnsi="仿宋" w:eastAsia="仿宋"/>
        </w:rPr>
      </w:pPr>
      <w:r>
        <w:rPr>
          <w:rFonts w:hint="eastAsia" w:ascii="仿宋" w:hAnsi="仿宋" w:eastAsia="仿宋"/>
          <w:b w:val="0"/>
        </w:rPr>
        <w:t>一、收</w:t>
      </w:r>
      <w:r>
        <w:rPr>
          <w:rStyle w:val="26"/>
          <w:rFonts w:hint="eastAsia" w:ascii="仿宋" w:hAnsi="仿宋" w:eastAsia="仿宋"/>
          <w:b w:val="0"/>
          <w:bCs w:val="0"/>
        </w:rPr>
        <w:t>入支出决算总表</w:t>
      </w:r>
      <w:bookmarkEnd w:id="54"/>
    </w:p>
    <w:p>
      <w:pPr>
        <w:pStyle w:val="3"/>
        <w:rPr>
          <w:rFonts w:ascii="仿宋" w:hAnsi="仿宋" w:eastAsia="仿宋"/>
        </w:rPr>
      </w:pPr>
      <w:bookmarkStart w:id="55" w:name="_Toc15396620"/>
      <w:r>
        <w:rPr>
          <w:rFonts w:hint="eastAsia" w:ascii="仿宋" w:hAnsi="仿宋" w:eastAsia="仿宋"/>
          <w:b w:val="0"/>
        </w:rPr>
        <w:t>二、收</w:t>
      </w:r>
      <w:r>
        <w:rPr>
          <w:rStyle w:val="26"/>
          <w:rFonts w:hint="eastAsia" w:ascii="仿宋" w:hAnsi="仿宋" w:eastAsia="仿宋"/>
          <w:b w:val="0"/>
          <w:bCs w:val="0"/>
        </w:rPr>
        <w:t>入决算表</w:t>
      </w:r>
      <w:bookmarkEnd w:id="55"/>
    </w:p>
    <w:p>
      <w:pPr>
        <w:pStyle w:val="3"/>
        <w:rPr>
          <w:rFonts w:ascii="仿宋" w:hAnsi="仿宋" w:eastAsia="仿宋"/>
        </w:rPr>
      </w:pPr>
      <w:bookmarkStart w:id="56" w:name="_Toc15396621"/>
      <w:r>
        <w:rPr>
          <w:rStyle w:val="26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26"/>
          <w:rFonts w:hint="eastAsia" w:ascii="仿宋" w:hAnsi="仿宋" w:eastAsia="仿宋"/>
          <w:b w:val="0"/>
          <w:bCs w:val="0"/>
        </w:rPr>
        <w:t>出决算表</w:t>
      </w:r>
      <w:bookmarkEnd w:id="56"/>
    </w:p>
    <w:p>
      <w:pPr>
        <w:pStyle w:val="3"/>
        <w:rPr>
          <w:rFonts w:ascii="仿宋" w:hAnsi="仿宋" w:eastAsia="仿宋"/>
          <w:b w:val="0"/>
        </w:rPr>
      </w:pPr>
      <w:bookmarkStart w:id="57" w:name="_Toc15396622"/>
      <w:r>
        <w:rPr>
          <w:rStyle w:val="26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6"/>
          <w:rFonts w:hint="eastAsia" w:ascii="仿宋" w:hAnsi="仿宋" w:eastAsia="仿宋"/>
          <w:b w:val="0"/>
          <w:bCs w:val="0"/>
        </w:rPr>
        <w:t>政拨款收入支出决算总表</w:t>
      </w:r>
      <w:bookmarkEnd w:id="57"/>
    </w:p>
    <w:p>
      <w:pPr>
        <w:pStyle w:val="3"/>
        <w:rPr>
          <w:rStyle w:val="26"/>
          <w:rFonts w:ascii="仿宋" w:hAnsi="仿宋" w:eastAsia="仿宋"/>
          <w:b w:val="0"/>
          <w:bCs w:val="0"/>
        </w:rPr>
      </w:pPr>
      <w:bookmarkStart w:id="58" w:name="_Toc15396623"/>
      <w:r>
        <w:rPr>
          <w:rStyle w:val="26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6"/>
          <w:rFonts w:hint="eastAsia" w:ascii="仿宋" w:hAnsi="仿宋" w:eastAsia="仿宋"/>
          <w:b w:val="0"/>
          <w:bCs w:val="0"/>
        </w:rPr>
        <w:t>政拨款支出决算明细表</w:t>
      </w:r>
      <w:bookmarkEnd w:id="58"/>
      <w:bookmarkStart w:id="59" w:name="_Toc15396624"/>
    </w:p>
    <w:p>
      <w:pPr>
        <w:pStyle w:val="3"/>
        <w:rPr>
          <w:rFonts w:ascii="仿宋" w:hAnsi="仿宋" w:eastAsia="仿宋"/>
        </w:rPr>
      </w:pPr>
      <w:r>
        <w:rPr>
          <w:rStyle w:val="26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般公共预算财政拨款支出决算表</w:t>
      </w:r>
      <w:bookmarkEnd w:id="59"/>
    </w:p>
    <w:p>
      <w:pPr>
        <w:pStyle w:val="3"/>
        <w:rPr>
          <w:rFonts w:ascii="仿宋" w:hAnsi="仿宋" w:eastAsia="仿宋"/>
        </w:rPr>
      </w:pPr>
      <w:bookmarkStart w:id="60" w:name="_Toc15396625"/>
      <w:r>
        <w:rPr>
          <w:rStyle w:val="26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般公共预算财政拨款支出决算明细表</w:t>
      </w:r>
      <w:bookmarkEnd w:id="60"/>
    </w:p>
    <w:p>
      <w:pPr>
        <w:pStyle w:val="3"/>
        <w:rPr>
          <w:rFonts w:ascii="仿宋" w:hAnsi="仿宋" w:eastAsia="仿宋"/>
        </w:rPr>
      </w:pPr>
      <w:bookmarkStart w:id="61" w:name="_Toc15396626"/>
      <w:r>
        <w:rPr>
          <w:rStyle w:val="26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般公共预算财政拨款基本支出决算表</w:t>
      </w:r>
      <w:bookmarkEnd w:id="61"/>
    </w:p>
    <w:p>
      <w:pPr>
        <w:pStyle w:val="3"/>
        <w:rPr>
          <w:rFonts w:ascii="仿宋" w:hAnsi="仿宋" w:eastAsia="仿宋"/>
        </w:rPr>
      </w:pPr>
      <w:bookmarkStart w:id="62" w:name="_Toc15396627"/>
      <w:r>
        <w:rPr>
          <w:rStyle w:val="26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般公共预算财政拨款项目支出决算表</w:t>
      </w:r>
      <w:bookmarkEnd w:id="62"/>
    </w:p>
    <w:p>
      <w:pPr>
        <w:pStyle w:val="3"/>
        <w:rPr>
          <w:rFonts w:ascii="仿宋" w:hAnsi="仿宋" w:eastAsia="仿宋"/>
        </w:rPr>
      </w:pPr>
      <w:bookmarkStart w:id="63" w:name="_Toc15396628"/>
      <w:r>
        <w:rPr>
          <w:rStyle w:val="26"/>
          <w:rFonts w:hint="eastAsia" w:ascii="仿宋" w:hAnsi="仿宋" w:eastAsia="仿宋"/>
          <w:b w:val="0"/>
          <w:bCs w:val="0"/>
        </w:rPr>
        <w:t>十、</w:t>
      </w:r>
      <w:bookmarkEnd w:id="63"/>
      <w:r>
        <w:rPr>
          <w:rFonts w:hint="eastAsia" w:ascii="仿宋" w:hAnsi="仿宋" w:eastAsia="仿宋"/>
          <w:b w:val="0"/>
        </w:rPr>
        <w:t>政</w:t>
      </w:r>
      <w:r>
        <w:rPr>
          <w:rStyle w:val="26"/>
          <w:rFonts w:hint="eastAsia" w:ascii="仿宋" w:hAnsi="仿宋" w:eastAsia="仿宋"/>
          <w:b w:val="0"/>
          <w:bCs w:val="0"/>
        </w:rPr>
        <w:t>府性基金预算财政拨款收入支出决算表</w:t>
      </w:r>
    </w:p>
    <w:p>
      <w:pPr>
        <w:pStyle w:val="3"/>
        <w:rPr>
          <w:rFonts w:ascii="仿宋" w:hAnsi="仿宋" w:eastAsia="仿宋"/>
        </w:rPr>
      </w:pPr>
      <w:bookmarkStart w:id="64" w:name="_Toc15396629"/>
      <w:r>
        <w:rPr>
          <w:rStyle w:val="26"/>
          <w:rFonts w:hint="eastAsia" w:ascii="仿宋" w:hAnsi="仿宋" w:eastAsia="仿宋"/>
          <w:b w:val="0"/>
          <w:bCs w:val="0"/>
        </w:rPr>
        <w:t>十一、</w:t>
      </w:r>
      <w:bookmarkEnd w:id="64"/>
      <w:r>
        <w:rPr>
          <w:rFonts w:hint="eastAsia" w:ascii="仿宋" w:hAnsi="仿宋" w:eastAsia="仿宋"/>
          <w:b w:val="0"/>
        </w:rPr>
        <w:t>国</w:t>
      </w:r>
      <w:r>
        <w:rPr>
          <w:rStyle w:val="26"/>
          <w:rFonts w:hint="eastAsia" w:ascii="仿宋" w:hAnsi="仿宋" w:eastAsia="仿宋"/>
          <w:b w:val="0"/>
          <w:bCs w:val="0"/>
        </w:rPr>
        <w:t>有资本经营预算财政拨款收入支出决算表</w:t>
      </w:r>
    </w:p>
    <w:p>
      <w:pPr>
        <w:pStyle w:val="3"/>
        <w:rPr>
          <w:rFonts w:ascii="仿宋" w:hAnsi="仿宋" w:eastAsia="仿宋"/>
        </w:rPr>
      </w:pPr>
      <w:bookmarkStart w:id="65" w:name="_Toc15396630"/>
      <w:r>
        <w:rPr>
          <w:rStyle w:val="26"/>
          <w:rFonts w:hint="eastAsia" w:ascii="仿宋" w:hAnsi="仿宋" w:eastAsia="仿宋"/>
          <w:b w:val="0"/>
          <w:bCs w:val="0"/>
        </w:rPr>
        <w:t>十二、</w:t>
      </w:r>
      <w:bookmarkEnd w:id="65"/>
      <w:r>
        <w:rPr>
          <w:rStyle w:val="26"/>
          <w:rFonts w:hint="eastAsia" w:ascii="仿宋" w:hAnsi="仿宋" w:eastAsia="仿宋"/>
          <w:b w:val="0"/>
          <w:bCs w:val="0"/>
        </w:rPr>
        <w:t>国有资本经营预算财政拨款支出决算表</w:t>
      </w:r>
    </w:p>
    <w:p>
      <w:pPr>
        <w:pStyle w:val="3"/>
        <w:rPr>
          <w:rFonts w:eastAsia="仿宋"/>
        </w:rPr>
      </w:pPr>
      <w:bookmarkStart w:id="66" w:name="_Toc15396631"/>
      <w:r>
        <w:rPr>
          <w:rStyle w:val="26"/>
          <w:rFonts w:hint="eastAsia" w:ascii="仿宋" w:hAnsi="仿宋" w:eastAsia="仿宋"/>
          <w:b w:val="0"/>
          <w:bCs w:val="0"/>
        </w:rPr>
        <w:t>十三、</w:t>
      </w:r>
      <w:bookmarkEnd w:id="66"/>
      <w:r>
        <w:rPr>
          <w:rStyle w:val="26"/>
          <w:rFonts w:hint="eastAsia" w:ascii="仿宋" w:hAnsi="仿宋" w:eastAsia="仿宋"/>
          <w:b w:val="0"/>
          <w:bCs w:val="0"/>
        </w:rPr>
        <w:t>财政拨款“三公”经费支出决算表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F68719-E70D-4E95-AC4E-7BE1304915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89944F-F791-4967-B02F-8B89808E6D1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6013F095-EA5F-432A-94DC-7539158363F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67715DD-8BBE-4C99-88AF-E0F9C0C2E4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2476E90-1D42-48D0-BD2C-50C231D28C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93CEB85B-4AFC-4648-AB2D-B3C86C65C1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6DF3AC56-B8B8-4B5C-9390-7B6859B598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02212370"/>
    <w:multiLevelType w:val="singleLevel"/>
    <w:tmpl w:val="022123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C61B914"/>
    <w:multiLevelType w:val="singleLevel"/>
    <w:tmpl w:val="5C61B91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2VjZDNkNmI4OWZkMThmMzE1MjhjOWI3MzQzN2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53A62B5"/>
    <w:rsid w:val="0A2032A3"/>
    <w:rsid w:val="0B8A37D8"/>
    <w:rsid w:val="10C055FF"/>
    <w:rsid w:val="118107EC"/>
    <w:rsid w:val="11DD6519"/>
    <w:rsid w:val="15A12F07"/>
    <w:rsid w:val="16BB723D"/>
    <w:rsid w:val="18015F3F"/>
    <w:rsid w:val="1BE8440E"/>
    <w:rsid w:val="1D155CEE"/>
    <w:rsid w:val="20F57F95"/>
    <w:rsid w:val="240371BF"/>
    <w:rsid w:val="25711CC6"/>
    <w:rsid w:val="25C741E6"/>
    <w:rsid w:val="27842671"/>
    <w:rsid w:val="29FD04D3"/>
    <w:rsid w:val="2ABE7A3E"/>
    <w:rsid w:val="2B7E05F7"/>
    <w:rsid w:val="2CA234A8"/>
    <w:rsid w:val="2D8A6435"/>
    <w:rsid w:val="2EFA178C"/>
    <w:rsid w:val="2F6F2D19"/>
    <w:rsid w:val="30B46D73"/>
    <w:rsid w:val="319F7F4E"/>
    <w:rsid w:val="383D272C"/>
    <w:rsid w:val="39AE70AB"/>
    <w:rsid w:val="3C0C0783"/>
    <w:rsid w:val="3F9F3A96"/>
    <w:rsid w:val="46A549EA"/>
    <w:rsid w:val="48BF60AB"/>
    <w:rsid w:val="493C27E9"/>
    <w:rsid w:val="496F39ED"/>
    <w:rsid w:val="49FF41D3"/>
    <w:rsid w:val="4B672969"/>
    <w:rsid w:val="4BE068DB"/>
    <w:rsid w:val="4BF6002B"/>
    <w:rsid w:val="4ECE2238"/>
    <w:rsid w:val="51DB4B86"/>
    <w:rsid w:val="55333C3E"/>
    <w:rsid w:val="64CA39A1"/>
    <w:rsid w:val="69630ADE"/>
    <w:rsid w:val="6C4A05C8"/>
    <w:rsid w:val="6D3B1A89"/>
    <w:rsid w:val="71BF4EC2"/>
    <w:rsid w:val="72734D90"/>
    <w:rsid w:val="7412278C"/>
    <w:rsid w:val="79E7B28D"/>
    <w:rsid w:val="7DD534CD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qFormat/>
    <w:uiPriority w:val="99"/>
    <w:rPr>
      <w:b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8">
    <w:name w:val="页眉 字符"/>
    <w:link w:val="9"/>
    <w:semiHidden/>
    <w:qFormat/>
    <w:locked/>
    <w:uiPriority w:val="99"/>
    <w:rPr>
      <w:sz w:val="18"/>
    </w:rPr>
  </w:style>
  <w:style w:type="character" w:customStyle="1" w:styleId="19">
    <w:name w:val="Footer Char"/>
    <w:basedOn w:val="1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页脚 字符"/>
    <w:link w:val="8"/>
    <w:qFormat/>
    <w:locked/>
    <w:uiPriority w:val="99"/>
    <w:rPr>
      <w:sz w:val="18"/>
    </w:rPr>
  </w:style>
  <w:style w:type="character" w:customStyle="1" w:styleId="21">
    <w:name w:val="Body Text Char"/>
    <w:basedOn w:val="14"/>
    <w:semiHidden/>
    <w:qFormat/>
    <w:uiPriority w:val="99"/>
    <w:rPr>
      <w:rFonts w:ascii="Times New Roman" w:hAnsi="Times New Roman"/>
      <w:szCs w:val="24"/>
    </w:rPr>
  </w:style>
  <w:style w:type="character" w:customStyle="1" w:styleId="22">
    <w:name w:val="正文文本 字符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4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8">
    <w:name w:val="批注框文本 字符"/>
    <w:basedOn w:val="14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9">
    <w:name w:val="标题 3 字符"/>
    <w:basedOn w:val="14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0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17</Pages>
  <Words>5274</Words>
  <Characters>626</Characters>
  <Lines>5</Lines>
  <Paragraphs>11</Paragraphs>
  <TotalTime>21</TotalTime>
  <ScaleCrop>false</ScaleCrop>
  <LinksUpToDate>false</LinksUpToDate>
  <CharactersWithSpaces>5889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罗汉</cp:lastModifiedBy>
  <cp:lastPrinted>2023-07-31T02:35:00Z</cp:lastPrinted>
  <dcterms:modified xsi:type="dcterms:W3CDTF">2023-11-28T02:35:46Z</dcterms:modified>
  <dc:title>四川省***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C82BC2F8D5994ADFA439A218348642B0_12</vt:lpwstr>
  </property>
</Properties>
</file>