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rPr>
          <w:rFonts w:ascii="方正小标宋简体" w:hAnsi="宋体" w:eastAsia="方正小标宋简体"/>
          <w:szCs w:val="21"/>
        </w:rPr>
      </w:pPr>
    </w:p>
    <w:p>
      <w:pPr>
        <w:pStyle w:val="2"/>
        <w:rPr>
          <w:rFonts w:ascii="方正小标宋简体" w:hAnsi="宋体" w:eastAsia="方正小标宋简体"/>
          <w:szCs w:val="21"/>
        </w:rPr>
      </w:pPr>
    </w:p>
    <w:p>
      <w:pPr>
        <w:pStyle w:val="2"/>
        <w:rPr>
          <w:rFonts w:ascii="方正小标宋简体" w:hAnsi="宋体" w:eastAsia="方正小标宋简体"/>
          <w:szCs w:val="21"/>
        </w:rPr>
      </w:pPr>
    </w:p>
    <w:p>
      <w:pPr>
        <w:pStyle w:val="2"/>
        <w:rPr>
          <w:rFonts w:ascii="方正小标宋简体" w:hAnsi="宋体" w:eastAsia="方正小标宋简体"/>
          <w:szCs w:val="21"/>
        </w:rPr>
      </w:pPr>
    </w:p>
    <w:p>
      <w:pPr>
        <w:pStyle w:val="2"/>
        <w:rPr>
          <w:rFonts w:ascii="方正小标宋简体" w:hAnsi="宋体" w:eastAsia="方正小标宋简体"/>
          <w:szCs w:val="21"/>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b/>
          <w:bCs/>
          <w:sz w:val="72"/>
          <w:szCs w:val="72"/>
        </w:rPr>
      </w:pPr>
    </w:p>
    <w:p>
      <w:pPr>
        <w:adjustRightInd w:val="0"/>
        <w:snapToGrid w:val="0"/>
        <w:spacing w:line="360" w:lineRule="auto"/>
        <w:jc w:val="center"/>
        <w:outlineLvl w:val="0"/>
        <w:rPr>
          <w:rFonts w:cs="方正小标宋简体" w:asciiTheme="majorEastAsia" w:hAnsiTheme="majorEastAsia" w:eastAsiaTheme="majorEastAsia"/>
          <w:b/>
          <w:bCs/>
          <w:sz w:val="52"/>
          <w:szCs w:val="52"/>
        </w:rPr>
      </w:pPr>
      <w:bookmarkStart w:id="1" w:name="_Toc15378441"/>
      <w:bookmarkStart w:id="2" w:name="_Toc15377425"/>
      <w:bookmarkStart w:id="3" w:name="_Toc15396597"/>
      <w:bookmarkStart w:id="4" w:name="_Toc15377193"/>
      <w:bookmarkStart w:id="5" w:name="_Toc15396475"/>
      <w:r>
        <w:rPr>
          <w:rFonts w:hint="eastAsia" w:cs="方正小标宋简体" w:asciiTheme="majorEastAsia" w:hAnsiTheme="majorEastAsia" w:eastAsiaTheme="majorEastAsia"/>
          <w:b/>
          <w:bCs/>
          <w:sz w:val="52"/>
          <w:szCs w:val="52"/>
        </w:rPr>
        <w:t>2022年度</w:t>
      </w:r>
      <w:bookmarkEnd w:id="1"/>
      <w:bookmarkEnd w:id="2"/>
      <w:bookmarkEnd w:id="3"/>
      <w:bookmarkEnd w:id="4"/>
      <w:bookmarkEnd w:id="5"/>
    </w:p>
    <w:p>
      <w:pPr>
        <w:adjustRightInd w:val="0"/>
        <w:snapToGrid w:val="0"/>
        <w:spacing w:line="360" w:lineRule="auto"/>
        <w:jc w:val="center"/>
        <w:outlineLvl w:val="0"/>
        <w:rPr>
          <w:rFonts w:cs="方正小标宋简体" w:asciiTheme="majorEastAsia" w:hAnsiTheme="majorEastAsia" w:eastAsiaTheme="majorEastAsia"/>
          <w:b/>
          <w:bCs/>
          <w:sz w:val="52"/>
          <w:szCs w:val="52"/>
        </w:rPr>
      </w:pPr>
      <w:bookmarkStart w:id="6" w:name="_Toc15377426"/>
      <w:bookmarkStart w:id="7" w:name="_Toc15396476"/>
      <w:bookmarkStart w:id="8" w:name="_Toc15396598"/>
      <w:bookmarkStart w:id="9" w:name="_Toc15377194"/>
      <w:bookmarkStart w:id="10" w:name="_Toc15378442"/>
      <w:r>
        <w:rPr>
          <w:rFonts w:hint="eastAsia" w:cs="方正小标宋简体" w:asciiTheme="majorEastAsia" w:hAnsiTheme="majorEastAsia" w:eastAsiaTheme="majorEastAsia"/>
          <w:b/>
          <w:bCs/>
          <w:sz w:val="52"/>
          <w:szCs w:val="52"/>
        </w:rPr>
        <w:t>剑阁县</w:t>
      </w:r>
      <w:bookmarkEnd w:id="0"/>
      <w:bookmarkStart w:id="11" w:name="_Toc15306268"/>
      <w:r>
        <w:rPr>
          <w:rFonts w:hint="eastAsia" w:cs="方正小标宋简体" w:asciiTheme="majorEastAsia" w:hAnsiTheme="majorEastAsia" w:eastAsiaTheme="majorEastAsia"/>
          <w:b/>
          <w:bCs/>
          <w:sz w:val="52"/>
          <w:szCs w:val="52"/>
        </w:rPr>
        <w:t>青少年校外活动中心</w:t>
      </w:r>
    </w:p>
    <w:p>
      <w:pPr>
        <w:adjustRightInd w:val="0"/>
        <w:snapToGrid w:val="0"/>
        <w:spacing w:line="360" w:lineRule="auto"/>
        <w:jc w:val="center"/>
        <w:outlineLvl w:val="0"/>
        <w:rPr>
          <w:rFonts w:cs="方正小标宋简体" w:asciiTheme="majorEastAsia" w:hAnsiTheme="majorEastAsia" w:eastAsiaTheme="majorEastAsia"/>
          <w:b/>
          <w:bCs/>
          <w:sz w:val="52"/>
          <w:szCs w:val="52"/>
        </w:rPr>
      </w:pPr>
      <w:r>
        <w:rPr>
          <w:rFonts w:hint="eastAsia" w:cs="方正小标宋简体" w:asciiTheme="majorEastAsia" w:hAnsiTheme="majorEastAsia" w:eastAsiaTheme="majorEastAsia"/>
          <w:b/>
          <w:bCs/>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 xml:space="preserve">公开时间：2023年 </w:t>
      </w:r>
      <w:r>
        <w:rPr>
          <w:rFonts w:hint="eastAsia"/>
          <w:lang w:val="en-US" w:eastAsia="zh-CN"/>
        </w:rPr>
        <w:t>11</w:t>
      </w:r>
      <w:r>
        <w:rPr>
          <w:rFonts w:hint="eastAsia"/>
        </w:rPr>
        <w:t xml:space="preserve">月 </w:t>
      </w:r>
      <w:r>
        <w:rPr>
          <w:rFonts w:hint="eastAsia"/>
          <w:lang w:val="en-US" w:eastAsia="zh-CN"/>
        </w:rPr>
        <w:t>28</w:t>
      </w:r>
      <w:bookmarkStart w:id="67" w:name="_GoBack"/>
      <w:bookmarkEnd w:id="67"/>
      <w:r>
        <w:rPr>
          <w:rFonts w:hint="eastAsia"/>
        </w:rPr>
        <w:t>日</w:t>
      </w:r>
    </w:p>
    <w:p/>
    <w:p>
      <w:pPr>
        <w:pStyle w:val="10"/>
        <w:adjustRightInd w:val="0"/>
        <w:snapToGrid w:val="0"/>
        <w:spacing w:before="0" w:line="440" w:lineRule="exact"/>
        <w:jc w:val="center"/>
        <w:rPr>
          <w:rFonts w:cstheme="minorBidi"/>
          <w:b/>
          <w:bCs/>
          <w:sz w:val="30"/>
          <w:szCs w:val="30"/>
        </w:rPr>
      </w:pPr>
      <w:r>
        <w:rPr>
          <w:rFonts w:hint="eastAsia"/>
          <w:b/>
          <w:bCs/>
          <w:sz w:val="30"/>
          <w:szCs w:val="30"/>
        </w:rPr>
        <w:t>第一部分</w:t>
      </w:r>
      <w:r>
        <w:rPr>
          <w:b/>
          <w:bCs/>
          <w:sz w:val="30"/>
          <w:szCs w:val="30"/>
        </w:rPr>
        <w:t xml:space="preserve"> </w:t>
      </w:r>
      <w:r>
        <w:rPr>
          <w:rFonts w:hint="eastAsia"/>
          <w:b/>
          <w:bCs/>
          <w:sz w:val="30"/>
          <w:szCs w:val="30"/>
        </w:rPr>
        <w:t>单位概况</w:t>
      </w:r>
    </w:p>
    <w:p>
      <w:pPr>
        <w:pStyle w:val="10"/>
        <w:adjustRightInd w:val="0"/>
        <w:snapToGrid w:val="0"/>
        <w:spacing w:before="0" w:line="440" w:lineRule="exact"/>
        <w:jc w:val="left"/>
        <w:rPr>
          <w:rFonts w:hint="eastAsia"/>
          <w:sz w:val="30"/>
          <w:szCs w:val="30"/>
        </w:rPr>
      </w:pPr>
      <w:r>
        <w:rPr>
          <w:rFonts w:hint="eastAsia"/>
          <w:sz w:val="30"/>
          <w:szCs w:val="30"/>
        </w:rPr>
        <w:t>一、主要职责及重点工作</w:t>
      </w:r>
    </w:p>
    <w:p>
      <w:pPr>
        <w:pStyle w:val="10"/>
        <w:adjustRightInd w:val="0"/>
        <w:snapToGrid w:val="0"/>
        <w:spacing w:before="0" w:line="440" w:lineRule="exact"/>
        <w:jc w:val="left"/>
        <w:rPr>
          <w:rFonts w:hint="eastAsia"/>
          <w:sz w:val="30"/>
          <w:szCs w:val="30"/>
        </w:rPr>
      </w:pPr>
      <w:r>
        <w:rPr>
          <w:rFonts w:hint="eastAsia"/>
          <w:sz w:val="30"/>
          <w:szCs w:val="30"/>
        </w:rPr>
        <w:t>（一）单位职责</w:t>
      </w:r>
    </w:p>
    <w:p>
      <w:pPr>
        <w:pStyle w:val="10"/>
        <w:adjustRightInd w:val="0"/>
        <w:snapToGrid w:val="0"/>
        <w:spacing w:before="0" w:line="440" w:lineRule="exact"/>
        <w:jc w:val="left"/>
        <w:rPr>
          <w:rFonts w:hint="eastAsia"/>
          <w:sz w:val="30"/>
          <w:szCs w:val="30"/>
        </w:rPr>
      </w:pPr>
      <w:r>
        <w:rPr>
          <w:rFonts w:hint="eastAsia"/>
          <w:sz w:val="30"/>
          <w:szCs w:val="30"/>
        </w:rPr>
        <w:t>（二）2022年重点工作完成情况</w:t>
      </w:r>
    </w:p>
    <w:p>
      <w:pPr>
        <w:pStyle w:val="10"/>
        <w:adjustRightInd w:val="0"/>
        <w:snapToGrid w:val="0"/>
        <w:spacing w:before="0" w:line="440" w:lineRule="exact"/>
        <w:jc w:val="left"/>
        <w:rPr>
          <w:rFonts w:hint="eastAsia"/>
          <w:sz w:val="30"/>
          <w:szCs w:val="30"/>
        </w:rPr>
      </w:pPr>
      <w:r>
        <w:rPr>
          <w:rFonts w:hint="eastAsia"/>
          <w:sz w:val="30"/>
          <w:szCs w:val="30"/>
        </w:rPr>
        <w:t>二、机构设置</w:t>
      </w:r>
    </w:p>
    <w:p>
      <w:pPr>
        <w:pStyle w:val="10"/>
        <w:adjustRightInd w:val="0"/>
        <w:snapToGrid w:val="0"/>
        <w:spacing w:before="0" w:line="440" w:lineRule="exact"/>
        <w:jc w:val="center"/>
        <w:rPr>
          <w:rFonts w:hint="eastAsia"/>
          <w:b/>
          <w:bCs/>
          <w:sz w:val="30"/>
          <w:szCs w:val="30"/>
        </w:rPr>
      </w:pPr>
      <w:r>
        <w:rPr>
          <w:rFonts w:hint="eastAsia"/>
          <w:b/>
          <w:bCs/>
          <w:sz w:val="30"/>
          <w:szCs w:val="30"/>
        </w:rPr>
        <w:t>第二部分 2022年度单位决算情况说明</w:t>
      </w:r>
    </w:p>
    <w:p>
      <w:pPr>
        <w:pStyle w:val="10"/>
        <w:adjustRightInd w:val="0"/>
        <w:snapToGrid w:val="0"/>
        <w:spacing w:before="0" w:line="440" w:lineRule="exact"/>
        <w:jc w:val="left"/>
        <w:rPr>
          <w:rFonts w:hint="eastAsia"/>
          <w:sz w:val="30"/>
          <w:szCs w:val="30"/>
        </w:rPr>
      </w:pPr>
      <w:r>
        <w:rPr>
          <w:rFonts w:hint="eastAsia"/>
          <w:sz w:val="30"/>
          <w:szCs w:val="30"/>
        </w:rPr>
        <w:t>一、收入支出决算总体情况说明</w:t>
      </w:r>
    </w:p>
    <w:p>
      <w:pPr>
        <w:pStyle w:val="10"/>
        <w:adjustRightInd w:val="0"/>
        <w:snapToGrid w:val="0"/>
        <w:spacing w:before="0" w:line="440" w:lineRule="exact"/>
        <w:jc w:val="left"/>
        <w:rPr>
          <w:rFonts w:hint="eastAsia"/>
          <w:sz w:val="30"/>
          <w:szCs w:val="30"/>
        </w:rPr>
      </w:pPr>
      <w:r>
        <w:rPr>
          <w:rFonts w:hint="eastAsia"/>
          <w:sz w:val="30"/>
          <w:szCs w:val="30"/>
        </w:rPr>
        <w:t>二、收入决算情况说明</w:t>
      </w:r>
    </w:p>
    <w:p>
      <w:pPr>
        <w:pStyle w:val="10"/>
        <w:adjustRightInd w:val="0"/>
        <w:snapToGrid w:val="0"/>
        <w:spacing w:before="0" w:line="440" w:lineRule="exact"/>
        <w:jc w:val="left"/>
        <w:rPr>
          <w:rFonts w:hint="eastAsia"/>
          <w:sz w:val="30"/>
          <w:szCs w:val="30"/>
        </w:rPr>
      </w:pPr>
      <w:r>
        <w:rPr>
          <w:rFonts w:hint="eastAsia"/>
          <w:sz w:val="30"/>
          <w:szCs w:val="30"/>
        </w:rPr>
        <w:t>三、支出决算情况说明</w:t>
      </w:r>
    </w:p>
    <w:p>
      <w:pPr>
        <w:pStyle w:val="10"/>
        <w:adjustRightInd w:val="0"/>
        <w:snapToGrid w:val="0"/>
        <w:spacing w:before="0" w:line="440" w:lineRule="exact"/>
        <w:jc w:val="left"/>
        <w:rPr>
          <w:rFonts w:hint="eastAsia"/>
          <w:sz w:val="30"/>
          <w:szCs w:val="30"/>
        </w:rPr>
      </w:pPr>
      <w:r>
        <w:rPr>
          <w:rFonts w:hint="eastAsia"/>
          <w:sz w:val="30"/>
          <w:szCs w:val="30"/>
        </w:rPr>
        <w:t>四、财政拨款收入支出决算总体情况说明</w:t>
      </w:r>
    </w:p>
    <w:p>
      <w:pPr>
        <w:pStyle w:val="10"/>
        <w:adjustRightInd w:val="0"/>
        <w:snapToGrid w:val="0"/>
        <w:spacing w:before="0" w:line="440" w:lineRule="exact"/>
        <w:jc w:val="left"/>
        <w:rPr>
          <w:rFonts w:hint="eastAsia"/>
          <w:sz w:val="30"/>
          <w:szCs w:val="30"/>
        </w:rPr>
      </w:pPr>
      <w:r>
        <w:rPr>
          <w:rFonts w:hint="eastAsia"/>
          <w:sz w:val="30"/>
          <w:szCs w:val="30"/>
        </w:rPr>
        <w:t>五、一般公共预算财政拨款支出决算情况说明</w:t>
      </w:r>
    </w:p>
    <w:p>
      <w:pPr>
        <w:pStyle w:val="10"/>
        <w:adjustRightInd w:val="0"/>
        <w:snapToGrid w:val="0"/>
        <w:spacing w:before="0" w:line="440" w:lineRule="exact"/>
        <w:jc w:val="left"/>
        <w:rPr>
          <w:rFonts w:hint="eastAsia"/>
          <w:sz w:val="30"/>
          <w:szCs w:val="30"/>
        </w:rPr>
      </w:pPr>
      <w:r>
        <w:rPr>
          <w:rFonts w:hint="eastAsia"/>
          <w:sz w:val="30"/>
          <w:szCs w:val="30"/>
        </w:rPr>
        <w:t>六、一般公共预算财政拨款基本支出决算情况说明</w:t>
      </w:r>
    </w:p>
    <w:p>
      <w:pPr>
        <w:pStyle w:val="10"/>
        <w:adjustRightInd w:val="0"/>
        <w:snapToGrid w:val="0"/>
        <w:spacing w:before="0" w:line="440" w:lineRule="exact"/>
        <w:jc w:val="left"/>
        <w:rPr>
          <w:rFonts w:hint="eastAsia"/>
          <w:sz w:val="30"/>
          <w:szCs w:val="30"/>
        </w:rPr>
      </w:pPr>
      <w:r>
        <w:rPr>
          <w:rFonts w:hint="eastAsia"/>
          <w:sz w:val="30"/>
          <w:szCs w:val="30"/>
        </w:rPr>
        <w:t>七、财政拨款“三公”经费支出决算情况说明</w:t>
      </w:r>
    </w:p>
    <w:p>
      <w:pPr>
        <w:pStyle w:val="10"/>
        <w:adjustRightInd w:val="0"/>
        <w:snapToGrid w:val="0"/>
        <w:spacing w:before="0" w:line="440" w:lineRule="exact"/>
        <w:jc w:val="left"/>
        <w:rPr>
          <w:rFonts w:hint="eastAsia"/>
          <w:sz w:val="30"/>
          <w:szCs w:val="30"/>
        </w:rPr>
      </w:pPr>
      <w:r>
        <w:rPr>
          <w:rFonts w:hint="eastAsia"/>
          <w:sz w:val="30"/>
          <w:szCs w:val="30"/>
        </w:rPr>
        <w:t>八、政府性基金预算支出决算情况说明</w:t>
      </w:r>
    </w:p>
    <w:p>
      <w:pPr>
        <w:pStyle w:val="10"/>
        <w:adjustRightInd w:val="0"/>
        <w:snapToGrid w:val="0"/>
        <w:spacing w:before="0" w:line="440" w:lineRule="exact"/>
        <w:jc w:val="left"/>
        <w:rPr>
          <w:rFonts w:hint="eastAsia"/>
          <w:sz w:val="30"/>
          <w:szCs w:val="30"/>
        </w:rPr>
      </w:pPr>
      <w:r>
        <w:rPr>
          <w:rFonts w:hint="eastAsia"/>
          <w:sz w:val="30"/>
          <w:szCs w:val="30"/>
        </w:rPr>
        <w:t>九、国有资本经营预算支出决算情况说明</w:t>
      </w:r>
    </w:p>
    <w:p>
      <w:pPr>
        <w:pStyle w:val="10"/>
        <w:adjustRightInd w:val="0"/>
        <w:snapToGrid w:val="0"/>
        <w:spacing w:before="0" w:line="440" w:lineRule="exact"/>
        <w:jc w:val="left"/>
        <w:rPr>
          <w:rFonts w:hint="eastAsia"/>
          <w:sz w:val="30"/>
          <w:szCs w:val="30"/>
        </w:rPr>
      </w:pPr>
      <w:r>
        <w:rPr>
          <w:rFonts w:hint="eastAsia"/>
          <w:sz w:val="30"/>
          <w:szCs w:val="30"/>
        </w:rPr>
        <w:t>十、其他重要事项的情况说明</w:t>
      </w:r>
    </w:p>
    <w:p>
      <w:pPr>
        <w:pStyle w:val="10"/>
        <w:adjustRightInd w:val="0"/>
        <w:snapToGrid w:val="0"/>
        <w:spacing w:before="0" w:line="440" w:lineRule="exact"/>
        <w:jc w:val="center"/>
        <w:rPr>
          <w:rFonts w:hint="eastAsia"/>
          <w:b/>
          <w:bCs/>
          <w:sz w:val="30"/>
          <w:szCs w:val="30"/>
        </w:rPr>
      </w:pPr>
      <w:r>
        <w:rPr>
          <w:rFonts w:hint="eastAsia"/>
          <w:b/>
          <w:bCs/>
          <w:sz w:val="30"/>
          <w:szCs w:val="30"/>
        </w:rPr>
        <w:t>第三部分 名词解释</w:t>
      </w:r>
    </w:p>
    <w:p>
      <w:pPr>
        <w:pStyle w:val="10"/>
        <w:adjustRightInd w:val="0"/>
        <w:snapToGrid w:val="0"/>
        <w:spacing w:before="0" w:line="440" w:lineRule="exact"/>
        <w:jc w:val="center"/>
        <w:rPr>
          <w:rFonts w:hint="eastAsia"/>
          <w:b/>
          <w:bCs/>
          <w:sz w:val="30"/>
          <w:szCs w:val="30"/>
        </w:rPr>
      </w:pPr>
      <w:r>
        <w:rPr>
          <w:rFonts w:hint="eastAsia"/>
          <w:b/>
          <w:bCs/>
          <w:sz w:val="30"/>
          <w:szCs w:val="30"/>
        </w:rPr>
        <w:t>第四部分 附件</w:t>
      </w:r>
    </w:p>
    <w:p>
      <w:pPr>
        <w:pStyle w:val="10"/>
        <w:adjustRightInd w:val="0"/>
        <w:snapToGrid w:val="0"/>
        <w:spacing w:before="0" w:line="440" w:lineRule="exact"/>
        <w:jc w:val="center"/>
        <w:rPr>
          <w:rFonts w:hint="eastAsia"/>
          <w:b/>
          <w:bCs/>
          <w:sz w:val="30"/>
          <w:szCs w:val="30"/>
        </w:rPr>
      </w:pPr>
      <w:r>
        <w:rPr>
          <w:rFonts w:hint="eastAsia"/>
          <w:b/>
          <w:bCs/>
          <w:sz w:val="30"/>
          <w:szCs w:val="30"/>
        </w:rPr>
        <w:t>第五部分 附表</w:t>
      </w:r>
    </w:p>
    <w:p>
      <w:pPr>
        <w:pStyle w:val="10"/>
        <w:adjustRightInd w:val="0"/>
        <w:snapToGrid w:val="0"/>
        <w:spacing w:before="0" w:line="440" w:lineRule="exact"/>
        <w:jc w:val="left"/>
        <w:rPr>
          <w:rFonts w:hint="default" w:eastAsia="仿宋"/>
          <w:sz w:val="30"/>
          <w:szCs w:val="30"/>
          <w:lang w:val="en-US" w:eastAsia="zh-CN"/>
        </w:rPr>
      </w:pPr>
      <w:r>
        <w:rPr>
          <w:rFonts w:hint="eastAsia"/>
          <w:sz w:val="30"/>
          <w:szCs w:val="30"/>
        </w:rPr>
        <w:t>一、收入支出决算总表</w:t>
      </w:r>
      <w:r>
        <w:rPr>
          <w:rFonts w:hint="eastAsia"/>
          <w:sz w:val="30"/>
          <w:szCs w:val="30"/>
          <w:lang w:val="en-US" w:eastAsia="zh-CN"/>
        </w:rPr>
        <w:t xml:space="preserve">                          </w:t>
      </w:r>
    </w:p>
    <w:p>
      <w:pPr>
        <w:pStyle w:val="10"/>
        <w:adjustRightInd w:val="0"/>
        <w:snapToGrid w:val="0"/>
        <w:spacing w:before="0" w:line="440" w:lineRule="exact"/>
        <w:jc w:val="left"/>
        <w:rPr>
          <w:rFonts w:hint="eastAsia"/>
          <w:sz w:val="30"/>
          <w:szCs w:val="30"/>
        </w:rPr>
      </w:pPr>
      <w:r>
        <w:rPr>
          <w:rFonts w:hint="eastAsia"/>
          <w:sz w:val="30"/>
          <w:szCs w:val="30"/>
        </w:rPr>
        <w:t>二、收入决算表</w:t>
      </w:r>
    </w:p>
    <w:p>
      <w:pPr>
        <w:pStyle w:val="10"/>
        <w:adjustRightInd w:val="0"/>
        <w:snapToGrid w:val="0"/>
        <w:spacing w:before="0" w:line="440" w:lineRule="exact"/>
        <w:jc w:val="left"/>
        <w:rPr>
          <w:rFonts w:hint="eastAsia"/>
          <w:sz w:val="30"/>
          <w:szCs w:val="30"/>
        </w:rPr>
      </w:pPr>
      <w:r>
        <w:rPr>
          <w:rFonts w:hint="eastAsia"/>
          <w:sz w:val="30"/>
          <w:szCs w:val="30"/>
        </w:rPr>
        <w:t>三、支出决算表</w:t>
      </w:r>
    </w:p>
    <w:p>
      <w:pPr>
        <w:pStyle w:val="10"/>
        <w:adjustRightInd w:val="0"/>
        <w:snapToGrid w:val="0"/>
        <w:spacing w:before="0" w:line="440" w:lineRule="exact"/>
        <w:jc w:val="left"/>
        <w:rPr>
          <w:rFonts w:hint="eastAsia"/>
          <w:sz w:val="30"/>
          <w:szCs w:val="30"/>
        </w:rPr>
      </w:pPr>
      <w:r>
        <w:rPr>
          <w:rFonts w:hint="eastAsia"/>
          <w:sz w:val="30"/>
          <w:szCs w:val="30"/>
        </w:rPr>
        <w:t>四、财政拨款收入支出决算总表</w:t>
      </w:r>
    </w:p>
    <w:p>
      <w:pPr>
        <w:pStyle w:val="10"/>
        <w:adjustRightInd w:val="0"/>
        <w:snapToGrid w:val="0"/>
        <w:spacing w:before="0" w:line="440" w:lineRule="exact"/>
        <w:jc w:val="left"/>
        <w:rPr>
          <w:rFonts w:hint="eastAsia"/>
          <w:sz w:val="30"/>
          <w:szCs w:val="30"/>
        </w:rPr>
      </w:pPr>
      <w:r>
        <w:rPr>
          <w:rFonts w:hint="eastAsia"/>
          <w:sz w:val="30"/>
          <w:szCs w:val="30"/>
        </w:rPr>
        <w:t>五、财政拨款支出决算明细表</w:t>
      </w:r>
    </w:p>
    <w:p>
      <w:pPr>
        <w:pStyle w:val="10"/>
        <w:adjustRightInd w:val="0"/>
        <w:snapToGrid w:val="0"/>
        <w:spacing w:before="0" w:line="440" w:lineRule="exact"/>
        <w:jc w:val="left"/>
        <w:rPr>
          <w:rFonts w:hint="eastAsia"/>
          <w:sz w:val="30"/>
          <w:szCs w:val="30"/>
        </w:rPr>
      </w:pPr>
      <w:r>
        <w:rPr>
          <w:rFonts w:hint="eastAsia"/>
          <w:sz w:val="30"/>
          <w:szCs w:val="30"/>
        </w:rPr>
        <w:t>六、一般公共预算财政拨款支出决算表</w:t>
      </w:r>
    </w:p>
    <w:p>
      <w:pPr>
        <w:pStyle w:val="10"/>
        <w:adjustRightInd w:val="0"/>
        <w:snapToGrid w:val="0"/>
        <w:spacing w:before="0" w:line="440" w:lineRule="exact"/>
        <w:jc w:val="left"/>
        <w:rPr>
          <w:rFonts w:hint="eastAsia"/>
          <w:sz w:val="30"/>
          <w:szCs w:val="30"/>
        </w:rPr>
      </w:pPr>
      <w:r>
        <w:rPr>
          <w:rFonts w:hint="eastAsia"/>
          <w:sz w:val="30"/>
          <w:szCs w:val="30"/>
        </w:rPr>
        <w:t>七、一般公共预算财政拨款支出决算明细表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八、一般公共预算财政拨款基本支出决算明细表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九、一般公共预算财政拨款项目支出决算表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十、政府性基金预算财政拨款收入支出决算表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十一、国有资本经营预算财政拨款收入支出决算表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十二、国有资本经营预算财政拨款支出决算表</w:t>
      </w:r>
    </w:p>
    <w:p>
      <w:pPr>
        <w:pStyle w:val="11"/>
        <w:adjustRightInd w:val="0"/>
        <w:snapToGrid w:val="0"/>
        <w:spacing w:line="440" w:lineRule="exact"/>
        <w:jc w:val="left"/>
        <w:rPr>
          <w:rFonts w:hint="eastAsia" w:ascii="仿宋" w:hAnsi="仿宋" w:eastAsia="仿宋" w:cs="仿宋"/>
          <w:sz w:val="30"/>
          <w:szCs w:val="30"/>
        </w:rPr>
      </w:pPr>
      <w:r>
        <w:rPr>
          <w:rFonts w:hint="eastAsia" w:ascii="仿宋" w:hAnsi="仿宋" w:eastAsia="仿宋" w:cs="仿宋"/>
          <w:sz w:val="30"/>
          <w:szCs w:val="30"/>
        </w:rPr>
        <w:t>十三、财政拨款“三公”经费支出决算表</w:t>
      </w:r>
    </w:p>
    <w:p>
      <w:pPr>
        <w:widowControl/>
        <w:spacing w:line="440" w:lineRule="exact"/>
        <w:jc w:val="left"/>
        <w:rPr>
          <w:rFonts w:ascii="仿宋" w:hAnsi="仿宋" w:eastAsia="仿宋"/>
          <w:b/>
          <w:sz w:val="30"/>
          <w:szCs w:val="30"/>
        </w:rPr>
      </w:pPr>
      <w:bookmarkStart w:id="12" w:name="_Toc15396599"/>
      <w:bookmarkStart w:id="13" w:name="_Toc15377196"/>
    </w:p>
    <w:p>
      <w:pPr>
        <w:widowControl/>
        <w:spacing w:line="440" w:lineRule="exact"/>
        <w:jc w:val="left"/>
        <w:rPr>
          <w:rFonts w:ascii="仿宋" w:hAnsi="仿宋" w:eastAsia="仿宋"/>
          <w:bCs/>
          <w:kern w:val="44"/>
          <w:sz w:val="30"/>
          <w:szCs w:val="30"/>
        </w:rPr>
      </w:pPr>
      <w:r>
        <w:rPr>
          <w:rFonts w:ascii="仿宋" w:hAnsi="仿宋" w:eastAsia="仿宋"/>
          <w:b/>
          <w:sz w:val="30"/>
          <w:szCs w:val="30"/>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主要职责及重点工作</w:t>
      </w:r>
    </w:p>
    <w:p>
      <w:pPr>
        <w:pStyle w:val="11"/>
        <w:adjustRightInd w:val="0"/>
        <w:snapToGrid w:val="0"/>
        <w:spacing w:line="440" w:lineRule="exact"/>
        <w:ind w:left="0" w:leftChars="0"/>
        <w:jc w:val="left"/>
        <w:rPr>
          <w:rFonts w:ascii="黑体" w:hAnsi="黑体" w:eastAsia="黑体"/>
          <w:sz w:val="32"/>
          <w:szCs w:val="32"/>
        </w:rPr>
      </w:pPr>
      <w:r>
        <w:rPr>
          <w:rFonts w:hint="eastAsia" w:ascii="黑体" w:hAnsi="黑体" w:eastAsia="黑体"/>
          <w:sz w:val="32"/>
          <w:szCs w:val="32"/>
        </w:rPr>
        <w:t>（一）单位</w:t>
      </w:r>
      <w:r>
        <w:rPr>
          <w:rFonts w:ascii="黑体" w:hAnsi="黑体" w:eastAsia="黑体"/>
          <w:sz w:val="32"/>
          <w:szCs w:val="32"/>
        </w:rPr>
        <w:t>职责</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ascii="仿宋" w:hAnsi="仿宋" w:eastAsia="仿宋"/>
          <w:sz w:val="32"/>
          <w:szCs w:val="32"/>
        </w:rPr>
        <w:t>为全县青少年学生提供安全文明健康的校外活动场所。开展丰富多彩、形式多样的青少年学生校外文学、艺术等文化教育活动，开办文化、艺体及各类兴趣培训班。培养各类艺术人才，为全面推进素质教育、丰富新县城文化生活服务。</w:t>
      </w:r>
    </w:p>
    <w:p>
      <w:pPr>
        <w:pStyle w:val="11"/>
        <w:adjustRightInd w:val="0"/>
        <w:snapToGrid w:val="0"/>
        <w:spacing w:line="440" w:lineRule="exact"/>
        <w:ind w:left="0" w:leftChars="0"/>
        <w:jc w:val="left"/>
        <w:rPr>
          <w:rFonts w:ascii="黑体" w:hAnsi="黑体" w:eastAsia="黑体"/>
          <w:b/>
          <w:bCs/>
          <w:sz w:val="32"/>
          <w:szCs w:val="32"/>
        </w:rPr>
      </w:pPr>
      <w:r>
        <w:rPr>
          <w:rFonts w:hint="eastAsia" w:ascii="黑体" w:hAnsi="黑体" w:eastAsia="黑体"/>
          <w:sz w:val="32"/>
          <w:szCs w:val="32"/>
        </w:rPr>
        <w:t>（二）2022年重点工作完成情况</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hint="eastAsia" w:ascii="仿宋" w:hAnsi="仿宋" w:eastAsia="仿宋"/>
          <w:sz w:val="32"/>
          <w:szCs w:val="32"/>
        </w:rPr>
        <w:t>1.转变思路，突出培训重点。以前我们的主要精力在新、老县城的培训站点，特别是新县城宣传文化中心站点。现在我们回到了中心本部站点，为了给学生提供更好的学习环境，中心加强了培训环境的改善，重视中国舞、拉丁舞、跆拳道、美术、小主持人等培训，同时建立家长休息室、走廊图书角。春季剑门关实验小学站点装修乒乓球训练馆、春季在开封小学分站装修走廊图书角美术室、舞蹈室，全面打造中心品牌树校外教育形象，更好的服务于全县中小学生。</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hint="eastAsia" w:ascii="仿宋" w:hAnsi="仿宋" w:eastAsia="仿宋"/>
          <w:sz w:val="32"/>
          <w:szCs w:val="32"/>
        </w:rPr>
        <w:t>2.坚持校外教育工作理念，实现全年培训目标。活动中心坚持“彰显个性，体验成功，在活动中幸福成长”的办学理念，提出“活动是校外教育的生命线”目标，培养孩子的素质，让孩子们在活动中快乐幸福</w:t>
      </w:r>
      <w:r>
        <w:rPr>
          <w:rFonts w:hint="eastAsia" w:ascii="仿宋" w:hAnsi="仿宋" w:eastAsia="仿宋"/>
          <w:sz w:val="32"/>
          <w:szCs w:val="32"/>
          <w:lang w:eastAsia="zh-CN"/>
        </w:rPr>
        <w:t>地</w:t>
      </w:r>
      <w:r>
        <w:rPr>
          <w:rFonts w:hint="eastAsia" w:ascii="仿宋" w:hAnsi="仿宋" w:eastAsia="仿宋"/>
          <w:sz w:val="32"/>
          <w:szCs w:val="32"/>
        </w:rPr>
        <w:t>成长。通过努力2021年参加培训学员达到50000余人次，实现了年初的培训目标。</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hint="eastAsia" w:ascii="仿宋" w:hAnsi="仿宋" w:eastAsia="仿宋"/>
          <w:sz w:val="32"/>
          <w:szCs w:val="32"/>
        </w:rPr>
        <w:t>3.强化过程管理，实现平安校外教育。过程细致管控是平安教育的根本保证。多年来，我们坚持要求中心职工在管理中必须把握活动前、活动中、活动后三个时段，实现与家长的无缝对接，每一次活动都要做到孩子们高兴而来、平安而归，对缺席迟到的孩子及时跟踪询问和记载。同时，也要求中心职工做好与家长、任课教师的沟通交流，发现孩子活动中有不适及时联系，及早预防，多为家长着想，让家长放心。为做好痕迹管理工作，秋季聘请了保安人员负责学员在结束培训时，签字离开工作。</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常态化疫情防控，保证校外培训顺利进行。中心及各分站学校开班前要全面清理防疫物资储备情况，补足补齐口罩、体温枪、洗手液等，加强卫生室（保健室、隔离室）的建设配置和升级改造，充实门卫工作人员，深入开展校园环境卫生整治，重点加强对教室、舞蹈室、运动场馆、厕所等重点区域的通风消杀，协同城管、公安等部门加强站点周边环境综合治理，为培训的安全和顺利提供保障。</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hint="eastAsia" w:ascii="仿宋" w:hAnsi="仿宋" w:eastAsia="仿宋"/>
          <w:sz w:val="32"/>
          <w:szCs w:val="32"/>
        </w:rPr>
        <w:t>5.加强乡村活动中心分站的建设，进一步实现城乡校外特长培训均衡。本年度加大了对开封小学分站的建设，利用暑期投入近10余万元建设了智慧图书角走廊。全力支持开封小学的排球培训项目，助力获得市排球联赛小学组“第一名”。</w:t>
      </w:r>
    </w:p>
    <w:p>
      <w:pPr>
        <w:keepNext w:val="0"/>
        <w:keepLines w:val="0"/>
        <w:pageBreakBefore w:val="0"/>
        <w:widowControl w:val="0"/>
        <w:kinsoku/>
        <w:wordWrap/>
        <w:overflowPunct/>
        <w:topLinePunct w:val="0"/>
        <w:autoSpaceDE/>
        <w:autoSpaceDN/>
        <w:bidi w:val="0"/>
        <w:adjustRightInd/>
        <w:snapToGrid/>
        <w:ind w:right="6"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.乡村振兴顾大局，服从安排敢担当。活动中心在编二男八女十名职工、最小年龄4</w:t>
      </w:r>
      <w:r>
        <w:rPr>
          <w:rFonts w:ascii="仿宋" w:hAnsi="仿宋" w:eastAsia="仿宋"/>
          <w:sz w:val="32"/>
          <w:szCs w:val="32"/>
        </w:rPr>
        <w:t>4</w:t>
      </w:r>
      <w:r>
        <w:rPr>
          <w:rFonts w:hint="eastAsia" w:ascii="仿宋" w:hAnsi="仿宋" w:eastAsia="仿宋"/>
          <w:sz w:val="32"/>
          <w:szCs w:val="32"/>
        </w:rPr>
        <w:t>岁。脱贫攻坚派出两人，乡村振兴我主动下乡担当工作队员，周一到周五在村工作，周六和周日在单位进行校外培训。也为乡村振兴出力。</w:t>
      </w:r>
    </w:p>
    <w:p>
      <w:pPr>
        <w:pStyle w:val="4"/>
        <w:rPr>
          <w:rFonts w:ascii="黑体" w:hAnsi="黑体" w:eastAsia="黑体"/>
          <w:b w:val="0"/>
        </w:rPr>
      </w:pPr>
      <w:r>
        <w:rPr>
          <w:rFonts w:hint="eastAsia" w:ascii="黑体" w:hAnsi="黑体" w:eastAsia="黑体"/>
          <w:b w:val="0"/>
        </w:rPr>
        <w:t>二、机构设置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ascii="仿宋" w:hAnsi="仿宋" w:eastAsia="仿宋"/>
          <w:sz w:val="32"/>
          <w:szCs w:val="32"/>
        </w:rPr>
        <w:t>县青少年校外活动中心为事业单位，无下属二级单位。无纳入县青少年校外活动中心2021年度部门决算编制范围的二级预算单位。</w:t>
      </w:r>
      <w:bookmarkEnd w:id="14"/>
      <w:bookmarkEnd w:id="15"/>
      <w:r>
        <w:rPr>
          <w:rFonts w:ascii="仿宋" w:hAnsi="仿宋" w:eastAsia="仿宋"/>
          <w:kern w:val="0"/>
          <w:sz w:val="32"/>
          <w:szCs w:val="32"/>
        </w:rPr>
        <w:t xml:space="preserve"> </w:t>
      </w:r>
    </w:p>
    <w:p>
      <w:pPr>
        <w:pStyle w:val="3"/>
        <w:ind w:right="440"/>
        <w:jc w:val="center"/>
        <w:rPr>
          <w:rFonts w:hint="eastAsia" w:ascii="黑体" w:hAnsi="黑体" w:eastAsia="黑体"/>
          <w:b w:val="0"/>
        </w:rPr>
      </w:pPr>
      <w:bookmarkStart w:id="16" w:name="_Toc15396602"/>
      <w:bookmarkStart w:id="17"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16"/>
      <w:bookmarkEnd w:id="17"/>
    </w:p>
    <w:p>
      <w:pPr>
        <w:pStyle w:val="24"/>
        <w:numPr>
          <w:ilvl w:val="0"/>
          <w:numId w:val="2"/>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margin">
              <wp:align>right</wp:align>
            </wp:positionH>
            <wp:positionV relativeFrom="paragraph">
              <wp:posOffset>1195070</wp:posOffset>
            </wp:positionV>
            <wp:extent cx="5096510" cy="2703195"/>
            <wp:effectExtent l="0" t="0" r="8890" b="19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2022年度收、支总计</w:t>
      </w:r>
      <w:r>
        <w:rPr>
          <w:rFonts w:ascii="仿宋" w:hAnsi="仿宋" w:eastAsia="仿宋"/>
          <w:sz w:val="32"/>
          <w:szCs w:val="32"/>
        </w:rPr>
        <w:t>550.05</w:t>
      </w:r>
      <w:r>
        <w:rPr>
          <w:rFonts w:hint="eastAsia" w:ascii="仿宋" w:hAnsi="仿宋" w:eastAsia="仿宋"/>
          <w:sz w:val="32"/>
          <w:szCs w:val="32"/>
        </w:rPr>
        <w:t>万元。与2021年相比，收、支总计各减少</w:t>
      </w:r>
      <w:r>
        <w:rPr>
          <w:rFonts w:ascii="仿宋" w:hAnsi="仿宋" w:eastAsia="仿宋"/>
          <w:sz w:val="32"/>
          <w:szCs w:val="32"/>
        </w:rPr>
        <w:t>10.97</w:t>
      </w:r>
      <w:r>
        <w:rPr>
          <w:rFonts w:hint="eastAsia" w:ascii="仿宋" w:hAnsi="仿宋" w:eastAsia="仿宋"/>
          <w:sz w:val="32"/>
          <w:szCs w:val="32"/>
        </w:rPr>
        <w:t>万元，下降</w:t>
      </w:r>
      <w:r>
        <w:rPr>
          <w:rFonts w:ascii="仿宋" w:hAnsi="仿宋" w:eastAsia="仿宋"/>
          <w:sz w:val="32"/>
          <w:szCs w:val="32"/>
        </w:rPr>
        <w:t>-1.96%</w:t>
      </w:r>
      <w:r>
        <w:rPr>
          <w:rFonts w:hint="eastAsia" w:ascii="仿宋" w:hAnsi="仿宋" w:eastAsia="仿宋"/>
          <w:sz w:val="32"/>
          <w:szCs w:val="32"/>
        </w:rPr>
        <w:t>。主要变动原因是财政预算安排减少。</w:t>
      </w:r>
    </w:p>
    <w:p>
      <w:pPr>
        <w:pStyle w:val="24"/>
        <w:numPr>
          <w:ilvl w:val="0"/>
          <w:numId w:val="2"/>
        </w:numPr>
        <w:spacing w:line="600" w:lineRule="exact"/>
        <w:ind w:firstLineChars="0"/>
        <w:outlineLvl w:val="1"/>
        <w:rPr>
          <w:rStyle w:val="26"/>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550.05</w:t>
      </w:r>
      <w:r>
        <w:rPr>
          <w:rFonts w:hint="eastAsia" w:ascii="仿宋" w:hAnsi="仿宋" w:eastAsia="仿宋"/>
          <w:sz w:val="32"/>
          <w:szCs w:val="32"/>
        </w:rPr>
        <w:t>万元，其中：一般公共预算财政拨款收入</w:t>
      </w:r>
      <w:r>
        <w:rPr>
          <w:rFonts w:ascii="仿宋" w:hAnsi="仿宋" w:eastAsia="仿宋"/>
          <w:sz w:val="32"/>
          <w:szCs w:val="32"/>
        </w:rPr>
        <w:t>150.05</w:t>
      </w:r>
      <w:r>
        <w:rPr>
          <w:rFonts w:hint="eastAsia" w:ascii="仿宋" w:hAnsi="仿宋" w:eastAsia="仿宋"/>
          <w:sz w:val="32"/>
          <w:szCs w:val="32"/>
        </w:rPr>
        <w:t>万元，占</w:t>
      </w:r>
      <w:r>
        <w:rPr>
          <w:rFonts w:ascii="仿宋" w:hAnsi="仿宋" w:eastAsia="仿宋"/>
          <w:sz w:val="32"/>
          <w:szCs w:val="32"/>
        </w:rPr>
        <w:t>27.28%</w:t>
      </w:r>
      <w:r>
        <w:rPr>
          <w:rFonts w:hint="eastAsia" w:ascii="仿宋" w:hAnsi="仿宋" w:eastAsia="仿宋"/>
          <w:sz w:val="32"/>
          <w:szCs w:val="32"/>
        </w:rPr>
        <w:t>；事业收入</w:t>
      </w:r>
      <w:r>
        <w:rPr>
          <w:rFonts w:ascii="仿宋" w:hAnsi="仿宋" w:eastAsia="仿宋"/>
          <w:sz w:val="32"/>
          <w:szCs w:val="32"/>
        </w:rPr>
        <w:t>400.00</w:t>
      </w:r>
      <w:r>
        <w:rPr>
          <w:rFonts w:hint="eastAsia" w:ascii="仿宋" w:hAnsi="仿宋" w:eastAsia="仿宋"/>
          <w:sz w:val="32"/>
          <w:szCs w:val="32"/>
        </w:rPr>
        <w:t>万元，占</w:t>
      </w:r>
      <w:r>
        <w:rPr>
          <w:rFonts w:ascii="仿宋" w:hAnsi="仿宋" w:eastAsia="仿宋"/>
          <w:sz w:val="32"/>
          <w:szCs w:val="32"/>
        </w:rPr>
        <w:t>72.72%</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ascii="仿宋" w:hAnsi="仿宋" w:eastAsia="仿宋"/>
          <w:b/>
          <w:sz w:val="32"/>
          <w:szCs w:val="32"/>
        </w:rPr>
        <w:drawing>
          <wp:anchor distT="0" distB="0" distL="114300" distR="114300" simplePos="0" relativeHeight="251660288" behindDoc="1" locked="0" layoutInCell="1" allowOverlap="1">
            <wp:simplePos x="0" y="0"/>
            <wp:positionH relativeFrom="column">
              <wp:posOffset>574040</wp:posOffset>
            </wp:positionH>
            <wp:positionV relativeFrom="paragraph">
              <wp:posOffset>217805</wp:posOffset>
            </wp:positionV>
            <wp:extent cx="5043170" cy="2320925"/>
            <wp:effectExtent l="0" t="0" r="5080" b="317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3" w:firstLineChars="200"/>
        <w:outlineLvl w:val="1"/>
        <w:rPr>
          <w:rFonts w:hint="eastAsia" w:ascii="仿宋" w:hAnsi="仿宋" w:eastAsia="仿宋"/>
          <w:b/>
          <w:sz w:val="32"/>
          <w:szCs w:val="32"/>
        </w:rPr>
      </w:pPr>
    </w:p>
    <w:p>
      <w:pPr>
        <w:pStyle w:val="24"/>
        <w:numPr>
          <w:ilvl w:val="0"/>
          <w:numId w:val="0"/>
        </w:numPr>
        <w:spacing w:line="600" w:lineRule="exact"/>
        <w:outlineLvl w:val="1"/>
        <w:rPr>
          <w:rFonts w:hint="eastAsia" w:ascii="黑体" w:hAnsi="黑体" w:eastAsia="黑体"/>
          <w:sz w:val="32"/>
          <w:szCs w:val="32"/>
        </w:rPr>
      </w:pPr>
      <w:bookmarkStart w:id="22" w:name="_Toc15377207"/>
      <w:bookmarkStart w:id="23" w:name="_Toc15396605"/>
    </w:p>
    <w:p>
      <w:pPr>
        <w:pStyle w:val="24"/>
        <w:numPr>
          <w:ilvl w:val="0"/>
          <w:numId w:val="0"/>
        </w:numPr>
        <w:spacing w:line="600" w:lineRule="exact"/>
        <w:outlineLvl w:val="1"/>
        <w:rPr>
          <w:rFonts w:hint="eastAsia" w:ascii="黑体" w:hAnsi="黑体" w:eastAsia="黑体"/>
          <w:sz w:val="32"/>
          <w:szCs w:val="32"/>
        </w:rPr>
      </w:pPr>
    </w:p>
    <w:p>
      <w:pPr>
        <w:pStyle w:val="24"/>
        <w:numPr>
          <w:ilvl w:val="0"/>
          <w:numId w:val="0"/>
        </w:numPr>
        <w:spacing w:line="600" w:lineRule="exact"/>
        <w:outlineLvl w:val="1"/>
        <w:rPr>
          <w:rFonts w:hint="eastAsia" w:ascii="黑体" w:hAnsi="黑体" w:eastAsia="黑体"/>
          <w:sz w:val="32"/>
          <w:szCs w:val="32"/>
        </w:rPr>
      </w:pPr>
    </w:p>
    <w:p>
      <w:pPr>
        <w:pStyle w:val="24"/>
        <w:numPr>
          <w:ilvl w:val="0"/>
          <w:numId w:val="0"/>
        </w:numPr>
        <w:spacing w:line="600" w:lineRule="exact"/>
        <w:outlineLvl w:val="1"/>
        <w:rPr>
          <w:rFonts w:hint="eastAsia" w:ascii="黑体" w:hAnsi="黑体" w:eastAsia="黑体"/>
          <w:sz w:val="32"/>
          <w:szCs w:val="32"/>
        </w:rPr>
      </w:pPr>
    </w:p>
    <w:p>
      <w:pPr>
        <w:pStyle w:val="24"/>
        <w:numPr>
          <w:ilvl w:val="0"/>
          <w:numId w:val="0"/>
        </w:numPr>
        <w:spacing w:line="600" w:lineRule="exact"/>
        <w:outlineLvl w:val="1"/>
        <w:rPr>
          <w:rFonts w:hint="eastAsia" w:ascii="黑体" w:hAnsi="黑体" w:eastAsia="黑体"/>
          <w:sz w:val="32"/>
          <w:szCs w:val="32"/>
        </w:rPr>
      </w:pPr>
    </w:p>
    <w:p>
      <w:pPr>
        <w:pStyle w:val="24"/>
        <w:numPr>
          <w:ilvl w:val="0"/>
          <w:numId w:val="0"/>
        </w:numPr>
        <w:spacing w:line="600" w:lineRule="exact"/>
        <w:ind w:firstLine="640" w:firstLineChars="200"/>
        <w:outlineLvl w:val="1"/>
        <w:rPr>
          <w:rStyle w:val="26"/>
          <w:rFonts w:ascii="黑体" w:hAnsi="黑体" w:eastAsia="黑体"/>
          <w:b w:val="0"/>
        </w:rPr>
      </w:pPr>
      <w:r>
        <w:rPr>
          <w:rStyle w:val="26"/>
          <w:rFonts w:hint="eastAsia" w:ascii="黑体" w:hAnsi="黑体" w:eastAsia="黑体"/>
          <w:b w:val="0"/>
          <w:lang w:val="en-US" w:eastAsia="zh-CN"/>
        </w:rPr>
        <w:t>三、</w:t>
      </w:r>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550.05</w:t>
      </w:r>
      <w:r>
        <w:rPr>
          <w:rFonts w:hint="eastAsia" w:ascii="仿宋" w:hAnsi="仿宋" w:eastAsia="仿宋"/>
          <w:sz w:val="32"/>
          <w:szCs w:val="32"/>
        </w:rPr>
        <w:t>万元，其中：基本支出</w:t>
      </w:r>
      <w:r>
        <w:rPr>
          <w:rFonts w:ascii="仿宋" w:hAnsi="仿宋" w:eastAsia="仿宋"/>
          <w:sz w:val="32"/>
          <w:szCs w:val="32"/>
        </w:rPr>
        <w:t>150.05</w:t>
      </w:r>
      <w:r>
        <w:rPr>
          <w:rFonts w:hint="eastAsia" w:ascii="仿宋" w:hAnsi="仿宋" w:eastAsia="仿宋"/>
          <w:sz w:val="32"/>
          <w:szCs w:val="32"/>
        </w:rPr>
        <w:t>万元，占</w:t>
      </w:r>
      <w:r>
        <w:rPr>
          <w:rFonts w:ascii="仿宋" w:hAnsi="仿宋" w:eastAsia="仿宋"/>
          <w:sz w:val="32"/>
          <w:szCs w:val="32"/>
        </w:rPr>
        <w:t>27.28%</w:t>
      </w:r>
      <w:r>
        <w:rPr>
          <w:rFonts w:hint="eastAsia" w:ascii="仿宋" w:hAnsi="仿宋" w:eastAsia="仿宋"/>
          <w:sz w:val="32"/>
          <w:szCs w:val="32"/>
        </w:rPr>
        <w:t>；项目支出</w:t>
      </w:r>
      <w:r>
        <w:rPr>
          <w:rFonts w:ascii="仿宋" w:hAnsi="仿宋" w:eastAsia="仿宋"/>
          <w:sz w:val="32"/>
          <w:szCs w:val="32"/>
        </w:rPr>
        <w:t>400.00</w:t>
      </w:r>
      <w:r>
        <w:rPr>
          <w:rFonts w:hint="eastAsia" w:ascii="仿宋" w:hAnsi="仿宋" w:eastAsia="仿宋"/>
          <w:sz w:val="32"/>
          <w:szCs w:val="32"/>
        </w:rPr>
        <w:t>万元，占</w:t>
      </w:r>
      <w:r>
        <w:rPr>
          <w:rFonts w:ascii="仿宋" w:hAnsi="仿宋" w:eastAsia="仿宋"/>
          <w:sz w:val="32"/>
          <w:szCs w:val="32"/>
        </w:rPr>
        <w:t>72.72%</w:t>
      </w:r>
      <w:r>
        <w:rPr>
          <w:rFonts w:hint="eastAsia" w:ascii="仿宋" w:hAnsi="仿宋" w:eastAsia="仿宋"/>
          <w:sz w:val="32"/>
          <w:szCs w:val="32"/>
        </w:rPr>
        <w:t>。</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150.05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14.32</w:t>
      </w:r>
      <w:r>
        <w:rPr>
          <w:rFonts w:hint="eastAsia" w:ascii="仿宋" w:hAnsi="仿宋" w:eastAsia="仿宋"/>
          <w:sz w:val="32"/>
          <w:szCs w:val="32"/>
        </w:rPr>
        <w:t>万元，下降</w:t>
      </w:r>
      <w:r>
        <w:rPr>
          <w:rFonts w:ascii="仿宋" w:hAnsi="仿宋" w:eastAsia="仿宋"/>
          <w:sz w:val="32"/>
          <w:szCs w:val="32"/>
        </w:rPr>
        <w:t>8.71%</w:t>
      </w:r>
      <w:r>
        <w:rPr>
          <w:rFonts w:hint="eastAsia" w:ascii="仿宋" w:hAnsi="仿宋" w:eastAsia="仿宋"/>
          <w:sz w:val="32"/>
          <w:szCs w:val="32"/>
        </w:rPr>
        <w:t>。主要变动原因是财政预算安排减少。</w:t>
      </w: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150.05</w:t>
      </w:r>
      <w:r>
        <w:rPr>
          <w:rFonts w:hint="eastAsia" w:ascii="仿宋" w:hAnsi="仿宋" w:eastAsia="仿宋"/>
          <w:sz w:val="32"/>
          <w:szCs w:val="32"/>
        </w:rPr>
        <w:t>万元，占本年支出合计的</w:t>
      </w:r>
      <w:r>
        <w:rPr>
          <w:rFonts w:ascii="仿宋" w:hAnsi="仿宋" w:eastAsia="仿宋"/>
          <w:sz w:val="32"/>
          <w:szCs w:val="32"/>
        </w:rPr>
        <w:t>27.28%</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14.32</w:t>
      </w:r>
      <w:r>
        <w:rPr>
          <w:rFonts w:hint="eastAsia" w:ascii="仿宋" w:hAnsi="仿宋" w:eastAsia="仿宋"/>
          <w:sz w:val="32"/>
          <w:szCs w:val="32"/>
        </w:rPr>
        <w:t>万元，下降</w:t>
      </w:r>
      <w:r>
        <w:rPr>
          <w:rFonts w:ascii="仿宋" w:hAnsi="仿宋" w:eastAsia="仿宋"/>
          <w:sz w:val="32"/>
          <w:szCs w:val="32"/>
        </w:rPr>
        <w:t>8.71%</w:t>
      </w:r>
      <w:r>
        <w:rPr>
          <w:rFonts w:hint="eastAsia" w:ascii="仿宋" w:hAnsi="仿宋" w:eastAsia="仿宋"/>
          <w:sz w:val="32"/>
          <w:szCs w:val="32"/>
        </w:rPr>
        <w:t>。主要变动原因是财政预算安排减少</w:t>
      </w:r>
      <w:r>
        <w:rPr>
          <w:rFonts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150.05</w:t>
      </w:r>
      <w:r>
        <w:rPr>
          <w:rFonts w:hint="eastAsia" w:ascii="仿宋" w:hAnsi="仿宋" w:eastAsia="仿宋"/>
          <w:sz w:val="32"/>
          <w:szCs w:val="32"/>
        </w:rPr>
        <w:t>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ascii="仿宋" w:hAnsi="仿宋" w:eastAsia="仿宋"/>
          <w:sz w:val="32"/>
          <w:szCs w:val="32"/>
        </w:rPr>
        <w:t>120.70万元，</w:t>
      </w:r>
      <w:r>
        <w:rPr>
          <w:rFonts w:hint="eastAsia" w:ascii="仿宋" w:hAnsi="仿宋" w:eastAsia="仿宋"/>
          <w:sz w:val="32"/>
          <w:szCs w:val="32"/>
        </w:rPr>
        <w:t>占</w:t>
      </w:r>
      <w:r>
        <w:rPr>
          <w:rFonts w:ascii="仿宋" w:hAnsi="仿宋" w:eastAsia="仿宋"/>
          <w:sz w:val="32"/>
          <w:szCs w:val="32"/>
        </w:rPr>
        <w:t>80.44%</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13.05</w:t>
      </w:r>
      <w:r>
        <w:rPr>
          <w:rFonts w:hint="eastAsia" w:ascii="仿宋" w:hAnsi="仿宋" w:eastAsia="仿宋"/>
          <w:sz w:val="32"/>
          <w:szCs w:val="32"/>
        </w:rPr>
        <w:t>万元，占</w:t>
      </w:r>
      <w:r>
        <w:rPr>
          <w:rFonts w:ascii="仿宋" w:hAnsi="仿宋" w:eastAsia="仿宋"/>
          <w:sz w:val="32"/>
          <w:szCs w:val="32"/>
        </w:rPr>
        <w:t>8.67%</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6.52</w:t>
      </w:r>
      <w:r>
        <w:rPr>
          <w:rFonts w:hint="eastAsia" w:ascii="仿宋" w:hAnsi="仿宋" w:eastAsia="仿宋"/>
          <w:sz w:val="32"/>
          <w:szCs w:val="32"/>
        </w:rPr>
        <w:t>万元，占</w:t>
      </w:r>
      <w:r>
        <w:rPr>
          <w:rFonts w:ascii="仿宋" w:hAnsi="仿宋" w:eastAsia="仿宋"/>
          <w:sz w:val="32"/>
          <w:szCs w:val="32"/>
        </w:rPr>
        <w:t>4.35%</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9.78</w:t>
      </w:r>
      <w:r>
        <w:rPr>
          <w:rFonts w:hint="eastAsia" w:ascii="仿宋" w:hAnsi="仿宋" w:eastAsia="仿宋"/>
          <w:sz w:val="32"/>
          <w:szCs w:val="32"/>
        </w:rPr>
        <w:t>万元，占</w:t>
      </w:r>
      <w:r>
        <w:rPr>
          <w:rFonts w:ascii="仿宋" w:hAnsi="仿宋" w:eastAsia="仿宋"/>
          <w:sz w:val="32"/>
          <w:szCs w:val="32"/>
        </w:rPr>
        <w:t>6.54%</w:t>
      </w:r>
      <w:r>
        <w:rPr>
          <w:rFonts w:hint="eastAsia" w:ascii="仿宋" w:hAnsi="仿宋" w:eastAsia="仿宋"/>
          <w:sz w:val="32"/>
          <w:szCs w:val="32"/>
        </w:rPr>
        <w:t>。</w:t>
      </w:r>
    </w:p>
    <w:p>
      <w:pPr>
        <w:pStyle w:val="2"/>
        <w:spacing w:before="93"/>
        <w:rPr>
          <w:rFonts w:hint="eastAsia"/>
        </w:rPr>
      </w:pPr>
      <w:r>
        <w:rPr>
          <w:rFonts w:hint="eastAsia"/>
        </w:rPr>
        <w:drawing>
          <wp:inline distT="0" distB="0" distL="0" distR="0">
            <wp:extent cx="5274310" cy="3076575"/>
            <wp:effectExtent l="0" t="0" r="254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b/>
          <w:bCs/>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ascii="仿宋" w:hAnsi="仿宋" w:eastAsia="仿宋"/>
          <w:b/>
          <w:sz w:val="32"/>
          <w:szCs w:val="32"/>
        </w:rPr>
        <w:t>150.05万元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ascii="仿宋" w:hAnsi="仿宋" w:eastAsia="仿宋"/>
          <w:bCs/>
          <w:sz w:val="32"/>
          <w:szCs w:val="32"/>
        </w:rPr>
        <w:t>100%</w:t>
      </w:r>
      <w:r>
        <w:rPr>
          <w:rStyle w:val="15"/>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bCs/>
          <w:sz w:val="32"/>
          <w:szCs w:val="32"/>
        </w:rPr>
      </w:pPr>
      <w:r>
        <w:rPr>
          <w:rStyle w:val="15"/>
          <w:rFonts w:ascii="仿宋" w:hAnsi="仿宋" w:eastAsia="仿宋"/>
          <w:bCs/>
          <w:sz w:val="32"/>
          <w:szCs w:val="32"/>
        </w:rPr>
        <w:t>1.</w:t>
      </w:r>
      <w:r>
        <w:rPr>
          <w:rStyle w:val="15"/>
          <w:rFonts w:hint="eastAsia" w:ascii="仿宋" w:hAnsi="仿宋" w:eastAsia="仿宋"/>
          <w:bCs/>
          <w:sz w:val="32"/>
          <w:szCs w:val="32"/>
        </w:rPr>
        <w:t>教育支出（类）教育管理事务（款）其他教育管理事务支出（项）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120.70</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Cs/>
          <w:sz w:val="32"/>
          <w:szCs w:val="32"/>
        </w:rPr>
      </w:pPr>
      <w:r>
        <w:rPr>
          <w:rStyle w:val="15"/>
          <w:rFonts w:ascii="仿宋" w:hAnsi="仿宋" w:eastAsia="仿宋"/>
          <w:bCs/>
          <w:sz w:val="32"/>
          <w:szCs w:val="32"/>
        </w:rPr>
        <w:t>2.</w:t>
      </w:r>
      <w:r>
        <w:rPr>
          <w:rStyle w:val="15"/>
          <w:rFonts w:hint="eastAsia" w:ascii="仿宋" w:hAnsi="仿宋" w:eastAsia="仿宋"/>
          <w:bCs/>
          <w:sz w:val="32"/>
          <w:szCs w:val="32"/>
        </w:rPr>
        <w:t>社会保障和就业支出（类）行政事业单位养老支出（款）  机关事业单位基本养老保险缴费支出（项）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ascii="仿宋" w:hAnsi="仿宋" w:eastAsia="仿宋"/>
          <w:b w:val="0"/>
          <w:bCs/>
          <w:sz w:val="32"/>
          <w:szCs w:val="32"/>
        </w:rPr>
        <w:t>13.05</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bCs/>
          <w:sz w:val="32"/>
          <w:szCs w:val="32"/>
        </w:rPr>
      </w:pPr>
      <w:r>
        <w:rPr>
          <w:rStyle w:val="15"/>
          <w:rFonts w:ascii="仿宋" w:hAnsi="仿宋" w:eastAsia="仿宋"/>
          <w:bCs/>
          <w:sz w:val="32"/>
          <w:szCs w:val="32"/>
        </w:rPr>
        <w:t>3.</w:t>
      </w:r>
      <w:r>
        <w:rPr>
          <w:rFonts w:hint="eastAsia" w:ascii="仿宋" w:hAnsi="仿宋" w:eastAsia="仿宋"/>
          <w:b/>
          <w:bCs/>
          <w:sz w:val="32"/>
          <w:szCs w:val="32"/>
        </w:rPr>
        <w:t>卫生健康支出</w:t>
      </w:r>
      <w:r>
        <w:rPr>
          <w:rStyle w:val="15"/>
          <w:rFonts w:hint="eastAsia" w:ascii="仿宋" w:hAnsi="仿宋" w:eastAsia="仿宋"/>
          <w:bCs/>
          <w:sz w:val="32"/>
          <w:szCs w:val="32"/>
        </w:rPr>
        <w:t>（类）事业单位医疗</w:t>
      </w:r>
      <w:r>
        <w:rPr>
          <w:rStyle w:val="15"/>
          <w:rFonts w:ascii="仿宋" w:hAnsi="仿宋" w:eastAsia="仿宋"/>
          <w:bCs/>
          <w:sz w:val="32"/>
          <w:szCs w:val="32"/>
        </w:rPr>
        <w:t>（款）</w:t>
      </w:r>
      <w:r>
        <w:rPr>
          <w:rStyle w:val="15"/>
          <w:rFonts w:hint="eastAsia" w:ascii="仿宋" w:hAnsi="仿宋" w:eastAsia="仿宋"/>
          <w:bCs/>
          <w:sz w:val="32"/>
          <w:szCs w:val="32"/>
        </w:rPr>
        <w:t>事业单位医疗（项）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6.52</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Cs/>
          <w:sz w:val="32"/>
          <w:szCs w:val="32"/>
        </w:rPr>
      </w:pPr>
      <w:r>
        <w:rPr>
          <w:rStyle w:val="15"/>
          <w:rFonts w:ascii="仿宋" w:hAnsi="仿宋" w:eastAsia="仿宋"/>
          <w:bCs/>
          <w:sz w:val="32"/>
          <w:szCs w:val="32"/>
        </w:rPr>
        <w:t>4.</w:t>
      </w:r>
      <w:r>
        <w:rPr>
          <w:rFonts w:hint="eastAsia"/>
        </w:rPr>
        <w:t xml:space="preserve"> </w:t>
      </w:r>
      <w:r>
        <w:rPr>
          <w:rFonts w:hint="eastAsia" w:ascii="仿宋" w:hAnsi="仿宋" w:eastAsia="仿宋"/>
          <w:b/>
          <w:bCs/>
          <w:sz w:val="32"/>
          <w:szCs w:val="32"/>
        </w:rPr>
        <w:t>住房保障支出</w:t>
      </w:r>
      <w:r>
        <w:rPr>
          <w:rStyle w:val="15"/>
          <w:rFonts w:hint="eastAsia" w:ascii="仿宋" w:hAnsi="仿宋" w:eastAsia="仿宋"/>
          <w:bCs/>
          <w:sz w:val="32"/>
          <w:szCs w:val="32"/>
        </w:rPr>
        <w:t>（类）住房改革支出</w:t>
      </w:r>
      <w:r>
        <w:rPr>
          <w:rStyle w:val="15"/>
          <w:rFonts w:ascii="仿宋" w:hAnsi="仿宋" w:eastAsia="仿宋"/>
          <w:bCs/>
          <w:sz w:val="32"/>
          <w:szCs w:val="32"/>
        </w:rPr>
        <w:t>（款）</w:t>
      </w:r>
      <w:r>
        <w:rPr>
          <w:rStyle w:val="15"/>
          <w:rFonts w:hint="eastAsia" w:ascii="仿宋" w:hAnsi="仿宋" w:eastAsia="仿宋"/>
          <w:bCs/>
          <w:sz w:val="32"/>
          <w:szCs w:val="32"/>
        </w:rPr>
        <w:t>住房公积金（项）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9.78</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，决算数等于预算数。</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jc w:val="left"/>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150.05</w:t>
      </w:r>
      <w:r>
        <w:rPr>
          <w:rFonts w:hint="eastAsia" w:ascii="仿宋" w:hAnsi="仿宋" w:eastAsia="仿宋"/>
          <w:sz w:val="32"/>
          <w:szCs w:val="32"/>
        </w:rPr>
        <w:t>万元，其中：人员经费</w:t>
      </w:r>
      <w:r>
        <w:rPr>
          <w:rFonts w:ascii="仿宋" w:hAnsi="仿宋" w:eastAsia="仿宋"/>
          <w:sz w:val="32"/>
          <w:szCs w:val="32"/>
        </w:rPr>
        <w:t>140.45</w:t>
      </w:r>
      <w:r>
        <w:rPr>
          <w:rFonts w:hint="eastAsia" w:ascii="仿宋" w:hAnsi="仿宋" w:eastAsia="仿宋"/>
          <w:sz w:val="32"/>
          <w:szCs w:val="32"/>
        </w:rPr>
        <w:t>万元，主要包括：基本工资、津贴补贴、奖金、绩效工资、机关事业单位基本养老保险缴费、职工基本医疗保险缴费、</w:t>
      </w:r>
      <w:r>
        <w:rPr>
          <w:rFonts w:hint="eastAsia" w:ascii="仿宋" w:hAnsi="仿宋" w:eastAsia="仿宋"/>
          <w:sz w:val="32"/>
          <w:szCs w:val="32"/>
          <w:lang w:eastAsia="zh-CN"/>
        </w:rPr>
        <w:t>其他</w:t>
      </w:r>
      <w:r>
        <w:rPr>
          <w:rFonts w:hint="eastAsia" w:ascii="仿宋" w:hAnsi="仿宋" w:eastAsia="仿宋"/>
          <w:sz w:val="32"/>
          <w:szCs w:val="32"/>
        </w:rPr>
        <w:t>工资福利支出、住房公积金。</w:t>
      </w:r>
    </w:p>
    <w:p>
      <w:pPr>
        <w:jc w:val="left"/>
        <w:rPr>
          <w:rFonts w:ascii="仿宋" w:hAnsi="仿宋" w:eastAsia="仿宋"/>
          <w:sz w:val="32"/>
          <w:szCs w:val="32"/>
        </w:rPr>
      </w:pPr>
      <w:r>
        <w:rPr>
          <w:rFonts w:hint="eastAsia" w:ascii="仿宋" w:hAnsi="仿宋" w:eastAsia="仿宋"/>
          <w:sz w:val="32"/>
          <w:szCs w:val="32"/>
        </w:rPr>
        <w:t>　　公用经费</w:t>
      </w:r>
      <w:r>
        <w:rPr>
          <w:rFonts w:ascii="仿宋" w:hAnsi="仿宋" w:eastAsia="仿宋"/>
          <w:sz w:val="32"/>
          <w:szCs w:val="32"/>
        </w:rPr>
        <w:t>9.60</w:t>
      </w:r>
      <w:r>
        <w:rPr>
          <w:rFonts w:hint="eastAsia" w:ascii="仿宋" w:hAnsi="仿宋" w:eastAsia="仿宋"/>
          <w:sz w:val="32"/>
          <w:szCs w:val="32"/>
        </w:rPr>
        <w:t>万元，主要包括：办公费、水费、电费、邮电费、差旅费、维修（护）费、公务接待费、工会经费、福利费。</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0.21</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，较上年减少</w:t>
      </w:r>
      <w:r>
        <w:rPr>
          <w:rFonts w:ascii="仿宋" w:hAnsi="仿宋" w:eastAsia="仿宋"/>
          <w:sz w:val="32"/>
          <w:szCs w:val="32"/>
        </w:rPr>
        <w:t>0.12</w:t>
      </w:r>
      <w:r>
        <w:rPr>
          <w:rFonts w:hint="eastAsia" w:ascii="仿宋" w:hAnsi="仿宋" w:eastAsia="仿宋"/>
          <w:sz w:val="32"/>
          <w:szCs w:val="32"/>
        </w:rPr>
        <w:t>万元，下降</w:t>
      </w:r>
      <w:r>
        <w:rPr>
          <w:rFonts w:ascii="仿宋" w:hAnsi="仿宋" w:eastAsia="仿宋"/>
          <w:sz w:val="32"/>
          <w:szCs w:val="32"/>
        </w:rPr>
        <w:t>35.90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0.21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p>
    <w:p>
      <w:pPr>
        <w:spacing w:line="600" w:lineRule="exact"/>
        <w:ind w:firstLine="640"/>
        <w:rPr>
          <w:rFonts w:ascii="仿宋_GB2312" w:eastAsia="仿宋_GB2312"/>
          <w:b w:val="0"/>
          <w:bCs w:val="0"/>
          <w:sz w:val="32"/>
          <w:szCs w:val="32"/>
        </w:rPr>
      </w:pPr>
      <w:r>
        <w:rPr>
          <w:rFonts w:ascii="仿宋" w:hAnsi="仿宋" w:eastAsia="仿宋"/>
          <w:b w:val="0"/>
          <w:bCs w:val="0"/>
          <w:sz w:val="32"/>
          <w:szCs w:val="32"/>
        </w:rPr>
        <w:drawing>
          <wp:anchor distT="0" distB="0" distL="114300" distR="114300" simplePos="0" relativeHeight="251661312" behindDoc="1" locked="0" layoutInCell="1" allowOverlap="1">
            <wp:simplePos x="0" y="0"/>
            <wp:positionH relativeFrom="column">
              <wp:posOffset>211455</wp:posOffset>
            </wp:positionH>
            <wp:positionV relativeFrom="page">
              <wp:posOffset>2154555</wp:posOffset>
            </wp:positionV>
            <wp:extent cx="4959350" cy="2981325"/>
            <wp:effectExtent l="4445" t="4445" r="8255" b="508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_GB2312" w:eastAsia="仿宋_GB2312"/>
          <w:b w:val="0"/>
          <w:bCs w:val="0"/>
          <w:sz w:val="32"/>
          <w:szCs w:val="32"/>
        </w:rPr>
        <w:t>1.</w:t>
      </w:r>
      <w:r>
        <w:rPr>
          <w:rFonts w:hint="eastAsia" w:ascii="仿宋_GB2312" w:eastAsia="仿宋_GB2312"/>
          <w:b w:val="0"/>
          <w:bCs w:val="0"/>
          <w:sz w:val="32"/>
          <w:szCs w:val="32"/>
        </w:rPr>
        <w:t>因公出国（境）经费支出</w:t>
      </w:r>
      <w:r>
        <w:rPr>
          <w:rFonts w:ascii="仿宋_GB2312" w:eastAsia="仿宋_GB2312"/>
          <w:b w:val="0"/>
          <w:bCs w:val="0"/>
          <w:sz w:val="32"/>
          <w:szCs w:val="32"/>
        </w:rPr>
        <w:t>0</w:t>
      </w:r>
      <w:r>
        <w:rPr>
          <w:rFonts w:hint="eastAsia" w:ascii="仿宋_GB2312" w:eastAsia="仿宋_GB2312"/>
          <w:b w:val="0"/>
          <w:bCs w:val="0"/>
          <w:sz w:val="32"/>
          <w:szCs w:val="32"/>
        </w:rPr>
        <w:t>万元</w:t>
      </w:r>
      <w:r>
        <w:rPr>
          <w:rStyle w:val="15"/>
          <w:rFonts w:ascii="仿宋" w:hAnsi="仿宋" w:eastAsia="仿宋"/>
          <w:b w:val="0"/>
          <w:bCs w:val="0"/>
          <w:sz w:val="32"/>
          <w:szCs w:val="32"/>
        </w:rPr>
        <w:t>。</w:t>
      </w:r>
    </w:p>
    <w:p>
      <w:pPr>
        <w:spacing w:line="600" w:lineRule="exact"/>
        <w:ind w:firstLine="640"/>
        <w:rPr>
          <w:rFonts w:ascii="仿宋_GB2312" w:eastAsia="仿宋_GB2312"/>
          <w:b w:val="0"/>
          <w:bCs w:val="0"/>
          <w:sz w:val="32"/>
          <w:szCs w:val="32"/>
        </w:rPr>
      </w:pPr>
      <w:r>
        <w:rPr>
          <w:rFonts w:ascii="仿宋_GB2312" w:eastAsia="仿宋_GB2312"/>
          <w:b w:val="0"/>
          <w:bCs w:val="0"/>
          <w:sz w:val="32"/>
          <w:szCs w:val="32"/>
        </w:rPr>
        <w:t>2.</w:t>
      </w:r>
      <w:r>
        <w:rPr>
          <w:rFonts w:hint="eastAsia" w:ascii="仿宋_GB2312" w:eastAsia="仿宋_GB2312"/>
          <w:b w:val="0"/>
          <w:bCs w:val="0"/>
          <w:sz w:val="32"/>
          <w:szCs w:val="32"/>
        </w:rPr>
        <w:t>公务用车购置及运行维护费支出</w:t>
      </w:r>
      <w:r>
        <w:rPr>
          <w:rFonts w:ascii="仿宋_GB2312" w:eastAsia="仿宋_GB2312"/>
          <w:b w:val="0"/>
          <w:bCs w:val="0"/>
          <w:sz w:val="32"/>
          <w:szCs w:val="32"/>
        </w:rPr>
        <w:t>0</w:t>
      </w:r>
      <w:r>
        <w:rPr>
          <w:rFonts w:hint="eastAsia" w:ascii="仿宋_GB2312" w:eastAsia="仿宋_GB2312"/>
          <w:b w:val="0"/>
          <w:bCs w:val="0"/>
          <w:sz w:val="32"/>
          <w:szCs w:val="32"/>
        </w:rPr>
        <w:t>万元</w:t>
      </w:r>
      <w:r>
        <w:rPr>
          <w:rStyle w:val="15"/>
          <w:rFonts w:hint="eastAsia" w:ascii="仿宋" w:hAnsi="仿宋" w:eastAsia="仿宋"/>
          <w:b w:val="0"/>
          <w:bCs w:val="0"/>
          <w:sz w:val="32"/>
          <w:szCs w:val="32"/>
        </w:rPr>
        <w:t>。</w:t>
      </w:r>
    </w:p>
    <w:p>
      <w:pPr>
        <w:spacing w:line="600" w:lineRule="exact"/>
        <w:ind w:firstLine="640"/>
        <w:rPr>
          <w:rStyle w:val="15"/>
          <w:rFonts w:ascii="仿宋_GB2312" w:eastAsia="仿宋_GB2312"/>
          <w:b w:val="0"/>
          <w:bCs w:val="0"/>
          <w:sz w:val="32"/>
          <w:szCs w:val="32"/>
        </w:rPr>
      </w:pPr>
      <w:r>
        <w:rPr>
          <w:rFonts w:ascii="仿宋_GB2312" w:eastAsia="仿宋_GB2312"/>
          <w:b w:val="0"/>
          <w:bCs w:val="0"/>
          <w:sz w:val="32"/>
          <w:szCs w:val="32"/>
        </w:rPr>
        <w:t>3.</w:t>
      </w:r>
      <w:r>
        <w:rPr>
          <w:rFonts w:hint="eastAsia" w:ascii="仿宋_GB2312" w:eastAsia="仿宋_GB2312"/>
          <w:b w:val="0"/>
          <w:bCs w:val="0"/>
          <w:sz w:val="32"/>
          <w:szCs w:val="32"/>
        </w:rPr>
        <w:t>公务接待费支出</w:t>
      </w:r>
      <w:r>
        <w:rPr>
          <w:rFonts w:ascii="仿宋_GB2312" w:eastAsia="仿宋_GB2312"/>
          <w:b w:val="0"/>
          <w:bCs w:val="0"/>
          <w:sz w:val="32"/>
          <w:szCs w:val="32"/>
        </w:rPr>
        <w:t>0.21</w:t>
      </w:r>
      <w:r>
        <w:rPr>
          <w:rFonts w:hint="eastAsia" w:ascii="仿宋_GB2312" w:eastAsia="仿宋_GB2312"/>
          <w:b w:val="0"/>
          <w:bCs w:val="0"/>
          <w:sz w:val="32"/>
          <w:szCs w:val="32"/>
        </w:rPr>
        <w:t>万元，</w:t>
      </w:r>
      <w:r>
        <w:rPr>
          <w:rStyle w:val="15"/>
          <w:rFonts w:hint="eastAsia" w:ascii="仿宋" w:hAnsi="仿宋" w:eastAsia="仿宋"/>
          <w:b w:val="0"/>
          <w:bCs w:val="0"/>
          <w:sz w:val="32"/>
          <w:szCs w:val="32"/>
        </w:rPr>
        <w:t>完成预算</w:t>
      </w:r>
      <w:r>
        <w:rPr>
          <w:rStyle w:val="15"/>
          <w:rFonts w:ascii="仿宋" w:hAnsi="仿宋" w:eastAsia="仿宋"/>
          <w:b w:val="0"/>
          <w:bCs w:val="0"/>
          <w:sz w:val="32"/>
          <w:szCs w:val="32"/>
        </w:rPr>
        <w:t>100%。</w:t>
      </w:r>
    </w:p>
    <w:p>
      <w:pPr>
        <w:spacing w:line="600" w:lineRule="exact"/>
        <w:ind w:firstLine="640"/>
        <w:rPr>
          <w:rFonts w:hint="eastAsia" w:ascii="仿宋_GB2312" w:eastAsia="仿宋_GB2312"/>
          <w:sz w:val="32"/>
          <w:szCs w:val="32"/>
        </w:rPr>
      </w:pP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0.12</w:t>
      </w:r>
      <w:r>
        <w:rPr>
          <w:rFonts w:hint="eastAsia" w:ascii="仿宋_GB2312" w:eastAsia="仿宋_GB2312"/>
          <w:sz w:val="32"/>
          <w:szCs w:val="32"/>
        </w:rPr>
        <w:t>万元，下降</w:t>
      </w:r>
      <w:r>
        <w:rPr>
          <w:rFonts w:ascii="仿宋_GB2312" w:eastAsia="仿宋_GB2312"/>
          <w:sz w:val="32"/>
          <w:szCs w:val="32"/>
        </w:rPr>
        <w:t>35.90%</w:t>
      </w:r>
      <w:r>
        <w:rPr>
          <w:rFonts w:hint="eastAsia" w:ascii="仿宋_GB2312" w:eastAsia="仿宋_GB2312"/>
          <w:sz w:val="32"/>
          <w:szCs w:val="32"/>
        </w:rPr>
        <w:t>。主要原因是压减预算。</w:t>
      </w:r>
    </w:p>
    <w:p>
      <w:pPr>
        <w:spacing w:line="600" w:lineRule="exact"/>
        <w:ind w:firstLine="640"/>
        <w:rPr>
          <w:rFonts w:ascii="仿宋_GB2312" w:eastAsia="仿宋_GB2312"/>
          <w:b w:val="0"/>
          <w:bCs w:val="0"/>
          <w:sz w:val="32"/>
          <w:szCs w:val="32"/>
        </w:rPr>
      </w:pPr>
      <w:r>
        <w:rPr>
          <w:rFonts w:hint="eastAsia" w:ascii="仿宋_GB2312" w:eastAsia="仿宋_GB2312"/>
          <w:sz w:val="32"/>
          <w:szCs w:val="32"/>
        </w:rPr>
        <w:t>其</w:t>
      </w:r>
      <w:r>
        <w:rPr>
          <w:rFonts w:hint="eastAsia" w:ascii="仿宋_GB2312" w:eastAsia="仿宋_GB2312"/>
          <w:b w:val="0"/>
          <w:bCs w:val="0"/>
          <w:sz w:val="32"/>
          <w:szCs w:val="32"/>
        </w:rPr>
        <w:t>中</w:t>
      </w:r>
      <w:r>
        <w:rPr>
          <w:rFonts w:hint="eastAsia" w:ascii="仿宋_GB2312" w:eastAsia="仿宋_GB2312"/>
          <w:b w:val="0"/>
          <w:bCs w:val="0"/>
          <w:sz w:val="32"/>
          <w:szCs w:val="32"/>
          <w:lang w:eastAsia="zh-CN"/>
        </w:rPr>
        <w:t>，</w:t>
      </w:r>
      <w:r>
        <w:rPr>
          <w:rFonts w:hint="eastAsia" w:ascii="仿宋" w:hAnsi="仿宋" w:eastAsia="仿宋"/>
          <w:b w:val="0"/>
          <w:bCs w:val="0"/>
          <w:sz w:val="32"/>
          <w:szCs w:val="32"/>
        </w:rPr>
        <w:t>国内公务接待支出</w:t>
      </w:r>
      <w:r>
        <w:rPr>
          <w:rFonts w:ascii="仿宋" w:hAnsi="仿宋" w:eastAsia="仿宋"/>
          <w:b w:val="0"/>
          <w:bCs w:val="0"/>
          <w:sz w:val="32"/>
          <w:szCs w:val="32"/>
        </w:rPr>
        <w:t>0.21</w:t>
      </w:r>
      <w:r>
        <w:rPr>
          <w:rFonts w:hint="eastAsia" w:ascii="仿宋_GB2312" w:eastAsia="仿宋_GB2312"/>
          <w:b w:val="0"/>
          <w:bCs w:val="0"/>
          <w:sz w:val="32"/>
          <w:szCs w:val="32"/>
        </w:rPr>
        <w:t>万元，主要用于执行公务、开展业务活动开支的交通费、住宿费、用餐费等。国内公务接待</w:t>
      </w:r>
      <w:r>
        <w:rPr>
          <w:rFonts w:ascii="仿宋_GB2312" w:eastAsia="仿宋_GB2312"/>
          <w:b w:val="0"/>
          <w:bCs w:val="0"/>
          <w:sz w:val="32"/>
          <w:szCs w:val="32"/>
        </w:rPr>
        <w:t>5</w:t>
      </w:r>
      <w:r>
        <w:rPr>
          <w:rFonts w:hint="eastAsia" w:ascii="仿宋_GB2312" w:eastAsia="仿宋_GB2312"/>
          <w:b w:val="0"/>
          <w:bCs w:val="0"/>
          <w:sz w:val="32"/>
          <w:szCs w:val="32"/>
        </w:rPr>
        <w:t>批次，</w:t>
      </w:r>
      <w:r>
        <w:rPr>
          <w:rFonts w:ascii="仿宋_GB2312" w:eastAsia="仿宋_GB2312"/>
          <w:b w:val="0"/>
          <w:bCs w:val="0"/>
          <w:sz w:val="32"/>
          <w:szCs w:val="32"/>
        </w:rPr>
        <w:t>30</w:t>
      </w:r>
      <w:r>
        <w:rPr>
          <w:rFonts w:hint="eastAsia" w:ascii="仿宋_GB2312" w:eastAsia="仿宋_GB2312"/>
          <w:b w:val="0"/>
          <w:bCs w:val="0"/>
          <w:sz w:val="32"/>
          <w:szCs w:val="32"/>
        </w:rPr>
        <w:t>人次（不包括陪同人员），共计支出</w:t>
      </w:r>
      <w:r>
        <w:rPr>
          <w:rFonts w:ascii="仿宋_GB2312" w:eastAsia="仿宋_GB2312"/>
          <w:b w:val="0"/>
          <w:bCs w:val="0"/>
          <w:sz w:val="32"/>
          <w:szCs w:val="32"/>
        </w:rPr>
        <w:t>0.21</w:t>
      </w:r>
      <w:r>
        <w:rPr>
          <w:rFonts w:hint="eastAsia" w:ascii="仿宋_GB2312" w:eastAsia="仿宋_GB2312"/>
          <w:b w:val="0"/>
          <w:bCs w:val="0"/>
          <w:sz w:val="32"/>
          <w:szCs w:val="32"/>
        </w:rPr>
        <w:t>万元，具体内容包括：会议接待、来宾接待所发生的费用。</w:t>
      </w:r>
    </w:p>
    <w:p>
      <w:pPr>
        <w:spacing w:line="60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外事接待支出</w:t>
      </w:r>
      <w:r>
        <w:rPr>
          <w:rFonts w:ascii="仿宋" w:hAnsi="仿宋" w:eastAsia="仿宋"/>
          <w:b w:val="0"/>
          <w:bCs w:val="0"/>
          <w:sz w:val="32"/>
          <w:szCs w:val="32"/>
        </w:rPr>
        <w:t>0</w:t>
      </w:r>
      <w:r>
        <w:rPr>
          <w:rFonts w:hint="eastAsia" w:ascii="仿宋_GB2312" w:eastAsia="仿宋_GB2312"/>
          <w:b w:val="0"/>
          <w:bCs w:val="0"/>
          <w:sz w:val="32"/>
          <w:szCs w:val="32"/>
        </w:rPr>
        <w:t>万元。</w:t>
      </w:r>
      <w:bookmarkStart w:id="40" w:name="_Toc15377218"/>
      <w:bookmarkStart w:id="41"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县青少年校外活动中心</w:t>
      </w:r>
      <w:r>
        <w:rPr>
          <w:rFonts w:hint="eastAsia" w:ascii="仿宋_GB2312" w:eastAsia="仿宋_GB2312"/>
          <w:sz w:val="32"/>
          <w:szCs w:val="32"/>
        </w:rPr>
        <w:t>机关运行经费支出</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县青少年校外活动中心</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县青少年校外活动中心</w:t>
      </w:r>
    </w:p>
    <w:p>
      <w:pPr>
        <w:autoSpaceDE w:val="0"/>
        <w:autoSpaceDN w:val="0"/>
        <w:adjustRightInd w:val="0"/>
        <w:spacing w:line="600" w:lineRule="exact"/>
        <w:jc w:val="left"/>
        <w:rPr>
          <w:rFonts w:ascii="仿宋_GB2312" w:eastAsia="仿宋_GB2312"/>
          <w:sz w:val="32"/>
          <w:szCs w:val="32"/>
        </w:rPr>
      </w:pP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2022年度预算编制阶段，组织对目标绩效考核奖励、其他工资福利支出、工会经费与福利费、日常公用经费、在职工资福利支出（事业）、事业支出、校外培训、管理工作经费项目（项目名称）等</w:t>
      </w:r>
      <w:r>
        <w:rPr>
          <w:rFonts w:hAnsi="仿宋_GB2312" w:cs="仿宋_GB2312"/>
          <w:sz w:val="32"/>
          <w:szCs w:val="32"/>
        </w:rPr>
        <w:t>7个</w:t>
      </w:r>
      <w:r>
        <w:rPr>
          <w:rFonts w:hint="eastAsia" w:hAnsi="仿宋_GB2312" w:cs="仿宋_GB2312"/>
          <w:sz w:val="32"/>
          <w:szCs w:val="32"/>
        </w:rPr>
        <w:t>项目开展了预算事前绩效评估，对</w:t>
      </w:r>
      <w:r>
        <w:rPr>
          <w:rFonts w:hAnsi="仿宋_GB2312" w:cs="仿宋_GB2312"/>
          <w:sz w:val="32"/>
          <w:szCs w:val="32"/>
        </w:rPr>
        <w:t>7</w:t>
      </w:r>
      <w:r>
        <w:rPr>
          <w:rFonts w:hint="eastAsia" w:hAnsi="仿宋_GB2312" w:cs="仿宋_GB2312"/>
          <w:sz w:val="32"/>
          <w:szCs w:val="32"/>
        </w:rPr>
        <w:t>个项目编制了绩效目标，预算执行过程中，选取</w:t>
      </w:r>
      <w:r>
        <w:rPr>
          <w:rFonts w:hAnsi="仿宋_GB2312" w:cs="仿宋_GB2312"/>
          <w:sz w:val="32"/>
          <w:szCs w:val="32"/>
        </w:rPr>
        <w:t>7</w:t>
      </w:r>
      <w:r>
        <w:rPr>
          <w:rFonts w:hint="eastAsia" w:hAnsi="仿宋_GB2312" w:cs="仿宋_GB2312"/>
          <w:sz w:val="32"/>
          <w:szCs w:val="32"/>
        </w:rPr>
        <w:t>个项目开展绩效监控，组织对</w:t>
      </w:r>
      <w:r>
        <w:rPr>
          <w:rFonts w:hAnsi="仿宋_GB2312" w:cs="仿宋_GB2312"/>
          <w:sz w:val="32"/>
          <w:szCs w:val="32"/>
        </w:rPr>
        <w:t>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3.教育支出（类）教育管理事务（款）其他教育管理事务支出（项）：指反映其他用于教育管理事务方面的支出。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4.社会保障和就业支出（类）行政事业单位养老支出（款）机关事业单位基本养老保险缴费支出（项）：指反映机关事业单位实施养老保险制度由单位缴纳的基本养老保险费支出。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5.卫生健康支出（类）行政事业单位医疗（款）事业单位医疗（项）：指反映财政部门安排的行政单位基本医疗保险缴费经费。</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6.住房保障支出（类）住房改革支出（款）住房公积金（项）：反映行政事业单位按人力资源和社会保障部、财政部规定的基本工资和津贴补贴以及规定比例为职工缴纳</w:t>
      </w:r>
      <w:r>
        <w:rPr>
          <w:rFonts w:hint="eastAsia" w:ascii="仿宋_GB2312" w:eastAsia="仿宋_GB2312"/>
          <w:color w:val="auto"/>
          <w:sz w:val="32"/>
          <w:szCs w:val="32"/>
          <w:lang w:eastAsia="zh-CN"/>
        </w:rPr>
        <w:t>的</w:t>
      </w:r>
      <w:r>
        <w:rPr>
          <w:rFonts w:ascii="仿宋_GB2312" w:eastAsia="仿宋_GB2312"/>
          <w:color w:val="auto"/>
          <w:sz w:val="32"/>
          <w:szCs w:val="32"/>
        </w:rPr>
        <w:t>住房公积金。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3"/>
        <w:spacing w:line="560" w:lineRule="exact"/>
        <w:ind w:firstLine="640" w:firstLineChars="200"/>
        <w:rPr>
          <w:rFonts w:ascii="仿宋_GB2312" w:eastAsia="仿宋_GB2312"/>
          <w:color w:val="auto"/>
          <w:sz w:val="32"/>
          <w:szCs w:val="32"/>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color w:val="auto"/>
          <w:sz w:val="32"/>
          <w:szCs w:val="32"/>
        </w:rPr>
        <w:br w:type="page"/>
      </w:r>
    </w:p>
    <w:p>
      <w:pPr>
        <w:spacing w:line="600" w:lineRule="exact"/>
        <w:jc w:val="center"/>
        <w:outlineLvl w:val="0"/>
        <w:rPr>
          <w:rStyle w:val="25"/>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5"/>
          <w:rFonts w:hint="eastAsia" w:ascii="黑体" w:hAnsi="黑体" w:eastAsia="黑体"/>
          <w:b w:val="0"/>
        </w:rPr>
        <w:t>四部分 附件</w:t>
      </w:r>
      <w:bookmarkEnd w:id="51"/>
    </w:p>
    <w:p>
      <w:pPr>
        <w:spacing w:line="572" w:lineRule="exact"/>
        <w:jc w:val="left"/>
        <w:outlineLvl w:val="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年青少年校外活动中心部门整体绩效评价报告</w:t>
      </w:r>
    </w:p>
    <w:p>
      <w:pPr>
        <w:numPr>
          <w:ilvl w:val="0"/>
          <w:numId w:val="5"/>
        </w:numPr>
        <w:spacing w:line="572" w:lineRule="exact"/>
        <w:jc w:val="left"/>
        <w:outlineLvl w:val="0"/>
        <w:rPr>
          <w:rFonts w:hint="eastAsia" w:ascii="仿宋" w:hAnsi="仿宋" w:eastAsia="仿宋" w:cs="仿宋"/>
          <w:sz w:val="32"/>
          <w:szCs w:val="32"/>
        </w:rPr>
      </w:pPr>
      <w:r>
        <w:rPr>
          <w:rFonts w:hint="eastAsia" w:ascii="仿宋" w:hAnsi="仿宋" w:eastAsia="仿宋" w:cs="仿宋"/>
          <w:sz w:val="32"/>
          <w:szCs w:val="32"/>
        </w:rPr>
        <w:t xml:space="preserve">部门（单位）概况 </w:t>
      </w:r>
    </w:p>
    <w:p>
      <w:pPr>
        <w:numPr>
          <w:ilvl w:val="0"/>
          <w:numId w:val="6"/>
        </w:numPr>
        <w:spacing w:line="572" w:lineRule="exact"/>
        <w:jc w:val="left"/>
        <w:outlineLvl w:val="0"/>
        <w:rPr>
          <w:rFonts w:hint="eastAsia" w:ascii="仿宋" w:hAnsi="仿宋" w:eastAsia="仿宋" w:cs="仿宋"/>
          <w:sz w:val="32"/>
          <w:szCs w:val="32"/>
        </w:rPr>
      </w:pPr>
      <w:r>
        <w:rPr>
          <w:rFonts w:hint="eastAsia" w:ascii="仿宋" w:hAnsi="仿宋" w:eastAsia="仿宋" w:cs="仿宋"/>
          <w:sz w:val="32"/>
          <w:szCs w:val="32"/>
        </w:rPr>
        <w:t xml:space="preserve">机构组成。 </w:t>
      </w:r>
    </w:p>
    <w:p>
      <w:pPr>
        <w:numPr>
          <w:ilvl w:val="0"/>
          <w:numId w:val="0"/>
        </w:numPr>
        <w:spacing w:line="572" w:lineRule="exact"/>
        <w:ind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剑阁县青少年校外活动中心为一级预算单位，执行政府会计制度，无下属二级预算单位。</w:t>
      </w:r>
    </w:p>
    <w:p>
      <w:pPr>
        <w:numPr>
          <w:ilvl w:val="0"/>
          <w:numId w:val="6"/>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为全县青少年学生提供安全文明健康的校外活动场所，开展丰富多彩、形式多样的青少年学生校外文学、艺术等文化教育活动。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2.开办文艺、体育及各类兴趣培训班。3.培养各类艺术人才，全面推进素质教育。</w:t>
      </w:r>
    </w:p>
    <w:p>
      <w:pPr>
        <w:numPr>
          <w:ilvl w:val="0"/>
          <w:numId w:val="6"/>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人员概况。 </w:t>
      </w:r>
    </w:p>
    <w:p>
      <w:pPr>
        <w:numPr>
          <w:ilvl w:val="0"/>
          <w:numId w:val="0"/>
        </w:numPr>
        <w:spacing w:line="572" w:lineRule="exact"/>
        <w:ind w:leftChars="0"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县青少年校外活动中心总编制12 名，其中事业编制</w:t>
      </w:r>
      <w:r>
        <w:rPr>
          <w:rFonts w:hint="eastAsia" w:ascii="仿宋" w:hAnsi="仿宋" w:eastAsia="仿宋" w:cs="仿宋"/>
          <w:sz w:val="32"/>
          <w:szCs w:val="32"/>
          <w:lang w:val="en-US" w:eastAsia="zh-CN"/>
        </w:rPr>
        <w:t>10</w:t>
      </w:r>
      <w:r>
        <w:rPr>
          <w:rFonts w:hint="eastAsia" w:ascii="仿宋" w:hAnsi="仿宋" w:eastAsia="仿宋" w:cs="仿宋"/>
          <w:sz w:val="32"/>
          <w:szCs w:val="32"/>
        </w:rPr>
        <w:t>名。在职人员总数 1</w:t>
      </w:r>
      <w:r>
        <w:rPr>
          <w:rFonts w:hint="eastAsia" w:ascii="仿宋" w:hAnsi="仿宋" w:eastAsia="仿宋" w:cs="仿宋"/>
          <w:sz w:val="32"/>
          <w:szCs w:val="32"/>
          <w:lang w:val="en-US" w:eastAsia="zh-CN"/>
        </w:rPr>
        <w:t>0</w:t>
      </w:r>
      <w:r>
        <w:rPr>
          <w:rFonts w:hint="eastAsia" w:ascii="仿宋" w:hAnsi="仿宋" w:eastAsia="仿宋" w:cs="仿宋"/>
          <w:sz w:val="32"/>
          <w:szCs w:val="32"/>
        </w:rPr>
        <w:t>人，其中事业人员1</w:t>
      </w:r>
      <w:r>
        <w:rPr>
          <w:rFonts w:hint="eastAsia" w:ascii="仿宋" w:hAnsi="仿宋" w:eastAsia="仿宋" w:cs="仿宋"/>
          <w:sz w:val="32"/>
          <w:szCs w:val="32"/>
          <w:lang w:val="en-US" w:eastAsia="zh-CN"/>
        </w:rPr>
        <w:t>0</w:t>
      </w:r>
      <w:r>
        <w:rPr>
          <w:rFonts w:hint="eastAsia" w:ascii="仿宋" w:hAnsi="仿宋" w:eastAsia="仿宋" w:cs="仿宋"/>
          <w:sz w:val="32"/>
          <w:szCs w:val="32"/>
        </w:rPr>
        <w:t>人。</w:t>
      </w:r>
    </w:p>
    <w:p>
      <w:pPr>
        <w:numPr>
          <w:ilvl w:val="0"/>
          <w:numId w:val="5"/>
        </w:numPr>
        <w:spacing w:line="572" w:lineRule="exact"/>
        <w:ind w:left="0" w:leftChars="0" w:firstLine="0" w:firstLineChars="0"/>
        <w:jc w:val="left"/>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部门财政资金收支情况 </w:t>
      </w:r>
    </w:p>
    <w:p>
      <w:pPr>
        <w:numPr>
          <w:ilvl w:val="0"/>
          <w:numId w:val="7"/>
        </w:numPr>
        <w:spacing w:line="572" w:lineRule="exact"/>
        <w:ind w:leftChars="0"/>
        <w:jc w:val="left"/>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部门财政资金收入情况。</w:t>
      </w:r>
    </w:p>
    <w:p>
      <w:pPr>
        <w:numPr>
          <w:ilvl w:val="0"/>
          <w:numId w:val="0"/>
        </w:numPr>
        <w:spacing w:line="572" w:lineRule="exact"/>
        <w:ind w:firstLine="960" w:firstLineChars="300"/>
        <w:jc w:val="left"/>
        <w:outlineLvl w:val="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决算报表反映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县青少年校外活动中心 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收入合计</w:t>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val="en-US" w:eastAsia="zh-CN"/>
          <w14:textFill>
            <w14:solidFill>
              <w14:schemeClr w14:val="tx1"/>
            </w14:solidFill>
          </w14:textFill>
        </w:rPr>
        <w:t>50.05</w:t>
      </w:r>
      <w:r>
        <w:rPr>
          <w:rFonts w:hint="eastAsia" w:ascii="仿宋" w:hAnsi="仿宋" w:eastAsia="仿宋" w:cs="仿宋"/>
          <w:color w:val="000000" w:themeColor="text1"/>
          <w:sz w:val="32"/>
          <w:szCs w:val="32"/>
          <w14:textFill>
            <w14:solidFill>
              <w14:schemeClr w14:val="tx1"/>
            </w14:solidFill>
          </w14:textFill>
        </w:rPr>
        <w:t>万元，其中本年</w:t>
      </w:r>
      <w:r>
        <w:rPr>
          <w:rFonts w:hint="eastAsia" w:ascii="仿宋" w:hAnsi="仿宋" w:eastAsia="仿宋" w:cs="仿宋"/>
          <w:color w:val="000000" w:themeColor="text1"/>
          <w:sz w:val="32"/>
          <w:szCs w:val="32"/>
          <w:lang w:val="en-US" w:eastAsia="zh-CN"/>
          <w14:textFill>
            <w14:solidFill>
              <w14:schemeClr w14:val="tx1"/>
            </w14:solidFill>
          </w14:textFill>
        </w:rPr>
        <w:t>合计</w:t>
      </w:r>
      <w:r>
        <w:rPr>
          <w:rFonts w:hint="eastAsia" w:ascii="仿宋" w:hAnsi="仿宋" w:eastAsia="仿宋" w:cs="仿宋"/>
          <w:color w:val="000000" w:themeColor="text1"/>
          <w:sz w:val="32"/>
          <w:szCs w:val="32"/>
          <w14:textFill>
            <w14:solidFill>
              <w14:schemeClr w14:val="tx1"/>
            </w14:solidFill>
          </w14:textFill>
        </w:rPr>
        <w:t xml:space="preserve">收入 </w:t>
      </w:r>
      <w:r>
        <w:rPr>
          <w:rFonts w:hint="eastAsia" w:ascii="仿宋" w:hAnsi="仿宋" w:eastAsia="仿宋" w:cs="仿宋"/>
          <w:color w:val="000000" w:themeColor="text1"/>
          <w:sz w:val="32"/>
          <w:szCs w:val="32"/>
          <w:lang w:val="en-US" w:eastAsia="zh-CN"/>
          <w14:textFill>
            <w14:solidFill>
              <w14:schemeClr w14:val="tx1"/>
            </w14:solidFill>
          </w14:textFill>
        </w:rPr>
        <w:t>550.05</w:t>
      </w:r>
      <w:r>
        <w:rPr>
          <w:rFonts w:hint="eastAsia" w:ascii="仿宋" w:hAnsi="仿宋" w:eastAsia="仿宋" w:cs="仿宋"/>
          <w:color w:val="000000" w:themeColor="text1"/>
          <w:sz w:val="32"/>
          <w:szCs w:val="32"/>
          <w14:textFill>
            <w14:solidFill>
              <w14:schemeClr w14:val="tx1"/>
            </w14:solidFill>
          </w14:textFill>
        </w:rPr>
        <w:t>万元（一般公共预算拨款收入</w:t>
      </w:r>
      <w:r>
        <w:rPr>
          <w:rFonts w:hint="eastAsia" w:ascii="仿宋" w:hAnsi="仿宋" w:eastAsia="仿宋" w:cs="仿宋"/>
          <w:color w:val="000000" w:themeColor="text1"/>
          <w:sz w:val="32"/>
          <w:szCs w:val="32"/>
          <w:lang w:val="en-US" w:eastAsia="zh-CN"/>
          <w14:textFill>
            <w14:solidFill>
              <w14:schemeClr w14:val="tx1"/>
            </w14:solidFill>
          </w14:textFill>
        </w:rPr>
        <w:t>150.05</w:t>
      </w:r>
      <w:r>
        <w:rPr>
          <w:rFonts w:hint="eastAsia" w:ascii="仿宋" w:hAnsi="仿宋" w:eastAsia="仿宋" w:cs="仿宋"/>
          <w:color w:val="000000" w:themeColor="text1"/>
          <w:sz w:val="32"/>
          <w:szCs w:val="32"/>
          <w14:textFill>
            <w14:solidFill>
              <w14:schemeClr w14:val="tx1"/>
            </w14:solidFill>
          </w14:textFill>
        </w:rPr>
        <w:t xml:space="preserve">万元、事业收入 </w:t>
      </w:r>
      <w:r>
        <w:rPr>
          <w:rFonts w:hint="eastAsia" w:ascii="仿宋" w:hAnsi="仿宋" w:eastAsia="仿宋" w:cs="仿宋"/>
          <w:color w:val="000000" w:themeColor="text1"/>
          <w:sz w:val="32"/>
          <w:szCs w:val="32"/>
          <w:lang w:val="en-US" w:eastAsia="zh-CN"/>
          <w14:textFill>
            <w14:solidFill>
              <w14:schemeClr w14:val="tx1"/>
            </w14:solidFill>
          </w14:textFill>
        </w:rPr>
        <w:t>400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7"/>
        </w:numPr>
        <w:spacing w:line="572" w:lineRule="exact"/>
        <w:ind w:left="0" w:leftChars="0" w:firstLine="0" w:firstLineChars="0"/>
        <w:jc w:val="left"/>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部门财政资金支出情况。</w:t>
      </w:r>
    </w:p>
    <w:p>
      <w:pPr>
        <w:numPr>
          <w:ilvl w:val="0"/>
          <w:numId w:val="0"/>
        </w:numPr>
        <w:spacing w:line="572" w:lineRule="exact"/>
        <w:ind w:leftChars="0" w:firstLine="960" w:firstLineChars="300"/>
        <w:jc w:val="left"/>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决算报表反映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县青少年校外活动中心202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支出合计550.05万元。基本支出合计150.05万元，其中，教育支出120.70万元 ，社会保障就业支出13.05万元，卫生健康支出6.52万元，住房保障支出9.78万元，项目支出合计400.00万元。</w:t>
      </w:r>
    </w:p>
    <w:p>
      <w:pPr>
        <w:numPr>
          <w:ilvl w:val="0"/>
          <w:numId w:val="5"/>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部门整体预算绩效管理情况</w:t>
      </w:r>
    </w:p>
    <w:p>
      <w:pPr>
        <w:numPr>
          <w:ilvl w:val="0"/>
          <w:numId w:val="8"/>
        </w:numPr>
        <w:spacing w:line="572" w:lineRule="exact"/>
        <w:ind w:leftChars="0"/>
        <w:jc w:val="left"/>
        <w:outlineLvl w:val="0"/>
        <w:rPr>
          <w:rFonts w:hint="eastAsia" w:ascii="仿宋" w:hAnsi="仿宋" w:eastAsia="仿宋" w:cs="仿宋"/>
          <w:sz w:val="32"/>
          <w:szCs w:val="32"/>
        </w:rPr>
      </w:pPr>
      <w:r>
        <w:rPr>
          <w:rFonts w:hint="eastAsia" w:ascii="仿宋" w:hAnsi="仿宋" w:eastAsia="仿宋" w:cs="仿宋"/>
          <w:sz w:val="32"/>
          <w:szCs w:val="32"/>
        </w:rPr>
        <w:t>部门预算项目绩效管理。</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预算编制强化项目绩效目标，对申报的预算项目进行全面梳理、加强审核，要求必须有具体目标、资金测算，对无具体内容、无明细支出测算的，或绩效目标不易衡量的，一律不予安排。在提高预算编制水平的基础上，通过完善项目立项、跟踪执行流程、严控审批关卡、建立高效的信息系统及定期分析、反馈预算执行情况等手段，进一步加强预算管理的事前、事中、事后环节控制，大幅提高预算支出执行</w:t>
      </w:r>
      <w:r>
        <w:rPr>
          <w:rFonts w:hint="eastAsia" w:ascii="仿宋" w:hAnsi="仿宋" w:eastAsia="仿宋" w:cs="仿宋"/>
          <w:sz w:val="32"/>
          <w:szCs w:val="32"/>
          <w:lang w:val="en-US" w:eastAsia="zh-CN"/>
        </w:rPr>
        <w:t>22年</w:t>
      </w:r>
      <w:r>
        <w:rPr>
          <w:rFonts w:hint="eastAsia" w:ascii="仿宋" w:hAnsi="仿宋" w:eastAsia="仿宋" w:cs="仿宋"/>
          <w:sz w:val="32"/>
          <w:szCs w:val="32"/>
        </w:rPr>
        <w:t>的工作效率和效益</w:t>
      </w:r>
    </w:p>
    <w:p>
      <w:pPr>
        <w:numPr>
          <w:ilvl w:val="0"/>
          <w:numId w:val="8"/>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结果应用情况。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剑阁县青少年校外活动中心202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年预算管理严格执行各项财经法规和管理制度，将提高资金使用效益和保障资金安全紧密结合，坚决杜绝违规“以拨作支”、虚列支出、挤占挪用资金、虚开发票等行为，严禁违规发放津补贴、建设形象工程和政绩工程，防止财政资金使用管理中的各种违法违规和不讲效益的“突击花钱”行为，增强执行财经纪律和制度的刚性。坚持财务公开公示，发现问题，及时整改，切实提高预算编制，收支管理的规范性。1.严格执行财务管理制度。严格执行中央和上级有关部门出台的财经纪律相关规定，严控"三公经费"、会议费、培训费、差旅费等支出。严格报账程序，减少现金支付。认真做好会计核算， 做到账账相符、账实相符。2.加强政府采购管理。严格按照《政府采购法》和《政府采购法实施条例》等相关管理规定，根据省采购目录和财政部门预算管理要求，编制政府采购计划。3.加强固定资产管理。严格按照国资局资产管理家具配置标准、新增资产配置流程、处置审批制度等相关文件要求，做好固定资产采买、报废、调整等相关管理工作。4.加强政府信息公开。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年，我单位严格按照上级关于全面推进政府信息公开工作的统一安排部署，突出重点，  狠抓落实， 细化公开内容，不断提高信息公开的质量和实效。</w:t>
      </w:r>
    </w:p>
    <w:p>
      <w:pPr>
        <w:numPr>
          <w:ilvl w:val="0"/>
          <w:numId w:val="8"/>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自评质量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综合各方面情况，剑阁县青少年校外活动中心202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年部门整体支出绩效评价情况为良好。</w:t>
      </w:r>
    </w:p>
    <w:p>
      <w:pPr>
        <w:numPr>
          <w:ilvl w:val="0"/>
          <w:numId w:val="5"/>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评价结论及建议 </w:t>
      </w:r>
    </w:p>
    <w:p>
      <w:pPr>
        <w:numPr>
          <w:ilvl w:val="0"/>
          <w:numId w:val="9"/>
        </w:numPr>
        <w:spacing w:line="572" w:lineRule="exact"/>
        <w:ind w:left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评价结论。 </w:t>
      </w:r>
    </w:p>
    <w:p>
      <w:pPr>
        <w:numPr>
          <w:ilvl w:val="0"/>
          <w:numId w:val="0"/>
        </w:numPr>
        <w:spacing w:line="572" w:lineRule="exact"/>
        <w:ind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我中心在财政资金的使用上，总体情况较好，从预算的编制、</w:t>
      </w:r>
      <w:r>
        <w:rPr>
          <w:rFonts w:hint="eastAsia" w:ascii="仿宋" w:hAnsi="仿宋" w:eastAsia="仿宋" w:cs="仿宋"/>
          <w:sz w:val="32"/>
          <w:szCs w:val="32"/>
          <w:lang w:eastAsia="zh-CN"/>
        </w:rPr>
        <w:t>资金</w:t>
      </w:r>
      <w:r>
        <w:rPr>
          <w:rFonts w:hint="eastAsia" w:ascii="仿宋" w:hAnsi="仿宋" w:eastAsia="仿宋" w:cs="仿宋"/>
          <w:sz w:val="32"/>
          <w:szCs w:val="32"/>
        </w:rPr>
        <w:t>使用到年终决算，都严格按照相关政策和要求执行；同时根据绩效评价结果，及时调整资金支出结构，并作为下一年度预算编制依据，更加科学合理安排预算。</w:t>
      </w:r>
    </w:p>
    <w:p>
      <w:pPr>
        <w:numPr>
          <w:ilvl w:val="0"/>
          <w:numId w:val="9"/>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 xml:space="preserve">存在问题。 </w:t>
      </w:r>
    </w:p>
    <w:p>
      <w:pPr>
        <w:numPr>
          <w:ilvl w:val="0"/>
          <w:numId w:val="0"/>
        </w:numPr>
        <w:spacing w:line="572" w:lineRule="exact"/>
        <w:ind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一是部分绩效目标设置不够科学、合理，存在预期指标值设置与完成值差距较大的情况；二是中心内部项目绩效评价机制、评价流程虽已形成，但尚未制度化；三是预算绩效管理工作人员专业能力需进一步提升。</w:t>
      </w:r>
    </w:p>
    <w:p>
      <w:pPr>
        <w:numPr>
          <w:ilvl w:val="0"/>
          <w:numId w:val="9"/>
        </w:numPr>
        <w:spacing w:line="572" w:lineRule="exact"/>
        <w:ind w:left="0" w:leftChars="0" w:firstLine="0" w:firstLineChars="0"/>
        <w:jc w:val="left"/>
        <w:outlineLvl w:val="0"/>
        <w:rPr>
          <w:rFonts w:hint="eastAsia" w:ascii="仿宋" w:hAnsi="仿宋" w:eastAsia="仿宋" w:cs="仿宋"/>
          <w:sz w:val="32"/>
          <w:szCs w:val="32"/>
        </w:rPr>
      </w:pPr>
      <w:r>
        <w:rPr>
          <w:rFonts w:hint="eastAsia" w:ascii="仿宋" w:hAnsi="仿宋" w:eastAsia="仿宋" w:cs="仿宋"/>
          <w:sz w:val="32"/>
          <w:szCs w:val="32"/>
        </w:rPr>
        <w:t>改进建议。</w:t>
      </w:r>
    </w:p>
    <w:p>
      <w:pPr>
        <w:keepNext w:val="0"/>
        <w:keepLines w:val="0"/>
        <w:pageBreakBefore w:val="0"/>
        <w:widowControl w:val="0"/>
        <w:numPr>
          <w:ilvl w:val="0"/>
          <w:numId w:val="10"/>
        </w:numPr>
        <w:kinsoku/>
        <w:wordWrap/>
        <w:overflowPunct/>
        <w:topLinePunct w:val="0"/>
        <w:autoSpaceDE/>
        <w:autoSpaceDN/>
        <w:bidi w:val="0"/>
        <w:adjustRightInd/>
        <w:snapToGrid/>
        <w:spacing w:line="572" w:lineRule="exact"/>
        <w:ind w:left="159" w:leftChars="0"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进一步加强评价指标体系建设。一是汇总梳理以前年度制定的操作性强的指标，将符合当前预算绩效管理要求指标汇编成库；二是建立指标更新机制，将指标体系建设与学校发展规划、年度重点工作相结合，做到随时更新、完善。</w:t>
      </w:r>
    </w:p>
    <w:p>
      <w:pPr>
        <w:keepNext w:val="0"/>
        <w:keepLines w:val="0"/>
        <w:pageBreakBefore w:val="0"/>
        <w:widowControl w:val="0"/>
        <w:numPr>
          <w:ilvl w:val="0"/>
          <w:numId w:val="10"/>
        </w:numPr>
        <w:kinsoku/>
        <w:wordWrap/>
        <w:overflowPunct/>
        <w:topLinePunct w:val="0"/>
        <w:autoSpaceDE/>
        <w:autoSpaceDN/>
        <w:bidi w:val="0"/>
        <w:adjustRightInd/>
        <w:snapToGrid/>
        <w:spacing w:line="572" w:lineRule="exact"/>
        <w:ind w:left="159" w:leftChars="0"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强化绩效目标管理，建立动态管理机制。进一步提升 绩效目标前期编制水平，加强项目实施过程管控，建立绩效目标动态 管理机制。对于无法完成或前期目标设置不合理的项目及时修正， 动态掌握绩效目标的</w:t>
      </w:r>
      <w:r>
        <w:rPr>
          <w:rFonts w:hint="eastAsia" w:ascii="仿宋" w:hAnsi="仿宋" w:eastAsia="仿宋" w:cs="仿宋"/>
          <w:sz w:val="32"/>
          <w:szCs w:val="32"/>
          <w:lang w:eastAsia="zh-CN"/>
        </w:rPr>
        <w:t>实时</w:t>
      </w:r>
      <w:r>
        <w:rPr>
          <w:rFonts w:hint="eastAsia" w:ascii="仿宋" w:hAnsi="仿宋" w:eastAsia="仿宋" w:cs="仿宋"/>
          <w:sz w:val="32"/>
          <w:szCs w:val="32"/>
        </w:rPr>
        <w:t>完成情况</w:t>
      </w:r>
      <w:r>
        <w:rPr>
          <w:rFonts w:hint="eastAsia" w:ascii="仿宋" w:hAnsi="仿宋" w:eastAsia="仿宋" w:cs="仿宋"/>
          <w:sz w:val="32"/>
          <w:szCs w:val="32"/>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572" w:lineRule="exact"/>
        <w:ind w:left="159" w:leftChars="0" w:firstLine="640" w:firstLineChars="2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强化结果运用，增强绩效约束。为确保评价结果的有效运用，发挥预算绩效管理的作用，我中心将从以下方面进行：一是及时将绩效评价结果反馈部门，要求其根据绩效评价报告反映的问题和提出的建议，进一步改进管理措施，提高管理水平。二是将绩效评价结果作为以后年度安排预算的依据，优化资源配置。</w:t>
      </w:r>
    </w:p>
    <w:p>
      <w:pPr>
        <w:keepNext w:val="0"/>
        <w:keepLines w:val="0"/>
        <w:pageBreakBefore w:val="0"/>
        <w:widowControl w:val="0"/>
        <w:numPr>
          <w:ilvl w:val="0"/>
          <w:numId w:val="10"/>
        </w:numPr>
        <w:kinsoku/>
        <w:wordWrap/>
        <w:overflowPunct/>
        <w:topLinePunct w:val="0"/>
        <w:autoSpaceDE/>
        <w:autoSpaceDN/>
        <w:bidi w:val="0"/>
        <w:adjustRightInd/>
        <w:snapToGrid/>
        <w:spacing w:line="572" w:lineRule="exact"/>
        <w:ind w:left="159" w:leftChars="0" w:firstLine="640" w:firstLineChars="200"/>
        <w:jc w:val="left"/>
        <w:textAlignment w:val="auto"/>
        <w:outlineLvl w:val="0"/>
        <w:rPr>
          <w:rFonts w:hint="eastAsia" w:ascii="仿宋" w:hAnsi="仿宋" w:eastAsia="仿宋" w:cs="仿宋"/>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sz w:val="32"/>
          <w:szCs w:val="32"/>
        </w:rPr>
        <w:t>健全预算绩效管理制度体系。通过制度体系的完善，将预算绩效管理变成一项指令性、经常性、制度性的工作。一是通过目标细化的方式，将部门工作重点转化为可量化的，以绩效目标 为主的绩效目标体系；二是按照预算编制、执行、监督和评价“四 位一体”的要求，建立以绩效结果为导向，以制度建设为保障， 以中心层面为监管主体、各股室为责任主体的绩效管理制度体系。</w:t>
      </w:r>
    </w:p>
    <w:p>
      <w:pPr>
        <w:spacing w:line="600" w:lineRule="exact"/>
        <w:jc w:val="center"/>
        <w:outlineLvl w:val="0"/>
        <w:rPr>
          <w:rFonts w:hint="eastAsia"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pStyle w:val="2"/>
        <w:rPr>
          <w:rFonts w:hint="eastAsia"/>
        </w:rPr>
      </w:pPr>
    </w:p>
    <w:tbl>
      <w:tblPr>
        <w:tblStyle w:val="13"/>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2016"/>
        <w:gridCol w:w="1739"/>
        <w:gridCol w:w="2237"/>
        <w:gridCol w:w="522"/>
        <w:gridCol w:w="1649"/>
        <w:gridCol w:w="522"/>
        <w:gridCol w:w="1088"/>
        <w:gridCol w:w="576"/>
        <w:gridCol w:w="576"/>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剑阁县青少年校外活动中心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严格执行相关政策，保障工会经费与福利费及时发放、足额发放，预算编制科学合理，减少结余资金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严格执行相关政策，保障工会经费与福利费及时发放、足额发放，预算编制科学合理，减少结余资金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1.加强培训环境的改善。</w:t>
            </w:r>
          </w:p>
          <w:p>
            <w:pPr>
              <w:pStyle w:val="2"/>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2.加强乡村活动中心分站的建设。</w:t>
            </w:r>
          </w:p>
          <w:p>
            <w:pPr>
              <w:pStyle w:val="2"/>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3.补足补齐防疫物资。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项目自评总分100分，通过项目的实施，保障了职工目标绩效考核奖励，及时、足额缴纳。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科学合理预算项目资金，保障经费及时、足额缴纳。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项目负责人：龚俊</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财务负责人：严钰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jc w:val="center"/>
        <w:rPr>
          <w:rFonts w:hAnsi="Calibri" w:cs="仿宋"/>
          <w:sz w:val="32"/>
          <w:szCs w:val="32"/>
        </w:rPr>
      </w:pPr>
      <w:r>
        <w:rPr>
          <w:rFonts w:hint="eastAsia" w:hAnsi="Calibri" w:cs="仿宋"/>
          <w:sz w:val="32"/>
          <w:szCs w:val="32"/>
        </w:rPr>
        <w:t>部门预算项目支出绩效自评表（2022年度）</w:t>
      </w:r>
    </w:p>
    <w:p>
      <w:pPr>
        <w:pStyle w:val="2"/>
        <w:spacing w:before="93"/>
        <w:rPr>
          <w:rFonts w:hAnsi="Calibri" w:cs="仿宋"/>
          <w:sz w:val="32"/>
          <w:szCs w:val="32"/>
        </w:rPr>
      </w:pPr>
    </w:p>
    <w:tbl>
      <w:tblPr>
        <w:tblStyle w:val="13"/>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58"/>
        <w:gridCol w:w="524"/>
        <w:gridCol w:w="1674"/>
        <w:gridCol w:w="524"/>
        <w:gridCol w:w="1093"/>
        <w:gridCol w:w="510"/>
        <w:gridCol w:w="487"/>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51082322T000005949835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剑阁县青少年校外活动中心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严格执行相关政策，保障事业支出及时发放、足额发放，预算编制科学合理，减少结余资金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严格执行相关政策，保障事业支出发放、足额发放，预算编制科学合理，减少结余资金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保障事业支出，及时、足额缴纳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培训计划按期完成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具有可持续发展性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学生、家长、社会满意度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项目自评总分100分，通过项目的实施，保障了职工事业支出，及时、足额缴纳。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科学合理预算项目资金，减少预算调整。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项目负责人：龚俊</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财务负责人：严钰</w:t>
            </w:r>
          </w:p>
        </w:tc>
      </w:tr>
    </w:tbl>
    <w:p>
      <w:pPr>
        <w:pStyle w:val="2"/>
        <w:spacing w:before="93"/>
        <w:rPr>
          <w:rFonts w:hAnsi="Calibri" w:cs="仿宋"/>
          <w:sz w:val="32"/>
          <w:szCs w:val="32"/>
        </w:rPr>
      </w:pPr>
    </w:p>
    <w:bookmarkEnd w:id="52"/>
    <w:bookmarkEnd w:id="53"/>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ascii="黑体" w:hAnsi="黑体" w:eastAsia="黑体" w:cs="黑体"/>
          <w:b/>
          <w:bCs w:val="0"/>
          <w:sz w:val="44"/>
          <w:szCs w:val="44"/>
          <w:lang w:val="en-US" w:eastAsia="zh-CN"/>
        </w:rPr>
      </w:pPr>
      <w:bookmarkStart w:id="54" w:name="_Toc15396619"/>
      <w:r>
        <w:rPr>
          <w:rFonts w:hint="eastAsia" w:ascii="黑体" w:hAnsi="黑体" w:eastAsia="黑体" w:cs="黑体"/>
          <w:b/>
          <w:bCs w:val="0"/>
          <w:sz w:val="44"/>
          <w:szCs w:val="44"/>
          <w:lang w:val="en-US" w:eastAsia="zh-CN"/>
        </w:rPr>
        <w:t>第五部分  附表</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left"/>
        <w:textAlignment w:val="auto"/>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3" w:name="_Toc15396628"/>
      <w:r>
        <w:rPr>
          <w:rStyle w:val="26"/>
          <w:rFonts w:hint="eastAsia" w:ascii="仿宋" w:hAnsi="仿宋" w:eastAsia="仿宋"/>
          <w:b w:val="0"/>
          <w:bCs w:val="0"/>
        </w:rPr>
        <w:t>十、</w:t>
      </w:r>
      <w:bookmarkEnd w:id="63"/>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4" w:name="_Toc15396629"/>
      <w:r>
        <w:rPr>
          <w:rStyle w:val="26"/>
          <w:rFonts w:hint="eastAsia" w:ascii="仿宋" w:hAnsi="仿宋" w:eastAsia="仿宋"/>
          <w:b w:val="0"/>
          <w:bCs w:val="0"/>
        </w:rPr>
        <w:t>十一、</w:t>
      </w:r>
      <w:bookmarkEnd w:id="64"/>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仿宋" w:hAnsi="仿宋" w:eastAsia="仿宋"/>
        </w:rPr>
      </w:pPr>
      <w:bookmarkStart w:id="65" w:name="_Toc15396630"/>
      <w:r>
        <w:rPr>
          <w:rStyle w:val="26"/>
          <w:rFonts w:hint="eastAsia" w:ascii="仿宋" w:hAnsi="仿宋" w:eastAsia="仿宋"/>
          <w:b w:val="0"/>
          <w:bCs w:val="0"/>
        </w:rPr>
        <w:t>十二、</w:t>
      </w:r>
      <w:bookmarkEnd w:id="65"/>
      <w:r>
        <w:rPr>
          <w:rStyle w:val="26"/>
          <w:rFonts w:hint="eastAsia" w:ascii="仿宋" w:hAnsi="仿宋" w:eastAsia="仿宋"/>
          <w:b w:val="0"/>
          <w:bCs w:val="0"/>
        </w:rPr>
        <w:t>国有资本经营预算财政拨款支出决算表</w:t>
      </w:r>
    </w:p>
    <w:p>
      <w:pPr>
        <w:pStyle w:val="4"/>
        <w:keepNext/>
        <w:keepLines/>
        <w:pageBreakBefore w:val="0"/>
        <w:widowControl w:val="0"/>
        <w:kinsoku/>
        <w:wordWrap/>
        <w:overflowPunct/>
        <w:topLinePunct w:val="0"/>
        <w:autoSpaceDE/>
        <w:autoSpaceDN/>
        <w:bidi w:val="0"/>
        <w:adjustRightInd/>
        <w:snapToGrid/>
        <w:spacing w:line="300" w:lineRule="exact"/>
        <w:ind w:firstLine="640" w:firstLineChars="200"/>
        <w:jc w:val="left"/>
        <w:textAlignment w:val="auto"/>
        <w:rPr>
          <w:rStyle w:val="26"/>
          <w:rFonts w:hint="eastAsia" w:ascii="仿宋" w:hAnsi="仿宋" w:eastAsia="仿宋"/>
          <w:b w:val="0"/>
          <w:bCs w:val="0"/>
        </w:rPr>
      </w:pPr>
      <w:bookmarkStart w:id="66" w:name="_Toc15396631"/>
      <w:r>
        <w:rPr>
          <w:rStyle w:val="26"/>
          <w:rFonts w:hint="eastAsia" w:ascii="仿宋" w:hAnsi="仿宋" w:eastAsia="仿宋"/>
          <w:b w:val="0"/>
          <w:bCs w:val="0"/>
        </w:rPr>
        <w:t>十三、</w:t>
      </w:r>
      <w:bookmarkEnd w:id="66"/>
      <w:r>
        <w:rPr>
          <w:rStyle w:val="26"/>
          <w:rFonts w:hint="eastAsia" w:ascii="仿宋" w:hAnsi="仿宋" w:eastAsia="仿宋"/>
          <w:b w:val="0"/>
          <w:bCs w:val="0"/>
        </w:rPr>
        <w:t>财政拨款“三公”经费支出决算表</w:t>
      </w:r>
    </w:p>
    <w:p>
      <w:pPr>
        <w:pStyle w:val="2"/>
        <w:rPr>
          <w:rFonts w:hint="eastAsia" w:eastAsia="仿宋_GB2312"/>
          <w:lang w:val="en-US" w:eastAsia="zh-CN"/>
        </w:rPr>
      </w:pPr>
      <w:r>
        <w:rPr>
          <w:rFonts w:hint="eastAsia"/>
          <w:lang w:val="en-US" w:eastAsia="zh-CN"/>
        </w:rPr>
        <w:t xml:space="preserve"> </w:t>
      </w: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both"/>
        <w:rPr>
          <w:rFonts w:hint="eastAsia"/>
          <w:sz w:val="28"/>
          <w:szCs w:val="28"/>
          <w:lang w:val="en-US" w:eastAsia="zh-CN"/>
        </w:rPr>
      </w:pPr>
    </w:p>
    <w:p>
      <w:pPr>
        <w:pStyle w:val="2"/>
        <w:jc w:val="both"/>
        <w:rPr>
          <w:rFonts w:hint="eastAsia"/>
          <w:sz w:val="28"/>
          <w:szCs w:val="28"/>
          <w:lang w:val="en-US" w:eastAsia="zh-CN"/>
        </w:rPr>
      </w:pPr>
    </w:p>
    <w:p>
      <w:pPr>
        <w:pStyle w:val="2"/>
        <w:jc w:val="both"/>
        <w:rPr>
          <w:rFonts w:hint="default"/>
          <w:sz w:val="28"/>
          <w:szCs w:val="28"/>
          <w:lang w:val="en-US" w:eastAsia="zh-CN"/>
        </w:rPr>
      </w:pPr>
    </w:p>
    <w:p>
      <w:pPr>
        <w:pStyle w:val="2"/>
        <w:jc w:val="both"/>
        <w:rPr>
          <w:rFonts w:hint="default"/>
          <w:sz w:val="28"/>
          <w:szCs w:val="28"/>
          <w:lang w:val="en-US" w:eastAsia="zh-CN"/>
        </w:rPr>
      </w:pPr>
    </w:p>
    <w:p>
      <w:pPr>
        <w:bidi w:val="0"/>
        <w:rPr>
          <w:rFonts w:hint="default"/>
          <w:sz w:val="28"/>
          <w:szCs w:val="28"/>
          <w:lang w:val="en-US" w:eastAsia="zh-CN"/>
        </w:rPr>
      </w:pPr>
      <w:r>
        <w:rPr>
          <w:rFonts w:hint="default"/>
          <w:sz w:val="28"/>
          <w:szCs w:val="28"/>
          <w:lang w:val="en-US" w:eastAsia="zh-CN"/>
        </w:rPr>
        <w:tab/>
      </w:r>
      <w:r>
        <w:rPr>
          <w:rFonts w:hint="default"/>
          <w:sz w:val="28"/>
          <w:szCs w:val="28"/>
          <w:lang w:val="en-US" w:eastAsia="zh-CN"/>
        </w:rPr>
        <w:tab/>
      </w:r>
    </w:p>
    <w:p>
      <w:pPr>
        <w:pStyle w:val="2"/>
        <w:jc w:val="both"/>
        <w:rPr>
          <w:rFonts w:hint="default"/>
          <w:sz w:val="28"/>
          <w:szCs w:val="28"/>
          <w:lang w:val="en-US" w:eastAsia="zh-CN"/>
        </w:rPr>
      </w:pP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r>
        <w:rPr>
          <w:rFonts w:hint="default"/>
          <w:sz w:val="28"/>
          <w:szCs w:val="28"/>
          <w:lang w:val="en-US" w:eastAsia="zh-CN"/>
        </w:rPr>
        <w:tab/>
      </w:r>
    </w:p>
    <w:sectPr>
      <w:pgSz w:w="16838" w:h="11906" w:orient="landscape"/>
      <w:pgMar w:top="1800" w:right="1440" w:bottom="1800"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21C107-5CB0-4702-8F08-7A9FF42E7C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BE2AA0-E67D-473F-BEC4-46ACBCF25509}"/>
  </w:font>
  <w:font w:name="Cambria">
    <w:panose1 w:val="02040503050406030204"/>
    <w:charset w:val="00"/>
    <w:family w:val="roman"/>
    <w:pitch w:val="default"/>
    <w:sig w:usb0="E00006FF" w:usb1="420024FF" w:usb2="02000000" w:usb3="00000000" w:csb0="2000019F" w:csb1="00000000"/>
    <w:embedRegular r:id="rId3" w:fontKey="{6743419E-55B5-477B-B7F4-95ED2DB1D561}"/>
  </w:font>
  <w:font w:name="仿宋_GB2312">
    <w:altName w:val="仿宋"/>
    <w:panose1 w:val="00000000000000000000"/>
    <w:charset w:val="86"/>
    <w:family w:val="modern"/>
    <w:pitch w:val="default"/>
    <w:sig w:usb0="00000000" w:usb1="00000000" w:usb2="00000000" w:usb3="00000000" w:csb0="00040000" w:csb1="00000000"/>
    <w:embedRegular r:id="rId4" w:fontKey="{5E1FC028-C2A3-420A-AEC2-135822F1B61B}"/>
  </w:font>
  <w:font w:name="仿宋">
    <w:panose1 w:val="02010609060101010101"/>
    <w:charset w:val="86"/>
    <w:family w:val="modern"/>
    <w:pitch w:val="default"/>
    <w:sig w:usb0="800002BF" w:usb1="38CF7CFA" w:usb2="00000016" w:usb3="00000000" w:csb0="00040001" w:csb1="00000000"/>
    <w:embedRegular r:id="rId5" w:fontKey="{CE0DEABA-DF95-4170-8C65-515A58B7923A}"/>
  </w:font>
  <w:font w:name="方正小标宋简体">
    <w:panose1 w:val="02000000000000000000"/>
    <w:charset w:val="86"/>
    <w:family w:val="script"/>
    <w:pitch w:val="default"/>
    <w:sig w:usb0="00000001" w:usb1="08000000" w:usb2="00000000" w:usb3="00000000" w:csb0="00040000" w:csb1="00000000"/>
    <w:embedRegular r:id="rId6" w:fontKey="{3E5C2ABD-5AB1-45A7-9180-BB0CC77FB06A}"/>
  </w:font>
  <w:font w:name="微软雅黑">
    <w:panose1 w:val="020B0503020204020204"/>
    <w:charset w:val="86"/>
    <w:family w:val="auto"/>
    <w:pitch w:val="default"/>
    <w:sig w:usb0="80000287" w:usb1="2ACF3C50" w:usb2="00000016" w:usb3="00000000" w:csb0="0004001F" w:csb1="00000000"/>
    <w:embedRegular r:id="rId7" w:fontKey="{2004F3DE-C897-43C3-AC14-60A63B3CBE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EEB0A"/>
    <w:multiLevelType w:val="singleLevel"/>
    <w:tmpl w:val="8FCEEB0A"/>
    <w:lvl w:ilvl="0" w:tentative="0">
      <w:start w:val="1"/>
      <w:numFmt w:val="chineseCounting"/>
      <w:suff w:val="nothing"/>
      <w:lvlText w:val="（%1）"/>
      <w:lvlJc w:val="left"/>
      <w:rPr>
        <w:rFonts w:hint="eastAsia"/>
      </w:rPr>
    </w:lvl>
  </w:abstractNum>
  <w:abstractNum w:abstractNumId="1">
    <w:nsid w:val="AA83441A"/>
    <w:multiLevelType w:val="singleLevel"/>
    <w:tmpl w:val="AA83441A"/>
    <w:lvl w:ilvl="0" w:tentative="0">
      <w:start w:val="1"/>
      <w:numFmt w:val="chineseCounting"/>
      <w:suff w:val="nothing"/>
      <w:lvlText w:val="（%1）"/>
      <w:lvlJc w:val="left"/>
      <w:rPr>
        <w:rFonts w:hint="eastAsia"/>
      </w:rPr>
    </w:lvl>
  </w:abstractNum>
  <w:abstractNum w:abstractNumId="2">
    <w:nsid w:val="AA9296E8"/>
    <w:multiLevelType w:val="singleLevel"/>
    <w:tmpl w:val="AA9296E8"/>
    <w:lvl w:ilvl="0" w:tentative="0">
      <w:start w:val="1"/>
      <w:numFmt w:val="chineseCounting"/>
      <w:suff w:val="nothing"/>
      <w:lvlText w:val="%1、"/>
      <w:lvlJc w:val="left"/>
      <w:rPr>
        <w:rFonts w:hint="eastAsia"/>
      </w:rPr>
    </w:lvl>
  </w:abstractNum>
  <w:abstractNum w:abstractNumId="3">
    <w:nsid w:val="B8391E47"/>
    <w:multiLevelType w:val="singleLevel"/>
    <w:tmpl w:val="B8391E47"/>
    <w:lvl w:ilvl="0" w:tentative="0">
      <w:start w:val="1"/>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6">
    <w:nsid w:val="F512EC00"/>
    <w:multiLevelType w:val="singleLevel"/>
    <w:tmpl w:val="F512EC00"/>
    <w:lvl w:ilvl="0" w:tentative="0">
      <w:start w:val="1"/>
      <w:numFmt w:val="decimal"/>
      <w:lvlText w:val="%1."/>
      <w:lvlJc w:val="left"/>
      <w:pPr>
        <w:tabs>
          <w:tab w:val="left" w:pos="312"/>
        </w:tabs>
        <w:ind w:left="160" w:leftChars="0" w:firstLine="0" w:firstLineChars="0"/>
      </w:p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818A09A"/>
    <w:multiLevelType w:val="singleLevel"/>
    <w:tmpl w:val="3818A09A"/>
    <w:lvl w:ilvl="0" w:tentative="0">
      <w:start w:val="1"/>
      <w:numFmt w:val="chineseCounting"/>
      <w:suff w:val="nothing"/>
      <w:lvlText w:val="%1、"/>
      <w:lvlJc w:val="left"/>
      <w:rPr>
        <w:rFonts w:hint="eastAsia"/>
      </w:rPr>
    </w:lvl>
  </w:abstractNum>
  <w:abstractNum w:abstractNumId="9">
    <w:nsid w:val="7D09569E"/>
    <w:multiLevelType w:val="singleLevel"/>
    <w:tmpl w:val="7D09569E"/>
    <w:lvl w:ilvl="0" w:tentative="0">
      <w:start w:val="1"/>
      <w:numFmt w:val="chineseCounting"/>
      <w:suff w:val="nothing"/>
      <w:lvlText w:val="（%1）"/>
      <w:lvlJc w:val="left"/>
      <w:rPr>
        <w:rFonts w:hint="eastAsia"/>
      </w:rPr>
    </w:lvl>
  </w:abstractNum>
  <w:num w:numId="1">
    <w:abstractNumId w:val="8"/>
  </w:num>
  <w:num w:numId="2">
    <w:abstractNumId w:val="7"/>
  </w:num>
  <w:num w:numId="3">
    <w:abstractNumId w:val="4"/>
  </w:num>
  <w:num w:numId="4">
    <w:abstractNumId w:val="5"/>
  </w:num>
  <w:num w:numId="5">
    <w:abstractNumId w:val="2"/>
  </w:num>
  <w:num w:numId="6">
    <w:abstractNumId w:val="0"/>
  </w:num>
  <w:num w:numId="7">
    <w:abstractNumId w:val="1"/>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12397"/>
    <w:rsid w:val="00017963"/>
    <w:rsid w:val="000222C6"/>
    <w:rsid w:val="0002549F"/>
    <w:rsid w:val="000409D9"/>
    <w:rsid w:val="000468DB"/>
    <w:rsid w:val="00060CB9"/>
    <w:rsid w:val="0006487A"/>
    <w:rsid w:val="00065F8F"/>
    <w:rsid w:val="00070A43"/>
    <w:rsid w:val="000768F2"/>
    <w:rsid w:val="000870B8"/>
    <w:rsid w:val="00087FF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14CF"/>
    <w:rsid w:val="000E6613"/>
    <w:rsid w:val="000E7119"/>
    <w:rsid w:val="00114E9B"/>
    <w:rsid w:val="00134962"/>
    <w:rsid w:val="00142216"/>
    <w:rsid w:val="00144D6A"/>
    <w:rsid w:val="0014729F"/>
    <w:rsid w:val="001518FD"/>
    <w:rsid w:val="00157BAB"/>
    <w:rsid w:val="001654D1"/>
    <w:rsid w:val="00174518"/>
    <w:rsid w:val="00181056"/>
    <w:rsid w:val="0018106D"/>
    <w:rsid w:val="001877A7"/>
    <w:rsid w:val="00191536"/>
    <w:rsid w:val="00196687"/>
    <w:rsid w:val="001A1979"/>
    <w:rsid w:val="001A3C1B"/>
    <w:rsid w:val="001C0962"/>
    <w:rsid w:val="001D6FD9"/>
    <w:rsid w:val="001D732D"/>
    <w:rsid w:val="001D7531"/>
    <w:rsid w:val="001D7571"/>
    <w:rsid w:val="001E737D"/>
    <w:rsid w:val="001F0592"/>
    <w:rsid w:val="001F7506"/>
    <w:rsid w:val="002002ED"/>
    <w:rsid w:val="002006CD"/>
    <w:rsid w:val="00202B36"/>
    <w:rsid w:val="0020464C"/>
    <w:rsid w:val="00204B7A"/>
    <w:rsid w:val="00204CDE"/>
    <w:rsid w:val="0021101A"/>
    <w:rsid w:val="00220536"/>
    <w:rsid w:val="00235629"/>
    <w:rsid w:val="00243E4A"/>
    <w:rsid w:val="00260C38"/>
    <w:rsid w:val="002616C0"/>
    <w:rsid w:val="00265372"/>
    <w:rsid w:val="002662AA"/>
    <w:rsid w:val="002777B9"/>
    <w:rsid w:val="00280496"/>
    <w:rsid w:val="00281569"/>
    <w:rsid w:val="00281666"/>
    <w:rsid w:val="00282DD1"/>
    <w:rsid w:val="00294DC9"/>
    <w:rsid w:val="00295495"/>
    <w:rsid w:val="002A31DE"/>
    <w:rsid w:val="002B2613"/>
    <w:rsid w:val="002C7CD4"/>
    <w:rsid w:val="002D6D05"/>
    <w:rsid w:val="002F1818"/>
    <w:rsid w:val="002F567B"/>
    <w:rsid w:val="003216A9"/>
    <w:rsid w:val="00334DE9"/>
    <w:rsid w:val="00335A74"/>
    <w:rsid w:val="00356E81"/>
    <w:rsid w:val="0036561B"/>
    <w:rsid w:val="00367619"/>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226B"/>
    <w:rsid w:val="00471401"/>
    <w:rsid w:val="00473F31"/>
    <w:rsid w:val="00480B8C"/>
    <w:rsid w:val="0048263A"/>
    <w:rsid w:val="00485DD0"/>
    <w:rsid w:val="00487E5D"/>
    <w:rsid w:val="004A711F"/>
    <w:rsid w:val="004B199D"/>
    <w:rsid w:val="004B4690"/>
    <w:rsid w:val="004D7BF4"/>
    <w:rsid w:val="004E0A2D"/>
    <w:rsid w:val="004E206B"/>
    <w:rsid w:val="004E2823"/>
    <w:rsid w:val="004E6DF7"/>
    <w:rsid w:val="004F0FBD"/>
    <w:rsid w:val="00505A47"/>
    <w:rsid w:val="00512FDA"/>
    <w:rsid w:val="00520197"/>
    <w:rsid w:val="00520DA0"/>
    <w:rsid w:val="00535C46"/>
    <w:rsid w:val="005523A9"/>
    <w:rsid w:val="00561839"/>
    <w:rsid w:val="005664BB"/>
    <w:rsid w:val="00566FFA"/>
    <w:rsid w:val="005745C3"/>
    <w:rsid w:val="0057481D"/>
    <w:rsid w:val="005813D6"/>
    <w:rsid w:val="0058486E"/>
    <w:rsid w:val="00585B33"/>
    <w:rsid w:val="00587AA4"/>
    <w:rsid w:val="0059014D"/>
    <w:rsid w:val="00597CED"/>
    <w:rsid w:val="005A0DA4"/>
    <w:rsid w:val="005B5C64"/>
    <w:rsid w:val="005C5337"/>
    <w:rsid w:val="005C6BD0"/>
    <w:rsid w:val="005D1C8B"/>
    <w:rsid w:val="005D468D"/>
    <w:rsid w:val="005D5CED"/>
    <w:rsid w:val="005F1A4C"/>
    <w:rsid w:val="00605688"/>
    <w:rsid w:val="006070AF"/>
    <w:rsid w:val="00607E6C"/>
    <w:rsid w:val="006101B1"/>
    <w:rsid w:val="00614E44"/>
    <w:rsid w:val="00620FF1"/>
    <w:rsid w:val="0062270A"/>
    <w:rsid w:val="00622830"/>
    <w:rsid w:val="00623DA0"/>
    <w:rsid w:val="00630AEF"/>
    <w:rsid w:val="00630E31"/>
    <w:rsid w:val="006325F8"/>
    <w:rsid w:val="00633463"/>
    <w:rsid w:val="00634C9A"/>
    <w:rsid w:val="006440E4"/>
    <w:rsid w:val="0066343B"/>
    <w:rsid w:val="00664777"/>
    <w:rsid w:val="006748A4"/>
    <w:rsid w:val="00681422"/>
    <w:rsid w:val="00681A31"/>
    <w:rsid w:val="00683E73"/>
    <w:rsid w:val="006A3141"/>
    <w:rsid w:val="006A5E34"/>
    <w:rsid w:val="006B2422"/>
    <w:rsid w:val="006B2B9A"/>
    <w:rsid w:val="006C1937"/>
    <w:rsid w:val="006D79E2"/>
    <w:rsid w:val="006F020C"/>
    <w:rsid w:val="006F7F5D"/>
    <w:rsid w:val="00702BC4"/>
    <w:rsid w:val="007127B7"/>
    <w:rsid w:val="0071798E"/>
    <w:rsid w:val="007276CA"/>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6C3C"/>
    <w:rsid w:val="009315F9"/>
    <w:rsid w:val="00933499"/>
    <w:rsid w:val="009342A0"/>
    <w:rsid w:val="00935C98"/>
    <w:rsid w:val="00946945"/>
    <w:rsid w:val="00950E2F"/>
    <w:rsid w:val="00951248"/>
    <w:rsid w:val="0095152F"/>
    <w:rsid w:val="00954C49"/>
    <w:rsid w:val="00955E37"/>
    <w:rsid w:val="009575B9"/>
    <w:rsid w:val="0096294D"/>
    <w:rsid w:val="0097099F"/>
    <w:rsid w:val="00971997"/>
    <w:rsid w:val="00971FFC"/>
    <w:rsid w:val="0098058F"/>
    <w:rsid w:val="009816F9"/>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1C6D"/>
    <w:rsid w:val="00AB64C9"/>
    <w:rsid w:val="00AC3338"/>
    <w:rsid w:val="00AC3C6A"/>
    <w:rsid w:val="00AD5620"/>
    <w:rsid w:val="00AD656B"/>
    <w:rsid w:val="00AD7C1B"/>
    <w:rsid w:val="00AE16BA"/>
    <w:rsid w:val="00AE1EBE"/>
    <w:rsid w:val="00B03C9D"/>
    <w:rsid w:val="00B060AE"/>
    <w:rsid w:val="00B10517"/>
    <w:rsid w:val="00B14E76"/>
    <w:rsid w:val="00B161B8"/>
    <w:rsid w:val="00B2048C"/>
    <w:rsid w:val="00B310B9"/>
    <w:rsid w:val="00B333BF"/>
    <w:rsid w:val="00B33E85"/>
    <w:rsid w:val="00B35F3F"/>
    <w:rsid w:val="00B36CBB"/>
    <w:rsid w:val="00B425E0"/>
    <w:rsid w:val="00B440AA"/>
    <w:rsid w:val="00B44B70"/>
    <w:rsid w:val="00B53C56"/>
    <w:rsid w:val="00B57DAF"/>
    <w:rsid w:val="00B77EA6"/>
    <w:rsid w:val="00B81598"/>
    <w:rsid w:val="00B841F1"/>
    <w:rsid w:val="00B873A9"/>
    <w:rsid w:val="00B944D6"/>
    <w:rsid w:val="00BA4EA3"/>
    <w:rsid w:val="00BB2FB5"/>
    <w:rsid w:val="00BB4DF0"/>
    <w:rsid w:val="00BC289F"/>
    <w:rsid w:val="00BC2D50"/>
    <w:rsid w:val="00BC4701"/>
    <w:rsid w:val="00BC5361"/>
    <w:rsid w:val="00BC5460"/>
    <w:rsid w:val="00BC6B50"/>
    <w:rsid w:val="00BD0E25"/>
    <w:rsid w:val="00BF5BD6"/>
    <w:rsid w:val="00C03E31"/>
    <w:rsid w:val="00C0631D"/>
    <w:rsid w:val="00C0737D"/>
    <w:rsid w:val="00C1671B"/>
    <w:rsid w:val="00C2124E"/>
    <w:rsid w:val="00C33E72"/>
    <w:rsid w:val="00C354B2"/>
    <w:rsid w:val="00C35554"/>
    <w:rsid w:val="00C42709"/>
    <w:rsid w:val="00C473F2"/>
    <w:rsid w:val="00C533CC"/>
    <w:rsid w:val="00C56F3A"/>
    <w:rsid w:val="00C5751C"/>
    <w:rsid w:val="00C60D5D"/>
    <w:rsid w:val="00C617CF"/>
    <w:rsid w:val="00C61BFC"/>
    <w:rsid w:val="00C62B85"/>
    <w:rsid w:val="00C65438"/>
    <w:rsid w:val="00C677BF"/>
    <w:rsid w:val="00C763FB"/>
    <w:rsid w:val="00C87FD8"/>
    <w:rsid w:val="00C91381"/>
    <w:rsid w:val="00C91CBB"/>
    <w:rsid w:val="00CA590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71DF"/>
    <w:rsid w:val="00D908F7"/>
    <w:rsid w:val="00DA634F"/>
    <w:rsid w:val="00DA65AC"/>
    <w:rsid w:val="00DB1913"/>
    <w:rsid w:val="00DC410D"/>
    <w:rsid w:val="00DC5A81"/>
    <w:rsid w:val="00DC68CA"/>
    <w:rsid w:val="00DC7CBA"/>
    <w:rsid w:val="00DD73B7"/>
    <w:rsid w:val="00DF28BC"/>
    <w:rsid w:val="00DF34B9"/>
    <w:rsid w:val="00E01053"/>
    <w:rsid w:val="00E03F48"/>
    <w:rsid w:val="00E06716"/>
    <w:rsid w:val="00E07ACF"/>
    <w:rsid w:val="00E256EE"/>
    <w:rsid w:val="00E331A1"/>
    <w:rsid w:val="00E33202"/>
    <w:rsid w:val="00E336A9"/>
    <w:rsid w:val="00E472B1"/>
    <w:rsid w:val="00E50624"/>
    <w:rsid w:val="00E568DF"/>
    <w:rsid w:val="00E604B4"/>
    <w:rsid w:val="00E64269"/>
    <w:rsid w:val="00E82267"/>
    <w:rsid w:val="00E853CE"/>
    <w:rsid w:val="00E867B6"/>
    <w:rsid w:val="00EA010F"/>
    <w:rsid w:val="00EC598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3488"/>
    <w:rsid w:val="00F602DF"/>
    <w:rsid w:val="00F754A1"/>
    <w:rsid w:val="00F81FD9"/>
    <w:rsid w:val="00F841AA"/>
    <w:rsid w:val="00F84A94"/>
    <w:rsid w:val="00F87E96"/>
    <w:rsid w:val="00FA23E8"/>
    <w:rsid w:val="00FD3CC1"/>
    <w:rsid w:val="00FF1E02"/>
    <w:rsid w:val="00FF30B4"/>
    <w:rsid w:val="04D61EDF"/>
    <w:rsid w:val="052851DF"/>
    <w:rsid w:val="053A62B5"/>
    <w:rsid w:val="09ED4C49"/>
    <w:rsid w:val="0A2032A3"/>
    <w:rsid w:val="0A232419"/>
    <w:rsid w:val="0A8A693C"/>
    <w:rsid w:val="0B626F71"/>
    <w:rsid w:val="0B8A37D8"/>
    <w:rsid w:val="0D132C19"/>
    <w:rsid w:val="104D6442"/>
    <w:rsid w:val="10C055FF"/>
    <w:rsid w:val="10DC7330"/>
    <w:rsid w:val="118107EC"/>
    <w:rsid w:val="11DD6519"/>
    <w:rsid w:val="135D6A2D"/>
    <w:rsid w:val="15406575"/>
    <w:rsid w:val="16BB723D"/>
    <w:rsid w:val="179F4AB6"/>
    <w:rsid w:val="18015F3F"/>
    <w:rsid w:val="1A116732"/>
    <w:rsid w:val="1BE8440E"/>
    <w:rsid w:val="1D155CEE"/>
    <w:rsid w:val="1E2C7696"/>
    <w:rsid w:val="1EE56148"/>
    <w:rsid w:val="20F57F95"/>
    <w:rsid w:val="240371BF"/>
    <w:rsid w:val="25711CC6"/>
    <w:rsid w:val="25C741E6"/>
    <w:rsid w:val="27842671"/>
    <w:rsid w:val="294852FA"/>
    <w:rsid w:val="29FD04D3"/>
    <w:rsid w:val="2ABE7A3E"/>
    <w:rsid w:val="2C212804"/>
    <w:rsid w:val="2CA234A8"/>
    <w:rsid w:val="2D371BB4"/>
    <w:rsid w:val="2EE574C9"/>
    <w:rsid w:val="2EFA178C"/>
    <w:rsid w:val="30B46D73"/>
    <w:rsid w:val="319F7F4E"/>
    <w:rsid w:val="32FE389F"/>
    <w:rsid w:val="33265020"/>
    <w:rsid w:val="351D3D85"/>
    <w:rsid w:val="35BC70FA"/>
    <w:rsid w:val="36D60C00"/>
    <w:rsid w:val="383D272C"/>
    <w:rsid w:val="39AE70AB"/>
    <w:rsid w:val="3AD349FC"/>
    <w:rsid w:val="3B3F4BD1"/>
    <w:rsid w:val="3C0C0783"/>
    <w:rsid w:val="3EE33949"/>
    <w:rsid w:val="3F9F3A96"/>
    <w:rsid w:val="41A01FC6"/>
    <w:rsid w:val="465869CB"/>
    <w:rsid w:val="46A936CA"/>
    <w:rsid w:val="475F4C66"/>
    <w:rsid w:val="480A63EB"/>
    <w:rsid w:val="48AB40EF"/>
    <w:rsid w:val="48BF60AB"/>
    <w:rsid w:val="493C27E9"/>
    <w:rsid w:val="496F39ED"/>
    <w:rsid w:val="49B54134"/>
    <w:rsid w:val="49FF41D3"/>
    <w:rsid w:val="4BE068DB"/>
    <w:rsid w:val="4BF6002B"/>
    <w:rsid w:val="4ECE2238"/>
    <w:rsid w:val="503438F6"/>
    <w:rsid w:val="51DB4B86"/>
    <w:rsid w:val="54B87F42"/>
    <w:rsid w:val="54F14628"/>
    <w:rsid w:val="55333C3E"/>
    <w:rsid w:val="55943798"/>
    <w:rsid w:val="569B23A9"/>
    <w:rsid w:val="597D3409"/>
    <w:rsid w:val="5E0A6B66"/>
    <w:rsid w:val="605B55DE"/>
    <w:rsid w:val="61550091"/>
    <w:rsid w:val="61C93852"/>
    <w:rsid w:val="628271B3"/>
    <w:rsid w:val="643100C6"/>
    <w:rsid w:val="64CA39A1"/>
    <w:rsid w:val="65D256F2"/>
    <w:rsid w:val="69630ADE"/>
    <w:rsid w:val="6A097E59"/>
    <w:rsid w:val="6C4A05C8"/>
    <w:rsid w:val="6D3B1A89"/>
    <w:rsid w:val="6E495542"/>
    <w:rsid w:val="6E6715F2"/>
    <w:rsid w:val="705A19BC"/>
    <w:rsid w:val="71BF4EC2"/>
    <w:rsid w:val="72734D90"/>
    <w:rsid w:val="73DC213A"/>
    <w:rsid w:val="7412278C"/>
    <w:rsid w:val="751E12D1"/>
    <w:rsid w:val="75A4312B"/>
    <w:rsid w:val="767772EA"/>
    <w:rsid w:val="76CF0B20"/>
    <w:rsid w:val="79487EC0"/>
    <w:rsid w:val="79E7B28D"/>
    <w:rsid w:val="7C490589"/>
    <w:rsid w:val="7D6A6672"/>
    <w:rsid w:val="7E56777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21"/>
    <w:basedOn w:val="14"/>
    <w:qFormat/>
    <w:uiPriority w:val="0"/>
    <w:rPr>
      <w:rFonts w:hint="eastAsia" w:ascii="宋体" w:hAnsi="宋体" w:eastAsia="宋体" w:cs="宋体"/>
      <w:color w:val="000000"/>
      <w:sz w:val="20"/>
      <w:szCs w:val="20"/>
      <w:u w:val="none"/>
    </w:rPr>
  </w:style>
  <w:style w:type="character" w:customStyle="1" w:styleId="32">
    <w:name w:val="font61"/>
    <w:basedOn w:val="14"/>
    <w:uiPriority w:val="0"/>
    <w:rPr>
      <w:rFonts w:hint="eastAsia" w:ascii="宋体" w:hAnsi="宋体" w:eastAsia="宋体" w:cs="宋体"/>
      <w:color w:val="000000"/>
      <w:sz w:val="20"/>
      <w:szCs w:val="20"/>
      <w:u w:val="none"/>
    </w:rPr>
  </w:style>
  <w:style w:type="character" w:customStyle="1" w:styleId="33">
    <w:name w:val="font71"/>
    <w:basedOn w:val="14"/>
    <w:uiPriority w:val="0"/>
    <w:rPr>
      <w:rFonts w:hint="eastAsia" w:ascii="宋体" w:hAnsi="宋体" w:eastAsia="宋体" w:cs="宋体"/>
      <w:color w:val="000000"/>
      <w:sz w:val="20"/>
      <w:szCs w:val="20"/>
      <w:u w:val="none"/>
    </w:rPr>
  </w:style>
  <w:style w:type="character" w:customStyle="1" w:styleId="34">
    <w:name w:val="font41"/>
    <w:basedOn w:val="14"/>
    <w:qFormat/>
    <w:uiPriority w:val="0"/>
    <w:rPr>
      <w:rFonts w:hint="eastAsia" w:ascii="宋体" w:hAnsi="宋体" w:eastAsia="宋体" w:cs="宋体"/>
      <w:color w:val="000000"/>
      <w:sz w:val="20"/>
      <w:szCs w:val="20"/>
      <w:u w:val="none"/>
    </w:rPr>
  </w:style>
  <w:style w:type="character" w:customStyle="1" w:styleId="35">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numRef>
              <c:f>Sheet1!$A$2:$A$5</c:f>
              <c:numCache>
                <c:formatCode>General</c:formatCode>
                <c:ptCount val="4"/>
              </c:numCache>
            </c:numRef>
          </c:cat>
          <c:val>
            <c:numRef>
              <c:f>Sheet1!$B$2:$B$5</c:f>
              <c:numCache>
                <c:formatCode>General</c:formatCode>
                <c:ptCount val="4"/>
                <c:pt idx="0">
                  <c:v>561.02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numRef>
              <c:f>Sheet1!$A$2:$A$5</c:f>
              <c:numCache>
                <c:formatCode>General</c:formatCode>
                <c:ptCount val="4"/>
              </c:numCache>
            </c:numRef>
          </c:cat>
          <c:val>
            <c:numRef>
              <c:f>Sheet1!$C$2:$C$5</c:f>
              <c:numCache>
                <c:formatCode>General</c:formatCode>
                <c:ptCount val="4"/>
                <c:pt idx="0">
                  <c:v>550.05</c:v>
                </c:pt>
              </c:numCache>
            </c:numRef>
          </c:val>
        </c:ser>
        <c:ser>
          <c:idx val="2"/>
          <c:order val="2"/>
          <c:tx>
            <c:strRef>
              <c:f>Sheet1!$D$1</c:f>
              <c:strCache>
                <c:ptCount val="1"/>
                <c:pt idx="0">
                  <c:v>列1</c:v>
                </c:pt>
              </c:strCache>
            </c:strRef>
          </c:tx>
          <c:spPr>
            <a:solidFill>
              <a:schemeClr val="accent3"/>
            </a:solidFill>
            <a:ln>
              <a:noFill/>
            </a:ln>
            <a:effectLst/>
          </c:spPr>
          <c:invertIfNegative val="0"/>
          <c:dLbls>
            <c:delete val="1"/>
          </c:dLbls>
          <c:cat>
            <c:numRef>
              <c:f>Sheet1!$A$2:$A$5</c:f>
              <c:numCache>
                <c:formatCode>General</c:formatCode>
                <c:ptCount val="4"/>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83223295"/>
        <c:axId val="1983222463"/>
      </c:barChart>
      <c:catAx>
        <c:axId val="198322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222463"/>
        <c:crosses val="autoZero"/>
        <c:auto val="1"/>
        <c:lblAlgn val="ctr"/>
        <c:lblOffset val="100"/>
        <c:noMultiLvlLbl val="0"/>
      </c:catAx>
      <c:valAx>
        <c:axId val="1983222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22329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一、一般公共预算财政拨款收入</c:v>
                </c:pt>
                <c:pt idx="1">
                  <c:v>二、事业收入</c:v>
                </c:pt>
              </c:strCache>
            </c:strRef>
          </c:cat>
          <c:val>
            <c:numRef>
              <c:f>Sheet1!$B$2:$B$3</c:f>
              <c:numCache>
                <c:formatCode>0.00%</c:formatCode>
                <c:ptCount val="2"/>
                <c:pt idx="0">
                  <c:v>0.2728</c:v>
                </c:pt>
                <c:pt idx="1">
                  <c:v>0.7272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120.7</c:v>
                </c:pt>
                <c:pt idx="1">
                  <c:v>13.05</c:v>
                </c:pt>
                <c:pt idx="2">
                  <c:v>6.52</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107"/>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723</Words>
  <Characters>4125</Characters>
  <Lines>34</Lines>
  <Paragraphs>9</Paragraphs>
  <TotalTime>3</TotalTime>
  <ScaleCrop>false</ScaleCrop>
  <LinksUpToDate>false</LinksUpToDate>
  <CharactersWithSpaces>4839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2023-10-06T09:52:00Z</dcterms:created>
  <dc:creator>曹颖</dc:creator>
  <cp:lastModifiedBy>罗汉</cp:lastModifiedBy>
  <cp:lastPrinted>2023-07-31T02:35:00Z</cp:lastPrinted>
  <dcterms:modified xsi:type="dcterms:W3CDTF">2023-11-28T01:58:42Z</dcterms:modified>
  <dc:title>四川省***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5A5A9145E9D8415C9F48C71565EAF0D8_13</vt:lpwstr>
  </property>
</Properties>
</file>