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8441"/>
      <w:bookmarkStart w:id="1" w:name="_Toc15396597"/>
      <w:bookmarkStart w:id="2" w:name="_Toc15377193"/>
      <w:bookmarkStart w:id="3" w:name="_Toc15396475"/>
      <w:bookmarkStart w:id="4" w:name="_Toc1537742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96598"/>
      <w:bookmarkStart w:id="8" w:name="_Toc15377426"/>
      <w:bookmarkStart w:id="9" w:name="_Toc15396476"/>
      <w:bookmarkStart w:id="10" w:name="_Toc15377194"/>
      <w:r>
        <w:rPr>
          <w:rFonts w:hint="eastAsia" w:ascii="方正小标宋简体" w:hAnsi="方正小标宋简体" w:eastAsia="方正小标宋简体" w:cs="方正小标宋简体"/>
          <w:sz w:val="72"/>
          <w:szCs w:val="72"/>
        </w:rPr>
        <w:t>剑阁县</w:t>
      </w:r>
      <w:bookmarkEnd w:id="5"/>
      <w:bookmarkStart w:id="11" w:name="_Toc15306268"/>
      <w:r>
        <w:rPr>
          <w:rFonts w:hint="eastAsia" w:ascii="方正小标宋简体" w:hAnsi="方正小标宋简体" w:eastAsia="方正小标宋简体" w:cs="方正小标宋简体"/>
          <w:sz w:val="72"/>
          <w:szCs w:val="72"/>
          <w:lang w:eastAsia="zh-CN"/>
        </w:rPr>
        <w:t>目标绩效事务中心</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4"/>
      </w:pPr>
      <w:r>
        <w:rPr>
          <w:rFonts w:hint="eastAsia"/>
        </w:rPr>
        <w:t>公开时间：2023年</w:t>
      </w:r>
      <w:r>
        <w:rPr>
          <w:rFonts w:hint="eastAsia"/>
          <w:lang w:val="en-US" w:eastAsia="zh-CN"/>
        </w:rPr>
        <w:t>10</w:t>
      </w:r>
      <w:r>
        <w:rPr>
          <w:rFonts w:hint="eastAsia"/>
        </w:rPr>
        <w:t>月</w:t>
      </w:r>
      <w:r>
        <w:rPr>
          <w:rFonts w:hint="eastAsia"/>
          <w:lang w:val="en-US" w:eastAsia="zh-CN"/>
        </w:rPr>
        <w:t>16</w:t>
      </w:r>
      <w:r>
        <w:rPr>
          <w:rFonts w:hint="eastAsia"/>
        </w:rPr>
        <w:t>日</w:t>
      </w:r>
    </w:p>
    <w:p/>
    <w:p>
      <w:pPr>
        <w:pStyle w:val="15"/>
        <w:adjustRightInd w:val="0"/>
        <w:snapToGrid w:val="0"/>
        <w:spacing w:line="440" w:lineRule="exact"/>
        <w:jc w:val="left"/>
        <w:rPr>
          <w:rFonts w:hint="eastAsia" w:eastAsia="宋体"/>
          <w:b/>
          <w:bCs/>
          <w:sz w:val="24"/>
          <w:lang w:val="en-US" w:eastAsia="zh-CN"/>
        </w:rPr>
      </w:pPr>
      <w:r>
        <w:rPr>
          <w:rFonts w:hint="eastAsia"/>
          <w:b/>
          <w:bCs/>
          <w:sz w:val="24"/>
        </w:rPr>
        <w:t>第一部分 部门概况</w:t>
      </w:r>
      <w:r>
        <w:rPr>
          <w:rFonts w:hint="eastAsia"/>
          <w:sz w:val="24"/>
        </w:rPr>
        <w:tab/>
      </w:r>
      <w:r>
        <w:rPr>
          <w:rFonts w:hint="eastAsia"/>
          <w:sz w:val="24"/>
          <w:lang w:val="en-US" w:eastAsia="zh-CN"/>
        </w:rPr>
        <w:t>4</w:t>
      </w:r>
    </w:p>
    <w:p>
      <w:pPr>
        <w:pStyle w:val="15"/>
        <w:adjustRightInd w:val="0"/>
        <w:snapToGrid w:val="0"/>
        <w:spacing w:line="440" w:lineRule="exact"/>
        <w:jc w:val="left"/>
        <w:rPr>
          <w:rFonts w:hint="eastAsia" w:eastAsia="宋体"/>
          <w:sz w:val="24"/>
          <w:lang w:val="en-US" w:eastAsia="zh-CN"/>
        </w:rPr>
      </w:pPr>
      <w:r>
        <w:rPr>
          <w:rFonts w:hint="eastAsia"/>
          <w:sz w:val="24"/>
        </w:rPr>
        <w:t>一、部门职责及重点工作</w:t>
      </w:r>
      <w:r>
        <w:rPr>
          <w:rFonts w:hint="eastAsia"/>
          <w:sz w:val="24"/>
        </w:rPr>
        <w:tab/>
      </w:r>
      <w:r>
        <w:rPr>
          <w:rFonts w:hint="eastAsia"/>
          <w:sz w:val="24"/>
          <w:lang w:val="en-US" w:eastAsia="zh-CN"/>
        </w:rPr>
        <w:t>4</w:t>
      </w:r>
    </w:p>
    <w:p>
      <w:pPr>
        <w:pStyle w:val="15"/>
        <w:adjustRightInd w:val="0"/>
        <w:snapToGrid w:val="0"/>
        <w:spacing w:line="440" w:lineRule="exact"/>
        <w:ind w:left="0" w:leftChars="0" w:firstLine="240" w:firstLineChars="100"/>
        <w:jc w:val="left"/>
        <w:rPr>
          <w:rFonts w:hint="eastAsia" w:eastAsia="宋体"/>
          <w:sz w:val="24"/>
          <w:lang w:val="en-US" w:eastAsia="zh-CN"/>
        </w:rPr>
      </w:pPr>
      <w:r>
        <w:rPr>
          <w:rFonts w:hint="eastAsia"/>
          <w:sz w:val="24"/>
          <w:lang w:eastAsia="zh-CN"/>
        </w:rPr>
        <w:t>（</w:t>
      </w:r>
      <w:r>
        <w:rPr>
          <w:rFonts w:hint="eastAsia"/>
          <w:sz w:val="24"/>
        </w:rPr>
        <w:t>一</w:t>
      </w:r>
      <w:r>
        <w:rPr>
          <w:rFonts w:hint="eastAsia"/>
          <w:sz w:val="24"/>
          <w:lang w:eastAsia="zh-CN"/>
        </w:rPr>
        <w:t>）</w:t>
      </w:r>
      <w:r>
        <w:rPr>
          <w:rFonts w:hint="eastAsia"/>
          <w:sz w:val="24"/>
        </w:rPr>
        <w:t>部门职责</w:t>
      </w:r>
      <w:r>
        <w:rPr>
          <w:rFonts w:hint="eastAsia"/>
          <w:sz w:val="24"/>
        </w:rPr>
        <w:tab/>
      </w:r>
      <w:r>
        <w:rPr>
          <w:rFonts w:hint="eastAsia"/>
          <w:sz w:val="24"/>
          <w:lang w:val="en-US" w:eastAsia="zh-CN"/>
        </w:rPr>
        <w:t>4</w:t>
      </w:r>
    </w:p>
    <w:p>
      <w:pPr>
        <w:pStyle w:val="15"/>
        <w:adjustRightInd w:val="0"/>
        <w:snapToGrid w:val="0"/>
        <w:spacing w:line="440" w:lineRule="exact"/>
        <w:ind w:left="0" w:leftChars="0" w:firstLine="240" w:firstLineChars="100"/>
        <w:jc w:val="left"/>
        <w:rPr>
          <w:rFonts w:hint="eastAsia" w:eastAsia="宋体"/>
          <w:sz w:val="24"/>
          <w:lang w:val="en-US" w:eastAsia="zh-CN"/>
        </w:rPr>
      </w:pPr>
      <w:r>
        <w:rPr>
          <w:rFonts w:hint="eastAsia"/>
          <w:sz w:val="24"/>
          <w:lang w:eastAsia="zh-CN"/>
        </w:rPr>
        <w:t>（</w:t>
      </w:r>
      <w:r>
        <w:rPr>
          <w:rFonts w:hint="eastAsia"/>
          <w:sz w:val="24"/>
        </w:rPr>
        <w:t>二）2022年重点工作完成情况</w:t>
      </w:r>
      <w:r>
        <w:rPr>
          <w:rFonts w:hint="eastAsia"/>
          <w:sz w:val="24"/>
        </w:rPr>
        <w:tab/>
      </w:r>
      <w:r>
        <w:rPr>
          <w:rFonts w:hint="eastAsia"/>
          <w:sz w:val="24"/>
          <w:lang w:val="en-US" w:eastAsia="zh-CN"/>
        </w:rPr>
        <w:t>4</w:t>
      </w:r>
    </w:p>
    <w:p>
      <w:pPr>
        <w:pStyle w:val="15"/>
        <w:adjustRightInd w:val="0"/>
        <w:snapToGrid w:val="0"/>
        <w:spacing w:line="440" w:lineRule="exact"/>
        <w:jc w:val="left"/>
        <w:rPr>
          <w:rFonts w:hint="eastAsia"/>
          <w:sz w:val="24"/>
        </w:rPr>
      </w:pPr>
      <w:r>
        <w:rPr>
          <w:rFonts w:hint="eastAsia"/>
          <w:sz w:val="24"/>
        </w:rPr>
        <w:t>二、机构设置</w:t>
      </w:r>
      <w:r>
        <w:rPr>
          <w:rFonts w:hint="eastAsia"/>
          <w:sz w:val="24"/>
        </w:rPr>
        <w:tab/>
      </w:r>
      <w:r>
        <w:rPr>
          <w:rFonts w:hint="eastAsia"/>
          <w:sz w:val="24"/>
          <w:lang w:val="en-US" w:eastAsia="zh-CN"/>
        </w:rPr>
        <w:t>7</w:t>
      </w:r>
    </w:p>
    <w:p>
      <w:pPr>
        <w:pStyle w:val="15"/>
        <w:adjustRightInd w:val="0"/>
        <w:snapToGrid w:val="0"/>
        <w:spacing w:line="440" w:lineRule="exact"/>
        <w:jc w:val="left"/>
        <w:rPr>
          <w:rFonts w:hint="eastAsia" w:eastAsia="宋体"/>
          <w:b/>
          <w:bCs/>
          <w:sz w:val="24"/>
          <w:lang w:val="en-US" w:eastAsia="zh-CN"/>
        </w:rPr>
      </w:pPr>
      <w:r>
        <w:rPr>
          <w:rFonts w:hint="eastAsia"/>
          <w:b/>
          <w:bCs/>
          <w:sz w:val="24"/>
        </w:rPr>
        <w:t>第二部分 2022年度部门决算情况说明</w:t>
      </w:r>
      <w:r>
        <w:rPr>
          <w:rFonts w:hint="eastAsia"/>
          <w:sz w:val="24"/>
        </w:rPr>
        <w:tab/>
      </w:r>
      <w:r>
        <w:rPr>
          <w:rFonts w:hint="eastAsia"/>
          <w:sz w:val="24"/>
          <w:lang w:val="en-US" w:eastAsia="zh-CN"/>
        </w:rPr>
        <w:t>8</w:t>
      </w:r>
    </w:p>
    <w:p>
      <w:pPr>
        <w:pStyle w:val="15"/>
        <w:adjustRightInd w:val="0"/>
        <w:snapToGrid w:val="0"/>
        <w:spacing w:line="440" w:lineRule="exact"/>
        <w:jc w:val="left"/>
        <w:rPr>
          <w:rFonts w:hint="eastAsia" w:eastAsia="宋体"/>
          <w:sz w:val="24"/>
          <w:lang w:val="en-US" w:eastAsia="zh-CN"/>
        </w:rPr>
      </w:pPr>
      <w:r>
        <w:rPr>
          <w:rFonts w:hint="eastAsia"/>
          <w:sz w:val="24"/>
        </w:rPr>
        <w:t>一、收入支出决算总体情况说明</w:t>
      </w:r>
      <w:r>
        <w:rPr>
          <w:rFonts w:hint="eastAsia"/>
          <w:sz w:val="24"/>
        </w:rPr>
        <w:tab/>
      </w:r>
      <w:r>
        <w:rPr>
          <w:rFonts w:hint="eastAsia"/>
          <w:sz w:val="24"/>
          <w:lang w:val="en-US" w:eastAsia="zh-CN"/>
        </w:rPr>
        <w:t>8</w:t>
      </w:r>
    </w:p>
    <w:p>
      <w:pPr>
        <w:pStyle w:val="15"/>
        <w:adjustRightInd w:val="0"/>
        <w:snapToGrid w:val="0"/>
        <w:spacing w:line="440" w:lineRule="exact"/>
        <w:jc w:val="left"/>
        <w:rPr>
          <w:rFonts w:hint="eastAsia" w:eastAsia="宋体"/>
          <w:sz w:val="24"/>
          <w:lang w:val="en-US" w:eastAsia="zh-CN"/>
        </w:rPr>
      </w:pPr>
      <w:r>
        <w:rPr>
          <w:rFonts w:hint="eastAsia"/>
          <w:sz w:val="24"/>
        </w:rPr>
        <w:t>二、收入决算情况说明</w:t>
      </w:r>
      <w:r>
        <w:rPr>
          <w:rFonts w:hint="eastAsia"/>
          <w:sz w:val="24"/>
        </w:rPr>
        <w:tab/>
      </w:r>
      <w:r>
        <w:rPr>
          <w:rFonts w:hint="eastAsia"/>
          <w:sz w:val="24"/>
          <w:lang w:val="en-US" w:eastAsia="zh-CN"/>
        </w:rPr>
        <w:t>8</w:t>
      </w:r>
    </w:p>
    <w:p>
      <w:pPr>
        <w:pStyle w:val="15"/>
        <w:adjustRightInd w:val="0"/>
        <w:snapToGrid w:val="0"/>
        <w:spacing w:line="440" w:lineRule="exact"/>
        <w:jc w:val="left"/>
        <w:rPr>
          <w:rFonts w:hint="eastAsia" w:eastAsia="宋体"/>
          <w:sz w:val="24"/>
          <w:lang w:val="en-US" w:eastAsia="zh-CN"/>
        </w:rPr>
      </w:pPr>
      <w:r>
        <w:rPr>
          <w:rFonts w:hint="eastAsia"/>
          <w:sz w:val="24"/>
        </w:rPr>
        <w:t>三、支出决算情况说明</w:t>
      </w:r>
      <w:r>
        <w:rPr>
          <w:rFonts w:hint="eastAsia"/>
          <w:sz w:val="24"/>
        </w:rPr>
        <w:tab/>
      </w:r>
      <w:r>
        <w:rPr>
          <w:rFonts w:hint="eastAsia"/>
          <w:sz w:val="24"/>
          <w:lang w:val="en-US" w:eastAsia="zh-CN"/>
        </w:rPr>
        <w:t>9</w:t>
      </w:r>
    </w:p>
    <w:p>
      <w:pPr>
        <w:pStyle w:val="15"/>
        <w:adjustRightInd w:val="0"/>
        <w:snapToGrid w:val="0"/>
        <w:spacing w:line="440" w:lineRule="exact"/>
        <w:jc w:val="left"/>
        <w:rPr>
          <w:rFonts w:hint="default" w:eastAsia="宋体"/>
          <w:sz w:val="24"/>
          <w:lang w:val="en-US" w:eastAsia="zh-CN"/>
        </w:rPr>
      </w:pPr>
      <w:r>
        <w:rPr>
          <w:rFonts w:hint="eastAsia"/>
          <w:sz w:val="24"/>
        </w:rPr>
        <w:t>四、财政拨款收入支出决算总体情况说明</w:t>
      </w:r>
      <w:r>
        <w:rPr>
          <w:rFonts w:hint="eastAsia"/>
          <w:sz w:val="24"/>
        </w:rPr>
        <w:tab/>
      </w:r>
      <w:r>
        <w:rPr>
          <w:rFonts w:hint="eastAsia"/>
          <w:sz w:val="24"/>
          <w:lang w:val="en-US" w:eastAsia="zh-CN"/>
        </w:rPr>
        <w:t>10</w:t>
      </w:r>
    </w:p>
    <w:p>
      <w:pPr>
        <w:pStyle w:val="15"/>
        <w:adjustRightInd w:val="0"/>
        <w:snapToGrid w:val="0"/>
        <w:spacing w:line="440" w:lineRule="exact"/>
        <w:jc w:val="left"/>
        <w:rPr>
          <w:rFonts w:hint="default" w:eastAsia="宋体"/>
          <w:sz w:val="24"/>
          <w:lang w:val="en-US" w:eastAsia="zh-CN"/>
        </w:rPr>
      </w:pPr>
      <w:r>
        <w:rPr>
          <w:rFonts w:hint="eastAsia"/>
          <w:sz w:val="24"/>
        </w:rPr>
        <w:t>五、一般公共预算财政拨款支出决算情况说明</w:t>
      </w:r>
      <w:r>
        <w:rPr>
          <w:rFonts w:hint="eastAsia"/>
          <w:sz w:val="24"/>
        </w:rPr>
        <w:tab/>
      </w:r>
      <w:r>
        <w:rPr>
          <w:rFonts w:hint="eastAsia"/>
          <w:sz w:val="24"/>
          <w:lang w:val="en-US" w:eastAsia="zh-CN"/>
        </w:rPr>
        <w:t>10</w:t>
      </w:r>
    </w:p>
    <w:p>
      <w:pPr>
        <w:pStyle w:val="15"/>
        <w:adjustRightInd w:val="0"/>
        <w:snapToGrid w:val="0"/>
        <w:spacing w:line="440" w:lineRule="exact"/>
        <w:jc w:val="left"/>
        <w:rPr>
          <w:rFonts w:hint="default" w:eastAsia="宋体"/>
          <w:sz w:val="24"/>
          <w:lang w:val="en-US" w:eastAsia="zh-CN"/>
        </w:rPr>
      </w:pPr>
      <w:r>
        <w:rPr>
          <w:rFonts w:hint="eastAsia"/>
          <w:sz w:val="24"/>
        </w:rPr>
        <w:t>六、一般公共预算财政拨款基本支出决算情况说明</w:t>
      </w:r>
      <w:r>
        <w:rPr>
          <w:rFonts w:hint="eastAsia"/>
          <w:sz w:val="24"/>
        </w:rPr>
        <w:tab/>
      </w:r>
      <w:r>
        <w:rPr>
          <w:rFonts w:hint="eastAsia"/>
          <w:sz w:val="24"/>
          <w:lang w:val="en-US" w:eastAsia="zh-CN"/>
        </w:rPr>
        <w:t>13</w:t>
      </w:r>
    </w:p>
    <w:p>
      <w:pPr>
        <w:pStyle w:val="15"/>
        <w:adjustRightInd w:val="0"/>
        <w:snapToGrid w:val="0"/>
        <w:spacing w:line="440" w:lineRule="exact"/>
        <w:jc w:val="left"/>
        <w:rPr>
          <w:rFonts w:hint="default" w:eastAsia="宋体"/>
          <w:sz w:val="24"/>
          <w:lang w:val="en-US" w:eastAsia="zh-CN"/>
        </w:rPr>
      </w:pPr>
      <w:r>
        <w:rPr>
          <w:rFonts w:hint="eastAsia"/>
          <w:sz w:val="24"/>
        </w:rPr>
        <w:t>七、财政拨款“三公”经费支出决算情况说明</w:t>
      </w:r>
      <w:r>
        <w:rPr>
          <w:rFonts w:hint="eastAsia"/>
          <w:sz w:val="24"/>
        </w:rPr>
        <w:tab/>
      </w:r>
      <w:r>
        <w:rPr>
          <w:rFonts w:hint="eastAsia"/>
          <w:sz w:val="24"/>
          <w:lang w:val="en-US" w:eastAsia="zh-CN"/>
        </w:rPr>
        <w:t>13</w:t>
      </w:r>
    </w:p>
    <w:p>
      <w:pPr>
        <w:pStyle w:val="15"/>
        <w:adjustRightInd w:val="0"/>
        <w:snapToGrid w:val="0"/>
        <w:spacing w:line="440" w:lineRule="exact"/>
        <w:jc w:val="left"/>
        <w:rPr>
          <w:rFonts w:hint="default" w:eastAsia="宋体"/>
          <w:sz w:val="24"/>
          <w:lang w:val="en-US" w:eastAsia="zh-CN"/>
        </w:rPr>
      </w:pPr>
      <w:r>
        <w:rPr>
          <w:rFonts w:hint="eastAsia"/>
          <w:sz w:val="24"/>
        </w:rPr>
        <w:t>八、政府性基金预算支出决算情况说明</w:t>
      </w:r>
      <w:r>
        <w:rPr>
          <w:rFonts w:hint="eastAsia"/>
          <w:sz w:val="24"/>
        </w:rPr>
        <w:tab/>
      </w:r>
      <w:r>
        <w:rPr>
          <w:rFonts w:hint="eastAsia"/>
          <w:sz w:val="24"/>
          <w:lang w:val="en-US" w:eastAsia="zh-CN"/>
        </w:rPr>
        <w:t>15</w:t>
      </w:r>
    </w:p>
    <w:p>
      <w:pPr>
        <w:pStyle w:val="15"/>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rFonts w:hint="eastAsia"/>
          <w:sz w:val="24"/>
        </w:rPr>
        <w:tab/>
      </w:r>
      <w:r>
        <w:rPr>
          <w:rFonts w:hint="eastAsia"/>
          <w:sz w:val="24"/>
          <w:lang w:val="en-US" w:eastAsia="zh-CN"/>
        </w:rPr>
        <w:t>15</w:t>
      </w:r>
    </w:p>
    <w:p>
      <w:pPr>
        <w:pStyle w:val="15"/>
        <w:adjustRightInd w:val="0"/>
        <w:snapToGrid w:val="0"/>
        <w:spacing w:line="440" w:lineRule="exact"/>
        <w:jc w:val="left"/>
        <w:rPr>
          <w:rFonts w:hint="default" w:eastAsia="宋体"/>
          <w:sz w:val="24"/>
          <w:lang w:val="en-US" w:eastAsia="zh-CN"/>
        </w:rPr>
      </w:pPr>
      <w:r>
        <w:rPr>
          <w:rFonts w:hint="eastAsia"/>
          <w:sz w:val="24"/>
        </w:rPr>
        <w:t>十、其他重要事项的情况说明</w:t>
      </w:r>
      <w:r>
        <w:rPr>
          <w:rFonts w:hint="eastAsia"/>
          <w:sz w:val="24"/>
        </w:rPr>
        <w:tab/>
      </w:r>
      <w:r>
        <w:rPr>
          <w:rFonts w:hint="eastAsia"/>
          <w:sz w:val="24"/>
          <w:lang w:val="en-US" w:eastAsia="zh-CN"/>
        </w:rPr>
        <w:t>15</w:t>
      </w:r>
    </w:p>
    <w:p>
      <w:pPr>
        <w:pStyle w:val="15"/>
        <w:adjustRightInd w:val="0"/>
        <w:snapToGrid w:val="0"/>
        <w:spacing w:line="440" w:lineRule="exact"/>
        <w:jc w:val="left"/>
        <w:rPr>
          <w:rFonts w:hint="default" w:eastAsia="宋体"/>
          <w:b/>
          <w:bCs/>
          <w:sz w:val="24"/>
          <w:lang w:val="en-US" w:eastAsia="zh-CN"/>
        </w:rPr>
      </w:pPr>
      <w:r>
        <w:rPr>
          <w:rFonts w:hint="eastAsia"/>
          <w:b/>
          <w:bCs/>
          <w:sz w:val="24"/>
        </w:rPr>
        <w:t>第三部分 名词解释</w:t>
      </w:r>
      <w:r>
        <w:rPr>
          <w:rFonts w:hint="eastAsia"/>
          <w:sz w:val="24"/>
        </w:rPr>
        <w:tab/>
      </w:r>
      <w:r>
        <w:rPr>
          <w:rFonts w:hint="eastAsia"/>
          <w:sz w:val="24"/>
          <w:lang w:val="en-US" w:eastAsia="zh-CN"/>
        </w:rPr>
        <w:t>17</w:t>
      </w:r>
    </w:p>
    <w:p>
      <w:pPr>
        <w:pStyle w:val="15"/>
        <w:adjustRightInd w:val="0"/>
        <w:snapToGrid w:val="0"/>
        <w:spacing w:line="440" w:lineRule="exact"/>
        <w:jc w:val="left"/>
        <w:rPr>
          <w:rFonts w:hint="default" w:eastAsia="宋体"/>
          <w:b/>
          <w:bCs/>
          <w:sz w:val="24"/>
          <w:lang w:val="en-US" w:eastAsia="zh-CN"/>
        </w:rPr>
      </w:pPr>
      <w:r>
        <w:rPr>
          <w:rFonts w:hint="eastAsia"/>
          <w:b/>
          <w:bCs/>
          <w:sz w:val="24"/>
        </w:rPr>
        <w:t>第四部分 附件</w:t>
      </w:r>
      <w:r>
        <w:rPr>
          <w:rFonts w:hint="eastAsia"/>
          <w:sz w:val="24"/>
        </w:rPr>
        <w:tab/>
      </w:r>
      <w:r>
        <w:rPr>
          <w:rFonts w:hint="eastAsia"/>
          <w:sz w:val="24"/>
          <w:lang w:val="en-US" w:eastAsia="zh-CN"/>
        </w:rPr>
        <w:t>19</w:t>
      </w:r>
    </w:p>
    <w:p>
      <w:pPr>
        <w:pStyle w:val="15"/>
        <w:adjustRightInd w:val="0"/>
        <w:snapToGrid w:val="0"/>
        <w:spacing w:line="440" w:lineRule="exact"/>
        <w:jc w:val="left"/>
        <w:rPr>
          <w:rFonts w:hint="default" w:eastAsia="宋体"/>
          <w:b/>
          <w:bCs/>
          <w:sz w:val="24"/>
          <w:lang w:val="en-US" w:eastAsia="zh-CN"/>
        </w:rPr>
      </w:pPr>
      <w:r>
        <w:rPr>
          <w:rFonts w:hint="eastAsia"/>
          <w:b/>
          <w:bCs/>
          <w:sz w:val="24"/>
        </w:rPr>
        <w:t>第五部分 附表</w:t>
      </w:r>
      <w:r>
        <w:rPr>
          <w:rFonts w:hint="eastAsia"/>
          <w:sz w:val="24"/>
        </w:rPr>
        <w:tab/>
      </w:r>
      <w:r>
        <w:rPr>
          <w:rFonts w:hint="eastAsia"/>
          <w:sz w:val="24"/>
          <w:lang w:val="en-US" w:eastAsia="zh-CN"/>
        </w:rPr>
        <w:t>30</w:t>
      </w:r>
    </w:p>
    <w:p>
      <w:pPr>
        <w:pStyle w:val="15"/>
        <w:adjustRightInd w:val="0"/>
        <w:snapToGrid w:val="0"/>
        <w:spacing w:line="440" w:lineRule="exact"/>
        <w:jc w:val="left"/>
        <w:rPr>
          <w:rFonts w:hint="default" w:eastAsia="宋体"/>
          <w:sz w:val="24"/>
          <w:lang w:val="en-US" w:eastAsia="zh-CN"/>
        </w:rPr>
      </w:pPr>
      <w:r>
        <w:rPr>
          <w:rFonts w:hint="eastAsia"/>
          <w:sz w:val="24"/>
        </w:rPr>
        <w:t>一、收入支出决算总表</w:t>
      </w:r>
      <w:r>
        <w:rPr>
          <w:rFonts w:hint="eastAsia"/>
          <w:sz w:val="24"/>
        </w:rPr>
        <w:tab/>
      </w:r>
      <w:r>
        <w:rPr>
          <w:rFonts w:hint="eastAsia"/>
          <w:sz w:val="24"/>
          <w:lang w:val="en-US" w:eastAsia="zh-CN"/>
        </w:rPr>
        <w:t>30</w:t>
      </w:r>
    </w:p>
    <w:p>
      <w:pPr>
        <w:pStyle w:val="15"/>
        <w:adjustRightInd w:val="0"/>
        <w:snapToGrid w:val="0"/>
        <w:spacing w:line="440" w:lineRule="exact"/>
        <w:jc w:val="left"/>
        <w:rPr>
          <w:rFonts w:hint="default" w:eastAsia="宋体"/>
          <w:sz w:val="24"/>
          <w:lang w:val="en-US" w:eastAsia="zh-CN"/>
        </w:rPr>
      </w:pPr>
      <w:r>
        <w:rPr>
          <w:rFonts w:hint="eastAsia"/>
          <w:sz w:val="24"/>
        </w:rPr>
        <w:t>二、收入决算表</w:t>
      </w:r>
      <w:r>
        <w:rPr>
          <w:rFonts w:hint="eastAsia"/>
          <w:sz w:val="24"/>
        </w:rPr>
        <w:tab/>
      </w:r>
      <w:r>
        <w:rPr>
          <w:rFonts w:hint="eastAsia"/>
          <w:sz w:val="24"/>
          <w:lang w:val="en-US" w:eastAsia="zh-CN"/>
        </w:rPr>
        <w:t>30</w:t>
      </w:r>
    </w:p>
    <w:p>
      <w:pPr>
        <w:pStyle w:val="15"/>
        <w:adjustRightInd w:val="0"/>
        <w:snapToGrid w:val="0"/>
        <w:spacing w:line="440" w:lineRule="exact"/>
        <w:jc w:val="left"/>
        <w:rPr>
          <w:rFonts w:hint="default" w:eastAsia="宋体"/>
          <w:sz w:val="24"/>
          <w:lang w:val="en-US" w:eastAsia="zh-CN"/>
        </w:rPr>
      </w:pPr>
      <w:r>
        <w:rPr>
          <w:rFonts w:hint="eastAsia"/>
          <w:sz w:val="24"/>
        </w:rPr>
        <w:t>三、支出决算表</w:t>
      </w:r>
      <w:r>
        <w:rPr>
          <w:rFonts w:hint="eastAsia"/>
          <w:sz w:val="24"/>
        </w:rPr>
        <w:tab/>
      </w:r>
      <w:r>
        <w:rPr>
          <w:rFonts w:hint="eastAsia"/>
          <w:sz w:val="24"/>
          <w:lang w:val="en-US" w:eastAsia="zh-CN"/>
        </w:rPr>
        <w:t>30</w:t>
      </w:r>
    </w:p>
    <w:p>
      <w:pPr>
        <w:pStyle w:val="15"/>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rFonts w:hint="eastAsia"/>
          <w:sz w:val="24"/>
        </w:rPr>
        <w:tab/>
      </w:r>
      <w:r>
        <w:rPr>
          <w:rFonts w:hint="eastAsia"/>
          <w:sz w:val="24"/>
          <w:lang w:val="en-US" w:eastAsia="zh-CN"/>
        </w:rPr>
        <w:t>30</w:t>
      </w:r>
    </w:p>
    <w:p>
      <w:pPr>
        <w:pStyle w:val="15"/>
        <w:adjustRightInd w:val="0"/>
        <w:snapToGrid w:val="0"/>
        <w:spacing w:line="440" w:lineRule="exact"/>
        <w:jc w:val="left"/>
        <w:rPr>
          <w:rFonts w:hint="default" w:eastAsia="宋体"/>
          <w:sz w:val="24"/>
          <w:lang w:val="en-US" w:eastAsia="zh-CN"/>
        </w:rPr>
      </w:pPr>
      <w:r>
        <w:rPr>
          <w:rFonts w:hint="eastAsia"/>
          <w:sz w:val="24"/>
        </w:rPr>
        <w:t>五、财政拨款支出决算明细表</w:t>
      </w:r>
      <w:r>
        <w:rPr>
          <w:rFonts w:hint="eastAsia"/>
          <w:sz w:val="24"/>
        </w:rPr>
        <w:tab/>
      </w:r>
      <w:r>
        <w:rPr>
          <w:rFonts w:hint="eastAsia"/>
          <w:sz w:val="24"/>
          <w:lang w:val="en-US" w:eastAsia="zh-CN"/>
        </w:rPr>
        <w:t>30</w:t>
      </w:r>
    </w:p>
    <w:p>
      <w:pPr>
        <w:pStyle w:val="15"/>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hint="eastAsia"/>
          <w:sz w:val="24"/>
        </w:rPr>
        <w:tab/>
      </w:r>
      <w:r>
        <w:rPr>
          <w:rFonts w:hint="eastAsia"/>
          <w:sz w:val="24"/>
          <w:lang w:val="en-US" w:eastAsia="zh-CN"/>
        </w:rPr>
        <w:t>30</w:t>
      </w:r>
    </w:p>
    <w:p>
      <w:pPr>
        <w:pStyle w:val="15"/>
        <w:adjustRightInd w:val="0"/>
        <w:snapToGrid w:val="0"/>
        <w:spacing w:line="440" w:lineRule="exact"/>
        <w:jc w:val="left"/>
        <w:rPr>
          <w:rFonts w:hint="default" w:eastAsia="宋体"/>
          <w:sz w:val="24"/>
          <w:lang w:val="en-US" w:eastAsia="zh-CN"/>
        </w:rPr>
      </w:pPr>
      <w:r>
        <w:rPr>
          <w:rFonts w:hint="eastAsia"/>
          <w:sz w:val="24"/>
        </w:rPr>
        <w:t>七、一般公共预算财政拨款支出决算明细表</w:t>
      </w:r>
      <w:r>
        <w:rPr>
          <w:rFonts w:hint="eastAsia"/>
          <w:sz w:val="24"/>
        </w:rPr>
        <w:tab/>
      </w:r>
      <w:r>
        <w:rPr>
          <w:rFonts w:hint="eastAsia"/>
          <w:sz w:val="24"/>
          <w:lang w:val="en-US" w:eastAsia="zh-CN"/>
        </w:rPr>
        <w:t>30</w:t>
      </w:r>
    </w:p>
    <w:p>
      <w:pPr>
        <w:pStyle w:val="15"/>
        <w:adjustRightInd w:val="0"/>
        <w:snapToGrid w:val="0"/>
        <w:spacing w:line="440" w:lineRule="exact"/>
        <w:jc w:val="left"/>
        <w:rPr>
          <w:rFonts w:hint="default" w:eastAsia="宋体"/>
          <w:sz w:val="24"/>
          <w:lang w:val="en-US" w:eastAsia="zh-CN"/>
        </w:rPr>
      </w:pPr>
      <w:r>
        <w:rPr>
          <w:rFonts w:hint="eastAsia"/>
          <w:sz w:val="24"/>
        </w:rPr>
        <w:t>八、一般公共预算财政拨款基本支出决算明细表</w:t>
      </w:r>
      <w:r>
        <w:rPr>
          <w:rFonts w:hint="eastAsia"/>
          <w:sz w:val="24"/>
        </w:rPr>
        <w:tab/>
      </w:r>
      <w:r>
        <w:rPr>
          <w:rFonts w:hint="eastAsia"/>
          <w:sz w:val="24"/>
          <w:lang w:val="en-US" w:eastAsia="zh-CN"/>
        </w:rPr>
        <w:t>30</w:t>
      </w:r>
    </w:p>
    <w:p>
      <w:pPr>
        <w:pStyle w:val="15"/>
        <w:adjustRightInd w:val="0"/>
        <w:snapToGrid w:val="0"/>
        <w:spacing w:line="440" w:lineRule="exact"/>
        <w:jc w:val="left"/>
        <w:rPr>
          <w:rFonts w:hint="default" w:eastAsia="宋体"/>
          <w:sz w:val="24"/>
          <w:lang w:val="en-US" w:eastAsia="zh-CN"/>
        </w:rPr>
      </w:pPr>
      <w:r>
        <w:rPr>
          <w:rFonts w:hint="eastAsia"/>
          <w:sz w:val="24"/>
        </w:rPr>
        <w:t>九、一般公共预算财政拨款项目支出决算表</w:t>
      </w:r>
      <w:r>
        <w:rPr>
          <w:rFonts w:hint="eastAsia"/>
          <w:sz w:val="24"/>
        </w:rPr>
        <w:tab/>
      </w:r>
      <w:r>
        <w:rPr>
          <w:rFonts w:hint="eastAsia"/>
          <w:sz w:val="24"/>
          <w:lang w:val="en-US" w:eastAsia="zh-CN"/>
        </w:rPr>
        <w:t>30</w:t>
      </w:r>
    </w:p>
    <w:p>
      <w:pPr>
        <w:pStyle w:val="15"/>
        <w:adjustRightInd w:val="0"/>
        <w:snapToGrid w:val="0"/>
        <w:spacing w:line="440" w:lineRule="exact"/>
        <w:jc w:val="left"/>
        <w:rPr>
          <w:rFonts w:hint="default" w:eastAsia="宋体"/>
          <w:sz w:val="24"/>
          <w:lang w:val="en-US" w:eastAsia="zh-CN"/>
        </w:rPr>
      </w:pPr>
      <w:r>
        <w:rPr>
          <w:rFonts w:hint="eastAsia"/>
          <w:sz w:val="24"/>
        </w:rPr>
        <w:t>十、政府性基金预算财政拨款收入支出决算表</w:t>
      </w:r>
      <w:r>
        <w:rPr>
          <w:rFonts w:hint="eastAsia"/>
          <w:sz w:val="24"/>
        </w:rPr>
        <w:tab/>
      </w:r>
      <w:r>
        <w:rPr>
          <w:rFonts w:hint="eastAsia"/>
          <w:sz w:val="24"/>
          <w:lang w:val="en-US" w:eastAsia="zh-CN"/>
        </w:rPr>
        <w:t>30</w:t>
      </w:r>
    </w:p>
    <w:p>
      <w:pPr>
        <w:pStyle w:val="15"/>
        <w:adjustRightInd w:val="0"/>
        <w:snapToGrid w:val="0"/>
        <w:spacing w:line="440" w:lineRule="exact"/>
        <w:jc w:val="left"/>
        <w:rPr>
          <w:rFonts w:hint="default" w:eastAsia="宋体"/>
          <w:sz w:val="24"/>
          <w:lang w:val="en-US" w:eastAsia="zh-CN"/>
        </w:rPr>
      </w:pPr>
      <w:r>
        <w:rPr>
          <w:rFonts w:hint="eastAsia"/>
          <w:sz w:val="24"/>
        </w:rPr>
        <w:t>十一、国有资本经营预算财政拨款收入支出决算表</w:t>
      </w:r>
      <w:r>
        <w:rPr>
          <w:rFonts w:hint="eastAsia"/>
          <w:sz w:val="24"/>
        </w:rPr>
        <w:tab/>
      </w:r>
      <w:r>
        <w:rPr>
          <w:rFonts w:hint="eastAsia"/>
          <w:sz w:val="24"/>
          <w:lang w:val="en-US" w:eastAsia="zh-CN"/>
        </w:rPr>
        <w:t>30</w:t>
      </w:r>
    </w:p>
    <w:p>
      <w:pPr>
        <w:pStyle w:val="15"/>
        <w:adjustRightInd w:val="0"/>
        <w:snapToGrid w:val="0"/>
        <w:spacing w:line="440" w:lineRule="exact"/>
        <w:jc w:val="left"/>
        <w:rPr>
          <w:rFonts w:hint="default" w:eastAsia="宋体"/>
          <w:sz w:val="24"/>
          <w:lang w:val="en-US" w:eastAsia="zh-CN"/>
        </w:rPr>
      </w:pPr>
      <w:r>
        <w:rPr>
          <w:rFonts w:hint="eastAsia"/>
          <w:sz w:val="24"/>
        </w:rPr>
        <w:t>十二、国有资本经营预算财政拨款支出决算表</w:t>
      </w:r>
      <w:r>
        <w:rPr>
          <w:rFonts w:hint="eastAsia"/>
          <w:sz w:val="24"/>
        </w:rPr>
        <w:tab/>
      </w:r>
      <w:r>
        <w:rPr>
          <w:rFonts w:hint="eastAsia"/>
          <w:sz w:val="24"/>
          <w:lang w:val="en-US" w:eastAsia="zh-CN"/>
        </w:rPr>
        <w:t>30</w:t>
      </w:r>
    </w:p>
    <w:p>
      <w:pPr>
        <w:pStyle w:val="15"/>
        <w:adjustRightInd w:val="0"/>
        <w:snapToGrid w:val="0"/>
        <w:spacing w:line="440" w:lineRule="exact"/>
        <w:jc w:val="left"/>
        <w:rPr>
          <w:rFonts w:hint="default" w:eastAsia="宋体"/>
          <w:sz w:val="24"/>
          <w:lang w:val="en-US" w:eastAsia="zh-CN"/>
        </w:rPr>
      </w:pPr>
      <w:r>
        <w:rPr>
          <w:rFonts w:hint="eastAsia"/>
          <w:sz w:val="24"/>
        </w:rPr>
        <w:t>十三、财政拨款“三公”经费支出决算表</w:t>
      </w:r>
      <w:r>
        <w:rPr>
          <w:rFonts w:hint="eastAsia"/>
          <w:sz w:val="24"/>
        </w:rPr>
        <w:tab/>
      </w:r>
      <w:r>
        <w:rPr>
          <w:rFonts w:hint="eastAsia"/>
          <w:sz w:val="24"/>
          <w:lang w:val="en-US" w:eastAsia="zh-CN"/>
        </w:rPr>
        <w:t>30</w:t>
      </w:r>
    </w:p>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3"/>
        <w:spacing w:before="0" w:after="0" w:line="240" w:lineRule="auto"/>
        <w:jc w:val="center"/>
        <w:rPr>
          <w:rStyle w:val="29"/>
          <w:rFonts w:ascii="黑体" w:hAnsi="黑体" w:eastAsia="黑体"/>
          <w:b/>
          <w:bCs w:val="0"/>
        </w:rPr>
      </w:pPr>
      <w:r>
        <w:rPr>
          <w:rFonts w:hint="eastAsia" w:ascii="黑体" w:hAnsi="黑体" w:eastAsia="黑体"/>
          <w:b w:val="0"/>
        </w:rPr>
        <w:t xml:space="preserve">第一部分 </w:t>
      </w:r>
      <w:r>
        <w:rPr>
          <w:rStyle w:val="29"/>
          <w:rFonts w:hint="eastAsia" w:ascii="黑体" w:hAnsi="黑体" w:eastAsia="黑体"/>
          <w:b w:val="0"/>
          <w:bCs w:val="0"/>
        </w:rPr>
        <w:t>部门概况</w:t>
      </w:r>
    </w:p>
    <w:p>
      <w:pPr>
        <w:pStyle w:val="4"/>
        <w:spacing w:before="0" w:after="0" w:line="240" w:lineRule="auto"/>
        <w:ind w:firstLine="640" w:firstLineChars="200"/>
        <w:rPr>
          <w:rFonts w:hint="eastAsia" w:ascii="黑体" w:hAnsi="黑体" w:eastAsia="黑体"/>
          <w:b w:val="0"/>
        </w:rPr>
      </w:pPr>
      <w:r>
        <w:rPr>
          <w:rFonts w:hint="eastAsia" w:ascii="黑体" w:hAnsi="黑体" w:eastAsia="黑体"/>
          <w:b w:val="0"/>
        </w:rPr>
        <w:t>一、部门职责及重点工作</w:t>
      </w:r>
    </w:p>
    <w:p>
      <w:pPr>
        <w:pStyle w:val="4"/>
        <w:bidi w:val="0"/>
        <w:spacing w:before="0" w:after="0" w:line="240" w:lineRule="auto"/>
        <w:ind w:firstLine="321" w:firstLineChars="100"/>
        <w:rPr>
          <w:rFonts w:hint="eastAsia"/>
          <w:lang w:eastAsia="zh-CN"/>
        </w:rPr>
      </w:pPr>
      <w:r>
        <w:rPr>
          <w:rFonts w:hint="eastAsia"/>
          <w:lang w:eastAsia="zh-CN"/>
        </w:rPr>
        <w:t>（一）部门职责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1.根据上级和县委、县政府年度工作重点，负责做好县级部门和乡镇的目标绩效指标制定、目标运行管理和年度考核工作；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2.负责市委、市政府年度综合目标绩效指标的分解，运行监管、督促落实和汇总上报工作；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3.负责中央、省、市和县委、县政府重大决策部署、重要会议精神、重要文件等贯彻落实情况的督促检查工作；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4.负责县委、县政府主要领导批示交办事项的督促检查工作；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5.负责省市和县定民生实事任务分解、督促落实、考核迎检和汇总上报等工作；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default"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6.负责解决形式主义，为基层减负专项机制办工作。</w:t>
      </w:r>
    </w:p>
    <w:p>
      <w:pPr>
        <w:pStyle w:val="15"/>
        <w:adjustRightInd w:val="0"/>
        <w:snapToGrid w:val="0"/>
        <w:spacing w:line="440" w:lineRule="exact"/>
        <w:jc w:val="left"/>
        <w:rPr>
          <w:rFonts w:hint="eastAsia" w:ascii="黑体" w:hAnsi="黑体" w:eastAsia="黑体"/>
          <w:sz w:val="32"/>
          <w:szCs w:val="32"/>
          <w:lang w:val="en-US" w:eastAsia="zh-CN"/>
        </w:rPr>
      </w:pPr>
      <w:r>
        <w:rPr>
          <w:rFonts w:hint="eastAsia" w:ascii="黑体" w:hAnsi="黑体" w:eastAsia="黑体"/>
          <w:sz w:val="32"/>
          <w:szCs w:val="32"/>
          <w:lang w:val="en-US" w:eastAsia="zh-CN"/>
        </w:rPr>
        <w:t>（二）2022年重点工作完成情况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2022年，县目标绩效事务中心紧紧围绕县委“1233”执政兴县战略，聚焦加快建设社会主义现代化剑阁总体目标，</w:t>
      </w:r>
      <w:bookmarkStart w:id="77" w:name="_GoBack"/>
      <w:bookmarkEnd w:id="77"/>
      <w:r>
        <w:rPr>
          <w:rFonts w:hint="eastAsia" w:ascii="仿宋" w:hAnsi="仿宋" w:eastAsia="仿宋" w:cs="Times New Roman"/>
          <w:kern w:val="2"/>
          <w:sz w:val="32"/>
          <w:szCs w:val="32"/>
          <w:lang w:val="en-US" w:eastAsia="zh-CN" w:bidi="ar-SA"/>
        </w:rPr>
        <w:t>较好地履行了目标绩效管理、督查督办、民生实事管理和整治形式主义等工作职能。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（一）用好考核“指挥棒”，扎实做好目标绩效管理。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一是进一步完善了目标管理办法。采取实地调研、召开座谈会、电话了解等形式收集意见建议30余条。根据反馈意见，结合市上目标绩效管理办法，修订了我县2022年目标绩效管理办法，力求目标管理更科学合理。二是科学设置目标绩效指标。在指标体系设置上，坚持结合市上目标体系，突出我县特点。对市、县重点工作和经济指标给予了重分考核，充分体现县委县政府工作导向。三是强化目标过程监管。采取定期召开目标管理例会、深入部门调研、定期通报执行情况等方式，强化目标监管，确保目标落实。上半年，对主要经济指标“开门红、双过半”、重点项目推进情况进行了重点调度，完成情况及时专报县委县政府主要领导，为领导决策提供依据。四是初步完成了2021年度目标考核工作。从县级部门抽调20余人，组成4个目标考评组对全县乡镇和部门进行年度考评，考核组坚持一把尺子量到底，力求考核做到公平公正，真实反应各责任单位的工作实绩。</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（二）把准工作重点，扎实开展督查督办。</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持续深入贯彻党中央和省委、市委、县委关于督促检查等工作决策部署，紧盯央省市县决策部署，把事关全局的重点工作、重大项目、重要事项作为督查重点，规范形成《严格落实统筹规范督查检查考核七条措施》和《县委县政府2022年督查工作重点》。坚持做到中心工作开展到哪里，督查落实就跟进到哪里。抽组了3批28人的以退职未退休的领导干部，有效增强督查力量。分类建立督查管理台账，实行“清单式”管理、销号式督查，省市县重点项目建设、县委常委会议定事项和县委书记签批件办理情况、脱贫攻坚与乡村振兴衔接、环保督察、森林防灭火以及安全生产情况督任务、督进度、督成效。以周报、月报的形式及时反映督查情况，努力实现在“督”上有成效，在“查”下有结果，做到件件有落实，事事有回音，全年形成督查专报57期，督查通报67期，共办理领导批示件72件，办理领导交办事项86项，办结率100%。</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（三）凝聚民生福祉，加快推进民生实事落实。</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一是坚持科学编制方案。严格按照县委县政府要求，及时召开民生实事专题会议，认真研究目标任务，在省市下达我县23件35小项民生实事任务基础上，统筹县人大票决8件民生实事，形成民生实事实施方案，并将目标任务逐项分解到具体牵头县级领导、县级责任部门，明确时间表、路线图，实行清单管理，压紧压实各方责任。二是坚持认真组织实施。将31件民生实事细化分解为43个小项具体任务，逐一明确责任单位和时间节点，狠抓落细、落小、落实。三是坚持持续跟踪督办。综合运用“定期会商+调度通报+暗访督查+协调解决”的方式，全过程掌握民生实事推进进度，建立推进责任倒查和责任追究制度，采取倒排工期、挂图作战等方式，倒逼进度，组织相关责任单位集中会商8次，开展专项调度督查5次、印发督办函6份，协调民生实事推进过程中各类困难问题13个。截至12月底，我县实施的22件32小项省定民生实事、2件3小项市定民生实事、8件县定民生实事圆满完成。</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（四）整治形式主义，切实提升减负实效。</w:t>
      </w:r>
    </w:p>
    <w:p>
      <w:pPr>
        <w:spacing w:line="600" w:lineRule="exact"/>
        <w:ind w:firstLine="640" w:firstLineChars="200"/>
        <w:rPr>
          <w:rFonts w:hint="eastAsia" w:ascii="仿宋_GB2312" w:eastAsia="仿宋_GB2312"/>
          <w:sz w:val="32"/>
          <w:szCs w:val="32"/>
          <w:lang w:val="en-US" w:eastAsia="zh-CN"/>
        </w:rPr>
      </w:pPr>
      <w:r>
        <w:rPr>
          <w:rFonts w:hint="eastAsia" w:ascii="仿宋" w:hAnsi="仿宋" w:eastAsia="仿宋"/>
          <w:sz w:val="32"/>
          <w:szCs w:val="32"/>
          <w:lang w:val="en-US" w:eastAsia="zh-CN"/>
        </w:rPr>
        <w:t>全力抓好专项整治，切实提升减负工作实效质效。坚持把整治形式主义问题为基层减负工作作为重要政治任务放在心上、扛在肩上、抓在手上，坚决整治形式主义“顽瘴痼疾”。一是认真履行牵头协调职能。制发《剑阁县整治形式主义为基层减负专项工作机制2022年工作措施及责任分工方案》，明确30项具体任务的时间表、路线图、责任人，同时健全整治形式主义为基层减负专项工作机制，向市专项机制报告工作情况4次，调度重点任务牵头部门工作情况4次，动态管理责任清单，督促各职能部门分工负责推进，确保基层减负各项措施全面落实。二是统筹规范督查检查考核。印发《严格落实统筹规范督查检查考核七条措施》《2022年县级督查检查考核计划》，统筹规范年度县级督查检查考核事项35项，进一步强化对“督检考”计划的审核把关和规范实施，坚持“一月一对账、一季一调账、年底算总账”，定期调度督查检查考核情况，避免“督检考”集中扎堆、重复多头开展。三是强化减负工作氛围营造。扎实开展整治形式主义为基层减负工作宣传，督促指导相关单位利用LED屏刊播相关宣传信息500余幅次，推动形成干事创业良好风气。</w:t>
      </w:r>
      <w:bookmarkStart w:id="12" w:name="_Toc15377200"/>
      <w:bookmarkStart w:id="13" w:name="_Toc15396601"/>
      <w:r>
        <w:rPr>
          <w:rFonts w:hint="eastAsia" w:ascii="仿宋" w:hAnsi="仿宋" w:eastAsia="仿宋"/>
          <w:sz w:val="32"/>
          <w:szCs w:val="32"/>
          <w:lang w:val="en-US" w:eastAsia="zh-CN"/>
        </w:rPr>
        <w:t xml:space="preserve">   </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566" w:lineRule="exact"/>
        <w:ind w:firstLine="960" w:firstLineChars="300"/>
        <w:textAlignment w:val="auto"/>
        <w:rPr>
          <w:rFonts w:hint="eastAsia" w:ascii="黑体" w:hAnsi="黑体" w:eastAsia="黑体" w:cstheme="majorBidi"/>
          <w:b w:val="0"/>
          <w:bCs/>
          <w:kern w:val="2"/>
          <w:sz w:val="32"/>
          <w:szCs w:val="32"/>
          <w:lang w:val="en-US" w:eastAsia="zh-CN" w:bidi="ar-SA"/>
        </w:rPr>
      </w:pPr>
      <w:r>
        <w:rPr>
          <w:rFonts w:hint="eastAsia" w:ascii="黑体" w:hAnsi="黑体" w:eastAsia="黑体" w:cstheme="majorBidi"/>
          <w:b w:val="0"/>
          <w:bCs/>
          <w:kern w:val="2"/>
          <w:sz w:val="32"/>
          <w:szCs w:val="32"/>
          <w:lang w:val="en-US" w:eastAsia="zh-CN" w:bidi="ar-SA"/>
        </w:rPr>
        <w:t>二、机构设置</w:t>
      </w:r>
      <w:bookmarkEnd w:id="12"/>
      <w:bookmarkEnd w:id="13"/>
    </w:p>
    <w:p>
      <w:pPr>
        <w:pStyle w:val="7"/>
        <w:adjustRightInd w:val="0"/>
        <w:snapToGrid w:val="0"/>
        <w:spacing w:before="93" w:line="600" w:lineRule="exact"/>
        <w:ind w:firstLine="672" w:firstLineChars="21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剑阁县目标绩效事务中心无下属二级预算单位，无纳入2022年度部门决算编制范围的二级预算单位。</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9"/>
          <w:rFonts w:ascii="黑体" w:hAnsi="黑体" w:eastAsia="黑体"/>
          <w:b w:val="0"/>
          <w:bCs/>
        </w:rPr>
      </w:pPr>
      <w:bookmarkStart w:id="14" w:name="_Toc15377204"/>
      <w:bookmarkStart w:id="15" w:name="_Toc15396602"/>
      <w:r>
        <w:rPr>
          <w:rFonts w:hint="eastAsia" w:ascii="黑体" w:hAnsi="黑体" w:eastAsia="黑体"/>
          <w:b w:val="0"/>
        </w:rPr>
        <w:t>第二部分 2022年度</w:t>
      </w:r>
      <w:r>
        <w:rPr>
          <w:rStyle w:val="29"/>
          <w:rFonts w:hint="eastAsia" w:ascii="黑体" w:hAnsi="黑体" w:eastAsia="黑体"/>
          <w:b w:val="0"/>
          <w:bCs/>
        </w:rPr>
        <w:t>部门决算情况说明</w:t>
      </w:r>
      <w:bookmarkEnd w:id="14"/>
      <w:bookmarkEnd w:id="15"/>
    </w:p>
    <w:p/>
    <w:p>
      <w:pPr>
        <w:pStyle w:val="28"/>
        <w:numPr>
          <w:ilvl w:val="0"/>
          <w:numId w:val="1"/>
        </w:numPr>
        <w:spacing w:line="600" w:lineRule="exact"/>
        <w:ind w:firstLineChars="0"/>
        <w:outlineLvl w:val="1"/>
        <w:rPr>
          <w:rStyle w:val="30"/>
          <w:rFonts w:ascii="黑体" w:hAnsi="黑体" w:eastAsia="黑体"/>
          <w:b w:val="0"/>
        </w:rPr>
      </w:pPr>
      <w:bookmarkStart w:id="16" w:name="_Toc15377205"/>
      <w:bookmarkStart w:id="17" w:name="_Toc15396603"/>
      <w:r>
        <w:rPr>
          <w:rFonts w:hint="eastAsia" w:ascii="黑体" w:hAnsi="黑体" w:eastAsia="黑体"/>
          <w:sz w:val="32"/>
          <w:szCs w:val="32"/>
        </w:rPr>
        <w:t>收</w:t>
      </w:r>
      <w:r>
        <w:rPr>
          <w:rStyle w:val="30"/>
          <w:rFonts w:hint="eastAsia" w:ascii="黑体" w:hAnsi="黑体" w:eastAsia="黑体"/>
          <w:b w:val="0"/>
        </w:rPr>
        <w:t>入支出决算总体情况说明</w:t>
      </w:r>
      <w:bookmarkEnd w:id="16"/>
      <w:bookmarkEnd w:id="17"/>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138.29</w:t>
      </w:r>
      <w:r>
        <w:rPr>
          <w:rFonts w:hint="eastAsia" w:ascii="仿宋" w:hAnsi="仿宋" w:eastAsia="仿宋"/>
          <w:sz w:val="32"/>
          <w:szCs w:val="32"/>
        </w:rPr>
        <w:t>万元。与2021年相比，收、支总计各减少</w:t>
      </w:r>
      <w:r>
        <w:rPr>
          <w:rFonts w:hint="eastAsia" w:ascii="仿宋" w:hAnsi="仿宋" w:eastAsia="仿宋"/>
          <w:sz w:val="32"/>
          <w:szCs w:val="32"/>
          <w:lang w:val="en-US" w:eastAsia="zh-CN"/>
        </w:rPr>
        <w:t>0.79</w:t>
      </w:r>
      <w:r>
        <w:rPr>
          <w:rFonts w:hint="eastAsia" w:ascii="仿宋" w:hAnsi="仿宋" w:eastAsia="仿宋"/>
          <w:sz w:val="32"/>
          <w:szCs w:val="32"/>
        </w:rPr>
        <w:t>万元，下降</w:t>
      </w:r>
      <w:r>
        <w:rPr>
          <w:rFonts w:hint="eastAsia" w:ascii="仿宋" w:hAnsi="仿宋" w:eastAsia="仿宋"/>
          <w:sz w:val="32"/>
          <w:szCs w:val="32"/>
          <w:lang w:val="en-US" w:eastAsia="zh-CN"/>
        </w:rPr>
        <w:t>0.57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减少公用经费等支出</w:t>
      </w:r>
      <w:r>
        <w:rPr>
          <w:rFonts w:hint="eastAsia" w:ascii="仿宋" w:hAnsi="仿宋" w:eastAsia="仿宋"/>
          <w:sz w:val="32"/>
          <w:szCs w:val="32"/>
        </w:rPr>
        <w:t>。</w:t>
      </w:r>
    </w:p>
    <w:p>
      <w:pPr>
        <w:pStyle w:val="2"/>
      </w:pPr>
    </w:p>
    <w:p>
      <w:pPr>
        <w:rPr>
          <w:rFonts w:hint="default" w:eastAsia="宋体"/>
          <w:lang w:val="en-US" w:eastAsia="zh-CN"/>
        </w:rPr>
      </w:pPr>
      <w:r>
        <w:rPr>
          <w:rFonts w:hint="eastAsia"/>
          <w:lang w:val="en-US" w:eastAsia="zh-CN"/>
        </w:rPr>
        <w:t xml:space="preserve">       </w:t>
      </w:r>
      <w:r>
        <w:drawing>
          <wp:inline distT="0" distB="0" distL="114300" distR="114300">
            <wp:extent cx="4448175" cy="2771775"/>
            <wp:effectExtent l="4445" t="4445" r="5080" b="50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r>
        <w:rPr>
          <w:rFonts w:hint="eastAsia" w:ascii="仿宋" w:hAnsi="仿宋" w:eastAsia="仿宋"/>
          <w:sz w:val="32"/>
          <w:szCs w:val="32"/>
          <w:lang w:eastAsia="zh-CN"/>
        </w:rPr>
        <w:t>单位：万元</w:t>
      </w:r>
      <w:r>
        <w:rPr>
          <w:rFonts w:hint="eastAsia" w:ascii="仿宋" w:hAnsi="仿宋" w:eastAsia="仿宋"/>
          <w:sz w:val="32"/>
          <w:szCs w:val="32"/>
        </w:rPr>
        <w:t>）</w:t>
      </w:r>
    </w:p>
    <w:p>
      <w:pPr>
        <w:pStyle w:val="28"/>
        <w:numPr>
          <w:ilvl w:val="0"/>
          <w:numId w:val="1"/>
        </w:numPr>
        <w:spacing w:line="600" w:lineRule="exact"/>
        <w:ind w:firstLineChars="0"/>
        <w:outlineLvl w:val="1"/>
        <w:rPr>
          <w:rStyle w:val="30"/>
          <w:rFonts w:ascii="黑体" w:hAnsi="黑体" w:eastAsia="黑体"/>
          <w:b w:val="0"/>
        </w:rPr>
      </w:pPr>
      <w:bookmarkStart w:id="18" w:name="_Toc15377206"/>
      <w:bookmarkStart w:id="19" w:name="_Toc15396604"/>
      <w:r>
        <w:rPr>
          <w:rFonts w:hint="eastAsia" w:ascii="黑体" w:hAnsi="黑体" w:eastAsia="黑体"/>
          <w:sz w:val="32"/>
          <w:szCs w:val="32"/>
        </w:rPr>
        <w:t>收</w:t>
      </w:r>
      <w:r>
        <w:rPr>
          <w:rStyle w:val="30"/>
          <w:rFonts w:hint="eastAsia" w:ascii="黑体" w:hAnsi="黑体" w:eastAsia="黑体"/>
          <w:b w:val="0"/>
        </w:rPr>
        <w:t>入决算情况说明</w:t>
      </w:r>
      <w:bookmarkEnd w:id="18"/>
      <w:bookmarkEnd w:id="19"/>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138.29</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138.29</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p>
    <w:p>
      <w:pPr>
        <w:pStyle w:val="7"/>
      </w:pPr>
      <w:r>
        <w:rPr>
          <w:rFonts w:hint="eastAsia" w:ascii="仿宋" w:hAnsi="仿宋" w:eastAsia="仿宋"/>
          <w:sz w:val="32"/>
          <w:szCs w:val="32"/>
          <w:lang w:val="en-US" w:eastAsia="zh-CN"/>
        </w:rPr>
        <w:t xml:space="preserve">     </w:t>
      </w: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960" w:firstLineChars="3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图2：收入决算结构图</w:t>
      </w:r>
    </w:p>
    <w:p>
      <w:pPr>
        <w:pStyle w:val="28"/>
        <w:numPr>
          <w:ilvl w:val="0"/>
          <w:numId w:val="1"/>
        </w:numPr>
        <w:spacing w:line="600" w:lineRule="exact"/>
        <w:ind w:firstLineChars="0"/>
        <w:outlineLvl w:val="1"/>
        <w:rPr>
          <w:rStyle w:val="30"/>
          <w:rFonts w:ascii="黑体" w:hAnsi="黑体" w:eastAsia="黑体"/>
          <w:b w:val="0"/>
        </w:rPr>
      </w:pPr>
      <w:bookmarkStart w:id="20" w:name="_Toc15377207"/>
      <w:bookmarkStart w:id="21" w:name="_Toc15396605"/>
      <w:r>
        <w:rPr>
          <w:rFonts w:hint="eastAsia" w:ascii="黑体" w:hAnsi="黑体" w:eastAsia="黑体"/>
          <w:sz w:val="32"/>
          <w:szCs w:val="32"/>
        </w:rPr>
        <w:t>支</w:t>
      </w:r>
      <w:r>
        <w:rPr>
          <w:rStyle w:val="30"/>
          <w:rFonts w:hint="eastAsia" w:ascii="黑体" w:hAnsi="黑体" w:eastAsia="黑体"/>
          <w:b w:val="0"/>
        </w:rPr>
        <w:t>出决算情况说明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138.29</w:t>
      </w:r>
      <w:r>
        <w:rPr>
          <w:rFonts w:hint="eastAsia" w:ascii="仿宋" w:hAnsi="仿宋" w:eastAsia="仿宋"/>
          <w:sz w:val="32"/>
          <w:szCs w:val="32"/>
        </w:rPr>
        <w:t>万元，其中：基本支出</w:t>
      </w:r>
      <w:r>
        <w:rPr>
          <w:rFonts w:hint="eastAsia" w:ascii="仿宋" w:hAnsi="仿宋" w:eastAsia="仿宋"/>
          <w:sz w:val="32"/>
          <w:szCs w:val="32"/>
          <w:lang w:val="en-US" w:eastAsia="zh-CN"/>
        </w:rPr>
        <w:t>128.29</w:t>
      </w:r>
      <w:r>
        <w:rPr>
          <w:rFonts w:hint="eastAsia" w:ascii="仿宋" w:hAnsi="仿宋" w:eastAsia="仿宋"/>
          <w:sz w:val="32"/>
          <w:szCs w:val="32"/>
        </w:rPr>
        <w:t>万元，占</w:t>
      </w:r>
      <w:r>
        <w:rPr>
          <w:rFonts w:hint="eastAsia" w:ascii="仿宋" w:hAnsi="仿宋" w:eastAsia="仿宋"/>
          <w:sz w:val="32"/>
          <w:szCs w:val="32"/>
          <w:lang w:val="en-US" w:eastAsia="zh-CN"/>
        </w:rPr>
        <w:t>92.77</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10</w:t>
      </w:r>
      <w:r>
        <w:rPr>
          <w:rFonts w:hint="eastAsia" w:ascii="仿宋" w:hAnsi="仿宋" w:eastAsia="仿宋"/>
          <w:sz w:val="32"/>
          <w:szCs w:val="32"/>
        </w:rPr>
        <w:t>万元，占</w:t>
      </w:r>
      <w:r>
        <w:rPr>
          <w:rFonts w:hint="eastAsia" w:ascii="仿宋" w:hAnsi="仿宋" w:eastAsia="仿宋"/>
          <w:sz w:val="32"/>
          <w:szCs w:val="32"/>
          <w:lang w:val="en-US" w:eastAsia="zh-CN"/>
        </w:rPr>
        <w:t>7.23</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7"/>
        <w:rPr>
          <w:rFonts w:hint="default"/>
          <w:lang w:val="en-US" w:eastAsia="zh-CN"/>
        </w:rPr>
      </w:pPr>
      <w:r>
        <w:rPr>
          <w:rFonts w:hint="eastAsia" w:ascii="仿宋" w:hAnsi="仿宋" w:eastAsia="仿宋"/>
          <w:sz w:val="32"/>
          <w:szCs w:val="32"/>
          <w:lang w:val="en-US" w:eastAsia="zh-CN"/>
        </w:rPr>
        <w:t xml:space="preserve">    </w:t>
      </w:r>
      <w:r>
        <w:drawing>
          <wp:inline distT="0" distB="0" distL="114300" distR="114300">
            <wp:extent cx="4572000" cy="2743200"/>
            <wp:effectExtent l="4445" t="4445" r="14605"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7"/>
        <w:ind w:firstLine="640"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图3：支出决算结构图</w:t>
      </w:r>
    </w:p>
    <w:p>
      <w:pPr>
        <w:spacing w:line="600" w:lineRule="exact"/>
        <w:ind w:firstLine="640" w:firstLineChars="200"/>
        <w:outlineLvl w:val="1"/>
        <w:rPr>
          <w:rStyle w:val="30"/>
          <w:rFonts w:ascii="黑体" w:hAnsi="黑体" w:eastAsia="黑体"/>
          <w:b w:val="0"/>
        </w:rPr>
      </w:pPr>
      <w:bookmarkStart w:id="22" w:name="_Toc15377208"/>
      <w:bookmarkStart w:id="23" w:name="_Toc15396606"/>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2"/>
      <w:bookmarkEnd w:id="23"/>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138.29</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hint="eastAsia" w:ascii="仿宋" w:hAnsi="仿宋" w:eastAsia="仿宋"/>
          <w:sz w:val="32"/>
          <w:szCs w:val="32"/>
          <w:lang w:val="en-US" w:eastAsia="zh-CN"/>
        </w:rPr>
        <w:t>0.79</w:t>
      </w:r>
      <w:r>
        <w:rPr>
          <w:rFonts w:hint="eastAsia" w:ascii="仿宋" w:hAnsi="仿宋" w:eastAsia="仿宋"/>
          <w:sz w:val="32"/>
          <w:szCs w:val="32"/>
        </w:rPr>
        <w:t>万元，下降</w:t>
      </w:r>
      <w:r>
        <w:rPr>
          <w:rFonts w:hint="eastAsia" w:ascii="仿宋" w:hAnsi="仿宋" w:eastAsia="仿宋"/>
          <w:sz w:val="32"/>
          <w:szCs w:val="32"/>
          <w:lang w:val="en-US" w:eastAsia="zh-CN"/>
        </w:rPr>
        <w:t>0.57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eastAsia="zh-CN"/>
        </w:rPr>
        <w:t>减少公用经费等支出</w:t>
      </w:r>
      <w:r>
        <w:rPr>
          <w:rFonts w:hint="eastAsia" w:ascii="仿宋" w:hAnsi="仿宋" w:eastAsia="仿宋"/>
          <w:sz w:val="32"/>
          <w:szCs w:val="32"/>
        </w:rPr>
        <w:t>。</w:t>
      </w:r>
    </w:p>
    <w:p>
      <w:pPr>
        <w:pStyle w:val="7"/>
      </w:pPr>
      <w:r>
        <w:rPr>
          <w:rFonts w:hint="eastAsia" w:ascii="仿宋" w:hAnsi="仿宋" w:eastAsia="仿宋"/>
          <w:sz w:val="32"/>
          <w:szCs w:val="32"/>
          <w:lang w:val="en-US" w:eastAsia="zh-CN"/>
        </w:rPr>
        <w:t xml:space="preserve">    </w:t>
      </w:r>
      <w:r>
        <w:drawing>
          <wp:inline distT="0" distB="0" distL="114300" distR="114300">
            <wp:extent cx="4572000" cy="2743200"/>
            <wp:effectExtent l="4445" t="4445" r="14605" b="1460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7"/>
        <w:ind w:firstLine="320" w:firstLineChars="1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图4：财政拨款收、决算总计变动情况图（单位：万元）</w:t>
      </w:r>
    </w:p>
    <w:p>
      <w:pPr>
        <w:spacing w:line="600" w:lineRule="exact"/>
        <w:ind w:firstLine="640" w:firstLineChars="200"/>
        <w:outlineLvl w:val="1"/>
        <w:rPr>
          <w:rStyle w:val="30"/>
          <w:rFonts w:ascii="黑体" w:hAnsi="黑体" w:eastAsia="黑体"/>
          <w:b w:val="0"/>
        </w:rPr>
      </w:pPr>
      <w:bookmarkStart w:id="24" w:name="_Toc15377209"/>
      <w:bookmarkStart w:id="25" w:name="_Toc15396607"/>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24"/>
      <w:bookmarkEnd w:id="25"/>
    </w:p>
    <w:p>
      <w:pPr>
        <w:spacing w:line="600" w:lineRule="exact"/>
        <w:ind w:firstLine="640" w:firstLineChars="200"/>
        <w:outlineLvl w:val="2"/>
        <w:rPr>
          <w:rFonts w:ascii="仿宋" w:hAnsi="仿宋" w:eastAsia="仿宋"/>
          <w:b/>
          <w:sz w:val="32"/>
          <w:szCs w:val="32"/>
        </w:rPr>
      </w:pPr>
      <w:bookmarkStart w:id="26" w:name="_Toc15377210"/>
      <w:r>
        <w:rPr>
          <w:rFonts w:hint="eastAsia" w:ascii="仿宋" w:hAnsi="仿宋" w:eastAsia="仿宋"/>
          <w:b/>
          <w:sz w:val="32"/>
          <w:szCs w:val="32"/>
        </w:rPr>
        <w:t>（一）一般公共预算财政拨款支出决算总体情况</w:t>
      </w:r>
      <w:bookmarkEnd w:id="26"/>
    </w:p>
    <w:p>
      <w:pPr>
        <w:spacing w:line="600" w:lineRule="exact"/>
        <w:ind w:firstLine="640" w:firstLineChars="20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138.29</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0.79</w:t>
      </w:r>
      <w:r>
        <w:rPr>
          <w:rFonts w:hint="eastAsia" w:ascii="仿宋" w:hAnsi="仿宋" w:eastAsia="仿宋"/>
          <w:sz w:val="32"/>
          <w:szCs w:val="32"/>
        </w:rPr>
        <w:t>万元，下降</w:t>
      </w:r>
      <w:r>
        <w:rPr>
          <w:rFonts w:hint="eastAsia" w:ascii="仿宋" w:hAnsi="仿宋" w:eastAsia="仿宋"/>
          <w:sz w:val="32"/>
          <w:szCs w:val="32"/>
          <w:lang w:val="en-US" w:eastAsia="zh-CN"/>
        </w:rPr>
        <w:t>0.57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减少公用经费等支出。</w:t>
      </w:r>
    </w:p>
    <w:p>
      <w:pPr>
        <w:pStyle w:val="7"/>
      </w:pPr>
      <w:r>
        <w:rPr>
          <w:rFonts w:hint="eastAsia"/>
          <w:lang w:val="en-US" w:eastAsia="zh-CN"/>
        </w:rPr>
        <w:t xml:space="preserve">     </w:t>
      </w:r>
      <w:r>
        <w:drawing>
          <wp:inline distT="0" distB="0" distL="114300" distR="114300">
            <wp:extent cx="4572000" cy="2743200"/>
            <wp:effectExtent l="4445" t="4445" r="14605" b="14605"/>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7"/>
        <w:ind w:firstLine="300" w:firstLineChars="100"/>
        <w:rPr>
          <w:rFonts w:hint="eastAsia" w:eastAsia="仿宋_GB2312"/>
          <w:lang w:eastAsia="zh-CN"/>
        </w:rPr>
      </w:pPr>
      <w:r>
        <w:rPr>
          <w:rFonts w:hint="eastAsia"/>
        </w:rPr>
        <w:t>图5：一般公共预算财政拨款支出决算变动情况图</w:t>
      </w:r>
      <w:r>
        <w:rPr>
          <w:rFonts w:hint="eastAsia"/>
          <w:lang w:eastAsia="zh-CN"/>
        </w:rPr>
        <w:t>（单位：万元）</w:t>
      </w:r>
    </w:p>
    <w:p>
      <w:pPr>
        <w:spacing w:line="600" w:lineRule="exact"/>
        <w:ind w:firstLine="640" w:firstLineChars="200"/>
        <w:outlineLvl w:val="2"/>
        <w:rPr>
          <w:rFonts w:ascii="仿宋" w:hAnsi="仿宋" w:eastAsia="仿宋"/>
          <w:b/>
          <w:sz w:val="32"/>
          <w:szCs w:val="32"/>
        </w:rPr>
      </w:pPr>
      <w:bookmarkStart w:id="27" w:name="_Toc15377211"/>
      <w:r>
        <w:rPr>
          <w:rFonts w:hint="eastAsia" w:ascii="仿宋" w:hAnsi="仿宋" w:eastAsia="仿宋"/>
          <w:b/>
          <w:sz w:val="32"/>
          <w:szCs w:val="32"/>
        </w:rPr>
        <w:t>（二）一般公共预算财政拨款支出决算结构情况</w:t>
      </w:r>
      <w:bookmarkEnd w:id="2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138.29</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116.61</w:t>
      </w:r>
      <w:r>
        <w:rPr>
          <w:rFonts w:hint="eastAsia" w:ascii="仿宋" w:hAnsi="仿宋" w:eastAsia="仿宋"/>
          <w:sz w:val="32"/>
          <w:szCs w:val="32"/>
        </w:rPr>
        <w:t>万元，占</w:t>
      </w:r>
      <w:r>
        <w:rPr>
          <w:rFonts w:hint="eastAsia" w:ascii="仿宋" w:hAnsi="仿宋" w:eastAsia="仿宋"/>
          <w:sz w:val="32"/>
          <w:szCs w:val="32"/>
          <w:lang w:val="en-US" w:eastAsia="zh-CN"/>
        </w:rPr>
        <w:t>84.32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9.64</w:t>
      </w:r>
      <w:r>
        <w:rPr>
          <w:rFonts w:hint="eastAsia" w:ascii="仿宋" w:hAnsi="仿宋" w:eastAsia="仿宋"/>
          <w:sz w:val="32"/>
          <w:szCs w:val="32"/>
        </w:rPr>
        <w:t>万元，占</w:t>
      </w:r>
      <w:r>
        <w:rPr>
          <w:rFonts w:hint="eastAsia" w:ascii="仿宋" w:hAnsi="仿宋" w:eastAsia="仿宋"/>
          <w:sz w:val="32"/>
          <w:szCs w:val="32"/>
          <w:lang w:val="en-US" w:eastAsia="zh-CN"/>
        </w:rPr>
        <w:t>6.97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4.82</w:t>
      </w:r>
      <w:r>
        <w:rPr>
          <w:rFonts w:hint="eastAsia" w:ascii="仿宋" w:hAnsi="仿宋" w:eastAsia="仿宋"/>
          <w:sz w:val="32"/>
          <w:szCs w:val="32"/>
        </w:rPr>
        <w:t>万元，占</w:t>
      </w:r>
      <w:r>
        <w:rPr>
          <w:rFonts w:hint="eastAsia" w:ascii="仿宋" w:hAnsi="仿宋" w:eastAsia="仿宋"/>
          <w:sz w:val="32"/>
          <w:szCs w:val="32"/>
          <w:lang w:val="en-US" w:eastAsia="zh-CN"/>
        </w:rPr>
        <w:t>3.48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7.23</w:t>
      </w:r>
      <w:r>
        <w:rPr>
          <w:rFonts w:hint="eastAsia" w:ascii="仿宋" w:hAnsi="仿宋" w:eastAsia="仿宋"/>
          <w:sz w:val="32"/>
          <w:szCs w:val="32"/>
        </w:rPr>
        <w:t>万元，占</w:t>
      </w:r>
      <w:r>
        <w:rPr>
          <w:rFonts w:hint="eastAsia" w:ascii="仿宋" w:hAnsi="仿宋" w:eastAsia="仿宋"/>
          <w:sz w:val="32"/>
          <w:szCs w:val="32"/>
          <w:lang w:val="en-US" w:eastAsia="zh-CN"/>
        </w:rPr>
        <w:t>5.23</w:t>
      </w:r>
      <w:r>
        <w:rPr>
          <w:rFonts w:ascii="仿宋" w:hAnsi="仿宋" w:eastAsia="仿宋"/>
          <w:sz w:val="32"/>
          <w:szCs w:val="32"/>
        </w:rPr>
        <w:t>%</w:t>
      </w:r>
      <w:r>
        <w:rPr>
          <w:rFonts w:hint="eastAsia" w:ascii="仿宋" w:hAnsi="仿宋" w:eastAsia="仿宋"/>
          <w:sz w:val="32"/>
          <w:szCs w:val="32"/>
        </w:rPr>
        <w:t>。</w:t>
      </w:r>
    </w:p>
    <w:p>
      <w:pPr>
        <w:pStyle w:val="7"/>
      </w:pPr>
      <w:bookmarkStart w:id="28" w:name="_Toc15377212"/>
      <w:r>
        <w:rPr>
          <w:rFonts w:hint="eastAsia" w:ascii="仿宋" w:hAnsi="仿宋" w:eastAsia="仿宋"/>
          <w:b/>
          <w:sz w:val="32"/>
          <w:szCs w:val="32"/>
          <w:lang w:val="en-US" w:eastAsia="zh-CN"/>
        </w:rPr>
        <w:t xml:space="preserve">    </w:t>
      </w:r>
      <w:r>
        <w:drawing>
          <wp:inline distT="0" distB="0" distL="114300" distR="114300">
            <wp:extent cx="4572000" cy="2743200"/>
            <wp:effectExtent l="4445" t="4445" r="14605" b="14605"/>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7"/>
        <w:ind w:firstLine="600" w:firstLineChars="200"/>
        <w:rPr>
          <w:rFonts w:hint="default"/>
          <w:lang w:val="en-US" w:eastAsia="zh-CN"/>
        </w:rPr>
      </w:pPr>
      <w:r>
        <w:rPr>
          <w:rFonts w:hint="default"/>
          <w:lang w:val="en-US" w:eastAsia="zh-CN"/>
        </w:rPr>
        <w:t>图六：一般公共预算财政拨款支出决算结构图</w:t>
      </w:r>
    </w:p>
    <w:p>
      <w:pPr>
        <w:spacing w:line="600" w:lineRule="exact"/>
        <w:ind w:firstLine="640"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28"/>
    </w:p>
    <w:p>
      <w:pPr>
        <w:spacing w:line="600" w:lineRule="exact"/>
        <w:ind w:firstLine="640" w:firstLineChars="200"/>
        <w:outlineLvl w:val="2"/>
        <w:rPr>
          <w:rFonts w:ascii="仿宋" w:hAnsi="仿宋" w:eastAsia="仿宋"/>
          <w:sz w:val="32"/>
          <w:szCs w:val="32"/>
        </w:rPr>
      </w:pPr>
      <w:bookmarkStart w:id="29" w:name="_Toc15377444"/>
      <w:bookmarkStart w:id="30" w:name="_Toc15377213"/>
      <w:bookmarkStart w:id="31" w:name="_Toc15378460"/>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138.29万元</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29"/>
      <w:bookmarkEnd w:id="30"/>
      <w:bookmarkEnd w:id="31"/>
    </w:p>
    <w:p>
      <w:pPr>
        <w:numPr>
          <w:ilvl w:val="0"/>
          <w:numId w:val="0"/>
        </w:numPr>
        <w:spacing w:line="600" w:lineRule="exact"/>
        <w:ind w:firstLine="640"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w:t>
      </w:r>
      <w:r>
        <w:rPr>
          <w:rStyle w:val="17"/>
          <w:rFonts w:hint="eastAsia" w:ascii="仿宋" w:hAnsi="仿宋" w:eastAsia="仿宋"/>
          <w:bCs/>
          <w:sz w:val="32"/>
          <w:szCs w:val="32"/>
        </w:rPr>
        <w:t>一般公共服务（类）</w:t>
      </w:r>
      <w:r>
        <w:rPr>
          <w:rStyle w:val="17"/>
          <w:rFonts w:hint="default" w:ascii="仿宋" w:hAnsi="仿宋" w:eastAsia="仿宋" w:cstheme="minorBidi"/>
          <w:bCs/>
          <w:sz w:val="32"/>
          <w:szCs w:val="32"/>
          <w:lang w:val="en-US" w:eastAsia="zh-CN"/>
        </w:rPr>
        <w:t>党委办公厅(室)及相关机构事务（款）行政运行（项）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116.61</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hint="eastAsia" w:ascii="仿宋" w:hAnsi="仿宋" w:eastAsia="仿宋"/>
          <w:b w:val="0"/>
          <w:bCs/>
          <w:sz w:val="32"/>
          <w:szCs w:val="32"/>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Times New Roman" w:hAnsi="Times New Roman" w:eastAsia="仿宋" w:cs="Times New Roman"/>
          <w:sz w:val="31"/>
          <w:lang w:val="en-US" w:eastAsia="zh-CN"/>
        </w:rPr>
      </w:pPr>
      <w:r>
        <w:rPr>
          <w:rStyle w:val="17"/>
          <w:rFonts w:hint="eastAsia" w:ascii="仿宋" w:hAnsi="仿宋" w:eastAsia="仿宋"/>
          <w:bCs/>
          <w:sz w:val="32"/>
          <w:szCs w:val="32"/>
        </w:rPr>
        <w:t>2</w:t>
      </w:r>
      <w:r>
        <w:rPr>
          <w:rStyle w:val="17"/>
          <w:rFonts w:hint="eastAsia" w:ascii="仿宋" w:hAnsi="仿宋" w:eastAsia="仿宋"/>
          <w:bCs/>
          <w:sz w:val="32"/>
          <w:szCs w:val="32"/>
          <w:lang w:eastAsia="zh-CN"/>
        </w:rPr>
        <w:t>.</w:t>
      </w:r>
      <w:r>
        <w:rPr>
          <w:rStyle w:val="17"/>
          <w:rFonts w:hint="default" w:ascii="仿宋" w:hAnsi="仿宋" w:eastAsia="仿宋" w:cstheme="minorBidi"/>
          <w:bCs/>
          <w:sz w:val="32"/>
          <w:szCs w:val="32"/>
          <w:lang w:val="en-US" w:eastAsia="zh-CN"/>
        </w:rPr>
        <w:t>一般公共服务支出（类）党委办公厅(室)及相关机构事务（款）一般行政管理事务（项）:</w:t>
      </w:r>
      <w:r>
        <w:rPr>
          <w:rFonts w:hint="default" w:ascii="Times New Roman" w:hAnsi="Times New Roman" w:eastAsia="Times New Roman" w:cs="Times New Roman"/>
          <w:sz w:val="31"/>
          <w:lang w:val="en-US" w:eastAsia="zh-CN"/>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ascii="仿宋" w:hAnsi="仿宋" w:eastAsia="仿宋"/>
          <w:b/>
          <w:sz w:val="32"/>
          <w:szCs w:val="32"/>
        </w:rPr>
      </w:pPr>
      <w:r>
        <w:rPr>
          <w:rStyle w:val="17"/>
          <w:rFonts w:hint="eastAsia" w:ascii="仿宋" w:hAnsi="仿宋" w:eastAsia="仿宋"/>
          <w:bCs/>
          <w:sz w:val="32"/>
          <w:szCs w:val="32"/>
          <w:lang w:val="en-US" w:eastAsia="zh-CN"/>
        </w:rPr>
        <w:t>3</w:t>
      </w:r>
      <w:r>
        <w:rPr>
          <w:rStyle w:val="17"/>
          <w:rFonts w:ascii="仿宋" w:hAnsi="仿宋" w:eastAsia="仿宋"/>
          <w:bCs/>
          <w:sz w:val="32"/>
          <w:szCs w:val="32"/>
        </w:rPr>
        <w:t>.</w:t>
      </w:r>
      <w:r>
        <w:rPr>
          <w:rStyle w:val="17"/>
          <w:rFonts w:hint="eastAsia" w:ascii="仿宋" w:hAnsi="仿宋" w:eastAsia="仿宋"/>
          <w:bCs/>
          <w:sz w:val="32"/>
          <w:szCs w:val="32"/>
        </w:rPr>
        <w:t>社会保障和就业（类）</w:t>
      </w:r>
      <w:r>
        <w:rPr>
          <w:rStyle w:val="17"/>
          <w:rFonts w:hint="default" w:ascii="仿宋" w:hAnsi="仿宋" w:eastAsia="仿宋" w:cstheme="minorBidi"/>
          <w:bCs/>
          <w:sz w:val="32"/>
          <w:szCs w:val="32"/>
          <w:lang w:val="en-US" w:eastAsia="zh-CN"/>
        </w:rPr>
        <w:t xml:space="preserve">行政事业单位养老支出（款）机关事业单位基本养老保险缴费支出（项）: </w:t>
      </w:r>
      <w:r>
        <w:rPr>
          <w:rStyle w:val="17"/>
          <w:rFonts w:hint="default" w:ascii="仿宋" w:hAnsi="仿宋" w:eastAsia="仿宋" w:cstheme="minorBidi"/>
          <w:b w:val="0"/>
          <w:bCs/>
          <w:sz w:val="32"/>
          <w:szCs w:val="32"/>
          <w:lang w:val="en-US" w:eastAsia="zh-CN"/>
        </w:rPr>
        <w:t>支出决算为</w:t>
      </w:r>
      <w:r>
        <w:rPr>
          <w:rStyle w:val="17"/>
          <w:rFonts w:hint="eastAsia" w:ascii="仿宋" w:hAnsi="仿宋" w:eastAsia="仿宋" w:cstheme="minorBidi"/>
          <w:b w:val="0"/>
          <w:bCs/>
          <w:sz w:val="32"/>
          <w:szCs w:val="32"/>
          <w:lang w:val="en-US" w:eastAsia="zh-CN"/>
        </w:rPr>
        <w:t>9.64</w:t>
      </w:r>
      <w:r>
        <w:rPr>
          <w:rStyle w:val="17"/>
          <w:rFonts w:hint="default" w:ascii="仿宋" w:hAnsi="仿宋" w:eastAsia="仿宋" w:cstheme="minorBidi"/>
          <w:b w:val="0"/>
          <w:bCs/>
          <w:sz w:val="32"/>
          <w:szCs w:val="32"/>
          <w:lang w:val="en-US" w:eastAsia="zh-CN"/>
        </w:rPr>
        <w:t>万元，完成预算100%。</w:t>
      </w:r>
      <w:r>
        <w:rPr>
          <w:rStyle w:val="17"/>
          <w:rFonts w:hint="eastAsia" w:ascii="仿宋" w:hAnsi="仿宋" w:eastAsia="仿宋"/>
          <w:b w:val="0"/>
          <w:bCs/>
          <w:sz w:val="32"/>
          <w:szCs w:val="32"/>
        </w:rPr>
        <w:t>。</w:t>
      </w:r>
    </w:p>
    <w:p>
      <w:pPr>
        <w:spacing w:line="600" w:lineRule="exact"/>
        <w:ind w:firstLine="640" w:firstLineChars="200"/>
        <w:rPr>
          <w:rFonts w:hint="eastAsia" w:ascii="仿宋" w:hAnsi="仿宋" w:eastAsia="仿宋"/>
          <w:b/>
          <w:sz w:val="32"/>
          <w:szCs w:val="32"/>
          <w:lang w:eastAsia="zh-CN"/>
        </w:rPr>
      </w:pPr>
      <w:r>
        <w:rPr>
          <w:rStyle w:val="17"/>
          <w:rFonts w:hint="eastAsia" w:ascii="仿宋" w:hAnsi="仿宋" w:eastAsia="仿宋"/>
          <w:bCs/>
          <w:sz w:val="32"/>
          <w:szCs w:val="32"/>
          <w:lang w:val="en-US" w:eastAsia="zh-CN"/>
        </w:rPr>
        <w:t>4</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（类）行政事业单位医疗（款）行政单位医疗（项）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4.82</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p>
    <w:p>
      <w:pPr>
        <w:spacing w:line="600" w:lineRule="exact"/>
        <w:ind w:firstLine="640" w:firstLineChars="200"/>
        <w:rPr>
          <w:rStyle w:val="17"/>
          <w:rFonts w:hint="eastAsia" w:ascii="仿宋" w:hAnsi="仿宋" w:eastAsia="仿宋"/>
          <w:b w:val="0"/>
          <w:bCs/>
          <w:color w:val="000000"/>
          <w:sz w:val="32"/>
          <w:szCs w:val="32"/>
        </w:rPr>
      </w:pPr>
      <w:r>
        <w:rPr>
          <w:rStyle w:val="17"/>
          <w:rFonts w:hint="eastAsia" w:ascii="仿宋" w:hAnsi="仿宋" w:eastAsia="仿宋" w:cstheme="minorBidi"/>
          <w:bCs/>
          <w:sz w:val="32"/>
          <w:szCs w:val="32"/>
          <w:lang w:val="en-US" w:eastAsia="zh-CN"/>
        </w:rPr>
        <w:t>5.住</w:t>
      </w:r>
      <w:r>
        <w:rPr>
          <w:rStyle w:val="17"/>
          <w:rFonts w:hint="eastAsia" w:ascii="仿宋" w:hAnsi="仿宋" w:eastAsia="仿宋"/>
          <w:bCs/>
          <w:color w:val="000000"/>
          <w:sz w:val="32"/>
          <w:szCs w:val="32"/>
        </w:rPr>
        <w:t>房保障支出（类）住房改革支出（款）住房公积金（项）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7.23</w:t>
      </w:r>
      <w:r>
        <w:rPr>
          <w:rStyle w:val="17"/>
          <w:rFonts w:hint="eastAsia" w:ascii="仿宋" w:hAnsi="仿宋" w:eastAsia="仿宋"/>
          <w:b w:val="0"/>
          <w:bCs/>
          <w:color w:val="000000"/>
          <w:sz w:val="32"/>
          <w:szCs w:val="32"/>
        </w:rPr>
        <w:t>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pPr>
        <w:tabs>
          <w:tab w:val="right" w:pos="8306"/>
        </w:tabs>
        <w:spacing w:line="600" w:lineRule="exact"/>
        <w:ind w:firstLine="640"/>
        <w:outlineLvl w:val="1"/>
        <w:rPr>
          <w:rStyle w:val="30"/>
        </w:rPr>
      </w:pPr>
      <w:bookmarkStart w:id="32" w:name="_Toc15377214"/>
      <w:bookmarkStart w:id="33"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2"/>
      <w:bookmarkEnd w:id="33"/>
      <w:r>
        <w:rPr>
          <w:rStyle w:val="30"/>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128.29</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112.83</w:t>
      </w:r>
      <w:r>
        <w:rPr>
          <w:rFonts w:hint="eastAsia" w:ascii="仿宋" w:hAnsi="仿宋" w:eastAsia="仿宋"/>
          <w:sz w:val="32"/>
          <w:szCs w:val="32"/>
        </w:rPr>
        <w:t>万元，主要包括：基本工资、津贴补贴、奖金、机关事业单位基本养老保险缴费、其他社会保障缴费、其他工资福利支出、医疗费补助、住房公积金等。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15.46</w:t>
      </w:r>
      <w:r>
        <w:rPr>
          <w:rFonts w:hint="eastAsia" w:ascii="仿宋" w:hAnsi="仿宋" w:eastAsia="仿宋"/>
          <w:sz w:val="32"/>
          <w:szCs w:val="32"/>
        </w:rPr>
        <w:t>万元，主要包括：办公费、印刷费、</w:t>
      </w:r>
      <w:r>
        <w:rPr>
          <w:rFonts w:hint="eastAsia" w:ascii="仿宋" w:hAnsi="仿宋" w:eastAsia="仿宋"/>
          <w:sz w:val="32"/>
          <w:szCs w:val="32"/>
          <w:lang w:eastAsia="zh-CN"/>
        </w:rPr>
        <w:t>电费、</w:t>
      </w:r>
      <w:r>
        <w:rPr>
          <w:rFonts w:hint="eastAsia" w:ascii="仿宋" w:hAnsi="仿宋" w:eastAsia="仿宋"/>
          <w:sz w:val="32"/>
          <w:szCs w:val="32"/>
        </w:rPr>
        <w:t>邮电费、差旅费、公务接待费、工会经费、福利费、其他交通费等。</w:t>
      </w:r>
    </w:p>
    <w:p>
      <w:pPr>
        <w:spacing w:line="600" w:lineRule="exact"/>
        <w:ind w:firstLine="640"/>
        <w:outlineLvl w:val="1"/>
        <w:rPr>
          <w:rStyle w:val="30"/>
          <w:rFonts w:ascii="黑体" w:hAnsi="黑体" w:eastAsia="黑体"/>
          <w:b w:val="0"/>
        </w:rPr>
      </w:pPr>
      <w:bookmarkStart w:id="34" w:name="_Toc15396609"/>
      <w:bookmarkStart w:id="35" w:name="_Toc1537721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34"/>
      <w:bookmarkEnd w:id="35"/>
    </w:p>
    <w:p>
      <w:pPr>
        <w:spacing w:line="600" w:lineRule="exact"/>
        <w:ind w:firstLine="640"/>
        <w:outlineLvl w:val="2"/>
        <w:rPr>
          <w:rFonts w:ascii="仿宋" w:hAnsi="仿宋" w:eastAsia="仿宋"/>
          <w:b/>
          <w:sz w:val="32"/>
          <w:szCs w:val="32"/>
        </w:rPr>
      </w:pPr>
      <w:bookmarkStart w:id="36" w:name="_Toc15377216"/>
      <w:r>
        <w:rPr>
          <w:rFonts w:hint="eastAsia" w:ascii="仿宋" w:hAnsi="仿宋" w:eastAsia="仿宋"/>
          <w:b/>
          <w:sz w:val="32"/>
          <w:szCs w:val="32"/>
        </w:rPr>
        <w:t>（一）“三公”经费财政拨款支出决算总体情况说明</w:t>
      </w:r>
      <w:bookmarkEnd w:id="36"/>
    </w:p>
    <w:p>
      <w:pPr>
        <w:spacing w:line="600" w:lineRule="exact"/>
        <w:ind w:firstLine="640"/>
        <w:rPr>
          <w:rFonts w:hint="eastAsia"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1</w:t>
      </w:r>
      <w:r>
        <w:rPr>
          <w:rFonts w:hint="eastAsia" w:ascii="仿宋" w:hAnsi="仿宋" w:eastAsia="仿宋"/>
          <w:sz w:val="32"/>
          <w:szCs w:val="32"/>
        </w:rPr>
        <w:t>万元，完成</w:t>
      </w:r>
      <w:r>
        <w:rPr>
          <w:rFonts w:hint="eastAsia" w:ascii="仿宋" w:hAnsi="仿宋" w:eastAsia="仿宋"/>
          <w:sz w:val="32"/>
          <w:szCs w:val="32"/>
          <w:lang w:val="en-US" w:eastAsia="zh-CN"/>
        </w:rPr>
        <w:t>预算100%，较上年增加0.26万元，增长0.26%。</w:t>
      </w:r>
      <w:r>
        <w:rPr>
          <w:rFonts w:hint="eastAsia" w:ascii="仿宋" w:hAnsi="仿宋" w:eastAsia="仿宋"/>
          <w:sz w:val="32"/>
          <w:szCs w:val="32"/>
        </w:rPr>
        <w:t>决算数</w:t>
      </w:r>
      <w:r>
        <w:rPr>
          <w:rFonts w:hint="eastAsia" w:ascii="仿宋" w:hAnsi="仿宋" w:eastAsia="仿宋"/>
          <w:sz w:val="32"/>
          <w:szCs w:val="32"/>
          <w:lang w:eastAsia="zh-CN"/>
        </w:rPr>
        <w:t>与</w:t>
      </w:r>
      <w:r>
        <w:rPr>
          <w:rFonts w:hint="eastAsia" w:ascii="仿宋" w:hAnsi="仿宋" w:eastAsia="仿宋"/>
          <w:sz w:val="32"/>
          <w:szCs w:val="32"/>
        </w:rPr>
        <w:t>预算数</w:t>
      </w:r>
      <w:r>
        <w:rPr>
          <w:rFonts w:hint="eastAsia" w:ascii="仿宋" w:hAnsi="仿宋" w:eastAsia="仿宋"/>
          <w:sz w:val="32"/>
          <w:szCs w:val="32"/>
          <w:lang w:eastAsia="zh-CN"/>
        </w:rPr>
        <w:t>持平</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37" w:name="_Toc15377217"/>
      <w:r>
        <w:rPr>
          <w:rFonts w:hint="eastAsia" w:ascii="仿宋" w:hAnsi="仿宋" w:eastAsia="仿宋"/>
          <w:b/>
          <w:sz w:val="32"/>
          <w:szCs w:val="32"/>
        </w:rPr>
        <w:t>（二）“三公”经费财政拨款支出决算具体情况说明</w:t>
      </w:r>
      <w:bookmarkEnd w:id="3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1</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p>
    <w:p>
      <w:pPr>
        <w:pStyle w:val="7"/>
      </w:pPr>
      <w:r>
        <w:rPr>
          <w:rFonts w:hint="eastAsia" w:ascii="仿宋" w:hAnsi="仿宋" w:eastAsia="仿宋"/>
          <w:sz w:val="32"/>
          <w:szCs w:val="32"/>
          <w:lang w:val="en-US" w:eastAsia="zh-CN"/>
        </w:rPr>
        <w:t xml:space="preserve">              </w:t>
      </w:r>
      <w:r>
        <w:drawing>
          <wp:inline distT="0" distB="0" distL="114300" distR="114300">
            <wp:extent cx="4628515" cy="2600325"/>
            <wp:effectExtent l="4445" t="4445" r="15240" b="5080"/>
            <wp:docPr id="1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7"/>
        <w:ind w:firstLine="600" w:firstLineChars="200"/>
        <w:rPr>
          <w:rFonts w:hint="default"/>
          <w:lang w:val="en-US" w:eastAsia="zh-CN"/>
        </w:rPr>
      </w:pPr>
      <w:r>
        <w:rPr>
          <w:rFonts w:hint="default"/>
          <w:lang w:val="en-US" w:eastAsia="zh-CN"/>
        </w:rPr>
        <w:t>图7：“三公”经费财政拨款支出结构图</w:t>
      </w:r>
    </w:p>
    <w:p>
      <w:pPr>
        <w:spacing w:line="600" w:lineRule="exact"/>
        <w:ind w:firstLine="640"/>
        <w:rPr>
          <w:rFonts w:hint="eastAsia"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万元，完成预算</w:t>
      </w:r>
      <w:r>
        <w:rPr>
          <w:rFonts w:hint="eastAsia" w:ascii="仿宋_GB2312" w:eastAsia="仿宋_GB2312"/>
          <w:sz w:val="32"/>
          <w:szCs w:val="32"/>
          <w:lang w:val="en-US" w:eastAsia="zh-CN"/>
        </w:rPr>
        <w:t>0</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人。202</w:t>
      </w:r>
      <w:r>
        <w:rPr>
          <w:rFonts w:hint="eastAsia" w:ascii="仿宋_GB2312" w:eastAsia="仿宋_GB2312"/>
          <w:sz w:val="32"/>
          <w:szCs w:val="32"/>
          <w:lang w:val="en-US" w:eastAsia="zh-CN"/>
        </w:rPr>
        <w:t>2</w:t>
      </w:r>
      <w:r>
        <w:rPr>
          <w:rFonts w:hint="eastAsia" w:ascii="仿宋_GB2312" w:eastAsia="仿宋_GB2312"/>
          <w:sz w:val="32"/>
          <w:szCs w:val="32"/>
        </w:rPr>
        <w:t>年未安排国公出国(境)经费预算，无相应支出，较上年无变化。</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本单位</w:t>
      </w:r>
      <w:r>
        <w:rPr>
          <w:rFonts w:hint="eastAsia" w:ascii="仿宋_GB2312" w:eastAsia="仿宋_GB2312"/>
          <w:sz w:val="32"/>
          <w:szCs w:val="32"/>
        </w:rPr>
        <w:t>无公务用车，未安排公务用车购置及运行维护费预算，无相应支出，较上年无变化</w:t>
      </w:r>
      <w:r>
        <w:rPr>
          <w:rFonts w:hint="eastAsia" w:ascii="仿宋_GB2312" w:eastAsia="仿宋_GB2312"/>
          <w:sz w:val="32"/>
          <w:szCs w:val="32"/>
          <w:lang w:eastAsia="zh-CN"/>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hint="eastAsia"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1</w:t>
      </w:r>
      <w:r>
        <w:rPr>
          <w:rFonts w:hint="eastAsia" w:ascii="仿宋_GB2312" w:eastAsia="仿宋_GB2312"/>
          <w:sz w:val="32"/>
          <w:szCs w:val="32"/>
        </w:rPr>
        <w:t>万元，完成预算</w:t>
      </w:r>
      <w:r>
        <w:rPr>
          <w:rFonts w:hint="eastAsia" w:ascii="仿宋_GB2312" w:eastAsia="仿宋_GB2312"/>
          <w:sz w:val="32"/>
          <w:szCs w:val="32"/>
          <w:lang w:val="en-US" w:eastAsia="zh-CN"/>
        </w:rPr>
        <w:t>100</w:t>
      </w:r>
      <w:r>
        <w:rPr>
          <w:rFonts w:hint="eastAsia" w:ascii="仿宋_GB2312" w:eastAsia="仿宋_GB2312"/>
          <w:sz w:val="32"/>
          <w:szCs w:val="32"/>
        </w:rPr>
        <w:t>%。公务接待费支出决算比2021年增加</w:t>
      </w:r>
      <w:r>
        <w:rPr>
          <w:rFonts w:hint="eastAsia" w:ascii="仿宋_GB2312" w:eastAsia="仿宋_GB2312"/>
          <w:sz w:val="32"/>
          <w:szCs w:val="32"/>
          <w:lang w:val="en-US" w:eastAsia="zh-CN"/>
        </w:rPr>
        <w:t>0.26</w:t>
      </w:r>
      <w:r>
        <w:rPr>
          <w:rFonts w:hint="eastAsia" w:ascii="仿宋_GB2312" w:eastAsia="仿宋_GB2312"/>
          <w:sz w:val="32"/>
          <w:szCs w:val="32"/>
        </w:rPr>
        <w:t>万元，增长</w:t>
      </w:r>
      <w:r>
        <w:rPr>
          <w:rFonts w:hint="eastAsia" w:ascii="仿宋_GB2312" w:eastAsia="仿宋_GB2312"/>
          <w:sz w:val="32"/>
          <w:szCs w:val="32"/>
          <w:lang w:val="en-US" w:eastAsia="zh-CN"/>
        </w:rPr>
        <w:t>0.26</w:t>
      </w:r>
      <w:r>
        <w:rPr>
          <w:rFonts w:hint="eastAsia" w:ascii="仿宋_GB2312" w:eastAsia="仿宋_GB2312"/>
          <w:sz w:val="32"/>
          <w:szCs w:val="32"/>
        </w:rPr>
        <w:t>%。主要原因</w:t>
      </w:r>
      <w:r>
        <w:rPr>
          <w:rFonts w:hint="eastAsia" w:ascii="仿宋_GB2312" w:eastAsia="仿宋_GB2312"/>
          <w:sz w:val="32"/>
          <w:szCs w:val="32"/>
          <w:lang w:eastAsia="zh-CN"/>
        </w:rPr>
        <w:t>是督查督办任务检查增加</w:t>
      </w:r>
      <w:r>
        <w:rPr>
          <w:rFonts w:hint="eastAsia" w:ascii="仿宋_GB2312" w:eastAsia="仿宋_GB2312"/>
          <w:sz w:val="32"/>
          <w:szCs w:val="32"/>
        </w:rPr>
        <w:t>。</w:t>
      </w:r>
      <w:r>
        <w:rPr>
          <w:rFonts w:hint="eastAsia" w:ascii="仿宋_GB2312" w:eastAsia="仿宋_GB2312"/>
          <w:sz w:val="32"/>
          <w:szCs w:val="32"/>
          <w:lang w:val="en-US" w:eastAsia="zh-CN"/>
        </w:rPr>
        <w:t>但没有超预算支出</w:t>
      </w:r>
      <w:r>
        <w:rPr>
          <w:rFonts w:hint="eastAsia" w:ascii="仿宋_GB2312" w:eastAsia="仿宋_GB2312"/>
          <w:sz w:val="32"/>
          <w:szCs w:val="32"/>
        </w:rPr>
        <w:t>。其中：</w:t>
      </w:r>
    </w:p>
    <w:p>
      <w:pPr>
        <w:spacing w:line="600" w:lineRule="exact"/>
        <w:ind w:firstLine="640"/>
        <w:rPr>
          <w:rFonts w:hint="eastAsia"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1</w:t>
      </w:r>
      <w:r>
        <w:rPr>
          <w:rFonts w:hint="eastAsia" w:ascii="仿宋_GB2312" w:eastAsia="仿宋_GB2312"/>
          <w:sz w:val="32"/>
          <w:szCs w:val="32"/>
        </w:rPr>
        <w:t>万元，主要用于</w:t>
      </w:r>
      <w:r>
        <w:rPr>
          <w:rFonts w:hint="eastAsia" w:ascii="仿宋_GB2312" w:eastAsia="仿宋_GB2312"/>
          <w:sz w:val="32"/>
          <w:szCs w:val="32"/>
          <w:lang w:eastAsia="zh-CN"/>
        </w:rPr>
        <w:t>督查督办</w:t>
      </w:r>
      <w:r>
        <w:rPr>
          <w:rFonts w:hint="eastAsia" w:ascii="仿宋_GB2312" w:eastAsia="仿宋_GB2312"/>
          <w:sz w:val="32"/>
          <w:szCs w:val="32"/>
        </w:rPr>
        <w:t>执行公务、开展业务活动开支的用餐费。国内公务接待</w:t>
      </w:r>
      <w:r>
        <w:rPr>
          <w:rFonts w:hint="eastAsia" w:ascii="仿宋_GB2312" w:eastAsia="仿宋_GB2312"/>
          <w:sz w:val="32"/>
          <w:szCs w:val="32"/>
          <w:lang w:val="en-US" w:eastAsia="zh-CN"/>
        </w:rPr>
        <w:t>11</w:t>
      </w:r>
      <w:r>
        <w:rPr>
          <w:rFonts w:hint="eastAsia" w:ascii="仿宋_GB2312" w:eastAsia="仿宋_GB2312"/>
          <w:sz w:val="32"/>
          <w:szCs w:val="32"/>
        </w:rPr>
        <w:t>批次，</w:t>
      </w:r>
      <w:r>
        <w:rPr>
          <w:rFonts w:hint="eastAsia" w:ascii="仿宋_GB2312" w:eastAsia="仿宋_GB2312"/>
          <w:sz w:val="32"/>
          <w:szCs w:val="32"/>
          <w:lang w:val="en-US" w:eastAsia="zh-CN"/>
        </w:rPr>
        <w:t>86</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1</w:t>
      </w:r>
      <w:r>
        <w:rPr>
          <w:rFonts w:hint="eastAsia" w:ascii="仿宋_GB2312" w:eastAsia="仿宋_GB2312"/>
          <w:sz w:val="32"/>
          <w:szCs w:val="32"/>
        </w:rPr>
        <w:t>万元，具体内容包括：上级督查督</w:t>
      </w:r>
      <w:r>
        <w:rPr>
          <w:rFonts w:hint="eastAsia" w:ascii="仿宋_GB2312" w:eastAsia="仿宋_GB2312"/>
          <w:sz w:val="32"/>
          <w:szCs w:val="32"/>
          <w:lang w:eastAsia="zh-CN"/>
        </w:rPr>
        <w:t>办</w:t>
      </w:r>
      <w:r>
        <w:rPr>
          <w:rFonts w:hint="eastAsia" w:ascii="仿宋_GB2312" w:eastAsia="仿宋_GB2312"/>
          <w:sz w:val="32"/>
          <w:szCs w:val="32"/>
        </w:rPr>
        <w:t>公务接待支出0.</w:t>
      </w:r>
      <w:r>
        <w:rPr>
          <w:rFonts w:hint="eastAsia" w:ascii="仿宋_GB2312" w:eastAsia="仿宋_GB2312"/>
          <w:sz w:val="32"/>
          <w:szCs w:val="32"/>
          <w:lang w:val="en-US" w:eastAsia="zh-CN"/>
        </w:rPr>
        <w:t>7</w:t>
      </w:r>
      <w:r>
        <w:rPr>
          <w:rFonts w:hint="eastAsia" w:ascii="仿宋_GB2312" w:eastAsia="仿宋_GB2312"/>
          <w:sz w:val="32"/>
          <w:szCs w:val="32"/>
        </w:rPr>
        <w:t>万元、工作检查调研支出0.</w:t>
      </w:r>
      <w:r>
        <w:rPr>
          <w:rFonts w:hint="eastAsia" w:ascii="仿宋_GB2312" w:eastAsia="仿宋_GB2312"/>
          <w:sz w:val="32"/>
          <w:szCs w:val="32"/>
          <w:lang w:val="en-US" w:eastAsia="zh-CN"/>
        </w:rPr>
        <w:t>3</w:t>
      </w:r>
      <w:r>
        <w:rPr>
          <w:rFonts w:hint="eastAsia" w:ascii="仿宋_GB2312" w:eastAsia="仿宋_GB2312"/>
          <w:sz w:val="32"/>
          <w:szCs w:val="32"/>
        </w:rPr>
        <w:t>万元。</w:t>
      </w:r>
    </w:p>
    <w:p>
      <w:pPr>
        <w:spacing w:line="600" w:lineRule="exact"/>
        <w:ind w:firstLine="640"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38" w:name="_Toc15377218"/>
      <w:bookmarkStart w:id="39" w:name="_Toc15396610"/>
    </w:p>
    <w:p>
      <w:pPr>
        <w:spacing w:line="600" w:lineRule="exact"/>
        <w:ind w:firstLine="640"/>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38"/>
      <w:bookmarkEnd w:id="39"/>
    </w:p>
    <w:p>
      <w:pPr>
        <w:spacing w:line="600" w:lineRule="exact"/>
        <w:ind w:firstLine="640"/>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2"/>
        </w:numPr>
        <w:spacing w:line="600" w:lineRule="exact"/>
        <w:ind w:firstLine="640"/>
        <w:outlineLvl w:val="1"/>
        <w:rPr>
          <w:rStyle w:val="30"/>
          <w:rFonts w:ascii="黑体" w:hAnsi="黑体" w:eastAsia="黑体"/>
          <w:b w:val="0"/>
        </w:rPr>
      </w:pPr>
      <w:bookmarkStart w:id="40" w:name="_Toc15396611"/>
      <w:bookmarkStart w:id="41" w:name="_Toc15377219"/>
      <w:r>
        <w:rPr>
          <w:rStyle w:val="30"/>
          <w:rFonts w:hint="eastAsia" w:ascii="黑体" w:hAnsi="黑体" w:eastAsia="黑体"/>
          <w:b w:val="0"/>
        </w:rPr>
        <w:t>国有资本经营预算支出决算情况说明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2"/>
        </w:numPr>
        <w:spacing w:line="600" w:lineRule="exact"/>
        <w:ind w:firstLine="640"/>
        <w:outlineLvl w:val="1"/>
        <w:rPr>
          <w:rStyle w:val="30"/>
          <w:rFonts w:ascii="黑体" w:hAnsi="黑体" w:eastAsia="黑体"/>
          <w:b w:val="0"/>
        </w:rPr>
      </w:pPr>
      <w:bookmarkStart w:id="42" w:name="_Toc15377221"/>
      <w:bookmarkStart w:id="43" w:name="_Toc15396612"/>
      <w:r>
        <w:rPr>
          <w:rStyle w:val="30"/>
          <w:rFonts w:hint="eastAsia" w:ascii="黑体" w:hAnsi="黑体" w:eastAsia="黑体"/>
          <w:b w:val="0"/>
        </w:rPr>
        <w:t>其他重要事项的情况说明</w:t>
      </w:r>
      <w:bookmarkEnd w:id="42"/>
      <w:bookmarkEnd w:id="43"/>
    </w:p>
    <w:p>
      <w:pPr>
        <w:spacing w:line="600" w:lineRule="exact"/>
        <w:ind w:firstLine="640" w:firstLineChars="200"/>
        <w:outlineLvl w:val="2"/>
        <w:rPr>
          <w:rFonts w:ascii="仿宋" w:hAnsi="仿宋" w:eastAsia="仿宋"/>
          <w:sz w:val="32"/>
          <w:szCs w:val="32"/>
        </w:rPr>
      </w:pPr>
      <w:bookmarkStart w:id="44" w:name="_Toc15377222"/>
      <w:r>
        <w:rPr>
          <w:rFonts w:hint="eastAsia" w:ascii="仿宋" w:hAnsi="仿宋" w:eastAsia="仿宋"/>
          <w:b/>
          <w:sz w:val="32"/>
          <w:szCs w:val="32"/>
        </w:rPr>
        <w:t>（一）机关运行经费支出情况</w:t>
      </w:r>
      <w:bookmarkEnd w:id="44"/>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剑阁县目标绩效事务中心</w:t>
      </w:r>
      <w:r>
        <w:rPr>
          <w:rFonts w:hint="eastAsia" w:ascii="仿宋_GB2312" w:eastAsia="仿宋_GB2312"/>
          <w:sz w:val="32"/>
          <w:szCs w:val="32"/>
        </w:rPr>
        <w:t>机关运行经费支出</w:t>
      </w:r>
      <w:r>
        <w:rPr>
          <w:rFonts w:hint="eastAsia" w:ascii="仿宋_GB2312" w:eastAsia="仿宋_GB2312"/>
          <w:sz w:val="32"/>
          <w:szCs w:val="32"/>
          <w:lang w:val="en-US" w:eastAsia="zh-CN"/>
        </w:rPr>
        <w:t>15.46</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0.38</w:t>
      </w:r>
      <w:r>
        <w:rPr>
          <w:rFonts w:hint="eastAsia" w:ascii="仿宋_GB2312" w:eastAsia="仿宋_GB2312"/>
          <w:sz w:val="32"/>
          <w:szCs w:val="32"/>
        </w:rPr>
        <w:t>万元，下降</w:t>
      </w:r>
      <w:r>
        <w:rPr>
          <w:rFonts w:hint="eastAsia" w:ascii="仿宋_GB2312" w:eastAsia="仿宋_GB2312"/>
          <w:sz w:val="32"/>
          <w:szCs w:val="32"/>
          <w:lang w:val="en-US" w:eastAsia="zh-CN"/>
        </w:rPr>
        <w:t>2.40</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主要原因是</w:t>
      </w:r>
      <w:r>
        <w:rPr>
          <w:rFonts w:hint="eastAsia" w:ascii="仿宋_GB2312" w:eastAsia="仿宋_GB2312"/>
          <w:sz w:val="32"/>
          <w:szCs w:val="32"/>
          <w:lang w:eastAsia="zh-CN"/>
        </w:rPr>
        <w:t>减少办公费用支出</w:t>
      </w:r>
      <w:r>
        <w:rPr>
          <w:rFonts w:hint="eastAsia" w:ascii="仿宋_GB2312" w:eastAsia="仿宋_GB2312"/>
          <w:sz w:val="32"/>
          <w:szCs w:val="32"/>
        </w:rPr>
        <w:t>。</w:t>
      </w:r>
    </w:p>
    <w:p>
      <w:pPr>
        <w:autoSpaceDE w:val="0"/>
        <w:autoSpaceDN w:val="0"/>
        <w:adjustRightInd w:val="0"/>
        <w:spacing w:line="600" w:lineRule="exact"/>
        <w:ind w:firstLine="640" w:firstLineChars="200"/>
        <w:jc w:val="left"/>
        <w:outlineLvl w:val="2"/>
        <w:rPr>
          <w:rFonts w:ascii="仿宋" w:hAnsi="仿宋" w:eastAsia="仿宋"/>
          <w:b/>
          <w:sz w:val="32"/>
          <w:szCs w:val="32"/>
        </w:rPr>
      </w:pPr>
      <w:bookmarkStart w:id="45" w:name="_Toc15377223"/>
      <w:r>
        <w:rPr>
          <w:rFonts w:hint="eastAsia" w:ascii="仿宋" w:hAnsi="仿宋" w:eastAsia="仿宋"/>
          <w:b/>
          <w:sz w:val="32"/>
          <w:szCs w:val="32"/>
        </w:rPr>
        <w:t>（二）政府采购支出情况</w:t>
      </w:r>
      <w:bookmarkEnd w:id="45"/>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剑阁县目标绩效事务中心</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0" w:firstLineChars="200"/>
        <w:jc w:val="left"/>
        <w:outlineLvl w:val="2"/>
        <w:rPr>
          <w:rFonts w:ascii="仿宋" w:hAnsi="仿宋" w:eastAsia="仿宋"/>
          <w:b/>
          <w:sz w:val="32"/>
          <w:szCs w:val="32"/>
        </w:rPr>
      </w:pPr>
      <w:bookmarkStart w:id="46" w:name="_Toc15377224"/>
      <w:r>
        <w:rPr>
          <w:rFonts w:hint="eastAsia" w:ascii="仿宋" w:hAnsi="仿宋" w:eastAsia="仿宋"/>
          <w:b/>
          <w:sz w:val="32"/>
          <w:szCs w:val="32"/>
        </w:rPr>
        <w:t>（三）国有资产占有使用情况</w:t>
      </w:r>
      <w:bookmarkEnd w:id="46"/>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剑阁县目标绩效事务中心</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0"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w:t>
      </w:r>
      <w:r>
        <w:rPr>
          <w:rFonts w:hint="default" w:ascii="仿宋_GB2312" w:hAnsi="仿宋_GB2312" w:eastAsia="仿宋_GB2312" w:cs="仿宋_GB2312"/>
          <w:sz w:val="32"/>
          <w:szCs w:val="32"/>
          <w:lang w:val="en-US" w:eastAsia="zh-CN"/>
        </w:rPr>
        <w:t>目标绩效管理工作经费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w:t>
      </w:r>
    </w:p>
    <w:p>
      <w:pPr>
        <w:widowControl/>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组织对2022年度一般公共预算全面开展绩效自评，形成</w:t>
      </w:r>
      <w:r>
        <w:rPr>
          <w:rFonts w:hint="eastAsia" w:ascii="仿宋_GB2312" w:hAnsi="仿宋_GB2312" w:eastAsia="仿宋_GB2312" w:cs="仿宋_GB2312"/>
          <w:sz w:val="32"/>
          <w:szCs w:val="32"/>
          <w:lang w:eastAsia="zh-CN"/>
        </w:rPr>
        <w:t>目标绩效事务中心</w:t>
      </w:r>
      <w:r>
        <w:rPr>
          <w:rFonts w:hint="eastAsia" w:ascii="仿宋_GB2312" w:hAnsi="仿宋_GB2312" w:eastAsia="仿宋_GB2312" w:cs="仿宋_GB2312"/>
          <w:sz w:val="32"/>
          <w:szCs w:val="32"/>
        </w:rPr>
        <w:t>部门整体（含部门预算项目）绩效自评报告、</w:t>
      </w:r>
      <w:r>
        <w:rPr>
          <w:rFonts w:hint="default" w:ascii="仿宋_GB2312" w:hAnsi="仿宋_GB2312" w:eastAsia="仿宋_GB2312" w:cs="仿宋_GB2312"/>
          <w:sz w:val="32"/>
          <w:szCs w:val="32"/>
          <w:lang w:val="en-US" w:eastAsia="zh-CN"/>
        </w:rPr>
        <w:t>目标绩效管理工作</w:t>
      </w:r>
      <w:r>
        <w:rPr>
          <w:rFonts w:hint="eastAsia" w:ascii="仿宋_GB2312" w:hAnsi="仿宋_GB2312" w:eastAsia="仿宋_GB2312" w:cs="仿宋_GB2312"/>
          <w:sz w:val="32"/>
          <w:szCs w:val="32"/>
        </w:rPr>
        <w:t>专项预算项目绩效自评报告，其中，</w:t>
      </w:r>
      <w:r>
        <w:rPr>
          <w:rFonts w:hint="eastAsia" w:ascii="仿宋_GB2312" w:hAnsi="仿宋_GB2312" w:eastAsia="仿宋_GB2312" w:cs="仿宋_GB2312"/>
          <w:sz w:val="32"/>
          <w:szCs w:val="32"/>
          <w:lang w:eastAsia="zh-CN"/>
        </w:rPr>
        <w:t>目标绩效事务中心</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rPr>
      </w:pPr>
    </w:p>
    <w:p>
      <w:pPr>
        <w:pStyle w:val="2"/>
        <w:rPr>
          <w:rFonts w:hint="eastAsia" w:ascii="仿宋_GB2312" w:hAnsi="仿宋_GB2312" w:eastAsia="仿宋_GB2312" w:cs="仿宋_GB2312"/>
          <w:sz w:val="32"/>
          <w:szCs w:val="32"/>
        </w:rPr>
      </w:pPr>
    </w:p>
    <w:p>
      <w:pPr>
        <w:rPr>
          <w:rFonts w:hint="eastAsia"/>
        </w:rPr>
      </w:pPr>
    </w:p>
    <w:p>
      <w:pPr>
        <w:pStyle w:val="2"/>
      </w:pPr>
    </w:p>
    <w:p>
      <w:pPr>
        <w:numPr>
          <w:ilvl w:val="0"/>
          <w:numId w:val="3"/>
        </w:numPr>
        <w:spacing w:line="600" w:lineRule="exact"/>
        <w:ind w:firstLine="660" w:firstLineChars="150"/>
        <w:jc w:val="center"/>
        <w:outlineLvl w:val="0"/>
        <w:rPr>
          <w:rStyle w:val="29"/>
          <w:rFonts w:ascii="黑体" w:hAnsi="黑体" w:eastAsia="黑体"/>
          <w:b w:val="0"/>
        </w:rPr>
      </w:pPr>
      <w:bookmarkStart w:id="47" w:name="_Toc15377225"/>
      <w:bookmarkStart w:id="48" w:name="_Toc15396613"/>
      <w:r>
        <w:rPr>
          <w:rFonts w:hint="eastAsia" w:ascii="黑体" w:hAnsi="黑体" w:eastAsia="黑体"/>
          <w:sz w:val="44"/>
          <w:szCs w:val="44"/>
        </w:rPr>
        <w:t>名</w:t>
      </w:r>
      <w:r>
        <w:rPr>
          <w:rStyle w:val="29"/>
          <w:rFonts w:hint="eastAsia" w:ascii="黑体" w:hAnsi="黑体" w:eastAsia="黑体"/>
          <w:b w:val="0"/>
        </w:rPr>
        <w:t>词解释</w:t>
      </w:r>
      <w:bookmarkEnd w:id="47"/>
      <w:bookmarkEnd w:id="48"/>
    </w:p>
    <w:p>
      <w:pPr>
        <w:spacing w:line="600" w:lineRule="exact"/>
        <w:jc w:val="left"/>
        <w:rPr>
          <w:rFonts w:ascii="宋体"/>
          <w:b/>
          <w:sz w:val="44"/>
          <w:szCs w:val="44"/>
        </w:rPr>
      </w:pP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keepNext w:val="0"/>
        <w:keepLines w:val="0"/>
        <w:pageBreakBefore w:val="0"/>
        <w:widowControl w:val="0"/>
        <w:kinsoku/>
        <w:wordWrap/>
        <w:overflowPunct/>
        <w:topLinePunct w:val="0"/>
        <w:autoSpaceDE w:val="0"/>
        <w:autoSpaceDN w:val="0"/>
        <w:bidi w:val="0"/>
        <w:adjustRightInd/>
        <w:snapToGrid/>
        <w:spacing w:before="0" w:line="480" w:lineRule="exact"/>
        <w:ind w:firstLine="640" w:firstLineChars="200"/>
        <w:jc w:val="both"/>
        <w:textAlignment w:val="auto"/>
        <w:rPr>
          <w:rFonts w:hint="eastAsia" w:ascii="仿宋_GB2312" w:eastAsia="仿宋_GB2312"/>
          <w:sz w:val="32"/>
          <w:szCs w:val="32"/>
          <w:lang w:val="en-US" w:eastAsia="zh-CN"/>
        </w:rPr>
      </w:pPr>
      <w:r>
        <w:rPr>
          <w:rFonts w:ascii="仿宋_GB2312" w:eastAsia="仿宋_GB2312"/>
          <w:color w:val="auto"/>
          <w:sz w:val="32"/>
          <w:szCs w:val="32"/>
        </w:rPr>
        <w:t>2.</w:t>
      </w:r>
      <w:r>
        <w:rPr>
          <w:rFonts w:hint="eastAsia" w:ascii="仿宋_GB2312" w:eastAsia="仿宋_GB2312"/>
          <w:sz w:val="32"/>
          <w:szCs w:val="32"/>
        </w:rPr>
        <w:t>一般公共服务（类）</w:t>
      </w:r>
      <w:r>
        <w:rPr>
          <w:rFonts w:hint="default" w:ascii="仿宋_GB2312" w:eastAsia="仿宋_GB2312"/>
          <w:sz w:val="32"/>
          <w:szCs w:val="32"/>
          <w:lang w:val="en-US" w:eastAsia="zh-CN"/>
        </w:rPr>
        <w:t>党委办公厅(室)及相关机构事务（款）行政运行（项）</w:t>
      </w:r>
      <w:r>
        <w:rPr>
          <w:rFonts w:hint="eastAsia" w:ascii="仿宋_GB2312" w:eastAsia="仿宋_GB2312"/>
          <w:sz w:val="32"/>
          <w:szCs w:val="32"/>
          <w:lang w:val="en-US" w:eastAsia="zh-CN"/>
        </w:rPr>
        <w:t>：</w:t>
      </w:r>
      <w:r>
        <w:rPr>
          <w:rFonts w:hint="default" w:ascii="仿宋_GB2312" w:eastAsia="仿宋_GB2312"/>
          <w:sz w:val="32"/>
          <w:szCs w:val="32"/>
          <w:lang w:val="en-US" w:eastAsia="zh-CN"/>
        </w:rPr>
        <w:t>指行政单位（包括实行公务员管理的事业单位）的基本支出。</w:t>
      </w:r>
    </w:p>
    <w:p>
      <w:pPr>
        <w:keepNext w:val="0"/>
        <w:keepLines w:val="0"/>
        <w:pageBreakBefore w:val="0"/>
        <w:widowControl w:val="0"/>
        <w:kinsoku/>
        <w:wordWrap/>
        <w:overflowPunct/>
        <w:topLinePunct w:val="0"/>
        <w:autoSpaceDE w:val="0"/>
        <w:autoSpaceDN w:val="0"/>
        <w:bidi w:val="0"/>
        <w:adjustRightInd/>
        <w:snapToGrid/>
        <w:spacing w:before="0" w:line="48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 xml:space="preserve">.一般公共服务（类）党委办公厅(室)及相关机构事务（款）一般行政管理事务（项）: </w:t>
      </w:r>
      <w:r>
        <w:rPr>
          <w:rFonts w:hint="eastAsia" w:ascii="仿宋_GB2312" w:eastAsia="仿宋_GB2312"/>
          <w:sz w:val="32"/>
          <w:szCs w:val="32"/>
          <w:lang w:val="en-US" w:eastAsia="zh-CN"/>
        </w:rPr>
        <w:t>反映行政单位（</w:t>
      </w:r>
      <w:r>
        <w:rPr>
          <w:rFonts w:hint="default" w:ascii="仿宋_GB2312" w:eastAsia="仿宋_GB2312"/>
          <w:sz w:val="32"/>
          <w:szCs w:val="32"/>
          <w:lang w:val="en-US" w:eastAsia="zh-CN"/>
        </w:rPr>
        <w:t>包括实行公务员管理的事业单位）</w:t>
      </w:r>
      <w:r>
        <w:rPr>
          <w:rFonts w:hint="eastAsia" w:ascii="仿宋_GB2312" w:eastAsia="仿宋_GB2312"/>
          <w:sz w:val="32"/>
          <w:szCs w:val="32"/>
          <w:lang w:val="en-US" w:eastAsia="zh-CN"/>
        </w:rPr>
        <w:t>未单独设置项级科目的其他项目支出。</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社会保障和就业</w:t>
      </w:r>
      <w:r>
        <w:rPr>
          <w:rFonts w:hint="eastAsia" w:ascii="仿宋_GB2312" w:eastAsia="仿宋_GB2312"/>
          <w:sz w:val="32"/>
          <w:szCs w:val="32"/>
          <w:lang w:val="en-US" w:eastAsia="zh-CN"/>
        </w:rPr>
        <w:t>（类）</w:t>
      </w:r>
      <w:r>
        <w:rPr>
          <w:rFonts w:hint="default" w:ascii="仿宋_GB2312" w:eastAsia="仿宋_GB2312"/>
          <w:sz w:val="32"/>
          <w:szCs w:val="32"/>
          <w:lang w:val="en-US" w:eastAsia="zh-CN"/>
        </w:rPr>
        <w:t>行政事业单位养老支出（款）机关事业单位基本养老保险缴费支出（项）: 指机关事业单位实施养老保险制度由单位缴纳的基本养老保险费支出。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卫生健康</w:t>
      </w:r>
      <w:r>
        <w:rPr>
          <w:rFonts w:hint="eastAsia" w:ascii="仿宋_GB2312" w:eastAsia="仿宋_GB2312"/>
          <w:sz w:val="32"/>
          <w:szCs w:val="32"/>
          <w:lang w:val="en-US" w:eastAsia="zh-CN"/>
        </w:rPr>
        <w:t>支出</w:t>
      </w:r>
      <w:r>
        <w:rPr>
          <w:rFonts w:hint="eastAsia" w:ascii="仿宋_GB2312" w:eastAsia="仿宋_GB2312"/>
          <w:sz w:val="32"/>
          <w:szCs w:val="32"/>
        </w:rPr>
        <w:t>（类）</w:t>
      </w:r>
      <w:r>
        <w:rPr>
          <w:rFonts w:hint="eastAsia" w:ascii="仿宋_GB2312" w:eastAsia="仿宋_GB2312"/>
          <w:sz w:val="32"/>
          <w:szCs w:val="32"/>
          <w:lang w:val="en-US" w:eastAsia="zh-CN"/>
        </w:rPr>
        <w:t>行政事业单位医疗（款）行政单位医疗（项）：指财政部门安排的行政单位（包括实行公务员管理的事业单位）基本医疗保险缴费经费</w:t>
      </w:r>
      <w:r>
        <w:rPr>
          <w:rFonts w:hint="eastAsia" w:ascii="仿宋_GB2312" w:eastAsia="仿宋_GB2312"/>
          <w:sz w:val="32"/>
          <w:szCs w:val="32"/>
        </w:rPr>
        <w:t>。</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lang w:val="en-US" w:eastAsia="zh-CN"/>
        </w:rPr>
        <w:t>住房保障支出（类）住房改革支出（款）住房公积金（项）：指行政事业单位按人力资源和社会保障部、财政局规定的基本工资和津贴补贴以及规定比例为职工缴纳的住房公积金。</w:t>
      </w:r>
    </w:p>
    <w:p>
      <w:pPr>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10</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sz w:val="44"/>
          <w:szCs w:val="44"/>
        </w:rPr>
      </w:pPr>
      <w:bookmarkStart w:id="49" w:name="_Toc15396614"/>
      <w:bookmarkStart w:id="50" w:name="_Toc15377226"/>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both"/>
        <w:outlineLvl w:val="0"/>
        <w:rPr>
          <w:rFonts w:hint="eastAsia" w:ascii="黑体" w:hAnsi="黑体" w:eastAsia="黑体"/>
          <w:sz w:val="44"/>
          <w:szCs w:val="44"/>
        </w:rPr>
      </w:pPr>
    </w:p>
    <w:p>
      <w:pPr>
        <w:spacing w:line="600" w:lineRule="exact"/>
        <w:jc w:val="center"/>
        <w:outlineLvl w:val="0"/>
        <w:rPr>
          <w:rStyle w:val="29"/>
          <w:rFonts w:ascii="黑体" w:hAnsi="黑体" w:eastAsia="黑体"/>
          <w:b w:val="0"/>
        </w:rPr>
      </w:pPr>
      <w:r>
        <w:rPr>
          <w:rFonts w:hint="eastAsia" w:ascii="黑体" w:hAnsi="黑体" w:eastAsia="黑体"/>
          <w:sz w:val="44"/>
          <w:szCs w:val="44"/>
        </w:rPr>
        <w:t>第</w:t>
      </w:r>
      <w:r>
        <w:rPr>
          <w:rStyle w:val="29"/>
          <w:rFonts w:hint="eastAsia" w:ascii="黑体" w:hAnsi="黑体" w:eastAsia="黑体"/>
          <w:b w:val="0"/>
        </w:rPr>
        <w:t>四部分 附件</w:t>
      </w:r>
      <w:bookmarkEnd w:id="49"/>
    </w:p>
    <w:p>
      <w:pPr>
        <w:widowControl/>
        <w:spacing w:line="560" w:lineRule="exact"/>
        <w:contextualSpacing/>
        <w:jc w:val="center"/>
        <w:rPr>
          <w:rFonts w:hint="eastAsia" w:ascii="宋体" w:hAnsi="宋体"/>
          <w:b/>
          <w:sz w:val="32"/>
          <w:szCs w:val="32"/>
          <w:shd w:val="clear" w:color="auto" w:fill="FFFFFF"/>
          <w:lang w:val="en" w:eastAsia="zh-CN"/>
        </w:rPr>
      </w:pPr>
      <w:r>
        <w:rPr>
          <w:rFonts w:hint="eastAsia" w:ascii="宋体" w:hAnsi="宋体"/>
          <w:b/>
          <w:sz w:val="32"/>
          <w:szCs w:val="32"/>
          <w:shd w:val="clear" w:color="auto" w:fill="FFFFFF"/>
          <w:lang w:val="en" w:eastAsia="zh-CN"/>
        </w:rPr>
        <w:t>剑阁县目标绩效事务中心</w:t>
      </w:r>
    </w:p>
    <w:p>
      <w:pPr>
        <w:widowControl/>
        <w:spacing w:line="560" w:lineRule="exact"/>
        <w:contextualSpacing/>
        <w:jc w:val="center"/>
        <w:rPr>
          <w:rFonts w:ascii="仿宋_GB2312" w:hAnsi="仿宋_GB2312" w:eastAsia="仿宋_GB2312" w:cs="仿宋_GB2312"/>
          <w:sz w:val="32"/>
          <w:szCs w:val="32"/>
          <w:shd w:val="clear" w:color="auto" w:fill="FFFFFF"/>
        </w:rPr>
      </w:pPr>
      <w:r>
        <w:rPr>
          <w:rFonts w:hint="eastAsia" w:ascii="宋体" w:hAnsi="宋体"/>
          <w:b/>
          <w:sz w:val="32"/>
          <w:szCs w:val="32"/>
          <w:shd w:val="clear" w:color="auto" w:fill="FFFFFF"/>
        </w:rPr>
        <w:t>202</w:t>
      </w:r>
      <w:r>
        <w:rPr>
          <w:rFonts w:hint="eastAsia" w:ascii="宋体" w:hAnsi="宋体"/>
          <w:b/>
          <w:sz w:val="32"/>
          <w:szCs w:val="32"/>
          <w:shd w:val="clear" w:color="auto" w:fill="FFFFFF"/>
          <w:lang w:val="en-US" w:eastAsia="zh-CN"/>
        </w:rPr>
        <w:t>2</w:t>
      </w:r>
      <w:r>
        <w:rPr>
          <w:rFonts w:hint="eastAsia" w:ascii="宋体" w:hAnsi="宋体"/>
          <w:b/>
          <w:sz w:val="32"/>
          <w:szCs w:val="32"/>
          <w:shd w:val="clear" w:color="auto" w:fill="FFFFFF"/>
        </w:rPr>
        <w:t>年部门整体绩效评价报告</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pPr>
        <w:widowControl/>
        <w:numPr>
          <w:ilvl w:val="0"/>
          <w:numId w:val="4"/>
        </w:numPr>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部门（单位）基本情况</w:t>
      </w:r>
    </w:p>
    <w:p>
      <w:pPr>
        <w:spacing w:line="590" w:lineRule="exact"/>
        <w:ind w:firstLine="643" w:firstLineChars="200"/>
        <w:rPr>
          <w:rFonts w:hint="eastAsia" w:ascii="仿宋_GB2312" w:hAnsi="仿宋_GB2312" w:eastAsia="仿宋_GB2312" w:cs="仿宋_GB2312"/>
          <w:kern w:val="0"/>
          <w:sz w:val="32"/>
          <w:szCs w:val="32"/>
          <w:shd w:val="clear" w:color="auto" w:fill="FFFFFF"/>
        </w:rPr>
      </w:pPr>
      <w:r>
        <w:rPr>
          <w:rFonts w:hint="eastAsia" w:ascii="楷体_GB2312" w:hAnsi="楷体_GB2312" w:eastAsia="楷体_GB2312" w:cs="楷体_GB2312"/>
          <w:b/>
          <w:bCs/>
          <w:kern w:val="0"/>
          <w:sz w:val="32"/>
          <w:szCs w:val="32"/>
          <w:shd w:val="clear" w:color="auto" w:fill="FFFFFF"/>
          <w:lang w:val="zh-CN"/>
        </w:rPr>
        <w:t>（一）机构组成。</w:t>
      </w:r>
      <w:r>
        <w:rPr>
          <w:rFonts w:hint="eastAsia" w:ascii="仿宋_GB2312" w:hAnsi="仿宋_GB2312" w:eastAsia="仿宋_GB2312" w:cs="仿宋_GB2312"/>
          <w:kern w:val="0"/>
          <w:sz w:val="32"/>
          <w:szCs w:val="32"/>
          <w:shd w:val="clear" w:color="auto" w:fill="FFFFFF"/>
        </w:rPr>
        <w:t>剑阁县</w:t>
      </w:r>
      <w:r>
        <w:rPr>
          <w:rFonts w:hint="eastAsia" w:ascii="仿宋_GB2312" w:hAnsi="仿宋_GB2312" w:eastAsia="仿宋_GB2312" w:cs="仿宋_GB2312"/>
          <w:kern w:val="0"/>
          <w:sz w:val="32"/>
          <w:szCs w:val="32"/>
          <w:shd w:val="clear" w:color="auto" w:fill="FFFFFF"/>
          <w:lang w:eastAsia="zh-CN"/>
        </w:rPr>
        <w:t>目标绩效事务中心</w:t>
      </w:r>
      <w:r>
        <w:rPr>
          <w:rFonts w:hint="eastAsia" w:ascii="仿宋_GB2312" w:hAnsi="仿宋_GB2312" w:eastAsia="仿宋_GB2312" w:cs="仿宋_GB2312"/>
          <w:kern w:val="0"/>
          <w:sz w:val="32"/>
          <w:szCs w:val="32"/>
          <w:shd w:val="clear" w:color="auto" w:fill="FFFFFF"/>
        </w:rPr>
        <w:t>属于</w:t>
      </w:r>
      <w:r>
        <w:rPr>
          <w:rFonts w:hint="eastAsia" w:ascii="仿宋_GB2312" w:hAnsi="仿宋_GB2312" w:eastAsia="仿宋_GB2312" w:cs="仿宋_GB2312"/>
          <w:kern w:val="0"/>
          <w:sz w:val="32"/>
          <w:szCs w:val="32"/>
          <w:shd w:val="clear" w:color="auto" w:fill="FFFFFF"/>
          <w:lang w:val="en-US" w:eastAsia="zh-CN"/>
        </w:rPr>
        <w:t>属一级预算参公事业单位</w:t>
      </w:r>
      <w:r>
        <w:rPr>
          <w:rFonts w:hint="eastAsia" w:ascii="仿宋_GB2312" w:hAnsi="仿宋_GB2312" w:eastAsia="仿宋_GB2312" w:cs="仿宋_GB2312"/>
          <w:kern w:val="0"/>
          <w:sz w:val="32"/>
          <w:szCs w:val="32"/>
          <w:shd w:val="clear" w:color="auto" w:fill="FFFFFF"/>
        </w:rPr>
        <w:t>。现有</w:t>
      </w: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rPr>
        <w:t>个股室（</w:t>
      </w:r>
      <w:r>
        <w:rPr>
          <w:rFonts w:hint="eastAsia" w:ascii="仿宋_GB2312" w:hAnsi="仿宋_GB2312" w:eastAsia="仿宋_GB2312" w:cs="仿宋_GB2312"/>
          <w:kern w:val="0"/>
          <w:sz w:val="32"/>
          <w:szCs w:val="32"/>
          <w:shd w:val="clear" w:color="auto" w:fill="FFFFFF"/>
          <w:lang w:eastAsia="zh-CN"/>
        </w:rPr>
        <w:t>综合股</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目标绩效事务股、督查督办事务股</w:t>
      </w:r>
      <w:r>
        <w:rPr>
          <w:rFonts w:hint="eastAsia" w:ascii="仿宋_GB2312" w:hAnsi="仿宋_GB2312" w:eastAsia="仿宋_GB2312" w:cs="仿宋_GB2312"/>
          <w:kern w:val="0"/>
          <w:sz w:val="32"/>
          <w:szCs w:val="32"/>
          <w:shd w:val="clear" w:color="auto" w:fill="FFFFFF"/>
        </w:rPr>
        <w:t>）。</w:t>
      </w:r>
    </w:p>
    <w:p>
      <w:pPr>
        <w:spacing w:line="590" w:lineRule="exact"/>
        <w:ind w:firstLine="643" w:firstLineChars="200"/>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（二）机构职能和人员概况。</w:t>
      </w:r>
    </w:p>
    <w:p>
      <w:pPr>
        <w:widowControl/>
        <w:adjustRightInd w:val="0"/>
        <w:snapToGrid w:val="0"/>
        <w:spacing w:line="572" w:lineRule="exact"/>
        <w:ind w:firstLine="643"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楷体_GB2312" w:hAnsi="楷体_GB2312" w:eastAsia="楷体_GB2312" w:cs="楷体_GB2312"/>
          <w:b/>
          <w:bCs/>
          <w:kern w:val="0"/>
          <w:sz w:val="32"/>
          <w:szCs w:val="32"/>
          <w:shd w:val="clear" w:color="auto" w:fill="FFFFFF"/>
          <w:lang w:val="zh-CN" w:eastAsia="zh-CN"/>
        </w:rPr>
        <w:t>机构职能：</w:t>
      </w:r>
      <w:r>
        <w:rPr>
          <w:rFonts w:hint="eastAsia" w:ascii="仿宋_GB2312" w:hAnsi="仿宋_GB2312" w:eastAsia="仿宋_GB2312" w:cs="仿宋_GB2312"/>
          <w:kern w:val="0"/>
          <w:sz w:val="32"/>
          <w:szCs w:val="32"/>
          <w:shd w:val="clear" w:color="auto" w:fill="FFFFFF"/>
          <w:lang w:val="en-US" w:eastAsia="zh-CN"/>
        </w:rPr>
        <w:t xml:space="preserve"> 1.根据上级和县委、县政府年度工作重点，负责做好县级部门和乡镇的目标绩效指标制定、目标运行管理和年度考核工作；</w:t>
      </w:r>
    </w:p>
    <w:p>
      <w:pPr>
        <w:widowControl/>
        <w:adjustRightInd w:val="0"/>
        <w:snapToGrid w:val="0"/>
        <w:spacing w:line="572"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2.负责市委、市政府年度综合目标绩效指标的分解，运行监管、督促落实和汇总上报工作；</w:t>
      </w:r>
    </w:p>
    <w:p>
      <w:pPr>
        <w:widowControl/>
        <w:adjustRightInd w:val="0"/>
        <w:snapToGrid w:val="0"/>
        <w:spacing w:line="572"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3.负责中央、省、市和县委、县政府重大决策部署、重要会议精神、重要文件等贯彻落实情况的督促检查工作；</w:t>
      </w:r>
    </w:p>
    <w:p>
      <w:pPr>
        <w:widowControl/>
        <w:adjustRightInd w:val="0"/>
        <w:snapToGrid w:val="0"/>
        <w:spacing w:line="572"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4.负责县委、县政府主要领导批示交办事项的督促检查工作;</w:t>
      </w:r>
    </w:p>
    <w:p>
      <w:pPr>
        <w:widowControl/>
        <w:adjustRightInd w:val="0"/>
        <w:snapToGrid w:val="0"/>
        <w:spacing w:line="572"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5.负责省市和县定民生实事任务分解、督促落实、考核迎检和汇总上报等工作;</w:t>
      </w:r>
    </w:p>
    <w:p>
      <w:pPr>
        <w:widowControl/>
        <w:adjustRightInd w:val="0"/>
        <w:snapToGrid w:val="0"/>
        <w:spacing w:line="572"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6.负责解决形式主义，为基层减负专项机制办工作。</w:t>
      </w:r>
    </w:p>
    <w:p>
      <w:pPr>
        <w:widowControl/>
        <w:adjustRightInd w:val="0"/>
        <w:snapToGrid w:val="0"/>
        <w:spacing w:line="572" w:lineRule="exact"/>
        <w:ind w:firstLine="643" w:firstLineChars="200"/>
        <w:contextualSpacing/>
        <w:jc w:val="left"/>
        <w:rPr>
          <w:rFonts w:hint="eastAsia" w:ascii="仿宋_GB2312" w:hAnsi="仿宋_GB2312" w:eastAsia="仿宋_GB2312" w:cs="仿宋_GB2312"/>
          <w:kern w:val="0"/>
          <w:sz w:val="32"/>
          <w:szCs w:val="32"/>
          <w:shd w:val="clear" w:color="auto" w:fill="FFFFFF"/>
          <w:lang w:val="zh-CN" w:eastAsia="zh-CN"/>
        </w:rPr>
      </w:pPr>
      <w:r>
        <w:rPr>
          <w:rFonts w:hint="eastAsia" w:ascii="楷体_GB2312" w:hAnsi="楷体_GB2312" w:eastAsia="楷体_GB2312" w:cs="楷体_GB2312"/>
          <w:b/>
          <w:bCs/>
          <w:kern w:val="0"/>
          <w:sz w:val="32"/>
          <w:szCs w:val="32"/>
          <w:shd w:val="clear" w:color="auto" w:fill="FFFFFF"/>
          <w:lang w:val="en-US" w:eastAsia="zh-CN"/>
        </w:rPr>
        <w:t>人员概况：</w:t>
      </w:r>
      <w:r>
        <w:rPr>
          <w:rFonts w:hint="eastAsia" w:ascii="仿宋_GB2312" w:hAnsi="仿宋_GB2312" w:eastAsia="仿宋_GB2312" w:cs="仿宋_GB2312"/>
          <w:kern w:val="0"/>
          <w:sz w:val="32"/>
          <w:szCs w:val="32"/>
          <w:shd w:val="clear" w:color="auto" w:fill="FFFFFF"/>
          <w:lang w:val="en-US" w:eastAsia="zh-CN"/>
        </w:rPr>
        <w:t>截止2022年12月31日，剑阁县目标绩效事务中心总编制10名。其中事业（参公）编制10名。在职人员总数8人，其中参公人员8人。</w:t>
      </w:r>
    </w:p>
    <w:p>
      <w:pPr>
        <w:widowControl/>
        <w:numPr>
          <w:ilvl w:val="0"/>
          <w:numId w:val="5"/>
        </w:numPr>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年度主要工作任务。</w:t>
      </w:r>
    </w:p>
    <w:p>
      <w:pPr>
        <w:widowControl/>
        <w:adjustRightInd w:val="0"/>
        <w:snapToGrid w:val="0"/>
        <w:spacing w:line="572"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1.做好中央、省、市和县委、县政府重大决策部署、重要会议精神、重要文件等贯彻落实情况的督促检查工作。</w:t>
      </w:r>
    </w:p>
    <w:p>
      <w:pPr>
        <w:widowControl/>
        <w:adjustRightInd w:val="0"/>
        <w:snapToGrid w:val="0"/>
        <w:spacing w:line="572"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2.制定下达剑阁县2022年县级部门和乡镇目标绩效指标。并做好日常运行监控工作，适时对部门和乡镇进行调研、督导、检查。</w:t>
      </w:r>
    </w:p>
    <w:p>
      <w:pPr>
        <w:widowControl/>
        <w:adjustRightInd w:val="0"/>
        <w:snapToGrid w:val="0"/>
        <w:spacing w:line="572"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3.做好我县年终综合目标考评的组织实施工作。</w:t>
      </w:r>
    </w:p>
    <w:p>
      <w:pPr>
        <w:widowControl/>
        <w:adjustRightInd w:val="0"/>
        <w:snapToGrid w:val="0"/>
        <w:spacing w:line="572"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4.做好迎接市上对我县综合目标考评相关工作。</w:t>
      </w:r>
    </w:p>
    <w:p>
      <w:pPr>
        <w:widowControl/>
        <w:adjustRightInd w:val="0"/>
        <w:snapToGrid w:val="0"/>
        <w:spacing w:line="572"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5.做好各级领导批示交办事项的督查督办工作。</w:t>
      </w:r>
    </w:p>
    <w:p>
      <w:pPr>
        <w:widowControl/>
        <w:adjustRightInd w:val="0"/>
        <w:snapToGrid w:val="0"/>
        <w:spacing w:line="572"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6.做好省市和我县民生实事工作。</w:t>
      </w:r>
    </w:p>
    <w:p>
      <w:pPr>
        <w:widowControl/>
        <w:adjustRightInd w:val="0"/>
        <w:snapToGrid w:val="0"/>
        <w:spacing w:line="572"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7.负责解决形式主义，为基层减负专项机制办工作。</w:t>
      </w:r>
    </w:p>
    <w:p>
      <w:pPr>
        <w:widowControl/>
        <w:adjustRightInd w:val="0"/>
        <w:snapToGrid w:val="0"/>
        <w:spacing w:line="572"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8.做好上级检查我重大决策落实、环保、巡视整改、经济运行、项目投资和产业发展等工作的协调、筹备、迎检工作。</w:t>
      </w:r>
    </w:p>
    <w:p>
      <w:pPr>
        <w:widowControl/>
        <w:adjustRightInd w:val="0"/>
        <w:snapToGrid w:val="0"/>
        <w:spacing w:line="572" w:lineRule="exact"/>
        <w:ind w:left="319" w:leftChars="152" w:firstLine="321" w:firstLineChars="1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（四）部门整体支出绩效目标。</w:t>
      </w:r>
    </w:p>
    <w:p>
      <w:pPr>
        <w:pStyle w:val="7"/>
        <w:numPr>
          <w:ilvl w:val="0"/>
          <w:numId w:val="0"/>
        </w:numPr>
        <w:rPr>
          <w:rFonts w:hint="default" w:eastAsia="仿宋_GB2312"/>
          <w:lang w:val="en-US" w:eastAsia="zh-CN"/>
        </w:rPr>
      </w:pPr>
      <w:r>
        <w:rPr>
          <w:rFonts w:hint="eastAsia"/>
          <w:lang w:val="en-US" w:eastAsia="zh-CN"/>
        </w:rPr>
        <w:t xml:space="preserve">    </w:t>
      </w:r>
      <w:r>
        <w:rPr>
          <w:rFonts w:hint="eastAsia" w:ascii="仿宋_GB2312" w:hAnsi="仿宋_GB2312" w:eastAsia="仿宋_GB2312" w:cs="仿宋_GB2312"/>
          <w:spacing w:val="0"/>
          <w:sz w:val="32"/>
          <w:szCs w:val="32"/>
        </w:rPr>
        <w:t>2022年，在</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财政</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的指导下</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我</w:t>
      </w:r>
      <w:r>
        <w:rPr>
          <w:rFonts w:hint="eastAsia" w:hAnsi="仿宋_GB2312" w:cs="仿宋_GB2312"/>
          <w:spacing w:val="0"/>
          <w:sz w:val="32"/>
          <w:szCs w:val="32"/>
          <w:lang w:eastAsia="zh-CN"/>
        </w:rPr>
        <w:t>中心</w:t>
      </w:r>
      <w:r>
        <w:rPr>
          <w:rFonts w:hint="eastAsia" w:ascii="仿宋_GB2312" w:hAnsi="仿宋_GB2312" w:eastAsia="仿宋_GB2312" w:cs="仿宋_GB2312"/>
          <w:spacing w:val="0"/>
          <w:sz w:val="32"/>
          <w:szCs w:val="32"/>
        </w:rPr>
        <w:t>以实现绩效目标为导向，以财政支出绩效评价为手段，以评价结果应用为保障，提高财政资金使用效益，扎实有效推进了预算绩效管理工作，预算绩效管理工作取得了一定的成效。</w:t>
      </w:r>
      <w:r>
        <w:rPr>
          <w:rFonts w:hint="eastAsia" w:ascii="仿宋_GB2312" w:hAnsi="仿宋_GB2312" w:eastAsia="仿宋_GB2312" w:cs="仿宋_GB2312"/>
          <w:b/>
          <w:bCs/>
          <w:spacing w:val="0"/>
          <w:sz w:val="32"/>
          <w:szCs w:val="32"/>
          <w:lang w:val="en-US" w:eastAsia="zh-CN"/>
        </w:rPr>
        <w:t>一是</w:t>
      </w:r>
      <w:r>
        <w:rPr>
          <w:rFonts w:hint="eastAsia" w:ascii="仿宋_GB2312" w:hAnsi="仿宋_GB2312" w:eastAsia="仿宋_GB2312" w:cs="仿宋_GB2312"/>
          <w:b/>
          <w:bCs/>
          <w:spacing w:val="0"/>
          <w:sz w:val="32"/>
          <w:szCs w:val="32"/>
        </w:rPr>
        <w:t>预算控制制度。</w:t>
      </w:r>
      <w:r>
        <w:rPr>
          <w:rFonts w:hint="eastAsia" w:ascii="仿宋_GB2312" w:hAnsi="仿宋_GB2312" w:eastAsia="仿宋_GB2312" w:cs="仿宋_GB2312"/>
          <w:spacing w:val="0"/>
          <w:sz w:val="32"/>
          <w:szCs w:val="32"/>
        </w:rPr>
        <w:t>提高预算控制管理水平，完善部门预算的调整制度，从调整时间、方法、程序等作相应的规定，建立预算的跟踪、分析和评价制度；完善预算控制制度，确保资金的正确使用，提高资金的使用效益；建立预算执行情况预警机制，科学选择预警指标，合理确定预警范围，及时发出预警信号，积极采取应对措施。</w:t>
      </w:r>
      <w:r>
        <w:rPr>
          <w:rFonts w:hint="eastAsia" w:ascii="仿宋_GB2312" w:hAnsi="仿宋_GB2312" w:eastAsia="仿宋_GB2312" w:cs="仿宋_GB2312"/>
          <w:b/>
          <w:bCs/>
          <w:spacing w:val="0"/>
          <w:sz w:val="32"/>
          <w:szCs w:val="32"/>
          <w:lang w:eastAsia="zh-CN"/>
        </w:rPr>
        <w:t>二</w:t>
      </w:r>
      <w:r>
        <w:rPr>
          <w:rFonts w:hint="eastAsia" w:ascii="仿宋_GB2312" w:hAnsi="仿宋_GB2312" w:eastAsia="仿宋_GB2312" w:cs="仿宋_GB2312"/>
          <w:b/>
          <w:bCs/>
          <w:spacing w:val="0"/>
          <w:sz w:val="32"/>
          <w:szCs w:val="32"/>
        </w:rPr>
        <w:t>是建立和实施绩效考评制度。</w:t>
      </w:r>
      <w:r>
        <w:rPr>
          <w:rFonts w:hint="eastAsia" w:ascii="仿宋_GB2312" w:hAnsi="仿宋_GB2312" w:eastAsia="仿宋_GB2312" w:cs="仿宋_GB2312"/>
          <w:spacing w:val="0"/>
          <w:sz w:val="32"/>
          <w:szCs w:val="32"/>
        </w:rPr>
        <w:t>科学设置考核指标体系，对单位内部各个责任部门和干部职工的业绩进行定期考核和客观评价，来实现对其在工作过程中行为的约束和引导。对于严格执行内部会计控制制度的，给予精神或者物质奖励;对于违规违章的，坚决给予行政处分和经济处罚。做到压力与动力相结合，最终达到内部控制的目的，使制度真正落到实处。</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rPr>
        <w:t>1.部门总体收入情况</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202</w:t>
      </w: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rPr>
        <w:t>年本年</w:t>
      </w:r>
      <w:r>
        <w:rPr>
          <w:rFonts w:hint="eastAsia" w:ascii="仿宋_GB2312" w:hAnsi="仿宋_GB2312" w:eastAsia="仿宋_GB2312" w:cs="仿宋_GB2312"/>
          <w:kern w:val="0"/>
          <w:sz w:val="32"/>
          <w:szCs w:val="32"/>
          <w:shd w:val="clear" w:color="auto" w:fill="FFFFFF"/>
          <w:lang w:eastAsia="zh-CN"/>
        </w:rPr>
        <w:t>总体</w:t>
      </w:r>
      <w:r>
        <w:rPr>
          <w:rFonts w:hint="eastAsia" w:ascii="仿宋_GB2312" w:hAnsi="仿宋_GB2312" w:eastAsia="仿宋_GB2312" w:cs="仿宋_GB2312"/>
          <w:kern w:val="0"/>
          <w:sz w:val="32"/>
          <w:szCs w:val="32"/>
          <w:shd w:val="clear" w:color="auto" w:fill="FFFFFF"/>
        </w:rPr>
        <w:t>收入合计</w:t>
      </w:r>
      <w:r>
        <w:rPr>
          <w:rFonts w:hint="eastAsia" w:ascii="仿宋_GB2312" w:hAnsi="仿宋_GB2312" w:eastAsia="仿宋_GB2312" w:cs="仿宋_GB2312"/>
          <w:kern w:val="0"/>
          <w:sz w:val="32"/>
          <w:szCs w:val="32"/>
          <w:shd w:val="clear" w:color="auto" w:fill="FFFFFF"/>
          <w:lang w:val="en-US" w:eastAsia="zh-CN"/>
        </w:rPr>
        <w:t>138.29</w:t>
      </w:r>
      <w:r>
        <w:rPr>
          <w:rFonts w:hint="eastAsia" w:ascii="仿宋_GB2312" w:hAnsi="仿宋_GB2312" w:eastAsia="仿宋_GB2312" w:cs="仿宋_GB2312"/>
          <w:kern w:val="0"/>
          <w:sz w:val="32"/>
          <w:szCs w:val="32"/>
          <w:shd w:val="clear" w:color="auto" w:fill="FFFFFF"/>
        </w:rPr>
        <w:t>万元，其中：一般公共预算财政拨款收入</w:t>
      </w:r>
      <w:r>
        <w:rPr>
          <w:rFonts w:hint="eastAsia" w:ascii="仿宋_GB2312" w:hAnsi="仿宋_GB2312" w:eastAsia="仿宋_GB2312" w:cs="仿宋_GB2312"/>
          <w:kern w:val="0"/>
          <w:sz w:val="32"/>
          <w:szCs w:val="32"/>
          <w:shd w:val="clear" w:color="auto" w:fill="FFFFFF"/>
          <w:lang w:val="en-US" w:eastAsia="zh-CN"/>
        </w:rPr>
        <w:t>138.29</w:t>
      </w:r>
      <w:r>
        <w:rPr>
          <w:rFonts w:hint="eastAsia" w:ascii="仿宋_GB2312" w:hAnsi="仿宋_GB2312" w:eastAsia="仿宋_GB2312" w:cs="仿宋_GB2312"/>
          <w:kern w:val="0"/>
          <w:sz w:val="32"/>
          <w:szCs w:val="32"/>
          <w:shd w:val="clear" w:color="auto" w:fill="FFFFFF"/>
        </w:rPr>
        <w:t>万元，占100%。</w:t>
      </w:r>
      <w:r>
        <w:rPr>
          <w:rFonts w:hint="eastAsia" w:ascii="仿宋_GB2312" w:hAnsi="仿宋_GB2312" w:eastAsia="仿宋_GB2312" w:cs="仿宋_GB2312"/>
          <w:b w:val="0"/>
          <w:bCs w:val="0"/>
          <w:spacing w:val="6"/>
          <w:sz w:val="32"/>
          <w:szCs w:val="32"/>
        </w:rPr>
        <w:t>无其他收</w:t>
      </w:r>
      <w:r>
        <w:rPr>
          <w:rFonts w:hint="eastAsia" w:ascii="仿宋_GB2312" w:hAnsi="仿宋_GB2312" w:eastAsia="仿宋_GB2312" w:cs="仿宋_GB2312"/>
          <w:b w:val="0"/>
          <w:bCs w:val="0"/>
          <w:spacing w:val="5"/>
          <w:sz w:val="32"/>
          <w:szCs w:val="32"/>
        </w:rPr>
        <w:t>入。</w:t>
      </w:r>
    </w:p>
    <w:p>
      <w:pPr>
        <w:widowControl/>
        <w:adjustRightInd w:val="0"/>
        <w:snapToGrid w:val="0"/>
        <w:spacing w:line="572"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2.部门总体支出情况</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202</w:t>
      </w: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rPr>
        <w:t>年本年</w:t>
      </w:r>
      <w:r>
        <w:rPr>
          <w:rFonts w:hint="eastAsia" w:ascii="仿宋_GB2312" w:hAnsi="仿宋_GB2312" w:eastAsia="仿宋_GB2312" w:cs="仿宋_GB2312"/>
          <w:kern w:val="0"/>
          <w:sz w:val="32"/>
          <w:szCs w:val="32"/>
          <w:shd w:val="clear" w:color="auto" w:fill="FFFFFF"/>
          <w:lang w:eastAsia="zh-CN"/>
        </w:rPr>
        <w:t>总体</w:t>
      </w:r>
      <w:r>
        <w:rPr>
          <w:rFonts w:hint="eastAsia" w:ascii="仿宋_GB2312" w:hAnsi="仿宋_GB2312" w:eastAsia="仿宋_GB2312" w:cs="仿宋_GB2312"/>
          <w:kern w:val="0"/>
          <w:sz w:val="32"/>
          <w:szCs w:val="32"/>
          <w:shd w:val="clear" w:color="auto" w:fill="FFFFFF"/>
        </w:rPr>
        <w:t>支出合计</w:t>
      </w:r>
      <w:r>
        <w:rPr>
          <w:rFonts w:hint="eastAsia" w:ascii="仿宋_GB2312" w:hAnsi="仿宋_GB2312" w:eastAsia="仿宋_GB2312" w:cs="仿宋_GB2312"/>
          <w:kern w:val="0"/>
          <w:sz w:val="32"/>
          <w:szCs w:val="32"/>
          <w:shd w:val="clear" w:color="auto" w:fill="FFFFFF"/>
          <w:lang w:val="en-US" w:eastAsia="zh-CN"/>
        </w:rPr>
        <w:t>138.29</w:t>
      </w:r>
      <w:r>
        <w:rPr>
          <w:rFonts w:hint="eastAsia" w:ascii="仿宋_GB2312" w:hAnsi="仿宋_GB2312" w:eastAsia="仿宋_GB2312" w:cs="仿宋_GB2312"/>
          <w:kern w:val="0"/>
          <w:sz w:val="32"/>
          <w:szCs w:val="32"/>
          <w:shd w:val="clear" w:color="auto" w:fill="FFFFFF"/>
        </w:rPr>
        <w:t>万元，其中：基本支出</w:t>
      </w:r>
      <w:r>
        <w:rPr>
          <w:rFonts w:hint="eastAsia" w:ascii="仿宋_GB2312" w:hAnsi="仿宋_GB2312" w:eastAsia="仿宋_GB2312" w:cs="仿宋_GB2312"/>
          <w:kern w:val="0"/>
          <w:sz w:val="32"/>
          <w:szCs w:val="32"/>
          <w:shd w:val="clear" w:color="auto" w:fill="FFFFFF"/>
          <w:lang w:val="en-US" w:eastAsia="zh-CN"/>
        </w:rPr>
        <w:t>128.29</w:t>
      </w:r>
      <w:r>
        <w:rPr>
          <w:rFonts w:hint="eastAsia" w:ascii="仿宋_GB2312" w:hAnsi="仿宋_GB2312" w:eastAsia="仿宋_GB2312" w:cs="仿宋_GB2312"/>
          <w:kern w:val="0"/>
          <w:sz w:val="32"/>
          <w:szCs w:val="32"/>
          <w:shd w:val="clear" w:color="auto" w:fill="FFFFFF"/>
        </w:rPr>
        <w:t>万元，占</w:t>
      </w:r>
      <w:r>
        <w:rPr>
          <w:rFonts w:hint="eastAsia" w:ascii="仿宋_GB2312" w:hAnsi="仿宋_GB2312" w:eastAsia="仿宋_GB2312" w:cs="仿宋_GB2312"/>
          <w:kern w:val="0"/>
          <w:sz w:val="32"/>
          <w:szCs w:val="32"/>
          <w:shd w:val="clear" w:color="auto" w:fill="FFFFFF"/>
          <w:lang w:val="en-US" w:eastAsia="zh-CN"/>
        </w:rPr>
        <w:t>92.77</w:t>
      </w:r>
      <w:r>
        <w:rPr>
          <w:rFonts w:hint="eastAsia" w:ascii="仿宋_GB2312" w:hAnsi="仿宋_GB2312" w:eastAsia="仿宋_GB2312" w:cs="仿宋_GB2312"/>
          <w:kern w:val="0"/>
          <w:sz w:val="32"/>
          <w:szCs w:val="32"/>
          <w:shd w:val="clear" w:color="auto" w:fill="FFFFFF"/>
        </w:rPr>
        <w:t>%；项目支出</w:t>
      </w:r>
      <w:r>
        <w:rPr>
          <w:rFonts w:hint="eastAsia" w:ascii="仿宋_GB2312" w:hAnsi="仿宋_GB2312" w:eastAsia="仿宋_GB2312" w:cs="仿宋_GB2312"/>
          <w:kern w:val="0"/>
          <w:sz w:val="32"/>
          <w:szCs w:val="32"/>
          <w:shd w:val="clear" w:color="auto" w:fill="FFFFFF"/>
          <w:lang w:val="en-US" w:eastAsia="zh-CN"/>
        </w:rPr>
        <w:t>10</w:t>
      </w:r>
      <w:r>
        <w:rPr>
          <w:rFonts w:hint="eastAsia" w:ascii="仿宋_GB2312" w:hAnsi="仿宋_GB2312" w:eastAsia="仿宋_GB2312" w:cs="仿宋_GB2312"/>
          <w:kern w:val="0"/>
          <w:sz w:val="32"/>
          <w:szCs w:val="32"/>
          <w:shd w:val="clear" w:color="auto" w:fill="FFFFFF"/>
        </w:rPr>
        <w:t>万元，占</w:t>
      </w:r>
      <w:r>
        <w:rPr>
          <w:rFonts w:hint="eastAsia" w:ascii="仿宋_GB2312" w:hAnsi="仿宋_GB2312" w:eastAsia="仿宋_GB2312" w:cs="仿宋_GB2312"/>
          <w:kern w:val="0"/>
          <w:sz w:val="32"/>
          <w:szCs w:val="32"/>
          <w:shd w:val="clear" w:color="auto" w:fill="FFFFFF"/>
          <w:lang w:val="en-US" w:eastAsia="zh-CN"/>
        </w:rPr>
        <w:t>7.23</w:t>
      </w:r>
      <w:r>
        <w:rPr>
          <w:rFonts w:hint="eastAsia" w:ascii="仿宋_GB2312" w:hAnsi="仿宋_GB2312" w:eastAsia="仿宋_GB2312" w:cs="仿宋_GB2312"/>
          <w:kern w:val="0"/>
          <w:sz w:val="32"/>
          <w:szCs w:val="32"/>
          <w:shd w:val="clear" w:color="auto" w:fill="FFFFFF"/>
        </w:rPr>
        <w:t>%。</w:t>
      </w:r>
    </w:p>
    <w:p>
      <w:pPr>
        <w:widowControl/>
        <w:adjustRightInd w:val="0"/>
        <w:snapToGrid w:val="0"/>
        <w:spacing w:line="560"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rPr>
        <w:t>3.部门总体结转结余情况</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2022年本部门无结转结余。</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（二）部门财政拨款收支情况。</w:t>
      </w:r>
    </w:p>
    <w:p>
      <w:pPr>
        <w:spacing w:line="600" w:lineRule="exact"/>
        <w:ind w:firstLine="640" w:firstLineChars="200"/>
        <w:outlineLvl w:val="1"/>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1.部门财政拨款收入情况</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202</w:t>
      </w: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rPr>
        <w:t>年财政拨款收</w:t>
      </w:r>
      <w:r>
        <w:rPr>
          <w:rFonts w:hint="eastAsia" w:ascii="仿宋_GB2312" w:hAnsi="仿宋_GB2312" w:eastAsia="仿宋_GB2312" w:cs="仿宋_GB2312"/>
          <w:kern w:val="0"/>
          <w:sz w:val="32"/>
          <w:szCs w:val="32"/>
          <w:shd w:val="clear" w:color="auto" w:fill="FFFFFF"/>
          <w:lang w:eastAsia="zh-CN"/>
        </w:rPr>
        <w:t>入</w:t>
      </w:r>
      <w:r>
        <w:rPr>
          <w:rFonts w:hint="eastAsia" w:ascii="仿宋_GB2312" w:hAnsi="仿宋_GB2312" w:eastAsia="仿宋_GB2312" w:cs="仿宋_GB2312"/>
          <w:kern w:val="0"/>
          <w:sz w:val="32"/>
          <w:szCs w:val="32"/>
          <w:shd w:val="clear" w:color="auto" w:fill="FFFFFF"/>
        </w:rPr>
        <w:t>总计</w:t>
      </w:r>
      <w:r>
        <w:rPr>
          <w:rFonts w:hint="eastAsia" w:ascii="仿宋_GB2312" w:hAnsi="仿宋_GB2312" w:eastAsia="仿宋_GB2312" w:cs="仿宋_GB2312"/>
          <w:kern w:val="0"/>
          <w:sz w:val="32"/>
          <w:szCs w:val="32"/>
          <w:shd w:val="clear" w:color="auto" w:fill="FFFFFF"/>
          <w:lang w:val="en-US" w:eastAsia="zh-CN"/>
        </w:rPr>
        <w:t>138.29</w:t>
      </w:r>
      <w:r>
        <w:rPr>
          <w:rFonts w:hint="eastAsia" w:ascii="仿宋_GB2312" w:hAnsi="仿宋_GB2312" w:eastAsia="仿宋_GB2312" w:cs="仿宋_GB2312"/>
          <w:kern w:val="0"/>
          <w:sz w:val="32"/>
          <w:szCs w:val="32"/>
          <w:shd w:val="clear" w:color="auto" w:fill="FFFFFF"/>
        </w:rPr>
        <w:t>万元。</w:t>
      </w:r>
    </w:p>
    <w:p>
      <w:pPr>
        <w:spacing w:line="600" w:lineRule="exact"/>
        <w:ind w:firstLine="640" w:firstLineChars="200"/>
        <w:outlineLvl w:val="1"/>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rPr>
        <w:t>2.部门财政拨款支出情况</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202</w:t>
      </w: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rPr>
        <w:t>年财政拨款</w:t>
      </w:r>
      <w:r>
        <w:rPr>
          <w:rFonts w:hint="eastAsia" w:ascii="仿宋_GB2312" w:hAnsi="仿宋_GB2312" w:eastAsia="仿宋_GB2312" w:cs="仿宋_GB2312"/>
          <w:kern w:val="0"/>
          <w:sz w:val="32"/>
          <w:szCs w:val="32"/>
          <w:shd w:val="clear" w:color="auto" w:fill="FFFFFF"/>
          <w:lang w:eastAsia="zh-CN"/>
        </w:rPr>
        <w:t>支出</w:t>
      </w:r>
      <w:r>
        <w:rPr>
          <w:rFonts w:hint="eastAsia" w:ascii="仿宋_GB2312" w:hAnsi="仿宋_GB2312" w:eastAsia="仿宋_GB2312" w:cs="仿宋_GB2312"/>
          <w:kern w:val="0"/>
          <w:sz w:val="32"/>
          <w:szCs w:val="32"/>
          <w:shd w:val="clear" w:color="auto" w:fill="FFFFFF"/>
        </w:rPr>
        <w:t>总计</w:t>
      </w:r>
      <w:r>
        <w:rPr>
          <w:rFonts w:hint="eastAsia" w:ascii="仿宋_GB2312" w:hAnsi="仿宋_GB2312" w:eastAsia="仿宋_GB2312" w:cs="仿宋_GB2312"/>
          <w:kern w:val="0"/>
          <w:sz w:val="32"/>
          <w:szCs w:val="32"/>
          <w:shd w:val="clear" w:color="auto" w:fill="FFFFFF"/>
          <w:lang w:val="en-US" w:eastAsia="zh-CN"/>
        </w:rPr>
        <w:t>138.29</w:t>
      </w:r>
      <w:r>
        <w:rPr>
          <w:rFonts w:hint="eastAsia" w:ascii="仿宋_GB2312" w:hAnsi="仿宋_GB2312" w:eastAsia="仿宋_GB2312" w:cs="仿宋_GB2312"/>
          <w:kern w:val="0"/>
          <w:sz w:val="32"/>
          <w:szCs w:val="32"/>
          <w:shd w:val="clear" w:color="auto" w:fill="FFFFFF"/>
        </w:rPr>
        <w:t>万元。</w:t>
      </w:r>
    </w:p>
    <w:p>
      <w:pPr>
        <w:widowControl/>
        <w:adjustRightInd w:val="0"/>
        <w:snapToGrid w:val="0"/>
        <w:spacing w:line="560"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rPr>
        <w:t>3.部门财政拨款结转结余情况</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2022年本部门无结转结余。</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三、部门整体绩效分析</w:t>
      </w:r>
    </w:p>
    <w:p>
      <w:pPr>
        <w:widowControl/>
        <w:adjustRightInd w:val="0"/>
        <w:snapToGrid w:val="0"/>
        <w:spacing w:line="560" w:lineRule="exact"/>
        <w:ind w:firstLine="643"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（一）部门预算项目绩效分析。</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1.人员类项目绩效分析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202</w:t>
      </w: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2"/>
          <w:sz w:val="32"/>
          <w:szCs w:val="32"/>
          <w:lang w:val="zh-CN" w:eastAsia="zh-CN" w:bidi="ar-SA"/>
        </w:rPr>
        <w:t>年人员经费全年预算</w:t>
      </w:r>
      <w:r>
        <w:rPr>
          <w:rFonts w:hint="eastAsia" w:ascii="仿宋_GB2312" w:hAnsi="仿宋_GB2312" w:eastAsia="仿宋_GB2312" w:cs="仿宋_GB2312"/>
          <w:color w:val="auto"/>
          <w:kern w:val="2"/>
          <w:sz w:val="32"/>
          <w:szCs w:val="32"/>
          <w:lang w:val="en-US" w:eastAsia="zh-CN" w:bidi="ar-SA"/>
        </w:rPr>
        <w:t>112.83</w:t>
      </w:r>
      <w:r>
        <w:rPr>
          <w:rFonts w:hint="eastAsia" w:ascii="仿宋_GB2312" w:hAnsi="仿宋_GB2312" w:eastAsia="仿宋_GB2312" w:cs="仿宋_GB2312"/>
          <w:color w:val="auto"/>
          <w:kern w:val="2"/>
          <w:sz w:val="32"/>
          <w:szCs w:val="32"/>
          <w:lang w:val="zh-CN" w:eastAsia="zh-CN" w:bidi="ar-SA"/>
        </w:rPr>
        <w:t>万元，执行数为</w:t>
      </w:r>
      <w:r>
        <w:rPr>
          <w:rFonts w:hint="eastAsia" w:ascii="仿宋_GB2312" w:hAnsi="仿宋_GB2312" w:eastAsia="仿宋_GB2312" w:cs="仿宋_GB2312"/>
          <w:color w:val="auto"/>
          <w:kern w:val="2"/>
          <w:sz w:val="32"/>
          <w:szCs w:val="32"/>
          <w:lang w:val="en-US" w:eastAsia="zh-CN" w:bidi="ar-SA"/>
        </w:rPr>
        <w:t>112.83</w:t>
      </w:r>
      <w:r>
        <w:rPr>
          <w:rFonts w:hint="eastAsia" w:ascii="仿宋_GB2312" w:hAnsi="仿宋_GB2312" w:eastAsia="仿宋_GB2312" w:cs="仿宋_GB2312"/>
          <w:color w:val="auto"/>
          <w:kern w:val="2"/>
          <w:sz w:val="32"/>
          <w:szCs w:val="32"/>
          <w:lang w:val="zh-CN" w:eastAsia="zh-CN" w:bidi="ar-SA"/>
        </w:rPr>
        <w:t>万元，完成预算的</w:t>
      </w:r>
      <w:r>
        <w:rPr>
          <w:rFonts w:hint="eastAsia" w:ascii="仿宋_GB2312" w:hAnsi="仿宋_GB2312" w:eastAsia="仿宋_GB2312" w:cs="仿宋_GB2312"/>
          <w:color w:val="auto"/>
          <w:kern w:val="2"/>
          <w:sz w:val="32"/>
          <w:szCs w:val="32"/>
          <w:lang w:val="en-US" w:eastAsia="zh-CN" w:bidi="ar-SA"/>
        </w:rPr>
        <w:t>100</w:t>
      </w:r>
      <w:r>
        <w:rPr>
          <w:rFonts w:hint="eastAsia" w:ascii="仿宋_GB2312" w:hAnsi="仿宋_GB2312" w:eastAsia="仿宋_GB2312" w:cs="仿宋_GB2312"/>
          <w:color w:val="auto"/>
          <w:kern w:val="2"/>
          <w:sz w:val="32"/>
          <w:szCs w:val="32"/>
          <w:lang w:val="zh-CN" w:eastAsia="zh-CN" w:bidi="ar-SA"/>
        </w:rPr>
        <w:t>%。党委行政运行支出</w:t>
      </w:r>
      <w:r>
        <w:rPr>
          <w:rFonts w:hint="eastAsia" w:ascii="仿宋_GB2312" w:hAnsi="仿宋_GB2312" w:eastAsia="仿宋_GB2312" w:cs="仿宋_GB2312"/>
          <w:color w:val="auto"/>
          <w:kern w:val="2"/>
          <w:sz w:val="32"/>
          <w:szCs w:val="32"/>
          <w:lang w:val="en-US" w:eastAsia="zh-CN" w:bidi="ar-SA"/>
        </w:rPr>
        <w:t>91.14</w:t>
      </w:r>
      <w:r>
        <w:rPr>
          <w:rFonts w:hint="eastAsia" w:ascii="仿宋_GB2312" w:hAnsi="仿宋_GB2312" w:eastAsia="仿宋_GB2312" w:cs="仿宋_GB2312"/>
          <w:color w:val="auto"/>
          <w:kern w:val="2"/>
          <w:sz w:val="32"/>
          <w:szCs w:val="32"/>
          <w:lang w:val="zh-CN" w:eastAsia="zh-CN" w:bidi="ar-SA"/>
        </w:rPr>
        <w:t>万元，主要用于基本工资、津贴补贴、奖金、其他工资福利、其他社会保障缴费等支出，社会保险和就业支出</w:t>
      </w:r>
      <w:r>
        <w:rPr>
          <w:rFonts w:hint="eastAsia" w:ascii="仿宋_GB2312" w:hAnsi="仿宋_GB2312" w:eastAsia="仿宋_GB2312" w:cs="仿宋_GB2312"/>
          <w:color w:val="auto"/>
          <w:kern w:val="2"/>
          <w:sz w:val="32"/>
          <w:szCs w:val="32"/>
          <w:lang w:val="en-US" w:eastAsia="zh-CN" w:bidi="ar-SA"/>
        </w:rPr>
        <w:t>9.64</w:t>
      </w:r>
      <w:r>
        <w:rPr>
          <w:rFonts w:hint="eastAsia" w:ascii="仿宋_GB2312" w:hAnsi="仿宋_GB2312" w:eastAsia="仿宋_GB2312" w:cs="仿宋_GB2312"/>
          <w:color w:val="auto"/>
          <w:kern w:val="2"/>
          <w:sz w:val="32"/>
          <w:szCs w:val="32"/>
          <w:lang w:val="zh-CN" w:eastAsia="zh-CN" w:bidi="ar-SA"/>
        </w:rPr>
        <w:t>元，主要用于机关事业单位养老保险支出；卫生健康支出</w:t>
      </w:r>
      <w:r>
        <w:rPr>
          <w:rFonts w:hint="eastAsia" w:ascii="仿宋_GB2312" w:hAnsi="仿宋_GB2312" w:eastAsia="仿宋_GB2312" w:cs="仿宋_GB2312"/>
          <w:color w:val="auto"/>
          <w:kern w:val="2"/>
          <w:sz w:val="32"/>
          <w:szCs w:val="32"/>
          <w:lang w:val="en-US" w:eastAsia="zh-CN" w:bidi="ar-SA"/>
        </w:rPr>
        <w:t>4.82</w:t>
      </w:r>
      <w:r>
        <w:rPr>
          <w:rFonts w:hint="eastAsia" w:ascii="仿宋_GB2312" w:hAnsi="仿宋_GB2312" w:eastAsia="仿宋_GB2312" w:cs="仿宋_GB2312"/>
          <w:color w:val="auto"/>
          <w:kern w:val="2"/>
          <w:sz w:val="32"/>
          <w:szCs w:val="32"/>
          <w:lang w:val="zh-CN" w:eastAsia="zh-CN" w:bidi="ar-SA"/>
        </w:rPr>
        <w:t>万元；住房保障支出</w:t>
      </w:r>
      <w:r>
        <w:rPr>
          <w:rFonts w:hint="eastAsia" w:ascii="仿宋_GB2312" w:hAnsi="仿宋_GB2312" w:eastAsia="仿宋_GB2312" w:cs="仿宋_GB2312"/>
          <w:color w:val="auto"/>
          <w:kern w:val="2"/>
          <w:sz w:val="32"/>
          <w:szCs w:val="32"/>
          <w:lang w:val="en-US" w:eastAsia="zh-CN" w:bidi="ar-SA"/>
        </w:rPr>
        <w:t>7.23</w:t>
      </w:r>
      <w:r>
        <w:rPr>
          <w:rFonts w:hint="eastAsia" w:ascii="仿宋_GB2312" w:hAnsi="仿宋_GB2312" w:eastAsia="仿宋_GB2312" w:cs="仿宋_GB2312"/>
          <w:color w:val="auto"/>
          <w:kern w:val="2"/>
          <w:sz w:val="32"/>
          <w:szCs w:val="32"/>
          <w:lang w:val="zh-CN" w:eastAsia="zh-CN" w:bidi="ar-SA"/>
        </w:rPr>
        <w:t>万元，主要用于职工住房公积金支出。保障了供养人员支出及社保及时、</w:t>
      </w:r>
      <w:r>
        <w:rPr>
          <w:rFonts w:hint="eastAsia" w:ascii="仿宋_GB2312" w:hAnsi="仿宋_GB2312" w:eastAsia="仿宋_GB2312" w:cs="仿宋_GB2312"/>
          <w:color w:val="auto"/>
          <w:kern w:val="2"/>
          <w:sz w:val="32"/>
          <w:szCs w:val="32"/>
          <w:lang w:val="en-US" w:eastAsia="zh-CN" w:bidi="ar-SA"/>
        </w:rPr>
        <w:t>足额发放、足额缴纳。预算编制科学合理，</w:t>
      </w:r>
      <w:r>
        <w:rPr>
          <w:rFonts w:hint="eastAsia" w:ascii="仿宋_GB2312" w:hAnsi="仿宋_GB2312" w:eastAsia="仿宋_GB2312" w:cs="仿宋_GB2312"/>
          <w:color w:val="auto"/>
          <w:kern w:val="2"/>
          <w:sz w:val="32"/>
          <w:szCs w:val="32"/>
          <w:lang w:val="zh-CN" w:eastAsia="zh-CN" w:bidi="ar-SA"/>
        </w:rPr>
        <w:t>除人员经费正常调资和政策性调整外，绩效监控取消数与结余注销额均为零。无资金结余，不存违规记录的情况。</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2.运转类项目绩效分析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2022年运转类项目</w:t>
      </w:r>
      <w:r>
        <w:rPr>
          <w:rFonts w:hint="eastAsia" w:ascii="仿宋_GB2312" w:hAnsi="仿宋_GB2312" w:eastAsia="仿宋_GB2312" w:cs="仿宋_GB2312"/>
          <w:color w:val="auto"/>
          <w:kern w:val="2"/>
          <w:sz w:val="32"/>
          <w:szCs w:val="32"/>
          <w:lang w:val="zh-CN" w:eastAsia="zh-CN" w:bidi="ar-SA"/>
        </w:rPr>
        <w:t>预算</w:t>
      </w:r>
      <w:r>
        <w:rPr>
          <w:rFonts w:hint="eastAsia" w:ascii="仿宋_GB2312" w:hAnsi="仿宋_GB2312" w:eastAsia="仿宋_GB2312" w:cs="仿宋_GB2312"/>
          <w:color w:val="auto"/>
          <w:kern w:val="2"/>
          <w:sz w:val="32"/>
          <w:szCs w:val="32"/>
          <w:lang w:val="en-US" w:eastAsia="zh-CN" w:bidi="ar-SA"/>
        </w:rPr>
        <w:t>15.46</w:t>
      </w:r>
      <w:r>
        <w:rPr>
          <w:rFonts w:hint="eastAsia" w:ascii="仿宋_GB2312" w:hAnsi="仿宋_GB2312" w:eastAsia="仿宋_GB2312" w:cs="仿宋_GB2312"/>
          <w:color w:val="auto"/>
          <w:kern w:val="2"/>
          <w:sz w:val="32"/>
          <w:szCs w:val="32"/>
          <w:lang w:val="zh-CN" w:eastAsia="zh-CN" w:bidi="ar-SA"/>
        </w:rPr>
        <w:t>万元，执行数为</w:t>
      </w:r>
      <w:r>
        <w:rPr>
          <w:rFonts w:hint="eastAsia" w:ascii="仿宋_GB2312" w:hAnsi="仿宋_GB2312" w:eastAsia="仿宋_GB2312" w:cs="仿宋_GB2312"/>
          <w:color w:val="auto"/>
          <w:kern w:val="2"/>
          <w:sz w:val="32"/>
          <w:szCs w:val="32"/>
          <w:lang w:val="en-US" w:eastAsia="zh-CN" w:bidi="ar-SA"/>
        </w:rPr>
        <w:t>15.46</w:t>
      </w:r>
      <w:r>
        <w:rPr>
          <w:rFonts w:hint="eastAsia" w:ascii="仿宋_GB2312" w:hAnsi="仿宋_GB2312" w:eastAsia="仿宋_GB2312" w:cs="仿宋_GB2312"/>
          <w:color w:val="auto"/>
          <w:kern w:val="2"/>
          <w:sz w:val="32"/>
          <w:szCs w:val="32"/>
          <w:lang w:val="zh-CN" w:eastAsia="zh-CN" w:bidi="ar-SA"/>
        </w:rPr>
        <w:t>万元，完成预算的</w:t>
      </w:r>
      <w:r>
        <w:rPr>
          <w:rFonts w:hint="eastAsia" w:ascii="仿宋_GB2312" w:hAnsi="仿宋_GB2312" w:eastAsia="仿宋_GB2312" w:cs="仿宋_GB2312"/>
          <w:color w:val="auto"/>
          <w:kern w:val="2"/>
          <w:sz w:val="32"/>
          <w:szCs w:val="32"/>
          <w:lang w:val="en-US" w:eastAsia="zh-CN" w:bidi="ar-SA"/>
        </w:rPr>
        <w:t>100</w:t>
      </w:r>
      <w:r>
        <w:rPr>
          <w:rFonts w:hint="eastAsia" w:ascii="仿宋_GB2312" w:hAnsi="仿宋_GB2312" w:eastAsia="仿宋_GB2312" w:cs="仿宋_GB2312"/>
          <w:color w:val="auto"/>
          <w:kern w:val="2"/>
          <w:sz w:val="32"/>
          <w:szCs w:val="32"/>
          <w:lang w:val="zh-CN" w:eastAsia="zh-CN" w:bidi="ar-SA"/>
        </w:rPr>
        <w:t>%。</w:t>
      </w:r>
      <w:r>
        <w:rPr>
          <w:rFonts w:hint="eastAsia" w:ascii="仿宋_GB2312" w:hAnsi="仿宋_GB2312" w:eastAsia="仿宋_GB2312" w:cs="仿宋_GB2312"/>
          <w:color w:val="auto"/>
          <w:kern w:val="2"/>
          <w:sz w:val="32"/>
          <w:szCs w:val="32"/>
          <w:lang w:val="en-US" w:eastAsia="zh-CN" w:bidi="ar-SA"/>
        </w:rPr>
        <w:t>党委行政运行支出15.64万元，主要用于办公费、印刷费、电费、邮电费、差旅费、公务接待费、工会经费、福利费、其他交通费用等支出。</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3.特定目标类项目绩效分析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2022年，县目标绩效事务中心紧紧围绕县委“1233”执政兴县战略，聚焦加快建设社会主义现代化剑阁总体目标，抓好目标绩效管理、督查督办、民生实事管理和整治形式主义等工作职能</w:t>
      </w:r>
      <w:r>
        <w:rPr>
          <w:rFonts w:hint="eastAsia" w:ascii="仿宋_GB2312" w:hAnsi="仿宋_GB2312" w:eastAsia="仿宋_GB2312" w:cs="仿宋_GB2312"/>
          <w:color w:val="auto"/>
          <w:kern w:val="2"/>
          <w:sz w:val="32"/>
          <w:szCs w:val="32"/>
          <w:lang w:val="zh-CN" w:eastAsia="zh-CN" w:bidi="ar-SA"/>
        </w:rPr>
        <w:t>和当年工作实际制定预算目标。编制预算特定类项目</w:t>
      </w:r>
      <w:r>
        <w:rPr>
          <w:rFonts w:hint="eastAsia" w:ascii="仿宋_GB2312" w:hAnsi="仿宋_GB2312" w:eastAsia="仿宋_GB2312" w:cs="仿宋_GB2312"/>
          <w:color w:val="auto"/>
          <w:kern w:val="2"/>
          <w:sz w:val="32"/>
          <w:szCs w:val="32"/>
          <w:lang w:val="en-US" w:eastAsia="zh-CN" w:bidi="ar-SA"/>
        </w:rPr>
        <w:t>1个</w:t>
      </w:r>
      <w:r>
        <w:rPr>
          <w:rFonts w:hint="eastAsia" w:ascii="仿宋_GB2312" w:hAnsi="仿宋_GB2312" w:eastAsia="仿宋_GB2312" w:cs="仿宋_GB2312"/>
          <w:color w:val="auto"/>
          <w:kern w:val="2"/>
          <w:sz w:val="32"/>
          <w:szCs w:val="32"/>
          <w:lang w:val="zh-CN" w:eastAsia="zh-CN" w:bidi="ar-SA"/>
        </w:rPr>
        <w:t>为目标绩效管理工作经费</w:t>
      </w:r>
      <w:r>
        <w:rPr>
          <w:rFonts w:hint="eastAsia" w:ascii="仿宋_GB2312" w:hAnsi="仿宋_GB2312" w:eastAsia="仿宋_GB2312" w:cs="仿宋_GB2312"/>
          <w:color w:val="auto"/>
          <w:kern w:val="2"/>
          <w:sz w:val="32"/>
          <w:szCs w:val="32"/>
          <w:lang w:val="en-US" w:eastAsia="zh-CN" w:bidi="ar-SA"/>
        </w:rPr>
        <w:t>10万元,执行数为10万元，完成预算的100%。主要用于目标绩效管理工作等支出；通过项目实施，圆满完成了全县目标绩效管理工作，乡镇、部门目标的制定、管理、指导、协调和考核工作，督查督办工作，落实重大决策督查，完成民生实事任务，扎实推动了全县目标工作。</w:t>
      </w:r>
      <w:r>
        <w:rPr>
          <w:rFonts w:hint="eastAsia" w:ascii="仿宋_GB2312" w:hAnsi="仿宋_GB2312" w:eastAsia="仿宋_GB2312" w:cs="仿宋_GB2312"/>
          <w:color w:val="auto"/>
          <w:kern w:val="2"/>
          <w:sz w:val="32"/>
          <w:szCs w:val="32"/>
          <w:lang w:val="zh-CN" w:eastAsia="zh-CN" w:bidi="ar-SA"/>
        </w:rPr>
        <w:t>在财政资金调度正常的情况下，我单位严格按照预算进度执行，达到了时间与进度同步。预算完成情况，全部都完成了100%，无资金结余，不存违规记录的情况。</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（二）部门整体履职绩效分析。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剑阁县目标绩效事务中心按照县财政局的要求，及时上报相应计划，待县财政局审核通过后，严格按计划执行，各季度执行情况良好。基本支出2022年按月进行申报，其中人员工资按月申报并直接支付，日常公用经费按月进行申报并支付，全年执行进度100%。项目支出按月申报并直接支付， 1-12月执行进度100%。</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（三）结果应用情况。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我中心制定了切实有效的内部管理制度和经费支出控制方案，有较强的内控风险管理意识、各项经费支出得到了有效控制。2022</w:t>
      </w:r>
      <w:r>
        <w:rPr>
          <w:rFonts w:hint="eastAsia" w:ascii="仿宋_GB2312" w:hAnsi="仿宋_GB2312" w:eastAsia="仿宋_GB2312" w:cs="仿宋_GB2312"/>
          <w:color w:val="auto"/>
          <w:kern w:val="2"/>
          <w:sz w:val="32"/>
          <w:szCs w:val="32"/>
          <w:lang w:val="zh-CN" w:eastAsia="zh-CN" w:bidi="ar-SA"/>
        </w:rPr>
        <w:t>年，</w:t>
      </w:r>
      <w:r>
        <w:rPr>
          <w:rFonts w:hint="eastAsia" w:ascii="仿宋_GB2312" w:hAnsi="仿宋_GB2312" w:eastAsia="仿宋_GB2312" w:cs="仿宋_GB2312"/>
          <w:color w:val="auto"/>
          <w:kern w:val="2"/>
          <w:sz w:val="32"/>
          <w:szCs w:val="32"/>
          <w:lang w:val="en-US" w:eastAsia="zh-CN" w:bidi="ar-SA"/>
        </w:rPr>
        <w:t>通过绩效自评，</w:t>
      </w:r>
      <w:r>
        <w:rPr>
          <w:rFonts w:hint="eastAsia" w:ascii="仿宋_GB2312" w:hAnsi="仿宋_GB2312" w:eastAsia="仿宋_GB2312" w:cs="仿宋_GB2312"/>
          <w:color w:val="auto"/>
          <w:kern w:val="2"/>
          <w:sz w:val="32"/>
          <w:szCs w:val="32"/>
          <w:lang w:val="zh-CN" w:eastAsia="zh-CN" w:bidi="ar-SA"/>
        </w:rPr>
        <w:t>本单位在剑阁县政府门户网站进行预、决算公开的同时对绩效进行了公开；针对绩效管理过程中出现的问题，一经发现进行了及时纠正和整改，将绩效管理结果应用于完善政策、改进管理等方面，把有限的资金真正用在刀刃上；本单位能在规定时间内向县财政局反馈应用绩效结果报告。</w:t>
      </w:r>
    </w:p>
    <w:p>
      <w:pPr>
        <w:widowControl/>
        <w:numPr>
          <w:ilvl w:val="0"/>
          <w:numId w:val="6"/>
        </w:numPr>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自评质量。</w:t>
      </w:r>
    </w:p>
    <w:p>
      <w:pPr>
        <w:pStyle w:val="7"/>
        <w:spacing w:before="93"/>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严格执行财经法规和制度规定，落实《进一步严肃财经纪律加强财务管理的指导意见》《严肃财经纪律严防财政资金跑冒滴漏十条规定》等管理要求，切实规范和加强财务管理，防范和化解管理风险，筑牢财政资金安全防线。通过部门决算量化评价，2022年县目标绩效事务中心目标制定明确，完成数量和质量均得到有效控制，部门整体支出绩效达到了预期目的，</w:t>
      </w:r>
      <w:r>
        <w:rPr>
          <w:rFonts w:hint="eastAsia" w:ascii="仿宋_GB2312" w:hAnsi="仿宋_GB2312" w:eastAsia="仿宋_GB2312" w:cs="仿宋_GB2312"/>
          <w:b w:val="0"/>
          <w:bCs w:val="0"/>
          <w:spacing w:val="-2"/>
          <w:kern w:val="2"/>
          <w:sz w:val="32"/>
          <w:szCs w:val="32"/>
          <w:lang w:val="en-US" w:eastAsia="zh-CN" w:bidi="ar-SA"/>
        </w:rPr>
        <w:t>自评得分较为理想</w:t>
      </w:r>
      <w:r>
        <w:rPr>
          <w:rFonts w:hint="eastAsia" w:ascii="仿宋_GB2312" w:hAnsi="仿宋_GB2312" w:eastAsia="仿宋_GB2312" w:cs="仿宋_GB2312"/>
          <w:color w:val="auto"/>
          <w:kern w:val="2"/>
          <w:sz w:val="32"/>
          <w:szCs w:val="32"/>
          <w:lang w:val="en-US" w:eastAsia="zh-CN" w:bidi="ar-SA"/>
        </w:rPr>
        <w:t>。</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spacing w:line="360" w:lineRule="auto"/>
        <w:ind w:firstLine="643" w:firstLineChars="200"/>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pPr>
        <w:spacing w:line="360" w:lineRule="auto"/>
        <w:ind w:firstLine="632" w:firstLineChars="200"/>
        <w:rPr>
          <w:rFonts w:hint="eastAsia"/>
          <w:lang w:val="zh-CN"/>
        </w:rPr>
      </w:pPr>
      <w:r>
        <w:rPr>
          <w:rFonts w:hint="eastAsia" w:ascii="仿宋_GB2312" w:hAnsi="仿宋_GB2312" w:eastAsia="仿宋_GB2312" w:cs="仿宋_GB2312"/>
          <w:b w:val="0"/>
          <w:bCs w:val="0"/>
          <w:spacing w:val="-2"/>
          <w:kern w:val="2"/>
          <w:sz w:val="32"/>
          <w:szCs w:val="32"/>
          <w:lang w:val="en-US" w:eastAsia="zh-CN" w:bidi="ar-SA"/>
        </w:rPr>
        <w:t>2022年</w:t>
      </w:r>
      <w:r>
        <w:rPr>
          <w:rFonts w:hint="eastAsia" w:ascii="仿宋_GB2312" w:hAnsi="仿宋_GB2312" w:eastAsia="仿宋_GB2312" w:cs="仿宋_GB2312"/>
          <w:kern w:val="0"/>
          <w:sz w:val="32"/>
          <w:szCs w:val="32"/>
          <w:shd w:val="clear" w:color="auto" w:fill="FFFFFF"/>
          <w:lang w:val="zh-CN"/>
        </w:rPr>
        <w:t>县</w:t>
      </w:r>
      <w:r>
        <w:rPr>
          <w:rFonts w:hint="eastAsia" w:ascii="仿宋_GB2312" w:hAnsi="仿宋_GB2312" w:eastAsia="仿宋_GB2312" w:cs="仿宋_GB2312"/>
          <w:kern w:val="0"/>
          <w:sz w:val="32"/>
          <w:szCs w:val="32"/>
          <w:shd w:val="clear" w:color="auto" w:fill="FFFFFF"/>
          <w:lang w:val="zh-CN" w:eastAsia="zh-CN"/>
        </w:rPr>
        <w:t>目标绩效事务中心</w:t>
      </w:r>
      <w:r>
        <w:rPr>
          <w:rFonts w:hint="eastAsia" w:ascii="仿宋_GB2312" w:hAnsi="仿宋_GB2312" w:eastAsia="仿宋_GB2312" w:cs="仿宋_GB2312"/>
          <w:kern w:val="0"/>
          <w:sz w:val="32"/>
          <w:szCs w:val="32"/>
          <w:shd w:val="clear" w:color="auto" w:fill="FFFFFF"/>
          <w:lang w:val="zh-CN"/>
        </w:rPr>
        <w:t>按照《预算法》按时完成预、决算编制。在执行过程中有计划的进行资金申报、使用，完善资金管理及内部控制制度，确保资金安全，做到账款、账账、账实相符。</w:t>
      </w:r>
      <w:r>
        <w:rPr>
          <w:rFonts w:hint="eastAsia" w:ascii="仿宋_GB2312" w:hAnsi="仿宋_GB2312" w:eastAsia="仿宋_GB2312" w:cs="仿宋_GB2312"/>
          <w:b w:val="0"/>
          <w:bCs w:val="0"/>
          <w:spacing w:val="-2"/>
          <w:kern w:val="2"/>
          <w:sz w:val="32"/>
          <w:szCs w:val="32"/>
          <w:lang w:val="en-US" w:eastAsia="zh-CN" w:bidi="ar-SA"/>
        </w:rPr>
        <w:t>实现了年度工作目标，部门总体运行正常，在预算执行、信息公开、整改反馈等方面工作开展良好。</w:t>
      </w:r>
    </w:p>
    <w:p>
      <w:pPr>
        <w:spacing w:line="360" w:lineRule="auto"/>
        <w:ind w:firstLine="643" w:firstLineChars="200"/>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（二）存在问题。</w:t>
      </w:r>
    </w:p>
    <w:p>
      <w:pPr>
        <w:spacing w:line="360" w:lineRule="auto"/>
        <w:ind w:firstLine="632" w:firstLineChars="200"/>
        <w:rPr>
          <w:rFonts w:hint="eastAsia" w:ascii="仿宋_GB2312" w:hAnsi="仿宋_GB2312" w:eastAsia="仿宋_GB2312" w:cs="仿宋_GB2312"/>
          <w:b w:val="0"/>
          <w:bCs w:val="0"/>
          <w:spacing w:val="-2"/>
          <w:kern w:val="2"/>
          <w:sz w:val="32"/>
          <w:szCs w:val="32"/>
          <w:lang w:val="en-US" w:eastAsia="zh-CN" w:bidi="ar-SA"/>
        </w:rPr>
      </w:pPr>
      <w:r>
        <w:rPr>
          <w:rFonts w:hint="eastAsia" w:ascii="仿宋_GB2312" w:hAnsi="仿宋_GB2312" w:eastAsia="仿宋_GB2312" w:cs="仿宋_GB2312"/>
          <w:b w:val="0"/>
          <w:bCs w:val="0"/>
          <w:spacing w:val="-2"/>
          <w:kern w:val="2"/>
          <w:sz w:val="32"/>
          <w:szCs w:val="32"/>
          <w:lang w:val="en-US" w:eastAsia="zh-CN" w:bidi="ar-SA"/>
        </w:rPr>
        <w:t>预算预算编制不够完善，个别项目编制不科学。</w:t>
      </w:r>
    </w:p>
    <w:p>
      <w:pPr>
        <w:keepNext w:val="0"/>
        <w:keepLines w:val="0"/>
        <w:pageBreakBefore w:val="0"/>
        <w:widowControl w:val="0"/>
        <w:numPr>
          <w:ilvl w:val="0"/>
          <w:numId w:val="5"/>
        </w:numPr>
        <w:kinsoku/>
        <w:wordWrap/>
        <w:overflowPunct w:val="0"/>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改进建议。</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right="0" w:rightChars="0" w:firstLine="616" w:firstLineChars="200"/>
        <w:jc w:val="both"/>
        <w:textAlignment w:val="baseline"/>
        <w:rPr>
          <w:rFonts w:hint="eastAsia" w:ascii="仿宋_GB2312" w:hAnsi="仿宋_GB2312" w:eastAsia="仿宋_GB2312" w:cs="仿宋_GB2312"/>
          <w:b w:val="0"/>
          <w:bCs w:val="0"/>
          <w:spacing w:val="-6"/>
          <w:position w:val="12"/>
          <w:sz w:val="32"/>
          <w:szCs w:val="32"/>
        </w:rPr>
      </w:pPr>
      <w:r>
        <w:rPr>
          <w:rFonts w:hint="eastAsia" w:ascii="仿宋_GB2312" w:hAnsi="仿宋_GB2312" w:eastAsia="仿宋_GB2312" w:cs="仿宋_GB2312"/>
          <w:b w:val="0"/>
          <w:bCs w:val="0"/>
          <w:spacing w:val="-6"/>
          <w:position w:val="12"/>
          <w:sz w:val="32"/>
          <w:szCs w:val="32"/>
        </w:rPr>
        <w:t>严格按照新《预算法》的要求，加强预算编制的科学性、合理性，让预算编制更贴合实际，使项目预算与工作结合更加紧密。</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加强单位内控制度建设，</w:t>
      </w:r>
      <w:r>
        <w:rPr>
          <w:rFonts w:hint="eastAsia" w:ascii="仿宋_GB2312" w:hAnsi="仿宋_GB2312" w:eastAsia="仿宋_GB2312" w:cs="仿宋_GB2312"/>
          <w:kern w:val="2"/>
          <w:sz w:val="32"/>
          <w:szCs w:val="32"/>
          <w:lang w:val="zh-CN" w:eastAsia="zh-CN" w:bidi="ar-SA"/>
        </w:rPr>
        <w:t>健全绩效评价管理制度</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zh-CN" w:eastAsia="zh-CN" w:bidi="ar-SA"/>
        </w:rPr>
        <w:t>优化自评方法</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zh-CN" w:eastAsia="zh-CN" w:bidi="ar-SA"/>
        </w:rPr>
        <w:t>提升自评工作</w:t>
      </w:r>
      <w:r>
        <w:rPr>
          <w:rFonts w:hint="eastAsia" w:ascii="仿宋_GB2312" w:hAnsi="仿宋_GB2312" w:eastAsia="仿宋_GB2312" w:cs="仿宋_GB2312"/>
          <w:kern w:val="2"/>
          <w:sz w:val="32"/>
          <w:szCs w:val="32"/>
          <w:lang w:val="en-US" w:eastAsia="zh-CN" w:bidi="ar-SA"/>
        </w:rPr>
        <w:t>质效</w:t>
      </w:r>
      <w:r>
        <w:rPr>
          <w:rFonts w:hint="eastAsia" w:ascii="仿宋_GB2312" w:hAnsi="仿宋_GB2312" w:eastAsia="仿宋_GB2312" w:cs="仿宋_GB2312"/>
          <w:kern w:val="2"/>
          <w:sz w:val="32"/>
          <w:szCs w:val="32"/>
          <w:lang w:val="zh-CN" w:eastAsia="zh-CN" w:bidi="ar-SA"/>
        </w:rPr>
        <w:t>。</w:t>
      </w:r>
    </w:p>
    <w:p>
      <w:pPr>
        <w:pStyle w:val="7"/>
        <w:spacing w:before="93"/>
        <w:rPr>
          <w:rFonts w:hint="eastAsia" w:hAnsi="宋体" w:cs="宋体"/>
          <w:sz w:val="32"/>
          <w:szCs w:val="32"/>
          <w:shd w:val="clear" w:color="auto" w:fill="FFFFFF"/>
          <w:lang w:val="zh-CN"/>
        </w:rPr>
      </w:pPr>
    </w:p>
    <w:p>
      <w:pPr>
        <w:pStyle w:val="7"/>
        <w:spacing w:before="93"/>
        <w:rPr>
          <w:rFonts w:hint="eastAsia" w:hAnsi="宋体" w:cs="宋体"/>
          <w:sz w:val="32"/>
          <w:szCs w:val="32"/>
          <w:shd w:val="clear" w:color="auto" w:fill="FFFFFF"/>
          <w:lang w:val="zh-CN"/>
        </w:rPr>
      </w:pPr>
    </w:p>
    <w:p>
      <w:pPr>
        <w:pStyle w:val="7"/>
        <w:spacing w:before="93"/>
        <w:rPr>
          <w:rFonts w:hint="eastAsia" w:hAnsi="宋体" w:cs="宋体"/>
          <w:sz w:val="32"/>
          <w:szCs w:val="32"/>
          <w:shd w:val="clear" w:color="auto" w:fill="FFFFFF"/>
          <w:lang w:val="zh-CN"/>
        </w:rPr>
      </w:pPr>
    </w:p>
    <w:p>
      <w:pPr>
        <w:pStyle w:val="7"/>
        <w:spacing w:before="93"/>
        <w:rPr>
          <w:rFonts w:hint="eastAsia" w:hAnsi="宋体" w:cs="宋体"/>
          <w:sz w:val="32"/>
          <w:szCs w:val="32"/>
          <w:shd w:val="clear" w:color="auto" w:fill="FFFFFF"/>
          <w:lang w:val="zh-CN"/>
        </w:rPr>
      </w:pPr>
    </w:p>
    <w:p>
      <w:pPr>
        <w:pStyle w:val="7"/>
        <w:spacing w:before="93"/>
        <w:rPr>
          <w:rFonts w:hint="eastAsia" w:hAnsi="宋体" w:cs="宋体"/>
          <w:sz w:val="32"/>
          <w:szCs w:val="32"/>
          <w:shd w:val="clear" w:color="auto" w:fill="FFFFFF"/>
          <w:lang w:val="zh-CN"/>
        </w:rPr>
      </w:pPr>
    </w:p>
    <w:p>
      <w:pPr>
        <w:pStyle w:val="7"/>
        <w:spacing w:before="93"/>
        <w:rPr>
          <w:rFonts w:hint="eastAsia" w:hAnsi="宋体" w:cs="宋体"/>
          <w:sz w:val="32"/>
          <w:szCs w:val="32"/>
          <w:shd w:val="clear" w:color="auto" w:fill="FFFFFF"/>
          <w:lang w:val="zh-CN"/>
        </w:rPr>
      </w:pPr>
    </w:p>
    <w:p>
      <w:pPr>
        <w:pStyle w:val="7"/>
        <w:spacing w:before="93"/>
        <w:rPr>
          <w:rFonts w:hint="eastAsia" w:hAnsi="宋体" w:cs="宋体"/>
          <w:sz w:val="32"/>
          <w:szCs w:val="32"/>
          <w:shd w:val="clear" w:color="auto" w:fill="FFFFFF"/>
          <w:lang w:val="zh-CN"/>
        </w:rPr>
      </w:pPr>
    </w:p>
    <w:p>
      <w:pPr>
        <w:pStyle w:val="7"/>
        <w:spacing w:before="93"/>
        <w:rPr>
          <w:rFonts w:hint="eastAsia" w:hAnsi="宋体" w:cs="宋体"/>
          <w:sz w:val="32"/>
          <w:szCs w:val="32"/>
          <w:shd w:val="clear" w:color="auto" w:fill="FFFFFF"/>
          <w:lang w:val="zh-CN"/>
        </w:rPr>
      </w:pPr>
    </w:p>
    <w:p>
      <w:pPr>
        <w:pStyle w:val="7"/>
        <w:spacing w:before="93"/>
        <w:rPr>
          <w:rFonts w:hint="eastAsia" w:hAnsi="宋体" w:cs="宋体"/>
          <w:sz w:val="32"/>
          <w:szCs w:val="32"/>
          <w:shd w:val="clear" w:color="auto" w:fill="FFFFFF"/>
          <w:lang w:val="zh-CN"/>
        </w:rPr>
      </w:pPr>
    </w:p>
    <w:p>
      <w:pPr>
        <w:pStyle w:val="7"/>
        <w:spacing w:before="93"/>
        <w:rPr>
          <w:rFonts w:hint="eastAsia" w:hAnsi="宋体" w:cs="宋体"/>
          <w:sz w:val="32"/>
          <w:szCs w:val="32"/>
          <w:shd w:val="clear" w:color="auto" w:fill="FFFFFF"/>
          <w:lang w:val="zh-CN"/>
        </w:rPr>
      </w:pPr>
    </w:p>
    <w:p>
      <w:pPr>
        <w:pStyle w:val="7"/>
        <w:spacing w:before="93"/>
        <w:rPr>
          <w:rFonts w:hint="eastAsia" w:hAnsi="宋体" w:cs="宋体"/>
          <w:sz w:val="32"/>
          <w:szCs w:val="32"/>
          <w:shd w:val="clear" w:color="auto" w:fill="FFFFFF"/>
          <w:lang w:val="zh-CN"/>
        </w:rPr>
      </w:pPr>
    </w:p>
    <w:p>
      <w:pPr>
        <w:pStyle w:val="7"/>
        <w:spacing w:before="93"/>
        <w:rPr>
          <w:rFonts w:hint="eastAsia" w:hAnsi="宋体" w:cs="宋体"/>
          <w:sz w:val="32"/>
          <w:szCs w:val="32"/>
          <w:shd w:val="clear" w:color="auto" w:fill="FFFFFF"/>
          <w:lang w:val="zh-CN"/>
        </w:rPr>
      </w:pPr>
    </w:p>
    <w:p>
      <w:pPr>
        <w:pStyle w:val="7"/>
        <w:spacing w:before="93"/>
        <w:rPr>
          <w:rFonts w:hint="eastAsia" w:hAnsi="宋体" w:cs="宋体"/>
          <w:sz w:val="32"/>
          <w:szCs w:val="32"/>
          <w:shd w:val="clear" w:color="auto" w:fill="FFFFFF"/>
          <w:lang w:val="zh-CN"/>
        </w:rPr>
      </w:pPr>
    </w:p>
    <w:p>
      <w:pPr>
        <w:pStyle w:val="7"/>
        <w:spacing w:before="93"/>
        <w:rPr>
          <w:rFonts w:hint="eastAsia" w:hAnsi="宋体" w:cs="宋体"/>
          <w:sz w:val="32"/>
          <w:szCs w:val="32"/>
          <w:shd w:val="clear" w:color="auto" w:fill="FFFFFF"/>
          <w:lang w:val="zh-CN"/>
        </w:rPr>
      </w:pPr>
    </w:p>
    <w:p>
      <w:pPr>
        <w:pStyle w:val="7"/>
        <w:spacing w:before="93"/>
        <w:rPr>
          <w:rFonts w:hint="eastAsia" w:hAnsi="宋体" w:cs="宋体"/>
          <w:sz w:val="32"/>
          <w:szCs w:val="32"/>
          <w:shd w:val="clear" w:color="auto" w:fill="FFFFFF"/>
          <w:lang w:val="zh-CN"/>
        </w:rPr>
      </w:pPr>
    </w:p>
    <w:p>
      <w:pPr>
        <w:pStyle w:val="7"/>
        <w:spacing w:before="93"/>
        <w:rPr>
          <w:rFonts w:hint="eastAsia" w:hAnsi="宋体" w:cs="宋体"/>
          <w:sz w:val="32"/>
          <w:szCs w:val="32"/>
          <w:shd w:val="clear" w:color="auto" w:fill="FFFFFF"/>
          <w:lang w:val="zh-CN"/>
        </w:rPr>
      </w:pPr>
    </w:p>
    <w:p>
      <w:pPr>
        <w:pStyle w:val="7"/>
        <w:spacing w:before="93"/>
        <w:rPr>
          <w:rFonts w:hint="eastAsia" w:hAnsi="宋体" w:cs="宋体"/>
          <w:sz w:val="32"/>
          <w:szCs w:val="32"/>
          <w:shd w:val="clear" w:color="auto" w:fill="FFFFFF"/>
          <w:lang w:val="zh-CN"/>
        </w:rPr>
      </w:pPr>
    </w:p>
    <w:p>
      <w:pPr>
        <w:pStyle w:val="8"/>
        <w:ind w:left="0" w:leftChars="0" w:firstLine="0" w:firstLineChars="0"/>
        <w:jc w:val="center"/>
        <w:rPr>
          <w:rFonts w:hint="eastAsia" w:ascii="方正小标宋简体" w:hAnsi="方正小标宋简体" w:eastAsia="方正小标宋简体" w:cs="方正小标宋简体"/>
          <w:i w:val="0"/>
          <w:color w:val="auto"/>
          <w:kern w:val="2"/>
          <w:sz w:val="32"/>
          <w:szCs w:val="32"/>
          <w:lang w:val="en-US" w:eastAsia="zh-CN" w:bidi="ar-SA"/>
        </w:rPr>
      </w:pPr>
    </w:p>
    <w:p>
      <w:pPr>
        <w:pStyle w:val="8"/>
        <w:ind w:left="0" w:leftChars="0" w:firstLine="0" w:firstLineChars="0"/>
        <w:jc w:val="center"/>
        <w:rPr>
          <w:rFonts w:hint="eastAsia" w:ascii="方正小标宋简体" w:hAnsi="方正小标宋简体" w:eastAsia="方正小标宋简体" w:cs="方正小标宋简体"/>
          <w:i w:val="0"/>
          <w:color w:val="auto"/>
          <w:kern w:val="2"/>
          <w:sz w:val="32"/>
          <w:szCs w:val="32"/>
          <w:lang w:val="en-US" w:eastAsia="zh-CN" w:bidi="ar-SA"/>
        </w:rPr>
      </w:pPr>
      <w:r>
        <w:rPr>
          <w:rFonts w:hint="eastAsia" w:ascii="方正小标宋简体" w:hAnsi="方正小标宋简体" w:eastAsia="方正小标宋简体" w:cs="方正小标宋简体"/>
          <w:i w:val="0"/>
          <w:color w:val="auto"/>
          <w:kern w:val="2"/>
          <w:sz w:val="32"/>
          <w:szCs w:val="32"/>
          <w:lang w:val="en-US" w:eastAsia="zh-CN" w:bidi="ar-SA"/>
        </w:rPr>
        <w:t>剑阁县目标绩效事务中心</w:t>
      </w:r>
    </w:p>
    <w:p>
      <w:pPr>
        <w:pStyle w:val="35"/>
        <w:spacing w:line="578"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w:t>
      </w:r>
      <w:r>
        <w:rPr>
          <w:rFonts w:hint="eastAsia" w:ascii="方正小标宋简体" w:hAnsi="方正小标宋简体" w:eastAsia="方正小标宋简体" w:cs="方正小标宋简体"/>
          <w:color w:val="auto"/>
          <w:kern w:val="2"/>
          <w:sz w:val="32"/>
          <w:szCs w:val="32"/>
          <w:lang w:val="en-US" w:eastAsia="zh-CN"/>
        </w:rPr>
        <w:t>2</w:t>
      </w:r>
      <w:r>
        <w:rPr>
          <w:rFonts w:hint="eastAsia" w:ascii="方正小标宋简体" w:hAnsi="方正小标宋简体" w:eastAsia="方正小标宋简体" w:cs="方正小标宋简体"/>
          <w:color w:val="auto"/>
          <w:kern w:val="2"/>
          <w:sz w:val="32"/>
          <w:szCs w:val="32"/>
          <w:lang w:val="en-US"/>
        </w:rPr>
        <w:t>年项目</w:t>
      </w:r>
      <w:r>
        <w:rPr>
          <w:rFonts w:hint="eastAsia" w:ascii="方正小标宋简体" w:hAnsi="方正小标宋简体" w:eastAsia="方正小标宋简体" w:cs="方正小标宋简体"/>
          <w:color w:val="auto"/>
          <w:kern w:val="2"/>
          <w:sz w:val="32"/>
          <w:szCs w:val="32"/>
          <w:lang w:val="en-US" w:eastAsia="zh-CN"/>
        </w:rPr>
        <w:t>支出</w:t>
      </w:r>
      <w:r>
        <w:rPr>
          <w:rFonts w:hint="eastAsia" w:ascii="方正小标宋简体" w:hAnsi="方正小标宋简体" w:eastAsia="方正小标宋简体" w:cs="方正小标宋简体"/>
          <w:color w:val="auto"/>
          <w:kern w:val="2"/>
          <w:sz w:val="32"/>
          <w:szCs w:val="32"/>
          <w:lang w:val="en-US"/>
        </w:rPr>
        <w:t>绩效自评报告</w:t>
      </w:r>
    </w:p>
    <w:p>
      <w:pPr>
        <w:pStyle w:val="35"/>
        <w:spacing w:line="578" w:lineRule="exact"/>
        <w:ind w:firstLine="640"/>
        <w:jc w:val="center"/>
        <w:rPr>
          <w:rFonts w:ascii="宋体" w:hAnsi="宋体"/>
          <w:color w:val="auto"/>
          <w:kern w:val="2"/>
          <w:sz w:val="32"/>
          <w:szCs w:val="32"/>
        </w:rPr>
      </w:pPr>
    </w:p>
    <w:p>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b w:val="0"/>
          <w:bCs w:val="0"/>
          <w:spacing w:val="-9"/>
          <w:sz w:val="32"/>
          <w:szCs w:val="32"/>
        </w:rPr>
      </w:pPr>
      <w:r>
        <w:rPr>
          <w:rFonts w:hint="eastAsia" w:ascii="楷体_GB2312" w:hAnsi="宋体" w:eastAsia="楷体_GB2312" w:cs="Times New Roman"/>
          <w:b/>
          <w:sz w:val="32"/>
          <w:szCs w:val="32"/>
          <w:lang w:val="zh-CN"/>
        </w:rPr>
        <w:t>(一)项目资金申报及批复情况。</w:t>
      </w:r>
      <w:r>
        <w:rPr>
          <w:rFonts w:hint="eastAsia" w:ascii="仿宋_GB2312" w:hAnsi="仿宋_GB2312" w:eastAsia="仿宋_GB2312" w:cs="仿宋_GB2312"/>
          <w:b w:val="0"/>
          <w:bCs w:val="0"/>
          <w:spacing w:val="-9"/>
          <w:sz w:val="32"/>
          <w:szCs w:val="32"/>
        </w:rPr>
        <w:t>决策依据：根据年初预算编制预算方案，县</w:t>
      </w:r>
      <w:r>
        <w:rPr>
          <w:rFonts w:hint="eastAsia" w:ascii="仿宋_GB2312" w:hAnsi="仿宋_GB2312" w:eastAsia="仿宋_GB2312" w:cs="仿宋_GB2312"/>
          <w:b w:val="0"/>
          <w:bCs w:val="0"/>
          <w:spacing w:val="-9"/>
          <w:sz w:val="32"/>
          <w:szCs w:val="32"/>
          <w:lang w:eastAsia="zh-CN"/>
        </w:rPr>
        <w:t>目标绩效事务中心</w:t>
      </w:r>
      <w:r>
        <w:rPr>
          <w:rFonts w:hint="eastAsia" w:ascii="仿宋_GB2312" w:hAnsi="仿宋_GB2312" w:eastAsia="仿宋_GB2312" w:cs="仿宋_GB2312"/>
          <w:b w:val="0"/>
          <w:bCs w:val="0"/>
          <w:spacing w:val="-9"/>
          <w:sz w:val="32"/>
          <w:szCs w:val="32"/>
        </w:rPr>
        <w:t>申报</w:t>
      </w:r>
      <w:r>
        <w:rPr>
          <w:rFonts w:hint="eastAsia" w:ascii="仿宋_GB2312" w:hAnsi="仿宋_GB2312" w:eastAsia="仿宋_GB2312" w:cs="仿宋_GB2312"/>
          <w:b w:val="0"/>
          <w:bCs w:val="0"/>
          <w:spacing w:val="-9"/>
          <w:sz w:val="32"/>
          <w:szCs w:val="32"/>
          <w:lang w:eastAsia="zh-CN"/>
        </w:rPr>
        <w:t>目标绩效管理工作</w:t>
      </w:r>
      <w:r>
        <w:rPr>
          <w:rFonts w:hint="eastAsia" w:ascii="仿宋_GB2312" w:hAnsi="仿宋_GB2312" w:eastAsia="仿宋_GB2312" w:cs="仿宋_GB2312"/>
          <w:b w:val="0"/>
          <w:bCs w:val="0"/>
          <w:spacing w:val="-9"/>
          <w:sz w:val="32"/>
          <w:szCs w:val="32"/>
        </w:rPr>
        <w:t>经费</w:t>
      </w:r>
      <w:r>
        <w:rPr>
          <w:rFonts w:hint="eastAsia" w:ascii="仿宋_GB2312" w:hAnsi="仿宋_GB2312" w:eastAsia="仿宋_GB2312" w:cs="仿宋_GB2312"/>
          <w:b w:val="0"/>
          <w:bCs w:val="0"/>
          <w:spacing w:val="-9"/>
          <w:sz w:val="32"/>
          <w:szCs w:val="32"/>
          <w:lang w:val="en-US" w:eastAsia="zh-CN"/>
        </w:rPr>
        <w:t>10</w:t>
      </w:r>
      <w:r>
        <w:rPr>
          <w:rFonts w:hint="eastAsia" w:ascii="仿宋_GB2312" w:hAnsi="仿宋_GB2312" w:eastAsia="仿宋_GB2312" w:cs="仿宋_GB2312"/>
          <w:b w:val="0"/>
          <w:bCs w:val="0"/>
          <w:spacing w:val="-9"/>
          <w:sz w:val="32"/>
          <w:szCs w:val="32"/>
        </w:rPr>
        <w:t>万元，县财政</w:t>
      </w:r>
      <w:r>
        <w:rPr>
          <w:rFonts w:hint="eastAsia" w:ascii="仿宋_GB2312" w:hAnsi="仿宋_GB2312" w:eastAsia="仿宋_GB2312" w:cs="仿宋_GB2312"/>
          <w:b w:val="0"/>
          <w:bCs w:val="0"/>
          <w:spacing w:val="-9"/>
          <w:sz w:val="32"/>
          <w:szCs w:val="32"/>
          <w:lang w:eastAsia="zh-CN"/>
        </w:rPr>
        <w:t>足额</w:t>
      </w:r>
      <w:r>
        <w:rPr>
          <w:rFonts w:hint="eastAsia" w:ascii="仿宋_GB2312" w:hAnsi="仿宋_GB2312" w:eastAsia="仿宋_GB2312" w:cs="仿宋_GB2312"/>
          <w:b w:val="0"/>
          <w:bCs w:val="0"/>
          <w:spacing w:val="-9"/>
          <w:sz w:val="32"/>
          <w:szCs w:val="32"/>
        </w:rPr>
        <w:t>预算到本单位。</w:t>
      </w:r>
    </w:p>
    <w:p>
      <w:pPr>
        <w:adjustRightInd w:val="0"/>
        <w:snapToGrid w:val="0"/>
        <w:spacing w:line="578" w:lineRule="exact"/>
        <w:ind w:firstLine="720"/>
        <w:rPr>
          <w:rFonts w:hint="eastAsia" w:ascii="楷体_GB2312" w:hAnsi="宋体" w:eastAsia="楷体_GB2312" w:cs="Times New Roman"/>
          <w:b/>
          <w:sz w:val="32"/>
          <w:szCs w:val="32"/>
          <w:lang w:val="zh-CN"/>
        </w:rPr>
      </w:pPr>
      <w:bookmarkStart w:id="51" w:name="_Toc3875"/>
      <w:r>
        <w:rPr>
          <w:rFonts w:hint="eastAsia" w:ascii="楷体_GB2312" w:hAnsi="宋体" w:eastAsia="楷体_GB2312" w:cs="Times New Roman"/>
          <w:b/>
          <w:sz w:val="32"/>
          <w:szCs w:val="32"/>
          <w:lang w:val="zh-CN"/>
        </w:rPr>
        <w:t>(二)项目绩效目标。</w:t>
      </w:r>
      <w:bookmarkEnd w:id="51"/>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04" w:firstLineChars="200"/>
        <w:jc w:val="both"/>
        <w:textAlignment w:val="baseline"/>
        <w:rPr>
          <w:rFonts w:hint="eastAsia" w:ascii="仿宋_GB2312" w:hAnsi="仿宋_GB2312" w:eastAsia="仿宋_GB2312" w:cs="仿宋_GB2312"/>
          <w:b w:val="0"/>
          <w:bCs w:val="0"/>
          <w:spacing w:val="-9"/>
          <w:sz w:val="32"/>
          <w:szCs w:val="32"/>
          <w:lang w:val="zh-CN"/>
        </w:rPr>
      </w:pPr>
      <w:bookmarkStart w:id="52" w:name="_Toc9123"/>
      <w:r>
        <w:rPr>
          <w:rFonts w:hint="eastAsia" w:ascii="仿宋_GB2312" w:hAnsi="仿宋_GB2312" w:eastAsia="仿宋_GB2312" w:cs="仿宋_GB2312"/>
          <w:b w:val="0"/>
          <w:bCs w:val="0"/>
          <w:spacing w:val="-9"/>
          <w:sz w:val="32"/>
          <w:szCs w:val="32"/>
        </w:rPr>
        <w:t>2022年，县目标绩效事务中心紧紧围绕县委“1233”执政兴县战略，聚焦加快建设社会主义现代化剑阁总体目标，</w:t>
      </w:r>
      <w:r>
        <w:rPr>
          <w:rFonts w:hint="eastAsia" w:ascii="仿宋_GB2312" w:hAnsi="仿宋_GB2312" w:eastAsia="仿宋_GB2312" w:cs="仿宋_GB2312"/>
          <w:b w:val="0"/>
          <w:bCs w:val="0"/>
          <w:spacing w:val="-9"/>
          <w:sz w:val="32"/>
          <w:szCs w:val="32"/>
          <w:lang w:eastAsia="zh-CN"/>
        </w:rPr>
        <w:t>抓好</w:t>
      </w:r>
      <w:r>
        <w:rPr>
          <w:rFonts w:hint="eastAsia" w:ascii="仿宋_GB2312" w:hAnsi="仿宋_GB2312" w:eastAsia="仿宋_GB2312" w:cs="仿宋_GB2312"/>
          <w:b w:val="0"/>
          <w:bCs w:val="0"/>
          <w:spacing w:val="-9"/>
          <w:sz w:val="32"/>
          <w:szCs w:val="32"/>
        </w:rPr>
        <w:t>目标绩效管理、督查督办、民生实事管理和整治形式主义等工作</w:t>
      </w:r>
      <w:r>
        <w:rPr>
          <w:rFonts w:hint="eastAsia" w:ascii="仿宋_GB2312" w:hAnsi="仿宋_GB2312" w:eastAsia="仿宋_GB2312" w:cs="仿宋_GB2312"/>
          <w:b w:val="0"/>
          <w:bCs w:val="0"/>
          <w:spacing w:val="-9"/>
          <w:sz w:val="32"/>
          <w:szCs w:val="32"/>
          <w:lang w:eastAsia="zh-CN"/>
        </w:rPr>
        <w:t>职能</w:t>
      </w:r>
      <w:r>
        <w:rPr>
          <w:rFonts w:hint="eastAsia" w:ascii="仿宋_GB2312" w:hAnsi="仿宋_GB2312" w:eastAsia="仿宋_GB2312" w:cs="仿宋_GB2312"/>
          <w:b w:val="0"/>
          <w:bCs w:val="0"/>
          <w:spacing w:val="-9"/>
          <w:sz w:val="32"/>
          <w:szCs w:val="32"/>
          <w:lang w:val="zh-CN" w:eastAsia="zh-CN"/>
        </w:rPr>
        <w:t>。</w:t>
      </w:r>
      <w:r>
        <w:rPr>
          <w:rFonts w:hint="eastAsia" w:ascii="仿宋_GB2312" w:hAnsi="仿宋_GB2312" w:eastAsia="仿宋_GB2312" w:cs="仿宋_GB2312"/>
          <w:b w:val="0"/>
          <w:bCs w:val="0"/>
          <w:spacing w:val="-9"/>
          <w:sz w:val="32"/>
          <w:szCs w:val="32"/>
          <w:lang w:val="zh-CN"/>
        </w:rPr>
        <w:t>完成全县目标绩效管理工作，乡镇、部门目标的制定、管理、指导、协调和考核工作，做好督查督办工作，落实重大决策督查，完成民生实事工作。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b w:val="0"/>
          <w:bCs w:val="0"/>
          <w:spacing w:val="-9"/>
          <w:sz w:val="32"/>
          <w:szCs w:val="32"/>
        </w:rPr>
      </w:pPr>
      <w:r>
        <w:rPr>
          <w:rFonts w:hint="eastAsia" w:ascii="楷体_GB2312" w:hAnsi="宋体" w:eastAsia="楷体_GB2312" w:cs="Times New Roman"/>
          <w:b/>
          <w:sz w:val="32"/>
          <w:szCs w:val="32"/>
          <w:lang w:val="zh-CN"/>
        </w:rPr>
        <w:t>（三）项目资金申报相符性。</w:t>
      </w:r>
      <w:r>
        <w:rPr>
          <w:rFonts w:hint="eastAsia" w:ascii="仿宋_GB2312" w:hAnsi="仿宋_GB2312" w:eastAsia="仿宋_GB2312" w:cs="仿宋_GB2312"/>
          <w:b w:val="0"/>
          <w:bCs w:val="0"/>
          <w:spacing w:val="-9"/>
          <w:sz w:val="32"/>
          <w:szCs w:val="32"/>
        </w:rPr>
        <w:t>项目申报内容与具体实施内容相符、</w:t>
      </w:r>
      <w:bookmarkEnd w:id="52"/>
      <w:r>
        <w:rPr>
          <w:rFonts w:hint="eastAsia" w:ascii="仿宋_GB2312" w:hAnsi="仿宋_GB2312" w:eastAsia="仿宋_GB2312" w:cs="仿宋_GB2312"/>
          <w:b w:val="0"/>
          <w:bCs w:val="0"/>
          <w:spacing w:val="-9"/>
          <w:sz w:val="32"/>
          <w:szCs w:val="32"/>
        </w:rPr>
        <w:t>申报目标合理可行。</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15" w:firstLineChars="200"/>
        <w:jc w:val="both"/>
        <w:textAlignment w:val="baseline"/>
        <w:outlineLvl w:val="1"/>
        <w:rPr>
          <w:rFonts w:hint="eastAsia" w:ascii="黑体" w:hAnsi="黑体" w:eastAsia="黑体" w:cs="黑体"/>
          <w:b/>
          <w:bCs/>
          <w:spacing w:val="-7"/>
          <w:sz w:val="32"/>
          <w:szCs w:val="32"/>
        </w:rPr>
      </w:pPr>
      <w:bookmarkStart w:id="53" w:name="_Toc6105"/>
      <w:r>
        <w:rPr>
          <w:rFonts w:hint="eastAsia" w:ascii="黑体" w:hAnsi="黑体" w:eastAsia="黑体" w:cs="黑体"/>
          <w:b/>
          <w:bCs/>
          <w:spacing w:val="-7"/>
          <w:sz w:val="32"/>
          <w:szCs w:val="32"/>
        </w:rPr>
        <w:t>二、项目实施及管理情况</w:t>
      </w:r>
      <w:bookmarkEnd w:id="53"/>
    </w:p>
    <w:p>
      <w:pPr>
        <w:adjustRightInd w:val="0"/>
        <w:snapToGrid w:val="0"/>
        <w:spacing w:line="578" w:lineRule="exact"/>
        <w:ind w:firstLine="720"/>
        <w:rPr>
          <w:rFonts w:hint="eastAsia" w:ascii="楷体_GB2312" w:hAnsi="宋体" w:eastAsia="楷体_GB2312" w:cs="Times New Roman"/>
          <w:b/>
          <w:sz w:val="32"/>
          <w:szCs w:val="32"/>
          <w:lang w:val="zh-CN"/>
        </w:rPr>
      </w:pPr>
      <w:bookmarkStart w:id="54" w:name="_Toc13514"/>
      <w:r>
        <w:rPr>
          <w:rFonts w:hint="eastAsia" w:ascii="楷体_GB2312" w:hAnsi="宋体" w:eastAsia="楷体_GB2312" w:cs="Times New Roman"/>
          <w:b/>
          <w:sz w:val="32"/>
          <w:szCs w:val="32"/>
          <w:lang w:val="zh-CN"/>
        </w:rPr>
        <w:t>(一)资金计划、到位及使用情况。</w:t>
      </w:r>
      <w:bookmarkEnd w:id="54"/>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04" w:firstLineChars="200"/>
        <w:jc w:val="both"/>
        <w:textAlignment w:val="baseline"/>
        <w:rPr>
          <w:rFonts w:hint="eastAsia" w:ascii="仿宋_GB2312" w:hAnsi="仿宋_GB2312" w:eastAsia="仿宋_GB2312" w:cs="仿宋_GB2312"/>
          <w:b w:val="0"/>
          <w:bCs w:val="0"/>
          <w:spacing w:val="-9"/>
          <w:sz w:val="32"/>
          <w:szCs w:val="32"/>
          <w:lang w:val="zh-CN"/>
        </w:rPr>
      </w:pPr>
      <w:r>
        <w:rPr>
          <w:rFonts w:hint="eastAsia" w:ascii="仿宋_GB2312" w:hAnsi="仿宋_GB2312" w:eastAsia="仿宋_GB2312" w:cs="仿宋_GB2312"/>
          <w:b w:val="0"/>
          <w:bCs w:val="0"/>
          <w:spacing w:val="-9"/>
          <w:sz w:val="32"/>
          <w:szCs w:val="32"/>
          <w:lang w:val="zh-CN"/>
        </w:rPr>
        <w:t>1、资金计划及到位。</w:t>
      </w:r>
      <w:r>
        <w:rPr>
          <w:rFonts w:hint="eastAsia" w:ascii="仿宋_GB2312" w:hAnsi="仿宋_GB2312" w:eastAsia="仿宋_GB2312" w:cs="仿宋_GB2312"/>
          <w:b w:val="0"/>
          <w:bCs w:val="0"/>
          <w:spacing w:val="-9"/>
          <w:sz w:val="32"/>
          <w:szCs w:val="32"/>
          <w:lang w:val="zh-CN" w:eastAsia="zh-CN"/>
        </w:rPr>
        <w:t>目标绩效管理工作</w:t>
      </w:r>
      <w:r>
        <w:rPr>
          <w:rFonts w:hint="eastAsia" w:ascii="仿宋_GB2312" w:hAnsi="仿宋_GB2312" w:eastAsia="仿宋_GB2312" w:cs="仿宋_GB2312"/>
          <w:b w:val="0"/>
          <w:bCs w:val="0"/>
          <w:spacing w:val="-9"/>
          <w:sz w:val="32"/>
          <w:szCs w:val="32"/>
          <w:lang w:val="zh-CN"/>
        </w:rPr>
        <w:t>经费年初预算资金</w:t>
      </w:r>
      <w:r>
        <w:rPr>
          <w:rFonts w:hint="eastAsia" w:ascii="仿宋_GB2312" w:hAnsi="仿宋_GB2312" w:eastAsia="仿宋_GB2312" w:cs="仿宋_GB2312"/>
          <w:b w:val="0"/>
          <w:bCs w:val="0"/>
          <w:spacing w:val="-9"/>
          <w:sz w:val="32"/>
          <w:szCs w:val="32"/>
          <w:lang w:val="en-US" w:eastAsia="zh-CN"/>
        </w:rPr>
        <w:t>10</w:t>
      </w:r>
      <w:r>
        <w:rPr>
          <w:rFonts w:hint="eastAsia" w:ascii="仿宋_GB2312" w:hAnsi="仿宋_GB2312" w:eastAsia="仿宋_GB2312" w:cs="仿宋_GB2312"/>
          <w:b w:val="0"/>
          <w:bCs w:val="0"/>
          <w:spacing w:val="-9"/>
          <w:sz w:val="32"/>
          <w:szCs w:val="32"/>
          <w:lang w:val="zh-CN"/>
        </w:rPr>
        <w:t>万元。在实施过程中，申请并批复资金共计</w:t>
      </w:r>
      <w:r>
        <w:rPr>
          <w:rFonts w:hint="eastAsia" w:ascii="仿宋_GB2312" w:hAnsi="仿宋_GB2312" w:eastAsia="仿宋_GB2312" w:cs="仿宋_GB2312"/>
          <w:b w:val="0"/>
          <w:bCs w:val="0"/>
          <w:spacing w:val="-9"/>
          <w:sz w:val="32"/>
          <w:szCs w:val="32"/>
          <w:lang w:val="en-US" w:eastAsia="zh-CN"/>
        </w:rPr>
        <w:t>10</w:t>
      </w:r>
      <w:r>
        <w:rPr>
          <w:rFonts w:hint="eastAsia" w:ascii="仿宋_GB2312" w:hAnsi="仿宋_GB2312" w:eastAsia="仿宋_GB2312" w:cs="仿宋_GB2312"/>
          <w:b w:val="0"/>
          <w:bCs w:val="0"/>
          <w:spacing w:val="-9"/>
          <w:sz w:val="32"/>
          <w:szCs w:val="32"/>
          <w:lang w:val="zh-CN"/>
        </w:rPr>
        <w:t>万元。</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04" w:firstLineChars="200"/>
        <w:jc w:val="both"/>
        <w:textAlignment w:val="baseline"/>
        <w:rPr>
          <w:rFonts w:hint="eastAsia" w:ascii="仿宋_GB2312" w:hAnsi="仿宋_GB2312" w:eastAsia="仿宋_GB2312" w:cs="仿宋_GB2312"/>
          <w:b w:val="0"/>
          <w:bCs w:val="0"/>
          <w:spacing w:val="-9"/>
          <w:sz w:val="32"/>
          <w:szCs w:val="32"/>
          <w:lang w:val="zh-CN"/>
        </w:rPr>
      </w:pPr>
      <w:r>
        <w:rPr>
          <w:rFonts w:hint="eastAsia" w:ascii="仿宋_GB2312" w:hAnsi="仿宋_GB2312" w:eastAsia="仿宋_GB2312" w:cs="仿宋_GB2312"/>
          <w:b w:val="0"/>
          <w:bCs w:val="0"/>
          <w:spacing w:val="-9"/>
          <w:sz w:val="32"/>
          <w:szCs w:val="32"/>
          <w:lang w:val="zh-CN"/>
        </w:rPr>
        <w:t>2、资金使用。截至202</w:t>
      </w:r>
      <w:r>
        <w:rPr>
          <w:rFonts w:hint="eastAsia" w:ascii="仿宋_GB2312" w:hAnsi="仿宋_GB2312" w:eastAsia="仿宋_GB2312" w:cs="仿宋_GB2312"/>
          <w:b w:val="0"/>
          <w:bCs w:val="0"/>
          <w:spacing w:val="-9"/>
          <w:sz w:val="32"/>
          <w:szCs w:val="32"/>
          <w:lang w:val="en-US" w:eastAsia="zh-CN"/>
        </w:rPr>
        <w:t>2</w:t>
      </w:r>
      <w:r>
        <w:rPr>
          <w:rFonts w:hint="eastAsia" w:ascii="仿宋_GB2312" w:hAnsi="仿宋_GB2312" w:eastAsia="仿宋_GB2312" w:cs="仿宋_GB2312"/>
          <w:b w:val="0"/>
          <w:bCs w:val="0"/>
          <w:spacing w:val="-9"/>
          <w:sz w:val="32"/>
          <w:szCs w:val="32"/>
          <w:lang w:val="zh-CN"/>
        </w:rPr>
        <w:t>年12月底，</w:t>
      </w:r>
      <w:r>
        <w:rPr>
          <w:rFonts w:hint="eastAsia" w:ascii="仿宋_GB2312" w:hAnsi="仿宋_GB2312" w:eastAsia="仿宋_GB2312" w:cs="仿宋_GB2312"/>
          <w:b w:val="0"/>
          <w:bCs w:val="0"/>
          <w:spacing w:val="-9"/>
          <w:sz w:val="32"/>
          <w:szCs w:val="32"/>
          <w:lang w:val="zh-CN" w:eastAsia="zh-CN"/>
        </w:rPr>
        <w:t>目标绩效管理工作</w:t>
      </w:r>
      <w:r>
        <w:rPr>
          <w:rFonts w:hint="eastAsia" w:ascii="仿宋_GB2312" w:hAnsi="仿宋_GB2312" w:eastAsia="仿宋_GB2312" w:cs="仿宋_GB2312"/>
          <w:b w:val="0"/>
          <w:bCs w:val="0"/>
          <w:spacing w:val="-9"/>
          <w:sz w:val="32"/>
          <w:szCs w:val="32"/>
          <w:lang w:val="zh-CN"/>
        </w:rPr>
        <w:t>经费已全部支出，共计</w:t>
      </w:r>
      <w:r>
        <w:rPr>
          <w:rFonts w:hint="eastAsia" w:ascii="仿宋_GB2312" w:hAnsi="仿宋_GB2312" w:eastAsia="仿宋_GB2312" w:cs="仿宋_GB2312"/>
          <w:b w:val="0"/>
          <w:bCs w:val="0"/>
          <w:spacing w:val="-9"/>
          <w:sz w:val="32"/>
          <w:szCs w:val="32"/>
          <w:lang w:val="en-US" w:eastAsia="zh-CN"/>
        </w:rPr>
        <w:t>10</w:t>
      </w:r>
      <w:r>
        <w:rPr>
          <w:rFonts w:hint="eastAsia" w:ascii="仿宋_GB2312" w:hAnsi="仿宋_GB2312" w:eastAsia="仿宋_GB2312" w:cs="仿宋_GB2312"/>
          <w:b w:val="0"/>
          <w:bCs w:val="0"/>
          <w:spacing w:val="-9"/>
          <w:sz w:val="32"/>
          <w:szCs w:val="32"/>
          <w:lang w:val="zh-CN"/>
        </w:rPr>
        <w:t>万元，主要用于：办公费、印刷费、差旅费</w:t>
      </w:r>
      <w:r>
        <w:rPr>
          <w:rFonts w:hint="eastAsia" w:ascii="仿宋_GB2312" w:hAnsi="仿宋_GB2312" w:eastAsia="仿宋_GB2312" w:cs="仿宋_GB2312"/>
          <w:b w:val="0"/>
          <w:bCs w:val="0"/>
          <w:spacing w:val="-9"/>
          <w:sz w:val="32"/>
          <w:szCs w:val="32"/>
          <w:lang w:val="zh-CN" w:eastAsia="zh-CN"/>
        </w:rPr>
        <w:t>、会议</w:t>
      </w:r>
      <w:r>
        <w:rPr>
          <w:rFonts w:hint="eastAsia" w:ascii="仿宋_GB2312" w:hAnsi="仿宋_GB2312" w:eastAsia="仿宋_GB2312" w:cs="仿宋_GB2312"/>
          <w:b w:val="0"/>
          <w:bCs w:val="0"/>
          <w:spacing w:val="-9"/>
          <w:sz w:val="32"/>
          <w:szCs w:val="32"/>
          <w:lang w:val="zh-CN"/>
        </w:rPr>
        <w:t>等。</w:t>
      </w:r>
    </w:p>
    <w:p>
      <w:pPr>
        <w:adjustRightInd w:val="0"/>
        <w:snapToGrid w:val="0"/>
        <w:spacing w:line="578" w:lineRule="exact"/>
        <w:ind w:firstLine="720"/>
        <w:rPr>
          <w:rFonts w:hint="eastAsia" w:ascii="楷体_GB2312" w:hAnsi="宋体" w:eastAsia="楷体_GB2312" w:cs="Times New Roman"/>
          <w:b/>
          <w:sz w:val="32"/>
          <w:szCs w:val="32"/>
          <w:lang w:val="zh-CN"/>
        </w:rPr>
      </w:pPr>
      <w:bookmarkStart w:id="55" w:name="_Toc1323"/>
      <w:r>
        <w:rPr>
          <w:rFonts w:hint="eastAsia" w:ascii="楷体_GB2312" w:hAnsi="宋体" w:eastAsia="楷体_GB2312" w:cs="Times New Roman"/>
          <w:b/>
          <w:sz w:val="32"/>
          <w:szCs w:val="32"/>
          <w:lang w:val="zh-CN"/>
        </w:rPr>
        <w:t>(二)项目财务管理情况。</w:t>
      </w:r>
      <w:bookmarkEnd w:id="55"/>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584" w:firstLineChars="200"/>
        <w:jc w:val="both"/>
        <w:textAlignment w:val="baseline"/>
        <w:rPr>
          <w:rFonts w:hint="eastAsia" w:ascii="仿宋_GB2312" w:hAnsi="仿宋_GB2312" w:eastAsia="仿宋_GB2312" w:cs="仿宋_GB2312"/>
          <w:b w:val="0"/>
          <w:bCs w:val="0"/>
          <w:spacing w:val="-14"/>
          <w:sz w:val="32"/>
          <w:szCs w:val="32"/>
        </w:rPr>
      </w:pPr>
      <w:r>
        <w:rPr>
          <w:rFonts w:hint="eastAsia" w:ascii="仿宋_GB2312" w:hAnsi="仿宋_GB2312" w:eastAsia="仿宋_GB2312" w:cs="仿宋_GB2312"/>
          <w:b w:val="0"/>
          <w:bCs w:val="0"/>
          <w:spacing w:val="-14"/>
          <w:sz w:val="32"/>
          <w:szCs w:val="32"/>
        </w:rPr>
        <w:t>剑阁县</w:t>
      </w:r>
      <w:r>
        <w:rPr>
          <w:rFonts w:hint="eastAsia" w:ascii="仿宋_GB2312" w:hAnsi="仿宋_GB2312" w:eastAsia="仿宋_GB2312" w:cs="仿宋_GB2312"/>
          <w:b w:val="0"/>
          <w:bCs w:val="0"/>
          <w:spacing w:val="-14"/>
          <w:sz w:val="32"/>
          <w:szCs w:val="32"/>
          <w:lang w:eastAsia="zh-CN"/>
        </w:rPr>
        <w:t>目标绩效事务中心</w:t>
      </w:r>
      <w:r>
        <w:rPr>
          <w:rFonts w:hint="eastAsia" w:ascii="仿宋_GB2312" w:hAnsi="仿宋_GB2312" w:eastAsia="仿宋_GB2312" w:cs="仿宋_GB2312"/>
          <w:b w:val="0"/>
          <w:bCs w:val="0"/>
          <w:spacing w:val="-14"/>
          <w:sz w:val="32"/>
          <w:szCs w:val="32"/>
        </w:rPr>
        <w:t>编制有经费报销制度、财务管理制度、项目经费管理制度、内控制度等。项目管理严格执行各项制度，财务处理及时、会计核算规范。</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Chars="200" w:right="0" w:rightChars="0"/>
        <w:jc w:val="both"/>
        <w:textAlignment w:val="baseline"/>
        <w:rPr>
          <w:rFonts w:hint="eastAsia" w:ascii="仿宋_GB2312" w:hAnsi="仿宋_GB2312" w:eastAsia="仿宋_GB2312" w:cs="仿宋_GB2312"/>
          <w:b w:val="0"/>
          <w:bCs w:val="0"/>
          <w:spacing w:val="-1"/>
          <w:sz w:val="32"/>
          <w:szCs w:val="32"/>
        </w:rPr>
      </w:pPr>
      <w:r>
        <w:rPr>
          <w:rFonts w:hint="eastAsia" w:ascii="楷体_GB2312" w:hAnsi="宋体" w:eastAsia="楷体_GB2312" w:cs="Times New Roman"/>
          <w:b/>
          <w:sz w:val="32"/>
          <w:szCs w:val="32"/>
          <w:lang w:val="zh-CN" w:eastAsia="zh-CN"/>
        </w:rPr>
        <w:t>（三）</w:t>
      </w:r>
      <w:r>
        <w:rPr>
          <w:rFonts w:hint="eastAsia" w:ascii="楷体_GB2312" w:hAnsi="宋体" w:eastAsia="楷体_GB2312" w:cs="Times New Roman"/>
          <w:b/>
          <w:sz w:val="32"/>
          <w:szCs w:val="32"/>
          <w:lang w:val="zh-CN"/>
        </w:rPr>
        <w:t>项目组织实施情况。</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right="0" w:rightChars="0" w:firstLine="584" w:firstLineChars="200"/>
        <w:jc w:val="both"/>
        <w:textAlignment w:val="baseline"/>
        <w:rPr>
          <w:rFonts w:hint="eastAsia" w:ascii="仿宋_GB2312" w:hAnsi="仿宋_GB2312" w:eastAsia="仿宋_GB2312" w:cs="仿宋_GB2312"/>
          <w:b w:val="0"/>
          <w:bCs w:val="0"/>
          <w:spacing w:val="-17"/>
          <w:sz w:val="32"/>
          <w:szCs w:val="32"/>
          <w:lang w:eastAsia="zh-CN"/>
        </w:rPr>
      </w:pPr>
      <w:r>
        <w:rPr>
          <w:rFonts w:hint="eastAsia" w:ascii="仿宋_GB2312" w:hAnsi="仿宋_GB2312" w:eastAsia="仿宋_GB2312" w:cs="仿宋_GB2312"/>
          <w:b w:val="0"/>
          <w:bCs w:val="0"/>
          <w:spacing w:val="-14"/>
          <w:sz w:val="32"/>
          <w:szCs w:val="32"/>
          <w:lang w:eastAsia="zh-CN"/>
        </w:rPr>
        <w:t>一是</w:t>
      </w:r>
      <w:r>
        <w:rPr>
          <w:rFonts w:hint="eastAsia" w:ascii="仿宋_GB2312" w:hAnsi="仿宋_GB2312" w:eastAsia="仿宋_GB2312" w:cs="仿宋_GB2312"/>
          <w:b w:val="0"/>
          <w:bCs w:val="0"/>
          <w:spacing w:val="-14"/>
          <w:sz w:val="32"/>
          <w:szCs w:val="32"/>
        </w:rPr>
        <w:t>用好考核“指挥棒”，扎实做好目标绩效管理。</w:t>
      </w:r>
      <w:r>
        <w:rPr>
          <w:rFonts w:hint="eastAsia" w:ascii="仿宋_GB2312" w:hAnsi="仿宋_GB2312" w:eastAsia="仿宋_GB2312" w:cs="仿宋_GB2312"/>
          <w:b w:val="0"/>
          <w:bCs w:val="0"/>
          <w:spacing w:val="-14"/>
          <w:sz w:val="32"/>
          <w:szCs w:val="32"/>
          <w:lang w:eastAsia="zh-CN"/>
        </w:rPr>
        <w:t>二是</w:t>
      </w:r>
      <w:r>
        <w:rPr>
          <w:rFonts w:hint="eastAsia" w:ascii="仿宋_GB2312" w:hAnsi="仿宋_GB2312" w:eastAsia="仿宋_GB2312" w:cs="仿宋_GB2312"/>
          <w:b w:val="0"/>
          <w:bCs w:val="0"/>
          <w:spacing w:val="-14"/>
          <w:sz w:val="32"/>
          <w:szCs w:val="32"/>
        </w:rPr>
        <w:t>把准工作重点，扎实开展督查督办</w:t>
      </w:r>
      <w:r>
        <w:rPr>
          <w:rFonts w:hint="eastAsia" w:ascii="仿宋_GB2312" w:hAnsi="仿宋_GB2312" w:eastAsia="仿宋_GB2312" w:cs="仿宋_GB2312"/>
          <w:b w:val="0"/>
          <w:bCs w:val="0"/>
          <w:spacing w:val="-14"/>
          <w:sz w:val="32"/>
          <w:szCs w:val="32"/>
          <w:lang w:eastAsia="zh-CN"/>
        </w:rPr>
        <w:t>。三是</w:t>
      </w:r>
      <w:r>
        <w:rPr>
          <w:rFonts w:hint="eastAsia" w:ascii="仿宋_GB2312" w:hAnsi="仿宋_GB2312" w:eastAsia="仿宋_GB2312" w:cs="仿宋_GB2312"/>
          <w:b w:val="0"/>
          <w:bCs w:val="0"/>
          <w:spacing w:val="-14"/>
          <w:sz w:val="32"/>
          <w:szCs w:val="32"/>
        </w:rPr>
        <w:t>凝聚民生福祉，加快推进民生实事落实。</w:t>
      </w:r>
      <w:r>
        <w:rPr>
          <w:rFonts w:hint="eastAsia" w:ascii="仿宋_GB2312" w:hAnsi="仿宋_GB2312" w:eastAsia="仿宋_GB2312" w:cs="仿宋_GB2312"/>
          <w:b w:val="0"/>
          <w:bCs w:val="0"/>
          <w:spacing w:val="-14"/>
          <w:sz w:val="32"/>
          <w:szCs w:val="32"/>
          <w:lang w:eastAsia="zh-CN"/>
        </w:rPr>
        <w:t>四是</w:t>
      </w:r>
      <w:r>
        <w:rPr>
          <w:rFonts w:hint="eastAsia" w:ascii="仿宋_GB2312" w:hAnsi="仿宋_GB2312" w:eastAsia="仿宋_GB2312" w:cs="仿宋_GB2312"/>
          <w:b w:val="0"/>
          <w:bCs w:val="0"/>
          <w:spacing w:val="-14"/>
          <w:sz w:val="32"/>
          <w:szCs w:val="32"/>
        </w:rPr>
        <w:t>整治形式主义，切实提升减负实效。</w:t>
      </w:r>
      <w:r>
        <w:rPr>
          <w:rFonts w:hint="eastAsia" w:ascii="仿宋_GB2312" w:hAnsi="仿宋_GB2312" w:eastAsia="仿宋_GB2312" w:cs="仿宋_GB2312"/>
          <w:b w:val="0"/>
          <w:bCs w:val="0"/>
          <w:spacing w:val="-14"/>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15" w:firstLineChars="200"/>
        <w:jc w:val="both"/>
        <w:textAlignment w:val="baseline"/>
        <w:outlineLvl w:val="1"/>
        <w:rPr>
          <w:rFonts w:hint="eastAsia" w:ascii="黑体" w:hAnsi="黑体" w:eastAsia="黑体" w:cs="黑体"/>
          <w:b/>
          <w:bCs/>
          <w:spacing w:val="-7"/>
          <w:sz w:val="32"/>
          <w:szCs w:val="32"/>
        </w:rPr>
      </w:pPr>
      <w:bookmarkStart w:id="56" w:name="_Toc8862"/>
      <w:r>
        <w:rPr>
          <w:rFonts w:hint="eastAsia" w:ascii="黑体" w:hAnsi="黑体" w:eastAsia="黑体" w:cs="黑体"/>
          <w:b/>
          <w:bCs/>
          <w:spacing w:val="-7"/>
          <w:sz w:val="32"/>
          <w:szCs w:val="32"/>
        </w:rPr>
        <w:t>三、目标完成情况</w:t>
      </w:r>
      <w:bookmarkEnd w:id="56"/>
    </w:p>
    <w:p>
      <w:pPr>
        <w:adjustRightInd w:val="0"/>
        <w:snapToGrid w:val="0"/>
        <w:spacing w:line="578" w:lineRule="exact"/>
        <w:ind w:firstLine="720"/>
        <w:rPr>
          <w:rFonts w:hint="eastAsia" w:ascii="楷体_GB2312" w:hAnsi="宋体" w:eastAsia="楷体_GB2312" w:cs="Times New Roman"/>
          <w:b/>
          <w:sz w:val="32"/>
          <w:szCs w:val="32"/>
          <w:lang w:val="zh-CN"/>
        </w:rPr>
      </w:pPr>
      <w:bookmarkStart w:id="57" w:name="_Toc20979"/>
      <w:r>
        <w:rPr>
          <w:rFonts w:hint="eastAsia" w:ascii="楷体_GB2312" w:hAnsi="宋体" w:eastAsia="楷体_GB2312" w:cs="Times New Roman"/>
          <w:b/>
          <w:sz w:val="32"/>
          <w:szCs w:val="32"/>
          <w:lang w:val="zh-CN"/>
        </w:rPr>
        <w:t>(一)目标任务量完成情况。</w:t>
      </w:r>
      <w:bookmarkEnd w:id="57"/>
    </w:p>
    <w:p>
      <w:pPr>
        <w:keepNext w:val="0"/>
        <w:keepLines w:val="0"/>
        <w:pageBreakBefore w:val="0"/>
        <w:widowControl w:val="0"/>
        <w:kinsoku/>
        <w:wordWrap/>
        <w:overflowPunct w:val="0"/>
        <w:topLinePunct w:val="0"/>
        <w:autoSpaceDE/>
        <w:autoSpaceDN/>
        <w:bidi w:val="0"/>
        <w:adjustRightInd/>
        <w:snapToGrid/>
        <w:spacing w:line="566" w:lineRule="exact"/>
        <w:ind w:firstLine="640" w:firstLineChars="200"/>
        <w:textAlignment w:val="auto"/>
        <w:rPr>
          <w:rFonts w:hint="eastAsia" w:ascii="仿宋_GB2312" w:hAnsi="Times New Roman" w:eastAsia="仿宋_GB2312" w:cs="Times New Roman"/>
          <w:sz w:val="32"/>
          <w:szCs w:val="32"/>
        </w:rPr>
      </w:pPr>
      <w:bookmarkStart w:id="58" w:name="_Toc21146"/>
      <w:r>
        <w:rPr>
          <w:rFonts w:hint="eastAsia" w:ascii="仿宋_GB2312" w:hAnsi="Times New Roman" w:eastAsia="仿宋_GB2312" w:cs="Times New Roman"/>
          <w:sz w:val="32"/>
          <w:szCs w:val="32"/>
        </w:rPr>
        <w:t>一是目标绩效管理。进一步完善了目标管理办法</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科学设置目标绩效指标</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强化目标过程监管</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完成了2021年度目标考核工作。</w:t>
      </w:r>
      <w:r>
        <w:rPr>
          <w:rFonts w:hint="eastAsia" w:ascii="仿宋_GB2312" w:hAnsi="Times New Roman" w:eastAsia="仿宋_GB2312" w:cs="Times New Roman"/>
          <w:sz w:val="32"/>
          <w:szCs w:val="32"/>
          <w:lang w:eastAsia="zh-CN"/>
        </w:rPr>
        <w:t>二是加强督查督办。</w:t>
      </w:r>
      <w:r>
        <w:rPr>
          <w:rFonts w:hint="eastAsia" w:ascii="仿宋_GB2312" w:hAnsi="Times New Roman" w:eastAsia="仿宋_GB2312" w:cs="Times New Roman"/>
          <w:sz w:val="32"/>
          <w:szCs w:val="32"/>
        </w:rPr>
        <w:t>以周报、月报的形式及时反映督查情况，全年形成督查专报57期，督查通报67期，共办理领导批示件72件，办理领导交办事项86项，办结率100%。</w:t>
      </w:r>
      <w:r>
        <w:rPr>
          <w:rFonts w:hint="eastAsia" w:ascii="仿宋_GB2312" w:hAnsi="Times New Roman" w:eastAsia="仿宋_GB2312" w:cs="Times New Roman"/>
          <w:sz w:val="32"/>
          <w:szCs w:val="32"/>
          <w:lang w:eastAsia="zh-CN"/>
        </w:rPr>
        <w:t>三是</w:t>
      </w:r>
      <w:r>
        <w:rPr>
          <w:rFonts w:hint="eastAsia" w:ascii="仿宋_GB2312" w:hAnsi="Times New Roman" w:eastAsia="仿宋_GB2312" w:cs="Times New Roman"/>
          <w:sz w:val="32"/>
          <w:szCs w:val="32"/>
        </w:rPr>
        <w:t>加快推进民生实事落实。坚持科学编制方案</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认真组织实施</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将31件民生实事细化分解为43个小项具体任务，逐一明确责任单位和时间节点，狠抓落细、落小、落实</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同时，全面开展宣传，在广元市目标绩效公众号等平台刊载民生实事宣传稿件。坚持持续跟踪督办</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组织相关责任单位集中会商8次，开展专项调度督查5次、印发督办函6份，协调民生实事推进过程中各类困难问题13个。圆满完成我县实施的22件32小项省定民生实事、2件3小项市定民生实事、8件县定民生实事</w:t>
      </w:r>
      <w:r>
        <w:rPr>
          <w:rFonts w:hint="eastAsia" w:ascii="仿宋_GB2312" w:hAnsi="Times New Roman" w:eastAsia="仿宋_GB2312" w:cs="Times New Roman"/>
          <w:sz w:val="32"/>
          <w:szCs w:val="32"/>
          <w:lang w:eastAsia="zh-CN"/>
        </w:rPr>
        <w:t>。四是</w:t>
      </w:r>
      <w:r>
        <w:rPr>
          <w:rFonts w:hint="eastAsia" w:ascii="仿宋_GB2312" w:hAnsi="Times New Roman" w:eastAsia="仿宋_GB2312" w:cs="Times New Roman"/>
          <w:sz w:val="32"/>
          <w:szCs w:val="32"/>
        </w:rPr>
        <w:t>整治形式主义，切实提升减负实效。牵头协调职能</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制发《剑阁县整治形式主义为基层减负专项工作机制2022年工作措施及责任分工方案》，明确30项具体任务的时间表、路线图、责任人，同时健全整治形式主义为基层减负专项工作机制，向市专项机制报告工作情况4次，调度重点任务牵头部门工作情况4次，动态管理责任清单，督促各职能部门分工负责推进，确保基层减负各项措施全面落实。印发《严格落实统筹规范督查检查考核七条措施》《2022年县级督查检查考核计划》，统筹规范年度县级督查检查考核事项35项，进一步强化对“督检考”计划的审核把关和规范实施，坚持“一月一对账、一季一调账、年底算总账”，定期调度督查检查考核情况，避免“督检考”集中扎堆、重复多头开展。强化减负工作氛围营造。扎实开展整治形式主义为基层减负工作宣传，督促指导相关单位利用LED屏刊播相关宣传信息500余幅次，推动形成干事创业良好风气。</w:t>
      </w:r>
    </w:p>
    <w:p>
      <w:pPr>
        <w:adjustRightInd w:val="0"/>
        <w:snapToGrid w:val="0"/>
        <w:spacing w:line="578"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(二)目标质量完成情况。</w:t>
      </w:r>
      <w:bookmarkEnd w:id="58"/>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556"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1"/>
          <w:sz w:val="32"/>
          <w:szCs w:val="32"/>
        </w:rPr>
        <w:t>全面完成目标任务，符合全县县情，能促推工作开展。</w:t>
      </w:r>
    </w:p>
    <w:p>
      <w:pPr>
        <w:adjustRightInd w:val="0"/>
        <w:snapToGrid w:val="0"/>
        <w:spacing w:line="578" w:lineRule="exact"/>
        <w:ind w:firstLine="720"/>
        <w:rPr>
          <w:rFonts w:hint="eastAsia" w:ascii="楷体_GB2312" w:hAnsi="宋体" w:eastAsia="楷体_GB2312" w:cs="Times New Roman"/>
          <w:b/>
          <w:sz w:val="32"/>
          <w:szCs w:val="32"/>
          <w:lang w:val="zh-CN"/>
        </w:rPr>
      </w:pPr>
      <w:bookmarkStart w:id="59" w:name="_Toc29599"/>
      <w:r>
        <w:rPr>
          <w:rFonts w:hint="eastAsia" w:ascii="楷体_GB2312" w:hAnsi="宋体" w:eastAsia="楷体_GB2312" w:cs="Times New Roman"/>
          <w:b/>
          <w:sz w:val="32"/>
          <w:szCs w:val="32"/>
          <w:lang w:val="zh-CN"/>
        </w:rPr>
        <w:t>(三)目标进度完成情况。</w:t>
      </w:r>
      <w:bookmarkEnd w:id="59"/>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4"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截至202</w:t>
      </w:r>
      <w:r>
        <w:rPr>
          <w:rFonts w:hint="eastAsia" w:ascii="仿宋_GB2312" w:hAnsi="仿宋_GB2312" w:eastAsia="仿宋_GB2312" w:cs="仿宋_GB2312"/>
          <w:b w:val="0"/>
          <w:bCs w:val="0"/>
          <w:spacing w:val="-4"/>
          <w:sz w:val="32"/>
          <w:szCs w:val="32"/>
          <w:lang w:val="en-US" w:eastAsia="zh-CN"/>
        </w:rPr>
        <w:t>2</w:t>
      </w:r>
      <w:r>
        <w:rPr>
          <w:rFonts w:hint="eastAsia" w:ascii="仿宋_GB2312" w:hAnsi="仿宋_GB2312" w:eastAsia="仿宋_GB2312" w:cs="仿宋_GB2312"/>
          <w:b w:val="0"/>
          <w:bCs w:val="0"/>
          <w:spacing w:val="-4"/>
          <w:sz w:val="32"/>
          <w:szCs w:val="32"/>
        </w:rPr>
        <w:t>年12月底，全面完成了目标任务。</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15" w:firstLineChars="200"/>
        <w:jc w:val="both"/>
        <w:textAlignment w:val="baseline"/>
        <w:outlineLvl w:val="1"/>
        <w:rPr>
          <w:rFonts w:hint="eastAsia" w:ascii="黑体" w:hAnsi="黑体" w:eastAsia="黑体" w:cs="黑体"/>
          <w:b/>
          <w:bCs/>
          <w:spacing w:val="-7"/>
          <w:sz w:val="32"/>
          <w:szCs w:val="32"/>
        </w:rPr>
      </w:pPr>
      <w:bookmarkStart w:id="60" w:name="_Toc31440"/>
      <w:bookmarkStart w:id="61" w:name="_Toc15396618"/>
      <w:r>
        <w:rPr>
          <w:rFonts w:hint="eastAsia" w:ascii="黑体" w:hAnsi="黑体" w:eastAsia="黑体" w:cs="黑体"/>
          <w:b/>
          <w:bCs/>
          <w:spacing w:val="-7"/>
          <w:sz w:val="32"/>
          <w:szCs w:val="32"/>
        </w:rPr>
        <w:t>四、问题及建议</w:t>
      </w:r>
      <w:bookmarkEnd w:id="60"/>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8" w:firstLineChars="200"/>
        <w:jc w:val="both"/>
        <w:textAlignment w:val="baseline"/>
        <w:outlineLvl w:val="2"/>
        <w:rPr>
          <w:rFonts w:hint="eastAsia" w:ascii="仿宋_GB2312" w:hAnsi="仿宋_GB2312" w:eastAsia="仿宋_GB2312" w:cs="仿宋_GB2312"/>
          <w:b w:val="0"/>
          <w:bCs w:val="0"/>
          <w:sz w:val="32"/>
          <w:szCs w:val="32"/>
        </w:rPr>
      </w:pPr>
      <w:bookmarkStart w:id="62" w:name="_Toc27887"/>
      <w:r>
        <w:rPr>
          <w:rFonts w:hint="eastAsia" w:ascii="仿宋_GB2312" w:hAnsi="仿宋_GB2312" w:eastAsia="仿宋_GB2312" w:cs="仿宋_GB2312"/>
          <w:b w:val="0"/>
          <w:bCs w:val="0"/>
          <w:spacing w:val="2"/>
          <w:sz w:val="32"/>
          <w:szCs w:val="32"/>
        </w:rPr>
        <w:t>(一)存在的问题。</w:t>
      </w:r>
      <w:bookmarkEnd w:id="62"/>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58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5"/>
          <w:sz w:val="32"/>
          <w:szCs w:val="32"/>
        </w:rPr>
        <w:t>项目绩效评价编制质量较低。</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36" w:firstLineChars="200"/>
        <w:jc w:val="both"/>
        <w:textAlignment w:val="baseline"/>
        <w:outlineLvl w:val="2"/>
        <w:rPr>
          <w:rFonts w:hint="eastAsia" w:ascii="仿宋_GB2312" w:hAnsi="仿宋_GB2312" w:eastAsia="仿宋_GB2312" w:cs="仿宋_GB2312"/>
          <w:b w:val="0"/>
          <w:bCs w:val="0"/>
          <w:sz w:val="32"/>
          <w:szCs w:val="32"/>
        </w:rPr>
      </w:pPr>
      <w:bookmarkStart w:id="63" w:name="_Toc27689"/>
      <w:r>
        <w:rPr>
          <w:rFonts w:hint="eastAsia" w:ascii="仿宋_GB2312" w:hAnsi="仿宋_GB2312" w:eastAsia="仿宋_GB2312" w:cs="仿宋_GB2312"/>
          <w:b w:val="0"/>
          <w:bCs w:val="0"/>
          <w:spacing w:val="-1"/>
          <w:sz w:val="32"/>
          <w:szCs w:val="32"/>
        </w:rPr>
        <w:t>(三)相关建议。</w:t>
      </w:r>
      <w:bookmarkEnd w:id="63"/>
    </w:p>
    <w:p>
      <w:pPr>
        <w:pStyle w:val="12"/>
        <w:spacing w:line="560" w:lineRule="exact"/>
        <w:ind w:left="0" w:leftChars="0" w:firstLine="870" w:firstLineChars="300"/>
        <w:rPr>
          <w:rFonts w:hint="eastAsia" w:eastAsia="宋体"/>
          <w:sz w:val="32"/>
          <w:lang w:val="zh-CN" w:eastAsia="zh-CN"/>
        </w:rPr>
      </w:pPr>
      <w:r>
        <w:rPr>
          <w:rFonts w:hint="eastAsia" w:hAnsi="仿宋_GB2312" w:eastAsia="仿宋_GB2312" w:cs="仿宋_GB2312"/>
          <w:b w:val="0"/>
          <w:bCs w:val="0"/>
          <w:spacing w:val="-15"/>
          <w:sz w:val="32"/>
          <w:szCs w:val="32"/>
          <w:lang w:eastAsia="zh-CN"/>
        </w:rPr>
        <w:t>无</w:t>
      </w:r>
    </w:p>
    <w:p>
      <w:pPr>
        <w:spacing w:line="576" w:lineRule="exact"/>
        <w:jc w:val="center"/>
        <w:rPr>
          <w:rFonts w:hint="eastAsia" w:ascii="黑体" w:hAnsi="黑体" w:eastAsia="黑体" w:cs="宋体"/>
          <w:color w:val="000000"/>
          <w:sz w:val="36"/>
          <w:szCs w:val="36"/>
          <w:lang w:eastAsia="zh-CN"/>
        </w:rPr>
      </w:pPr>
    </w:p>
    <w:p>
      <w:pPr>
        <w:spacing w:line="576" w:lineRule="exact"/>
        <w:jc w:val="center"/>
        <w:rPr>
          <w:rFonts w:hint="eastAsia" w:ascii="黑体" w:hAnsi="黑体" w:eastAsia="黑体" w:cs="宋体"/>
          <w:color w:val="000000"/>
          <w:sz w:val="36"/>
          <w:szCs w:val="36"/>
          <w:lang w:eastAsia="zh-CN"/>
        </w:rPr>
      </w:pPr>
      <w:r>
        <w:rPr>
          <w:rFonts w:hint="eastAsia" w:ascii="黑体" w:hAnsi="黑体" w:eastAsia="黑体" w:cs="宋体"/>
          <w:color w:val="000000"/>
          <w:sz w:val="36"/>
          <w:szCs w:val="36"/>
          <w:lang w:eastAsia="zh-CN"/>
        </w:rPr>
        <w:t>剑阁县目标绩效事务中心</w:t>
      </w:r>
    </w:p>
    <w:p>
      <w:pPr>
        <w:spacing w:line="576" w:lineRule="exact"/>
        <w:jc w:val="center"/>
        <w:rPr>
          <w:rFonts w:hAnsi="宋体" w:cs="宋体"/>
          <w:sz w:val="32"/>
          <w:szCs w:val="32"/>
          <w:shd w:val="clear" w:color="auto" w:fill="FFFFFF"/>
          <w:lang w:val="zh-CN"/>
        </w:rPr>
      </w:pPr>
      <w:r>
        <w:rPr>
          <w:rFonts w:hint="eastAsia" w:ascii="黑体" w:hAnsi="黑体" w:eastAsia="黑体" w:cs="宋体"/>
          <w:color w:val="000000"/>
          <w:sz w:val="36"/>
          <w:szCs w:val="36"/>
        </w:rPr>
        <w:t>2022年</w:t>
      </w:r>
      <w:r>
        <w:rPr>
          <w:rFonts w:hint="eastAsia" w:ascii="黑体" w:hAnsi="黑体" w:eastAsia="黑体" w:cs="宋体"/>
          <w:color w:val="000000"/>
          <w:sz w:val="36"/>
          <w:szCs w:val="36"/>
          <w:lang w:eastAsia="zh-CN"/>
        </w:rPr>
        <w:t>目标绩效管理工作</w:t>
      </w:r>
      <w:r>
        <w:rPr>
          <w:rFonts w:hint="eastAsia" w:ascii="黑体" w:hAnsi="黑体" w:eastAsia="黑体" w:cs="宋体"/>
          <w:color w:val="000000"/>
          <w:sz w:val="36"/>
          <w:szCs w:val="36"/>
        </w:rPr>
        <w:t>项目绩效自评表</w:t>
      </w:r>
    </w:p>
    <w:tbl>
      <w:tblPr>
        <w:tblStyle w:val="37"/>
        <w:tblW w:w="92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6"/>
        <w:gridCol w:w="1008"/>
        <w:gridCol w:w="1010"/>
        <w:gridCol w:w="1519"/>
        <w:gridCol w:w="1980"/>
        <w:gridCol w:w="2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0" w:hRule="atLeast"/>
        </w:trPr>
        <w:tc>
          <w:tcPr>
            <w:tcW w:w="1016"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主管部门</w:t>
            </w:r>
            <w:r>
              <w:rPr>
                <w:rFonts w:hint="eastAsia" w:ascii="宋体" w:hAnsi="宋体" w:eastAsia="宋体" w:cs="宋体"/>
                <w:b w:val="0"/>
                <w:bCs w:val="0"/>
                <w:spacing w:val="-2"/>
                <w:sz w:val="24"/>
                <w:szCs w:val="24"/>
              </w:rPr>
              <w:t>及代码</w:t>
            </w:r>
          </w:p>
        </w:tc>
        <w:tc>
          <w:tcPr>
            <w:tcW w:w="3537" w:type="dxa"/>
            <w:gridSpan w:val="3"/>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default" w:ascii="宋体" w:hAnsi="宋体" w:eastAsia="宋体" w:cs="宋体"/>
                <w:b w:val="0"/>
                <w:bCs w:val="0"/>
                <w:sz w:val="24"/>
                <w:szCs w:val="24"/>
                <w:lang w:val="en-US" w:eastAsia="zh-CN"/>
              </w:rPr>
            </w:pPr>
            <w:r>
              <w:rPr>
                <w:rFonts w:hint="eastAsia" w:ascii="宋体" w:hAnsi="宋体" w:eastAsia="宋体" w:cs="宋体"/>
                <w:b w:val="0"/>
                <w:bCs w:val="0"/>
                <w:spacing w:val="-1"/>
                <w:sz w:val="24"/>
                <w:szCs w:val="24"/>
              </w:rPr>
              <w:t>剑阁县</w:t>
            </w:r>
            <w:r>
              <w:rPr>
                <w:rFonts w:hint="eastAsia" w:ascii="宋体" w:hAnsi="宋体" w:cs="宋体"/>
                <w:b w:val="0"/>
                <w:bCs w:val="0"/>
                <w:spacing w:val="-1"/>
                <w:sz w:val="24"/>
                <w:szCs w:val="24"/>
                <w:lang w:eastAsia="zh-CN"/>
              </w:rPr>
              <w:t>目标绩效事务中心</w:t>
            </w:r>
            <w:r>
              <w:rPr>
                <w:rFonts w:hint="eastAsia" w:ascii="宋体" w:hAnsi="宋体" w:eastAsia="宋体" w:cs="宋体"/>
                <w:b w:val="0"/>
                <w:bCs w:val="0"/>
                <w:spacing w:val="-1"/>
                <w:sz w:val="24"/>
                <w:szCs w:val="24"/>
              </w:rPr>
              <w:t>-1</w:t>
            </w:r>
            <w:r>
              <w:rPr>
                <w:rFonts w:hint="eastAsia" w:ascii="宋体" w:hAnsi="宋体" w:cs="宋体"/>
                <w:b w:val="0"/>
                <w:bCs w:val="0"/>
                <w:spacing w:val="-1"/>
                <w:sz w:val="24"/>
                <w:szCs w:val="24"/>
                <w:lang w:val="en-US" w:eastAsia="zh-CN"/>
              </w:rPr>
              <w:t>47</w:t>
            </w:r>
          </w:p>
        </w:tc>
        <w:tc>
          <w:tcPr>
            <w:tcW w:w="198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实施单位</w:t>
            </w:r>
          </w:p>
        </w:tc>
        <w:tc>
          <w:tcPr>
            <w:tcW w:w="269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rPr>
              <w:t>剑阁县</w:t>
            </w:r>
            <w:r>
              <w:rPr>
                <w:rFonts w:hint="eastAsia" w:ascii="宋体" w:hAnsi="宋体" w:cs="宋体"/>
                <w:b w:val="0"/>
                <w:bCs w:val="0"/>
                <w:spacing w:val="-1"/>
                <w:sz w:val="24"/>
                <w:szCs w:val="24"/>
                <w:lang w:eastAsia="zh-CN"/>
              </w:rPr>
              <w:t>目标绩效事务中心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5" w:hRule="atLeast"/>
        </w:trPr>
        <w:tc>
          <w:tcPr>
            <w:tcW w:w="1016" w:type="dxa"/>
            <w:vMerge w:val="restart"/>
            <w:tcBorders>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eastAsia="zh-CN"/>
              </w:rPr>
              <w:t>项目预算执行情况(万元)</w:t>
            </w:r>
          </w:p>
        </w:tc>
        <w:tc>
          <w:tcPr>
            <w:tcW w:w="2018"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eastAsia="zh-CN"/>
              </w:rPr>
              <w:t>预算数：</w:t>
            </w:r>
          </w:p>
        </w:tc>
        <w:tc>
          <w:tcPr>
            <w:tcW w:w="151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default" w:ascii="宋体" w:hAnsi="宋体" w:cs="宋体"/>
                <w:b w:val="0"/>
                <w:bCs w:val="0"/>
                <w:spacing w:val="-1"/>
                <w:sz w:val="24"/>
                <w:szCs w:val="24"/>
                <w:lang w:val="en-US" w:eastAsia="zh-CN"/>
              </w:rPr>
            </w:pPr>
            <w:r>
              <w:rPr>
                <w:rFonts w:hint="eastAsia" w:ascii="宋体" w:hAnsi="宋体" w:cs="宋体"/>
                <w:b w:val="0"/>
                <w:bCs w:val="0"/>
                <w:spacing w:val="-1"/>
                <w:sz w:val="24"/>
                <w:szCs w:val="24"/>
                <w:lang w:val="en-US" w:eastAsia="zh-CN"/>
              </w:rPr>
              <w:t>10</w:t>
            </w:r>
          </w:p>
        </w:tc>
        <w:tc>
          <w:tcPr>
            <w:tcW w:w="198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eastAsia="zh-CN"/>
              </w:rPr>
              <w:t>执行数：</w:t>
            </w:r>
          </w:p>
        </w:tc>
        <w:tc>
          <w:tcPr>
            <w:tcW w:w="269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default" w:ascii="宋体" w:hAnsi="宋体" w:cs="宋体"/>
                <w:b w:val="0"/>
                <w:bCs w:val="0"/>
                <w:spacing w:val="-1"/>
                <w:sz w:val="24"/>
                <w:szCs w:val="24"/>
                <w:lang w:val="en-US" w:eastAsia="zh-CN"/>
              </w:rPr>
            </w:pPr>
            <w:r>
              <w:rPr>
                <w:rFonts w:hint="eastAsia" w:ascii="宋体" w:hAnsi="宋体" w:cs="宋体"/>
                <w:b w:val="0"/>
                <w:bCs w:val="0"/>
                <w:spacing w:val="-1"/>
                <w:sz w:val="24"/>
                <w:szCs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5" w:hRule="atLeast"/>
        </w:trPr>
        <w:tc>
          <w:tcPr>
            <w:tcW w:w="1016"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c>
          <w:tcPr>
            <w:tcW w:w="2018"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eastAsia="zh-CN"/>
              </w:rPr>
              <w:t>其中：财政拨款</w:t>
            </w:r>
          </w:p>
        </w:tc>
        <w:tc>
          <w:tcPr>
            <w:tcW w:w="151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default" w:ascii="宋体" w:hAnsi="宋体" w:cs="宋体"/>
                <w:b w:val="0"/>
                <w:bCs w:val="0"/>
                <w:spacing w:val="-1"/>
                <w:sz w:val="24"/>
                <w:szCs w:val="24"/>
                <w:lang w:val="en-US" w:eastAsia="zh-CN"/>
              </w:rPr>
            </w:pPr>
            <w:r>
              <w:rPr>
                <w:rFonts w:hint="eastAsia" w:ascii="宋体" w:hAnsi="宋体" w:cs="宋体"/>
                <w:b w:val="0"/>
                <w:bCs w:val="0"/>
                <w:spacing w:val="-1"/>
                <w:sz w:val="24"/>
                <w:szCs w:val="24"/>
                <w:lang w:val="en-US" w:eastAsia="zh-CN"/>
              </w:rPr>
              <w:t>10</w:t>
            </w:r>
          </w:p>
        </w:tc>
        <w:tc>
          <w:tcPr>
            <w:tcW w:w="198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eastAsia="zh-CN"/>
              </w:rPr>
              <w:t>其中：财政拨款</w:t>
            </w:r>
          </w:p>
        </w:tc>
        <w:tc>
          <w:tcPr>
            <w:tcW w:w="269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default" w:ascii="宋体" w:hAnsi="宋体" w:cs="宋体"/>
                <w:b w:val="0"/>
                <w:bCs w:val="0"/>
                <w:spacing w:val="-1"/>
                <w:sz w:val="24"/>
                <w:szCs w:val="24"/>
                <w:lang w:val="en-US" w:eastAsia="zh-CN"/>
              </w:rPr>
            </w:pPr>
            <w:r>
              <w:rPr>
                <w:rFonts w:hint="eastAsia" w:ascii="宋体" w:hAnsi="宋体" w:cs="宋体"/>
                <w:b w:val="0"/>
                <w:bCs w:val="0"/>
                <w:spacing w:val="-1"/>
                <w:sz w:val="24"/>
                <w:szCs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5" w:hRule="atLeast"/>
        </w:trPr>
        <w:tc>
          <w:tcPr>
            <w:tcW w:w="1016" w:type="dxa"/>
            <w:vMerge w:val="continue"/>
            <w:tcBorders>
              <w:top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c>
          <w:tcPr>
            <w:tcW w:w="2018"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eastAsia="zh-CN"/>
              </w:rPr>
              <w:t>其他资金</w:t>
            </w:r>
          </w:p>
        </w:tc>
        <w:tc>
          <w:tcPr>
            <w:tcW w:w="151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c>
          <w:tcPr>
            <w:tcW w:w="198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eastAsia="zh-CN"/>
              </w:rPr>
              <w:t>其他资金</w:t>
            </w:r>
          </w:p>
        </w:tc>
        <w:tc>
          <w:tcPr>
            <w:tcW w:w="269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5" w:hRule="atLeast"/>
        </w:trPr>
        <w:tc>
          <w:tcPr>
            <w:tcW w:w="1016" w:type="dxa"/>
            <w:vMerge w:val="restart"/>
            <w:tcBorders>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eastAsia="zh-CN"/>
              </w:rPr>
              <w:t>年度总体目标完成情况</w:t>
            </w:r>
          </w:p>
        </w:tc>
        <w:tc>
          <w:tcPr>
            <w:tcW w:w="3537" w:type="dxa"/>
            <w:gridSpan w:val="3"/>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eastAsia="zh-CN"/>
              </w:rPr>
              <w:t>预期目标</w:t>
            </w:r>
          </w:p>
        </w:tc>
        <w:tc>
          <w:tcPr>
            <w:tcW w:w="4675"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eastAsia="zh-CN"/>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38" w:hRule="atLeast"/>
        </w:trPr>
        <w:tc>
          <w:tcPr>
            <w:tcW w:w="1016" w:type="dxa"/>
            <w:vMerge w:val="continue"/>
            <w:tcBorders>
              <w:top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c>
          <w:tcPr>
            <w:tcW w:w="3537" w:type="dxa"/>
            <w:gridSpan w:val="3"/>
            <w:vAlign w:val="center"/>
          </w:tcPr>
          <w:p>
            <w:pPr>
              <w:keepNext w:val="0"/>
              <w:keepLines w:val="0"/>
              <w:pageBreakBefore w:val="0"/>
              <w:widowControl w:val="0"/>
              <w:kinsoku w:val="0"/>
              <w:wordWrap/>
              <w:overflowPunct/>
              <w:topLinePunct w:val="0"/>
              <w:autoSpaceDE w:val="0"/>
              <w:autoSpaceDN w:val="0"/>
              <w:bidi w:val="0"/>
              <w:adjustRightInd w:val="0"/>
              <w:snapToGrid w:val="0"/>
              <w:spacing w:line="340" w:lineRule="exact"/>
              <w:ind w:left="0" w:leftChars="0" w:right="0"/>
              <w:jc w:val="left"/>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val="en-US" w:eastAsia="zh-CN"/>
              </w:rPr>
              <w:t>完成全县目标绩效管理工作，乡镇、部门目标的制定、管理、指导、协调和考核工作，做好督查督办工作，落实重大决策督查，完成民生实事工作。</w:t>
            </w:r>
          </w:p>
        </w:tc>
        <w:tc>
          <w:tcPr>
            <w:tcW w:w="4675"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eastAsia="zh-CN"/>
              </w:rPr>
              <w:t>全年目标绩效管理工作已完成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5" w:hRule="atLeast"/>
        </w:trPr>
        <w:tc>
          <w:tcPr>
            <w:tcW w:w="1016" w:type="dxa"/>
            <w:vMerge w:val="restart"/>
            <w:tcBorders>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eastAsia="zh-CN"/>
              </w:rPr>
              <w:t>年度绩效指标完成情况</w:t>
            </w:r>
          </w:p>
        </w:tc>
        <w:tc>
          <w:tcPr>
            <w:tcW w:w="100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eastAsia="zh-CN"/>
              </w:rPr>
              <w:t>级指标</w:t>
            </w:r>
          </w:p>
        </w:tc>
        <w:tc>
          <w:tcPr>
            <w:tcW w:w="101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eastAsia="zh-CN"/>
              </w:rPr>
              <w:t>二级指标</w:t>
            </w:r>
          </w:p>
        </w:tc>
        <w:tc>
          <w:tcPr>
            <w:tcW w:w="151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eastAsia="zh-CN"/>
              </w:rPr>
              <w:t>三级指标</w:t>
            </w:r>
          </w:p>
        </w:tc>
        <w:tc>
          <w:tcPr>
            <w:tcW w:w="198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eastAsia="zh-CN"/>
              </w:rPr>
              <w:t>预期指标值</w:t>
            </w:r>
          </w:p>
        </w:tc>
        <w:tc>
          <w:tcPr>
            <w:tcW w:w="269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eastAsia="zh-CN"/>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1016"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c>
          <w:tcPr>
            <w:tcW w:w="1008" w:type="dxa"/>
            <w:vMerge w:val="restart"/>
            <w:tcBorders>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eastAsia="zh-CN"/>
              </w:rPr>
              <w:t>完成指标</w:t>
            </w:r>
          </w:p>
        </w:tc>
        <w:tc>
          <w:tcPr>
            <w:tcW w:w="1010" w:type="dxa"/>
            <w:vMerge w:val="restart"/>
            <w:tcBorders>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eastAsia="zh-CN"/>
              </w:rPr>
              <w:t>数量指标</w:t>
            </w:r>
          </w:p>
        </w:tc>
        <w:tc>
          <w:tcPr>
            <w:tcW w:w="151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40" w:lineRule="exact"/>
              <w:ind w:left="0" w:leftChars="0" w:right="0"/>
              <w:jc w:val="center"/>
              <w:textAlignment w:val="baseline"/>
              <w:rPr>
                <w:rFonts w:hint="default" w:ascii="宋体" w:hAnsi="宋体" w:cs="宋体"/>
                <w:b w:val="0"/>
                <w:bCs w:val="0"/>
                <w:spacing w:val="-1"/>
                <w:sz w:val="24"/>
                <w:szCs w:val="24"/>
                <w:lang w:val="en-US" w:eastAsia="zh-CN"/>
              </w:rPr>
            </w:pPr>
            <w:r>
              <w:rPr>
                <w:rFonts w:hint="eastAsia" w:ascii="宋体" w:hAnsi="宋体" w:cs="宋体"/>
                <w:b w:val="0"/>
                <w:bCs w:val="0"/>
                <w:spacing w:val="-1"/>
                <w:sz w:val="24"/>
                <w:szCs w:val="24"/>
                <w:lang w:val="en-US" w:eastAsia="zh-CN"/>
              </w:rPr>
              <w:t>工作会议</w:t>
            </w:r>
          </w:p>
        </w:tc>
        <w:tc>
          <w:tcPr>
            <w:tcW w:w="198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4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val="en-US" w:eastAsia="zh-CN"/>
              </w:rPr>
              <w:t>16次</w:t>
            </w:r>
          </w:p>
        </w:tc>
        <w:tc>
          <w:tcPr>
            <w:tcW w:w="269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40" w:lineRule="exact"/>
              <w:ind w:left="0" w:leftChars="0" w:right="0"/>
              <w:jc w:val="center"/>
              <w:textAlignment w:val="baseline"/>
              <w:rPr>
                <w:rFonts w:hint="default" w:ascii="宋体" w:hAnsi="宋体" w:cs="宋体"/>
                <w:b w:val="0"/>
                <w:bCs w:val="0"/>
                <w:spacing w:val="-1"/>
                <w:sz w:val="24"/>
                <w:szCs w:val="24"/>
                <w:lang w:val="en-US" w:eastAsia="zh-CN"/>
              </w:rPr>
            </w:pPr>
            <w:r>
              <w:rPr>
                <w:rFonts w:hint="eastAsia" w:ascii="宋体" w:hAnsi="宋体" w:cs="宋体"/>
                <w:b w:val="0"/>
                <w:bCs w:val="0"/>
                <w:spacing w:val="-1"/>
                <w:sz w:val="24"/>
                <w:szCs w:val="24"/>
                <w:lang w:val="en-US" w:eastAsia="zh-CN"/>
              </w:rPr>
              <w:t>16次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5" w:hRule="atLeast"/>
        </w:trPr>
        <w:tc>
          <w:tcPr>
            <w:tcW w:w="1016"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c>
          <w:tcPr>
            <w:tcW w:w="1008"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c>
          <w:tcPr>
            <w:tcW w:w="1010"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c>
          <w:tcPr>
            <w:tcW w:w="151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40" w:lineRule="exact"/>
              <w:ind w:left="0" w:leftChars="0" w:right="0"/>
              <w:jc w:val="center"/>
              <w:textAlignment w:val="baseline"/>
              <w:rPr>
                <w:rFonts w:hint="default" w:ascii="宋体" w:hAnsi="宋体" w:cs="宋体"/>
                <w:b w:val="0"/>
                <w:bCs w:val="0"/>
                <w:spacing w:val="-1"/>
                <w:sz w:val="24"/>
                <w:szCs w:val="24"/>
                <w:lang w:val="en-US" w:eastAsia="zh-CN"/>
              </w:rPr>
            </w:pPr>
            <w:r>
              <w:rPr>
                <w:rFonts w:hint="eastAsia" w:ascii="宋体" w:hAnsi="宋体" w:cs="宋体"/>
                <w:b w:val="0"/>
                <w:bCs w:val="0"/>
                <w:spacing w:val="-1"/>
                <w:sz w:val="24"/>
                <w:szCs w:val="24"/>
                <w:lang w:val="en-US" w:eastAsia="zh-CN"/>
              </w:rPr>
              <w:t>印制目标资料</w:t>
            </w:r>
          </w:p>
        </w:tc>
        <w:tc>
          <w:tcPr>
            <w:tcW w:w="198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4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val="en-US" w:eastAsia="zh-CN"/>
              </w:rPr>
              <w:t>50000份</w:t>
            </w:r>
          </w:p>
        </w:tc>
        <w:tc>
          <w:tcPr>
            <w:tcW w:w="269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40" w:lineRule="exact"/>
              <w:ind w:left="0" w:leftChars="0" w:right="0"/>
              <w:jc w:val="center"/>
              <w:textAlignment w:val="baseline"/>
              <w:rPr>
                <w:rFonts w:hint="default" w:ascii="宋体" w:hAnsi="宋体" w:cs="宋体"/>
                <w:b w:val="0"/>
                <w:bCs w:val="0"/>
                <w:spacing w:val="-1"/>
                <w:sz w:val="24"/>
                <w:szCs w:val="24"/>
                <w:lang w:val="en-US" w:eastAsia="zh-CN"/>
              </w:rPr>
            </w:pPr>
            <w:r>
              <w:rPr>
                <w:rFonts w:hint="eastAsia" w:ascii="宋体" w:hAnsi="宋体" w:cs="宋体"/>
                <w:b w:val="0"/>
                <w:bCs w:val="0"/>
                <w:spacing w:val="-1"/>
                <w:sz w:val="24"/>
                <w:szCs w:val="24"/>
                <w:lang w:val="en-US" w:eastAsia="zh-CN"/>
              </w:rPr>
              <w:t>52000份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5" w:hRule="atLeast"/>
        </w:trPr>
        <w:tc>
          <w:tcPr>
            <w:tcW w:w="1016"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c>
          <w:tcPr>
            <w:tcW w:w="1008"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c>
          <w:tcPr>
            <w:tcW w:w="1010" w:type="dxa"/>
            <w:vMerge w:val="continue"/>
            <w:tcBorders>
              <w:top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c>
          <w:tcPr>
            <w:tcW w:w="151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4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val="en-US" w:eastAsia="zh-CN"/>
              </w:rPr>
              <w:t>目标督查次数</w:t>
            </w:r>
          </w:p>
        </w:tc>
        <w:tc>
          <w:tcPr>
            <w:tcW w:w="198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4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val="en-US" w:eastAsia="zh-CN"/>
              </w:rPr>
              <w:t>24次</w:t>
            </w:r>
          </w:p>
        </w:tc>
        <w:tc>
          <w:tcPr>
            <w:tcW w:w="269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40" w:lineRule="exact"/>
              <w:ind w:left="0" w:leftChars="0" w:right="0"/>
              <w:jc w:val="center"/>
              <w:textAlignment w:val="baseline"/>
              <w:rPr>
                <w:rFonts w:hint="default" w:ascii="宋体" w:hAnsi="宋体" w:cs="宋体"/>
                <w:b w:val="0"/>
                <w:bCs w:val="0"/>
                <w:spacing w:val="-1"/>
                <w:sz w:val="24"/>
                <w:szCs w:val="24"/>
                <w:lang w:val="en-US" w:eastAsia="zh-CN"/>
              </w:rPr>
            </w:pPr>
            <w:r>
              <w:rPr>
                <w:rFonts w:hint="eastAsia" w:ascii="宋体" w:hAnsi="宋体" w:cs="宋体"/>
                <w:b w:val="0"/>
                <w:bCs w:val="0"/>
                <w:spacing w:val="-1"/>
                <w:sz w:val="24"/>
                <w:szCs w:val="24"/>
                <w:lang w:val="en-US" w:eastAsia="zh-CN"/>
              </w:rPr>
              <w:t>158次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5" w:hRule="atLeast"/>
        </w:trPr>
        <w:tc>
          <w:tcPr>
            <w:tcW w:w="1016"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c>
          <w:tcPr>
            <w:tcW w:w="1008"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c>
          <w:tcPr>
            <w:tcW w:w="101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eastAsia="zh-CN"/>
              </w:rPr>
              <w:t>质量指标</w:t>
            </w:r>
          </w:p>
        </w:tc>
        <w:tc>
          <w:tcPr>
            <w:tcW w:w="151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val="en-US" w:eastAsia="zh-CN"/>
              </w:rPr>
              <w:t>提高目标考核公正性、公平性</w:t>
            </w:r>
          </w:p>
        </w:tc>
        <w:tc>
          <w:tcPr>
            <w:tcW w:w="198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val="en-US" w:eastAsia="zh-CN"/>
              </w:rPr>
              <w:t>≥95%</w:t>
            </w:r>
          </w:p>
        </w:tc>
        <w:tc>
          <w:tcPr>
            <w:tcW w:w="269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5" w:hRule="atLeast"/>
        </w:trPr>
        <w:tc>
          <w:tcPr>
            <w:tcW w:w="1016"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c>
          <w:tcPr>
            <w:tcW w:w="1008"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c>
          <w:tcPr>
            <w:tcW w:w="101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eastAsia="zh-CN"/>
              </w:rPr>
              <w:t>时效指标</w:t>
            </w:r>
          </w:p>
        </w:tc>
        <w:tc>
          <w:tcPr>
            <w:tcW w:w="151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val="en-US" w:eastAsia="zh-CN"/>
              </w:rPr>
              <w:t>2022年12月31日</w:t>
            </w:r>
          </w:p>
        </w:tc>
        <w:tc>
          <w:tcPr>
            <w:tcW w:w="198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val="en-US" w:eastAsia="zh-CN"/>
              </w:rPr>
              <w:t>1年</w:t>
            </w:r>
          </w:p>
        </w:tc>
        <w:tc>
          <w:tcPr>
            <w:tcW w:w="269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eastAsia="zh-CN"/>
              </w:rPr>
              <w:t>202</w:t>
            </w:r>
            <w:r>
              <w:rPr>
                <w:rFonts w:hint="eastAsia" w:ascii="宋体" w:hAnsi="宋体" w:cs="宋体"/>
                <w:b w:val="0"/>
                <w:bCs w:val="0"/>
                <w:spacing w:val="-1"/>
                <w:sz w:val="24"/>
                <w:szCs w:val="24"/>
                <w:lang w:val="en-US" w:eastAsia="zh-CN"/>
              </w:rPr>
              <w:t>2</w:t>
            </w:r>
            <w:r>
              <w:rPr>
                <w:rFonts w:hint="eastAsia" w:ascii="宋体" w:hAnsi="宋体" w:cs="宋体"/>
                <w:b w:val="0"/>
                <w:bCs w:val="0"/>
                <w:spacing w:val="-1"/>
                <w:sz w:val="24"/>
                <w:szCs w:val="24"/>
                <w:lang w:eastAsia="zh-CN"/>
              </w:rPr>
              <w:t>年12月</w:t>
            </w:r>
            <w:r>
              <w:rPr>
                <w:rFonts w:hint="eastAsia" w:ascii="宋体" w:hAnsi="宋体" w:cs="宋体"/>
                <w:b w:val="0"/>
                <w:bCs w:val="0"/>
                <w:spacing w:val="-1"/>
                <w:sz w:val="24"/>
                <w:szCs w:val="24"/>
                <w:lang w:val="en-US" w:eastAsia="zh-CN"/>
              </w:rPr>
              <w:t>31日</w:t>
            </w:r>
            <w:r>
              <w:rPr>
                <w:rFonts w:hint="eastAsia" w:ascii="宋体" w:hAnsi="宋体" w:cs="宋体"/>
                <w:b w:val="0"/>
                <w:bCs w:val="0"/>
                <w:spacing w:val="-1"/>
                <w:sz w:val="24"/>
                <w:szCs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5" w:hRule="atLeast"/>
        </w:trPr>
        <w:tc>
          <w:tcPr>
            <w:tcW w:w="1016"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c>
          <w:tcPr>
            <w:tcW w:w="1008"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c>
          <w:tcPr>
            <w:tcW w:w="1010" w:type="dxa"/>
            <w:vMerge w:val="restart"/>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eastAsia="zh-CN"/>
              </w:rPr>
              <w:t>成本指标</w:t>
            </w:r>
          </w:p>
        </w:tc>
        <w:tc>
          <w:tcPr>
            <w:tcW w:w="151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val="en-US" w:eastAsia="zh-CN"/>
              </w:rPr>
            </w:pPr>
            <w:r>
              <w:rPr>
                <w:rFonts w:hint="eastAsia" w:ascii="宋体" w:hAnsi="宋体" w:cs="宋体"/>
                <w:b w:val="0"/>
                <w:bCs w:val="0"/>
                <w:spacing w:val="-1"/>
                <w:sz w:val="24"/>
                <w:szCs w:val="24"/>
                <w:lang w:val="en-US" w:eastAsia="zh-CN"/>
              </w:rPr>
              <w:t>办公费</w:t>
            </w:r>
          </w:p>
        </w:tc>
        <w:tc>
          <w:tcPr>
            <w:tcW w:w="198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val="en-US" w:eastAsia="zh-CN"/>
              </w:rPr>
            </w:pPr>
            <w:r>
              <w:rPr>
                <w:rFonts w:hint="eastAsia" w:ascii="宋体" w:hAnsi="宋体" w:cs="宋体"/>
                <w:b w:val="0"/>
                <w:bCs w:val="0"/>
                <w:spacing w:val="-1"/>
                <w:sz w:val="24"/>
                <w:szCs w:val="24"/>
                <w:lang w:val="en-US" w:eastAsia="zh-CN"/>
              </w:rPr>
              <w:t>5万元</w:t>
            </w:r>
          </w:p>
        </w:tc>
        <w:tc>
          <w:tcPr>
            <w:tcW w:w="269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val="en-US" w:eastAsia="zh-CN"/>
              </w:rPr>
              <w:t>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5" w:hRule="atLeast"/>
        </w:trPr>
        <w:tc>
          <w:tcPr>
            <w:tcW w:w="1016"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c>
          <w:tcPr>
            <w:tcW w:w="1008"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c>
          <w:tcPr>
            <w:tcW w:w="1010" w:type="dxa"/>
            <w:vMerge w:val="continue"/>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c>
          <w:tcPr>
            <w:tcW w:w="151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val="en-US" w:eastAsia="zh-CN"/>
              </w:rPr>
            </w:pPr>
            <w:r>
              <w:rPr>
                <w:rFonts w:hint="eastAsia" w:ascii="宋体" w:hAnsi="宋体" w:cs="宋体"/>
                <w:b w:val="0"/>
                <w:bCs w:val="0"/>
                <w:spacing w:val="-1"/>
                <w:sz w:val="24"/>
                <w:szCs w:val="24"/>
                <w:lang w:val="en-US" w:eastAsia="zh-CN"/>
              </w:rPr>
              <w:t>会议费</w:t>
            </w:r>
          </w:p>
        </w:tc>
        <w:tc>
          <w:tcPr>
            <w:tcW w:w="198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val="en-US" w:eastAsia="zh-CN"/>
              </w:rPr>
            </w:pPr>
            <w:r>
              <w:rPr>
                <w:rFonts w:hint="eastAsia" w:ascii="宋体" w:hAnsi="宋体" w:cs="宋体"/>
                <w:b w:val="0"/>
                <w:bCs w:val="0"/>
                <w:spacing w:val="-1"/>
                <w:sz w:val="24"/>
                <w:szCs w:val="24"/>
                <w:lang w:val="en-US" w:eastAsia="zh-CN"/>
              </w:rPr>
              <w:t>2万元</w:t>
            </w:r>
          </w:p>
        </w:tc>
        <w:tc>
          <w:tcPr>
            <w:tcW w:w="269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val="en-US" w:eastAsia="zh-CN"/>
              </w:rPr>
              <w:t>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5" w:hRule="atLeast"/>
        </w:trPr>
        <w:tc>
          <w:tcPr>
            <w:tcW w:w="1016"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c>
          <w:tcPr>
            <w:tcW w:w="1008"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c>
          <w:tcPr>
            <w:tcW w:w="1010" w:type="dxa"/>
            <w:vMerge w:val="continue"/>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c>
          <w:tcPr>
            <w:tcW w:w="151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val="en-US" w:eastAsia="zh-CN"/>
              </w:rPr>
            </w:pPr>
            <w:r>
              <w:rPr>
                <w:rFonts w:hint="eastAsia" w:ascii="宋体" w:hAnsi="宋体" w:cs="宋体"/>
                <w:b w:val="0"/>
                <w:bCs w:val="0"/>
                <w:spacing w:val="-1"/>
                <w:sz w:val="24"/>
                <w:szCs w:val="24"/>
                <w:lang w:val="en-US" w:eastAsia="zh-CN"/>
              </w:rPr>
              <w:t>印刷费</w:t>
            </w:r>
          </w:p>
        </w:tc>
        <w:tc>
          <w:tcPr>
            <w:tcW w:w="198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val="en-US" w:eastAsia="zh-CN"/>
              </w:rPr>
            </w:pPr>
            <w:r>
              <w:rPr>
                <w:rFonts w:hint="eastAsia" w:ascii="宋体" w:hAnsi="宋体" w:cs="宋体"/>
                <w:b w:val="0"/>
                <w:bCs w:val="0"/>
                <w:spacing w:val="-1"/>
                <w:sz w:val="24"/>
                <w:szCs w:val="24"/>
                <w:lang w:val="en-US" w:eastAsia="zh-CN"/>
              </w:rPr>
              <w:t>6万元</w:t>
            </w:r>
          </w:p>
        </w:tc>
        <w:tc>
          <w:tcPr>
            <w:tcW w:w="269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val="en-US" w:eastAsia="zh-CN"/>
              </w:rPr>
              <w:t>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5" w:hRule="atLeast"/>
        </w:trPr>
        <w:tc>
          <w:tcPr>
            <w:tcW w:w="1016"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c>
          <w:tcPr>
            <w:tcW w:w="1008"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c>
          <w:tcPr>
            <w:tcW w:w="1010" w:type="dxa"/>
            <w:vMerge w:val="continue"/>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c>
          <w:tcPr>
            <w:tcW w:w="151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val="en-US" w:eastAsia="zh-CN"/>
              </w:rPr>
              <w:t>差旅费</w:t>
            </w:r>
          </w:p>
        </w:tc>
        <w:tc>
          <w:tcPr>
            <w:tcW w:w="198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val="en-US" w:eastAsia="zh-CN"/>
              </w:rPr>
              <w:t>7万元</w:t>
            </w:r>
          </w:p>
        </w:tc>
        <w:tc>
          <w:tcPr>
            <w:tcW w:w="269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val="en-US" w:eastAsia="zh-CN"/>
              </w:rPr>
              <w:t>7万元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0" w:hRule="atLeast"/>
        </w:trPr>
        <w:tc>
          <w:tcPr>
            <w:tcW w:w="1016"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c>
          <w:tcPr>
            <w:tcW w:w="1008" w:type="dxa"/>
            <w:vMerge w:val="continue"/>
            <w:tcBorders>
              <w:top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c>
          <w:tcPr>
            <w:tcW w:w="101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eastAsia="zh-CN"/>
              </w:rPr>
              <w:t>社会效益</w:t>
            </w:r>
          </w:p>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eastAsia="zh-CN"/>
              </w:rPr>
              <w:t>指标</w:t>
            </w:r>
          </w:p>
        </w:tc>
        <w:tc>
          <w:tcPr>
            <w:tcW w:w="151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val="en-US" w:eastAsia="zh-CN"/>
              </w:rPr>
              <w:t>督查督办，办理民生实事</w:t>
            </w:r>
          </w:p>
        </w:tc>
        <w:tc>
          <w:tcPr>
            <w:tcW w:w="198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val="en-US" w:eastAsia="zh-CN"/>
              </w:rPr>
              <w:t>≥95%</w:t>
            </w:r>
          </w:p>
        </w:tc>
        <w:tc>
          <w:tcPr>
            <w:tcW w:w="269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2" w:hRule="atLeast"/>
        </w:trPr>
        <w:tc>
          <w:tcPr>
            <w:tcW w:w="1016" w:type="dxa"/>
            <w:vMerge w:val="continue"/>
            <w:tcBorders>
              <w:top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p>
        </w:tc>
        <w:tc>
          <w:tcPr>
            <w:tcW w:w="100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eastAsia="zh-CN"/>
              </w:rPr>
              <w:t>满意度指标</w:t>
            </w:r>
          </w:p>
        </w:tc>
        <w:tc>
          <w:tcPr>
            <w:tcW w:w="101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val="en-US" w:eastAsia="zh-CN"/>
              </w:rPr>
              <w:t>服务对象满意度指标</w:t>
            </w:r>
          </w:p>
        </w:tc>
        <w:tc>
          <w:tcPr>
            <w:tcW w:w="151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val="en-US" w:eastAsia="zh-CN"/>
              </w:rPr>
              <w:t xml:space="preserve"> 部门、乡镇及相关服务对象</w:t>
            </w:r>
          </w:p>
        </w:tc>
        <w:tc>
          <w:tcPr>
            <w:tcW w:w="198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val="en-US" w:eastAsia="zh-CN"/>
              </w:rPr>
              <w:t>≥95%</w:t>
            </w:r>
          </w:p>
        </w:tc>
        <w:tc>
          <w:tcPr>
            <w:tcW w:w="269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cs="宋体"/>
                <w:b w:val="0"/>
                <w:bCs w:val="0"/>
                <w:spacing w:val="-1"/>
                <w:sz w:val="24"/>
                <w:szCs w:val="24"/>
                <w:lang w:eastAsia="zh-CN"/>
              </w:rPr>
            </w:pPr>
            <w:r>
              <w:rPr>
                <w:rFonts w:hint="eastAsia" w:ascii="宋体" w:hAnsi="宋体" w:cs="宋体"/>
                <w:b w:val="0"/>
                <w:bCs w:val="0"/>
                <w:spacing w:val="-1"/>
                <w:sz w:val="24"/>
                <w:szCs w:val="24"/>
                <w:lang w:val="en-US" w:eastAsia="zh-CN"/>
              </w:rPr>
              <w:t>≥95%</w:t>
            </w:r>
          </w:p>
        </w:tc>
      </w:tr>
    </w:tbl>
    <w:p>
      <w:pPr>
        <w:spacing w:line="600" w:lineRule="exact"/>
        <w:jc w:val="center"/>
        <w:outlineLvl w:val="0"/>
        <w:rPr>
          <w:rFonts w:ascii="仿宋" w:hAnsi="仿宋" w:eastAsia="仿宋"/>
        </w:rPr>
      </w:pPr>
      <w:r>
        <w:rPr>
          <w:rFonts w:hint="eastAsia" w:ascii="黑体" w:hAnsi="黑体" w:eastAsia="黑体"/>
          <w:sz w:val="44"/>
          <w:szCs w:val="44"/>
        </w:rPr>
        <w:t>第</w:t>
      </w:r>
      <w:r>
        <w:rPr>
          <w:rStyle w:val="29"/>
          <w:rFonts w:hint="eastAsia" w:ascii="黑体" w:hAnsi="黑体" w:eastAsia="黑体"/>
          <w:b w:val="0"/>
        </w:rPr>
        <w:t>五部分 附表</w:t>
      </w:r>
      <w:bookmarkEnd w:id="50"/>
      <w:bookmarkEnd w:id="61"/>
      <w:bookmarkStart w:id="64" w:name="_Toc15396619"/>
    </w:p>
    <w:p>
      <w:pPr>
        <w:pStyle w:val="4"/>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64"/>
    </w:p>
    <w:p>
      <w:pPr>
        <w:pStyle w:val="4"/>
        <w:rPr>
          <w:rFonts w:ascii="仿宋" w:hAnsi="仿宋" w:eastAsia="仿宋"/>
        </w:rPr>
      </w:pPr>
      <w:bookmarkStart w:id="65" w:name="_Toc15396620"/>
      <w:r>
        <w:rPr>
          <w:rFonts w:hint="eastAsia" w:ascii="仿宋" w:hAnsi="仿宋" w:eastAsia="仿宋"/>
          <w:b w:val="0"/>
        </w:rPr>
        <w:t>二、收</w:t>
      </w:r>
      <w:r>
        <w:rPr>
          <w:rStyle w:val="30"/>
          <w:rFonts w:hint="eastAsia" w:ascii="仿宋" w:hAnsi="仿宋" w:eastAsia="仿宋"/>
          <w:b w:val="0"/>
          <w:bCs w:val="0"/>
        </w:rPr>
        <w:t>入决算表</w:t>
      </w:r>
      <w:bookmarkEnd w:id="65"/>
    </w:p>
    <w:p>
      <w:pPr>
        <w:pStyle w:val="4"/>
        <w:rPr>
          <w:rFonts w:ascii="仿宋" w:hAnsi="仿宋" w:eastAsia="仿宋"/>
        </w:rPr>
      </w:pPr>
      <w:bookmarkStart w:id="66"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66"/>
    </w:p>
    <w:p>
      <w:pPr>
        <w:pStyle w:val="4"/>
        <w:rPr>
          <w:rFonts w:ascii="仿宋" w:hAnsi="仿宋" w:eastAsia="仿宋"/>
          <w:b w:val="0"/>
        </w:rPr>
      </w:pPr>
      <w:bookmarkStart w:id="67"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67"/>
    </w:p>
    <w:p>
      <w:pPr>
        <w:pStyle w:val="4"/>
        <w:rPr>
          <w:rStyle w:val="30"/>
          <w:rFonts w:ascii="仿宋" w:hAnsi="仿宋" w:eastAsia="仿宋"/>
          <w:b w:val="0"/>
          <w:bCs w:val="0"/>
        </w:rPr>
      </w:pPr>
      <w:bookmarkStart w:id="68"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68"/>
      <w:bookmarkStart w:id="69" w:name="_Toc15396624"/>
    </w:p>
    <w:p>
      <w:pPr>
        <w:pStyle w:val="4"/>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69"/>
    </w:p>
    <w:p>
      <w:pPr>
        <w:pStyle w:val="4"/>
        <w:rPr>
          <w:rFonts w:ascii="仿宋" w:hAnsi="仿宋" w:eastAsia="仿宋"/>
        </w:rPr>
      </w:pPr>
      <w:bookmarkStart w:id="70"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70"/>
    </w:p>
    <w:p>
      <w:pPr>
        <w:pStyle w:val="4"/>
        <w:rPr>
          <w:rFonts w:ascii="仿宋" w:hAnsi="仿宋" w:eastAsia="仿宋"/>
        </w:rPr>
      </w:pPr>
      <w:bookmarkStart w:id="71"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71"/>
    </w:p>
    <w:p>
      <w:pPr>
        <w:pStyle w:val="4"/>
        <w:rPr>
          <w:rFonts w:ascii="仿宋" w:hAnsi="仿宋" w:eastAsia="仿宋"/>
        </w:rPr>
      </w:pPr>
      <w:bookmarkStart w:id="72"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72"/>
    </w:p>
    <w:p>
      <w:pPr>
        <w:pStyle w:val="4"/>
        <w:rPr>
          <w:rFonts w:ascii="仿宋" w:hAnsi="仿宋" w:eastAsia="仿宋"/>
        </w:rPr>
      </w:pPr>
      <w:bookmarkStart w:id="73" w:name="_Toc15396628"/>
      <w:r>
        <w:rPr>
          <w:rStyle w:val="30"/>
          <w:rFonts w:hint="eastAsia" w:ascii="仿宋" w:hAnsi="仿宋" w:eastAsia="仿宋"/>
          <w:b w:val="0"/>
          <w:bCs w:val="0"/>
        </w:rPr>
        <w:t>十、</w:t>
      </w:r>
      <w:bookmarkEnd w:id="73"/>
      <w:r>
        <w:rPr>
          <w:rFonts w:hint="eastAsia" w:ascii="仿宋" w:hAnsi="仿宋" w:eastAsia="仿宋"/>
          <w:b w:val="0"/>
        </w:rPr>
        <w:t>政</w:t>
      </w:r>
      <w:r>
        <w:rPr>
          <w:rStyle w:val="30"/>
          <w:rFonts w:hint="eastAsia" w:ascii="仿宋" w:hAnsi="仿宋" w:eastAsia="仿宋"/>
          <w:b w:val="0"/>
          <w:bCs w:val="0"/>
        </w:rPr>
        <w:t>府性基金预算财政拨款收入支出决算表</w:t>
      </w:r>
    </w:p>
    <w:p>
      <w:pPr>
        <w:pStyle w:val="4"/>
        <w:rPr>
          <w:rFonts w:ascii="仿宋" w:hAnsi="仿宋" w:eastAsia="仿宋"/>
        </w:rPr>
      </w:pPr>
      <w:bookmarkStart w:id="74" w:name="_Toc15396629"/>
      <w:r>
        <w:rPr>
          <w:rStyle w:val="30"/>
          <w:rFonts w:hint="eastAsia" w:ascii="仿宋" w:hAnsi="仿宋" w:eastAsia="仿宋"/>
          <w:b w:val="0"/>
          <w:bCs w:val="0"/>
        </w:rPr>
        <w:t>十一、</w:t>
      </w:r>
      <w:bookmarkEnd w:id="74"/>
      <w:r>
        <w:rPr>
          <w:rFonts w:hint="eastAsia" w:ascii="仿宋" w:hAnsi="仿宋" w:eastAsia="仿宋"/>
          <w:b w:val="0"/>
        </w:rPr>
        <w:t>国</w:t>
      </w:r>
      <w:r>
        <w:rPr>
          <w:rStyle w:val="30"/>
          <w:rFonts w:hint="eastAsia" w:ascii="仿宋" w:hAnsi="仿宋" w:eastAsia="仿宋"/>
          <w:b w:val="0"/>
          <w:bCs w:val="0"/>
        </w:rPr>
        <w:t>有资本经营预算财政拨款收入支出决算表</w:t>
      </w:r>
    </w:p>
    <w:p>
      <w:pPr>
        <w:pStyle w:val="4"/>
        <w:rPr>
          <w:rFonts w:ascii="仿宋" w:hAnsi="仿宋" w:eastAsia="仿宋"/>
        </w:rPr>
      </w:pPr>
      <w:bookmarkStart w:id="75" w:name="_Toc15396630"/>
      <w:r>
        <w:rPr>
          <w:rStyle w:val="30"/>
          <w:rFonts w:hint="eastAsia" w:ascii="仿宋" w:hAnsi="仿宋" w:eastAsia="仿宋"/>
          <w:b w:val="0"/>
          <w:bCs w:val="0"/>
        </w:rPr>
        <w:t>十二、</w:t>
      </w:r>
      <w:bookmarkEnd w:id="75"/>
      <w:r>
        <w:rPr>
          <w:rStyle w:val="30"/>
          <w:rFonts w:hint="eastAsia" w:ascii="仿宋" w:hAnsi="仿宋" w:eastAsia="仿宋"/>
          <w:b w:val="0"/>
          <w:bCs w:val="0"/>
        </w:rPr>
        <w:t>国有资本经营预算财政拨款支出决算表</w:t>
      </w:r>
    </w:p>
    <w:p>
      <w:pPr>
        <w:pStyle w:val="4"/>
        <w:rPr>
          <w:rFonts w:eastAsia="仿宋"/>
        </w:rPr>
      </w:pPr>
      <w:bookmarkStart w:id="76" w:name="_Toc15396631"/>
      <w:r>
        <w:rPr>
          <w:rStyle w:val="30"/>
          <w:rFonts w:hint="eastAsia" w:ascii="仿宋" w:hAnsi="仿宋" w:eastAsia="仿宋"/>
          <w:b w:val="0"/>
          <w:bCs w:val="0"/>
        </w:rPr>
        <w:t>十三、</w:t>
      </w:r>
      <w:bookmarkEnd w:id="76"/>
      <w:r>
        <w:rPr>
          <w:rStyle w:val="30"/>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B77D5E6"/>
    <w:multiLevelType w:val="singleLevel"/>
    <w:tmpl w:val="EB77D5E6"/>
    <w:lvl w:ilvl="0" w:tentative="0">
      <w:start w:val="3"/>
      <w:numFmt w:val="chineseCounting"/>
      <w:suff w:val="nothing"/>
      <w:lvlText w:val="（%1）"/>
      <w:lvlJc w:val="left"/>
      <w:rPr>
        <w:rFonts w:hint="eastAsia"/>
      </w:rPr>
    </w:lvl>
  </w:abstractNum>
  <w:abstractNum w:abstractNumId="4">
    <w:nsid w:val="FFF674BC"/>
    <w:multiLevelType w:val="singleLevel"/>
    <w:tmpl w:val="FFF674BC"/>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YTMyNWEyZTJiMjZkNDBkOGQ3NmYxOGQ3MjU2ND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F1E02"/>
    <w:rsid w:val="00FF30B4"/>
    <w:rsid w:val="015975B8"/>
    <w:rsid w:val="02143E91"/>
    <w:rsid w:val="066E0107"/>
    <w:rsid w:val="07996F6E"/>
    <w:rsid w:val="0A2032A3"/>
    <w:rsid w:val="0F98263C"/>
    <w:rsid w:val="101860EC"/>
    <w:rsid w:val="10C055FF"/>
    <w:rsid w:val="118107EC"/>
    <w:rsid w:val="13D50BC4"/>
    <w:rsid w:val="16BB723D"/>
    <w:rsid w:val="1BE8440E"/>
    <w:rsid w:val="1D155CEE"/>
    <w:rsid w:val="1FF35744"/>
    <w:rsid w:val="23860B96"/>
    <w:rsid w:val="240371BF"/>
    <w:rsid w:val="29FD04D3"/>
    <w:rsid w:val="2C8A61B5"/>
    <w:rsid w:val="2CE9C68C"/>
    <w:rsid w:val="2DF04E50"/>
    <w:rsid w:val="2F040D46"/>
    <w:rsid w:val="319F7F4E"/>
    <w:rsid w:val="3304709D"/>
    <w:rsid w:val="36AA5135"/>
    <w:rsid w:val="376D39B2"/>
    <w:rsid w:val="37E16F03"/>
    <w:rsid w:val="38D469F0"/>
    <w:rsid w:val="3D98207C"/>
    <w:rsid w:val="3E78745D"/>
    <w:rsid w:val="3F7E70F0"/>
    <w:rsid w:val="44E268DA"/>
    <w:rsid w:val="4A627F82"/>
    <w:rsid w:val="4B0E749A"/>
    <w:rsid w:val="4B4F25DA"/>
    <w:rsid w:val="4BE068DB"/>
    <w:rsid w:val="4D577224"/>
    <w:rsid w:val="4EAB630A"/>
    <w:rsid w:val="4ECE2238"/>
    <w:rsid w:val="537E6D0A"/>
    <w:rsid w:val="55AB71E0"/>
    <w:rsid w:val="56B26DE2"/>
    <w:rsid w:val="5AF92295"/>
    <w:rsid w:val="5CD71FC4"/>
    <w:rsid w:val="5D3E2B15"/>
    <w:rsid w:val="5FD7BBE6"/>
    <w:rsid w:val="6C4A05C8"/>
    <w:rsid w:val="6E7E3605"/>
    <w:rsid w:val="6FF5CC65"/>
    <w:rsid w:val="715C0E4B"/>
    <w:rsid w:val="72734D90"/>
    <w:rsid w:val="73AD73D5"/>
    <w:rsid w:val="73B6EB34"/>
    <w:rsid w:val="744731E5"/>
    <w:rsid w:val="76E3355F"/>
    <w:rsid w:val="778769C8"/>
    <w:rsid w:val="79EE5BA4"/>
    <w:rsid w:val="7A894339"/>
    <w:rsid w:val="7BFF9603"/>
    <w:rsid w:val="7EEF11D3"/>
    <w:rsid w:val="7FA30C79"/>
    <w:rsid w:val="7FB7269E"/>
    <w:rsid w:val="7FC96657"/>
    <w:rsid w:val="BBBFF65A"/>
    <w:rsid w:val="CF74AE3F"/>
    <w:rsid w:val="D8D6DB89"/>
    <w:rsid w:val="DB6F4CAB"/>
    <w:rsid w:val="DF6F9789"/>
    <w:rsid w:val="FEFFEB4F"/>
    <w:rsid w:val="FF27A1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1"/>
    <w:link w:val="24"/>
    <w:qFormat/>
    <w:uiPriority w:val="99"/>
    <w:pPr>
      <w:tabs>
        <w:tab w:val="center" w:pos="4153"/>
        <w:tab w:val="right" w:pos="8306"/>
      </w:tabs>
      <w:snapToGrid w:val="0"/>
      <w:jc w:val="left"/>
    </w:pPr>
    <w:rPr>
      <w:rFonts w:ascii="Calibri" w:hAnsi="Calibri"/>
      <w:kern w:val="0"/>
      <w:sz w:val="18"/>
      <w:szCs w:val="18"/>
    </w:rPr>
  </w:style>
  <w:style w:type="paragraph" w:styleId="6">
    <w:name w:val="Body Text First Indent"/>
    <w:basedOn w:val="7"/>
    <w:qFormat/>
    <w:uiPriority w:val="0"/>
    <w:pPr>
      <w:ind w:firstLine="420" w:firstLineChars="100"/>
    </w:pPr>
  </w:style>
  <w:style w:type="paragraph" w:styleId="7">
    <w:name w:val="Body Text"/>
    <w:basedOn w:val="1"/>
    <w:next w:val="8"/>
    <w:link w:val="26"/>
    <w:qFormat/>
    <w:uiPriority w:val="99"/>
    <w:pPr>
      <w:spacing w:beforeLines="30"/>
    </w:pPr>
    <w:rPr>
      <w:rFonts w:ascii="仿宋_GB2312" w:eastAsia="仿宋_GB2312"/>
      <w:kern w:val="0"/>
      <w:sz w:val="30"/>
    </w:rPr>
  </w:style>
  <w:style w:type="paragraph" w:customStyle="1" w:styleId="8">
    <w:name w:val="引用1"/>
    <w:basedOn w:val="1"/>
    <w:next w:val="1"/>
    <w:qFormat/>
    <w:uiPriority w:val="29"/>
    <w:pPr>
      <w:spacing w:line="500" w:lineRule="exact"/>
      <w:ind w:firstLine="200" w:firstLineChars="200"/>
    </w:pPr>
    <w:rPr>
      <w:rFonts w:ascii="Times New Roman" w:hAnsi="Times New Roman"/>
      <w:i/>
      <w:sz w:val="28"/>
      <w:szCs w:val="24"/>
    </w:rPr>
  </w:style>
  <w:style w:type="paragraph" w:styleId="9">
    <w:name w:val="Body Text Indent"/>
    <w:basedOn w:val="1"/>
    <w:qFormat/>
    <w:uiPriority w:val="0"/>
    <w:pPr>
      <w:spacing w:after="120"/>
      <w:ind w:left="200" w:leftChars="200"/>
    </w:pPr>
    <w:rPr>
      <w:rFonts w:ascii="仿宋_GB2312"/>
      <w:szCs w:val="32"/>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2"/>
    <w:semiHidden/>
    <w:unhideWhenUsed/>
    <w:qFormat/>
    <w:uiPriority w:val="99"/>
    <w:rPr>
      <w:sz w:val="18"/>
      <w:szCs w:val="18"/>
    </w:rPr>
  </w:style>
  <w:style w:type="paragraph" w:styleId="12">
    <w:name w:val="Body Text First Indent 2"/>
    <w:basedOn w:val="9"/>
    <w:next w:val="1"/>
    <w:unhideWhenUsed/>
    <w:qFormat/>
    <w:uiPriority w:val="99"/>
    <w:pPr>
      <w:ind w:firstLine="420" w:firstLineChars="200"/>
    </w:p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字符"/>
    <w:link w:val="13"/>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字符"/>
    <w:link w:val="2"/>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字符"/>
    <w:link w:val="7"/>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6"/>
    <w:link w:val="3"/>
    <w:qFormat/>
    <w:uiPriority w:val="9"/>
    <w:rPr>
      <w:rFonts w:ascii="Times New Roman" w:hAnsi="Times New Roman"/>
      <w:b/>
      <w:bCs/>
      <w:kern w:val="44"/>
      <w:sz w:val="44"/>
      <w:szCs w:val="44"/>
    </w:rPr>
  </w:style>
  <w:style w:type="character" w:customStyle="1" w:styleId="30">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6"/>
    <w:link w:val="11"/>
    <w:semiHidden/>
    <w:qFormat/>
    <w:uiPriority w:val="99"/>
    <w:rPr>
      <w:rFonts w:ascii="Times New Roman" w:hAnsi="Times New Roman"/>
      <w:kern w:val="2"/>
      <w:sz w:val="18"/>
      <w:szCs w:val="18"/>
    </w:rPr>
  </w:style>
  <w:style w:type="character" w:customStyle="1" w:styleId="33">
    <w:name w:val="标题 3 字符"/>
    <w:basedOn w:val="16"/>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NormalIndent"/>
    <w:basedOn w:val="1"/>
    <w:qFormat/>
    <w:uiPriority w:val="0"/>
    <w:pPr>
      <w:spacing w:line="240" w:lineRule="auto"/>
      <w:ind w:firstLine="420" w:firstLineChars="200"/>
      <w:jc w:val="both"/>
    </w:pPr>
  </w:style>
  <w:style w:type="table" w:customStyle="1" w:styleId="37">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home/user/Desktop/&#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ome/user/Desktop/&#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ome/user/Desktop/&#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ome/user/Desktop/&#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ome/user/Desktop/&#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ome/user/Desktop/&#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ome/user/Desktop/&#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139.08</c:v>
                </c:pt>
                <c:pt idx="1">
                  <c:v>138.29</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1.3829</c:v>
                </c:pt>
                <c:pt idx="1">
                  <c:v>0</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0.9277</c:v>
                </c:pt>
                <c:pt idx="1">
                  <c:v>0.0723</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139.08</c:v>
                </c:pt>
                <c:pt idx="1">
                  <c:v>138.29</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139.08</c:v>
                </c:pt>
                <c:pt idx="1">
                  <c:v>138.29</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[决算公开插图制作示例.xlsx]图6!$A$2:$A$5</c:f>
              <c:strCache>
                <c:ptCount val="4"/>
                <c:pt idx="0">
                  <c:v>一般公共服务（类）支出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116.61</c:v>
                </c:pt>
                <c:pt idx="1">
                  <c:v>9.64</c:v>
                </c:pt>
                <c:pt idx="2">
                  <c:v>4.82</c:v>
                </c:pt>
                <c:pt idx="3">
                  <c:v>7.23</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1</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1230</Words>
  <Characters>7012</Characters>
  <Lines>58</Lines>
  <Paragraphs>16</Paragraphs>
  <TotalTime>8</TotalTime>
  <ScaleCrop>false</ScaleCrop>
  <LinksUpToDate>false</LinksUpToDate>
  <CharactersWithSpaces>8226</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2020-08-07T17:49:00Z</dcterms:created>
  <dc:creator>曹颖</dc:creator>
  <cp:lastModifiedBy>Administrator</cp:lastModifiedBy>
  <cp:lastPrinted>2023-08-02T18:35:00Z</cp:lastPrinted>
  <dcterms:modified xsi:type="dcterms:W3CDTF">2023-11-23T07:45:46Z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DA50846CA6544AD89249E29184A8FBD9_12</vt:lpwstr>
  </property>
</Properties>
</file>