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FF0000"/>
          <w:sz w:val="72"/>
          <w:szCs w:val="72"/>
        </w:rPr>
      </w:pPr>
      <w:bookmarkStart w:id="0" w:name="_Toc15377193"/>
      <w:bookmarkStart w:id="1" w:name="_Toc15396475"/>
      <w:bookmarkStart w:id="2" w:name="_Toc15396597"/>
      <w:bookmarkStart w:id="3" w:name="_Toc15378441"/>
      <w:bookmarkStart w:id="4" w:name="_Toc15377425"/>
      <w:bookmarkStart w:id="5" w:name="_Toc15306267"/>
      <w:bookmarkStart w:id="76" w:name="_GoBack"/>
      <w:bookmarkEnd w:id="76"/>
    </w:p>
    <w:p>
      <w:pPr>
        <w:spacing w:line="600" w:lineRule="exact"/>
        <w:jc w:val="center"/>
        <w:outlineLvl w:val="0"/>
        <w:rPr>
          <w:rFonts w:ascii="方正小标宋简体" w:hAnsi="宋体" w:eastAsia="方正小标宋简体"/>
          <w:color w:val="FF0000"/>
          <w:sz w:val="72"/>
          <w:szCs w:val="72"/>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adjustRightInd w:val="0"/>
        <w:snapToGrid w:val="0"/>
        <w:spacing w:line="360" w:lineRule="auto"/>
        <w:jc w:val="center"/>
        <w:outlineLvl w:val="0"/>
        <w:rPr>
          <w:rFonts w:ascii="方正小标宋简体" w:hAnsi="方正小标宋简体" w:eastAsia="方正小标宋简体" w:cs="方正小标宋简体"/>
          <w:color w:val="000000" w:themeColor="text1"/>
          <w:sz w:val="72"/>
          <w:szCs w:val="72"/>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14:textFill>
            <w14:solidFill>
              <w14:schemeClr w14:val="tx1"/>
            </w14:solidFill>
          </w14:textFill>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lang w:eastAsia="zh-CN"/>
          <w14:textFill>
            <w14:solidFill>
              <w14:schemeClr w14:val="tx1"/>
            </w14:solidFill>
          </w14:textFill>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color w:val="000000" w:themeColor="text1"/>
          <w:sz w:val="72"/>
          <w:szCs w:val="72"/>
          <w14:textFill>
            <w14:solidFill>
              <w14:schemeClr w14:val="tx1"/>
            </w14:solidFill>
          </w14:textFill>
        </w:rPr>
        <w:t>剑阁县</w:t>
      </w:r>
      <w:bookmarkEnd w:id="5"/>
      <w:bookmarkStart w:id="11" w:name="_Toc15306268"/>
      <w:r>
        <w:rPr>
          <w:rFonts w:hint="eastAsia" w:ascii="方正小标宋简体" w:hAnsi="方正小标宋简体" w:eastAsia="方正小标宋简体" w:cs="方正小标宋简体"/>
          <w:color w:val="000000" w:themeColor="text1"/>
          <w:sz w:val="72"/>
          <w:szCs w:val="72"/>
          <w:lang w:eastAsia="zh-CN"/>
          <w14:textFill>
            <w14:solidFill>
              <w14:schemeClr w14:val="tx1"/>
            </w14:solidFill>
          </w14:textFill>
        </w:rPr>
        <w:t>自然资源局</w:t>
      </w:r>
    </w:p>
    <w:p>
      <w:pPr>
        <w:adjustRightInd w:val="0"/>
        <w:snapToGrid w:val="0"/>
        <w:spacing w:line="360" w:lineRule="auto"/>
        <w:jc w:val="center"/>
        <w:outlineLvl w:val="0"/>
        <w:rPr>
          <w:rFonts w:ascii="方正小标宋简体" w:hAnsi="方正小标宋简体" w:eastAsia="方正小标宋简体" w:cs="方正小标宋简体"/>
          <w:color w:val="000000" w:themeColor="text1"/>
          <w:sz w:val="72"/>
          <w:szCs w:val="72"/>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14:textFill>
            <w14:solidFill>
              <w14:schemeClr w14:val="tx1"/>
            </w14:solidFill>
          </w14:textFill>
        </w:rPr>
        <w:t>部门决算</w:t>
      </w:r>
      <w:bookmarkEnd w:id="6"/>
      <w:bookmarkEnd w:id="7"/>
      <w:bookmarkEnd w:id="8"/>
      <w:bookmarkEnd w:id="9"/>
      <w:bookmarkEnd w:id="10"/>
      <w:bookmarkEnd w:id="11"/>
    </w:p>
    <w:p>
      <w:pPr>
        <w:widowControl/>
        <w:jc w:val="center"/>
        <w:rPr>
          <w:rFonts w:hint="eastAsia" w:ascii="黑体" w:hAnsi="黑体" w:eastAsia="黑体"/>
          <w:color w:val="000000" w:themeColor="text1"/>
          <w:sz w:val="48"/>
          <w:szCs w:val="48"/>
          <w14:textFill>
            <w14:solidFill>
              <w14:schemeClr w14:val="tx1"/>
            </w14:solidFill>
          </w14:textFill>
        </w:rPr>
        <w:sectPr>
          <w:footerReference r:id="rId3" w:type="first"/>
          <w:pgSz w:w="11906" w:h="16838"/>
          <w:pgMar w:top="1440" w:right="1800" w:bottom="1440" w:left="1800" w:header="851" w:footer="992" w:gutter="0"/>
          <w:pgNumType w:fmt="decimal"/>
          <w:cols w:space="425" w:num="1"/>
          <w:docGrid w:type="lines" w:linePitch="312" w:charSpace="0"/>
        </w:sectPr>
      </w:pPr>
    </w:p>
    <w:p>
      <w:pPr>
        <w:widowControl/>
        <w:jc w:val="center"/>
        <w:rPr>
          <w:rFonts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目录</w:t>
      </w:r>
    </w:p>
    <w:p>
      <w:pPr>
        <w:widowControl/>
        <w:jc w:val="center"/>
        <w:rPr>
          <w:rFonts w:ascii="黑体" w:hAnsi="黑体" w:eastAsia="黑体" w:cstheme="minorBidi"/>
          <w:color w:val="000000" w:themeColor="text1"/>
          <w:sz w:val="28"/>
          <w:szCs w:val="28"/>
          <w14:textFill>
            <w14:solidFill>
              <w14:schemeClr w14:val="tx1"/>
            </w14:solidFill>
          </w14:textFill>
        </w:rPr>
      </w:pPr>
    </w:p>
    <w:p>
      <w:pPr>
        <w:pStyle w:val="12"/>
        <w:rPr>
          <w:color w:val="000000" w:themeColor="text1"/>
          <w14:textFill>
            <w14:solidFill>
              <w14:schemeClr w14:val="tx1"/>
            </w14:solidFill>
          </w14:textFill>
        </w:rPr>
      </w:pPr>
      <w:r>
        <w:rPr>
          <w:rFonts w:hint="eastAsia"/>
          <w:color w:val="000000" w:themeColor="text1"/>
          <w14:textFill>
            <w14:solidFill>
              <w14:schemeClr w14:val="tx1"/>
            </w14:solidFill>
          </w14:textFill>
        </w:rPr>
        <w:t>公开时间：2023年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16</w:t>
      </w:r>
      <w:r>
        <w:rPr>
          <w:rFonts w:hint="eastAsia"/>
          <w:color w:val="000000" w:themeColor="text1"/>
          <w14:textFill>
            <w14:solidFill>
              <w14:schemeClr w14:val="tx1"/>
            </w14:solidFill>
          </w14:textFill>
        </w:rPr>
        <w:t>日</w:t>
      </w:r>
    </w:p>
    <w:p>
      <w:pPr>
        <w:rPr>
          <w:color w:val="FF0000"/>
        </w:rPr>
      </w:pPr>
    </w:p>
    <w:p>
      <w:pPr>
        <w:pStyle w:val="12"/>
        <w:adjustRightInd w:val="0"/>
        <w:snapToGrid w:val="0"/>
        <w:spacing w:before="0" w:line="440" w:lineRule="exact"/>
        <w:jc w:val="left"/>
        <w:rPr>
          <w:rFonts w:hint="default" w:eastAsia="仿宋" w:cstheme="minorBidi"/>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第一部分</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部门概况</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p>
    <w:p>
      <w:pPr>
        <w:pStyle w:val="13"/>
        <w:adjustRightInd w:val="0"/>
        <w:snapToGrid w:val="0"/>
        <w:spacing w:line="440" w:lineRule="exact"/>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一、部门职责及重点工作</w:t>
      </w:r>
      <w:r>
        <w:rPr>
          <w:rFonts w:hint="eastAsia"/>
          <w:color w:val="000000" w:themeColor="text1"/>
          <w:sz w:val="24"/>
          <w:lang w:val="en-US" w:eastAsia="zh-CN"/>
          <w14:textFill>
            <w14:solidFill>
              <w14:schemeClr w14:val="tx1"/>
            </w14:solidFill>
          </w14:textFill>
        </w:rPr>
        <w:t>..........................................................................1</w:t>
      </w:r>
    </w:p>
    <w:p>
      <w:pPr>
        <w:pStyle w:val="13"/>
        <w:adjustRightInd w:val="0"/>
        <w:snapToGrid w:val="0"/>
        <w:spacing w:line="440" w:lineRule="exact"/>
        <w:ind w:left="0" w:leftChars="0"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(一)部门职责</w:t>
      </w:r>
      <w:r>
        <w:rPr>
          <w:rFonts w:hint="eastAsia"/>
          <w:color w:val="000000" w:themeColor="text1"/>
          <w:sz w:val="24"/>
          <w:lang w:val="en-US" w:eastAsia="zh-CN"/>
          <w14:textFill>
            <w14:solidFill>
              <w14:schemeClr w14:val="tx1"/>
            </w14:solidFill>
          </w14:textFill>
        </w:rPr>
        <w:t>..............................................................................................1</w:t>
      </w:r>
    </w:p>
    <w:p>
      <w:pPr>
        <w:pStyle w:val="13"/>
        <w:adjustRightInd w:val="0"/>
        <w:snapToGrid w:val="0"/>
        <w:spacing w:line="440" w:lineRule="exact"/>
        <w:ind w:left="0" w:leftChars="0"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二</w:t>
      </w:r>
      <w:r>
        <w:rPr>
          <w:rFonts w:hint="eastAsia"/>
          <w:color w:val="000000" w:themeColor="text1"/>
          <w:sz w:val="24"/>
          <w14:textFill>
            <w14:solidFill>
              <w14:schemeClr w14:val="tx1"/>
            </w14:solidFill>
          </w14:textFill>
        </w:rPr>
        <w:t>)2022年重点工作完成情况</w:t>
      </w:r>
      <w:r>
        <w:rPr>
          <w:rFonts w:hint="eastAsia"/>
          <w:color w:val="000000" w:themeColor="text1"/>
          <w:sz w:val="24"/>
          <w:lang w:val="en-US" w:eastAsia="zh-CN"/>
          <w14:textFill>
            <w14:solidFill>
              <w14:schemeClr w14:val="tx1"/>
            </w14:solidFill>
          </w14:textFill>
        </w:rPr>
        <w:t>.................................................................2</w:t>
      </w:r>
    </w:p>
    <w:p>
      <w:pPr>
        <w:pStyle w:val="13"/>
        <w:adjustRightInd w:val="0"/>
        <w:snapToGrid w:val="0"/>
        <w:spacing w:line="440" w:lineRule="exact"/>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二、机构设置</w:t>
      </w:r>
      <w:r>
        <w:rPr>
          <w:rFonts w:hint="eastAsia"/>
          <w:color w:val="000000" w:themeColor="text1"/>
          <w:sz w:val="24"/>
          <w:lang w:val="en-US" w:eastAsia="zh-CN"/>
          <w14:textFill>
            <w14:solidFill>
              <w14:schemeClr w14:val="tx1"/>
            </w14:solidFill>
          </w14:textFill>
        </w:rPr>
        <w:t>..............................................................................................5</w:t>
      </w:r>
    </w:p>
    <w:p>
      <w:pPr>
        <w:pStyle w:val="12"/>
        <w:adjustRightInd w:val="0"/>
        <w:snapToGrid w:val="0"/>
        <w:spacing w:before="0" w:line="440" w:lineRule="exact"/>
        <w:jc w:val="left"/>
        <w:rPr>
          <w:rFonts w:hint="default" w:eastAsia="仿宋"/>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第二部分 2022年度部门决算情况说明</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color w:val="000000" w:themeColor="text1"/>
          <w:sz w:val="24"/>
          <w:lang w:val="en-US" w:eastAsia="zh-CN"/>
          <w14:textFill>
            <w14:solidFill>
              <w14:schemeClr w14:val="tx1"/>
            </w14:solidFill>
          </w14:textFill>
        </w:rPr>
        <w:t>6</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一、收入支出决算总体情况说明</w:t>
      </w:r>
      <w:r>
        <w:rPr>
          <w:rFonts w:hint="eastAsia"/>
          <w:color w:val="000000" w:themeColor="text1"/>
          <w:sz w:val="24"/>
          <w:lang w:val="en-US" w:eastAsia="zh-CN"/>
          <w14:textFill>
            <w14:solidFill>
              <w14:schemeClr w14:val="tx1"/>
            </w14:solidFill>
          </w14:textFill>
        </w:rPr>
        <w:t>..............................................................6</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二、收入决算情况说明</w:t>
      </w:r>
      <w:r>
        <w:rPr>
          <w:rFonts w:hint="eastAsia"/>
          <w:color w:val="000000" w:themeColor="text1"/>
          <w:sz w:val="24"/>
          <w:lang w:val="en-US" w:eastAsia="zh-CN"/>
          <w14:textFill>
            <w14:solidFill>
              <w14:schemeClr w14:val="tx1"/>
            </w14:solidFill>
          </w14:textFill>
        </w:rPr>
        <w:t>..............................................................................6</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三、支出决算情况说明</w:t>
      </w:r>
      <w:r>
        <w:rPr>
          <w:rFonts w:hint="eastAsia"/>
          <w:color w:val="000000" w:themeColor="text1"/>
          <w:sz w:val="24"/>
          <w:lang w:val="en-US" w:eastAsia="zh-CN"/>
          <w14:textFill>
            <w14:solidFill>
              <w14:schemeClr w14:val="tx1"/>
            </w14:solidFill>
          </w14:textFill>
        </w:rPr>
        <w:t>..............................................................................7</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四、财政拨款收入支出决算总体情况说明</w:t>
      </w:r>
      <w:r>
        <w:rPr>
          <w:rFonts w:hint="eastAsia"/>
          <w:color w:val="000000" w:themeColor="text1"/>
          <w:sz w:val="24"/>
          <w:lang w:val="en-US" w:eastAsia="zh-CN"/>
          <w14:textFill>
            <w14:solidFill>
              <w14:schemeClr w14:val="tx1"/>
            </w14:solidFill>
          </w14:textFill>
        </w:rPr>
        <w:t>..............................................7</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五、一般公共预算财政拨款支出决算情况说明</w:t>
      </w:r>
      <w:r>
        <w:rPr>
          <w:rFonts w:hint="eastAsia"/>
          <w:color w:val="000000" w:themeColor="text1"/>
          <w:sz w:val="24"/>
          <w:lang w:val="en-US" w:eastAsia="zh-CN"/>
          <w14:textFill>
            <w14:solidFill>
              <w14:schemeClr w14:val="tx1"/>
            </w14:solidFill>
          </w14:textFill>
        </w:rPr>
        <w:t>......................................8</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六、一般公共预算财政拨款基本支出决算情况说明</w:t>
      </w:r>
      <w:r>
        <w:rPr>
          <w:rFonts w:hint="eastAsia"/>
          <w:color w:val="000000" w:themeColor="text1"/>
          <w:sz w:val="24"/>
          <w:lang w:val="en-US" w:eastAsia="zh-CN"/>
          <w14:textFill>
            <w14:solidFill>
              <w14:schemeClr w14:val="tx1"/>
            </w14:solidFill>
          </w14:textFill>
        </w:rPr>
        <w:t>.............................11</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七、财政拨款“三公”经费支出决算情况说明</w:t>
      </w:r>
      <w:r>
        <w:rPr>
          <w:rFonts w:hint="eastAsia"/>
          <w:color w:val="000000" w:themeColor="text1"/>
          <w:sz w:val="24"/>
          <w:lang w:val="en-US" w:eastAsia="zh-CN"/>
          <w14:textFill>
            <w14:solidFill>
              <w14:schemeClr w14:val="tx1"/>
            </w14:solidFill>
          </w14:textFill>
        </w:rPr>
        <w:t>.....................................12</w:t>
      </w:r>
    </w:p>
    <w:p>
      <w:pPr>
        <w:pStyle w:val="13"/>
        <w:adjustRightInd w:val="0"/>
        <w:snapToGrid w:val="0"/>
        <w:spacing w:line="440" w:lineRule="exact"/>
        <w:jc w:val="left"/>
        <w:rPr>
          <w:rFonts w:hint="default" w:ascii="仿宋" w:hAnsi="仿宋" w:eastAsia="宋体" w:cstheme="minorBidi"/>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八、政府性基金预算支出决算情况说明</w:t>
      </w:r>
      <w:r>
        <w:rPr>
          <w:rFonts w:hint="eastAsia"/>
          <w:color w:val="000000" w:themeColor="text1"/>
          <w:sz w:val="24"/>
          <w:lang w:val="en-US" w:eastAsia="zh-CN"/>
          <w14:textFill>
            <w14:solidFill>
              <w14:schemeClr w14:val="tx1"/>
            </w14:solidFill>
          </w14:textFill>
        </w:rPr>
        <w:t>.................................................14</w:t>
      </w:r>
    </w:p>
    <w:p>
      <w:pPr>
        <w:pStyle w:val="13"/>
        <w:adjustRightInd w:val="0"/>
        <w:snapToGrid w:val="0"/>
        <w:spacing w:line="440" w:lineRule="exact"/>
        <w:ind w:leftChars="0"/>
        <w:jc w:val="left"/>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九、国有资本经营预算支出决算情况说明</w:t>
      </w:r>
      <w:r>
        <w:rPr>
          <w:rFonts w:hint="eastAsia"/>
          <w:color w:val="000000" w:themeColor="text1"/>
          <w:sz w:val="24"/>
          <w:lang w:val="en-US" w:eastAsia="zh-CN"/>
          <w14:textFill>
            <w14:solidFill>
              <w14:schemeClr w14:val="tx1"/>
            </w14:solidFill>
          </w14:textFill>
        </w:rPr>
        <w:t>.............................................14</w:t>
      </w:r>
    </w:p>
    <w:p>
      <w:pPr>
        <w:adjustRightInd w:val="0"/>
        <w:snapToGrid w:val="0"/>
        <w:spacing w:line="440" w:lineRule="exact"/>
        <w:ind w:firstLine="420" w:firstLineChars="175"/>
        <w:jc w:val="left"/>
        <w:rPr>
          <w:rFonts w:asciiTheme="minorEastAsia" w:hAnsiTheme="minorEastAsia" w:eastAsiaTheme="minorEastAsia" w:cstheme="minorEastAsia"/>
          <w:color w:val="000000" w:themeColor="text1"/>
          <w:sz w:val="24"/>
          <w14:textFill>
            <w14:solidFill>
              <w14:schemeClr w14:val="tx1"/>
            </w14:solidFill>
          </w14:textFill>
        </w:rPr>
      </w:pPr>
      <w:r>
        <w:rPr>
          <w:rStyle w:val="19"/>
          <w:rFonts w:hint="eastAsia" w:asciiTheme="minorEastAsia" w:hAnsiTheme="minorEastAsia" w:eastAsiaTheme="minorEastAsia" w:cstheme="minorEastAsia"/>
          <w:color w:val="000000" w:themeColor="text1"/>
          <w:sz w:val="24"/>
          <w:u w:val="none"/>
          <w14:textFill>
            <w14:solidFill>
              <w14:schemeClr w14:val="tx1"/>
            </w14:solidFill>
          </w14:textFill>
        </w:rPr>
        <w:t>十、</w:t>
      </w:r>
      <w:r>
        <w:rPr>
          <w:rFonts w:hint="eastAsia" w:asciiTheme="minorEastAsia" w:hAnsiTheme="minorEastAsia" w:eastAsiaTheme="minorEastAsia" w:cstheme="minorEastAsia"/>
          <w:color w:val="000000" w:themeColor="text1"/>
          <w:sz w:val="24"/>
          <w14:textFill>
            <w14:solidFill>
              <w14:schemeClr w14:val="tx1"/>
            </w14:solidFill>
          </w14:textFill>
        </w:rPr>
        <w:t>其他重要事项的情况说明</w:t>
      </w:r>
      <w:r>
        <w:rPr>
          <w:rFonts w:hint="eastAsia"/>
          <w:color w:val="000000" w:themeColor="text1"/>
          <w:sz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14:textFill>
            <w14:solidFill>
              <w14:schemeClr w14:val="tx1"/>
            </w14:solidFill>
          </w14:textFill>
        </w:rPr>
        <w:tab/>
      </w:r>
    </w:p>
    <w:p>
      <w:pPr>
        <w:pStyle w:val="12"/>
        <w:adjustRightInd w:val="0"/>
        <w:snapToGrid w:val="0"/>
        <w:spacing w:before="0" w:line="440" w:lineRule="exact"/>
        <w:jc w:val="left"/>
        <w:rPr>
          <w:rFonts w:hint="default" w:eastAsia="仿宋" w:cstheme="minorBidi"/>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第三部分</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名词解释</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..........................................................................................16</w:t>
      </w:r>
    </w:p>
    <w:p>
      <w:pPr>
        <w:pStyle w:val="12"/>
        <w:adjustRightInd w:val="0"/>
        <w:snapToGrid w:val="0"/>
        <w:spacing w:before="0" w:line="440" w:lineRule="exact"/>
        <w:jc w:val="left"/>
        <w:rPr>
          <w:rFonts w:hint="default" w:eastAsia="仿宋" w:cstheme="minorBidi"/>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第四部分</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附件</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color w:val="000000" w:themeColor="text1"/>
          <w:sz w:val="24"/>
          <w:lang w:val="en-US" w:eastAsia="zh-CN"/>
          <w14:textFill>
            <w14:solidFill>
              <w14:schemeClr w14:val="tx1"/>
            </w14:solidFill>
          </w14:textFill>
        </w:rPr>
        <w:t>20</w:t>
      </w:r>
    </w:p>
    <w:p>
      <w:pPr>
        <w:pStyle w:val="12"/>
        <w:adjustRightInd w:val="0"/>
        <w:snapToGrid w:val="0"/>
        <w:spacing w:before="0" w:line="440" w:lineRule="exact"/>
        <w:jc w:val="left"/>
        <w:rPr>
          <w:rFonts w:hint="default" w:eastAsia="仿宋" w:cstheme="minorBidi"/>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第五部分</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附表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color w:val="000000" w:themeColor="text1"/>
          <w:sz w:val="24"/>
          <w:lang w:val="en-US" w:eastAsia="zh-CN"/>
          <w14:textFill>
            <w14:solidFill>
              <w14:schemeClr w14:val="tx1"/>
            </w14:solidFill>
          </w14:textFill>
        </w:rPr>
        <w:t>52</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一、收入支出决算总表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二、收入决算表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三、支出决算表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四、财政拨款收入支出决算总表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五、财政拨款支出决算明细表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六、一般公共预算财政拨款支出决算表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七、一般公共预算财政拨款支出决算明细表</w:t>
      </w:r>
    </w:p>
    <w:p>
      <w:pPr>
        <w:pStyle w:val="13"/>
        <w:adjustRightInd w:val="0"/>
        <w:snapToGrid w:val="0"/>
        <w:spacing w:line="440" w:lineRule="exact"/>
        <w:jc w:val="left"/>
        <w:rPr>
          <w:rFonts w:hint="eastAsia"/>
          <w:color w:val="000000" w:themeColor="text1"/>
          <w:sz w:val="24"/>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八、一般公共预算财政拨款基本支出决算明细表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九、一般公共预算财政拨款项目支出决算表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十、政府性基金预算财政拨款收入支出决算表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十一、国有资本经营预算财政拨款收入支出决算表</w:t>
      </w:r>
    </w:p>
    <w:p>
      <w:pPr>
        <w:pStyle w:val="13"/>
        <w:adjustRightInd w:val="0"/>
        <w:snapToGrid w:val="0"/>
        <w:spacing w:line="44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十三、财政拨款“三公”经费支出决算表</w:t>
      </w:r>
    </w:p>
    <w:p>
      <w:pPr>
        <w:pStyle w:val="3"/>
        <w:jc w:val="center"/>
        <w:rPr>
          <w:rFonts w:hint="eastAsia" w:ascii="黑体" w:hAnsi="黑体" w:eastAsia="黑体"/>
          <w:b w:val="0"/>
          <w:color w:val="000000" w:themeColor="text1"/>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12" w:name="_Toc15377196"/>
      <w:bookmarkStart w:id="13" w:name="_Toc15396599"/>
    </w:p>
    <w:p>
      <w:pPr>
        <w:pStyle w:val="3"/>
        <w:jc w:val="center"/>
        <w:rPr>
          <w:rStyle w:val="29"/>
          <w:rFonts w:ascii="黑体" w:hAnsi="黑体" w:eastAsia="黑体"/>
          <w:b/>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 xml:space="preserve">第一部分 </w:t>
      </w:r>
      <w:r>
        <w:rPr>
          <w:rStyle w:val="29"/>
          <w:rFonts w:hint="eastAsia" w:ascii="黑体" w:hAnsi="黑体" w:eastAsia="黑体"/>
          <w:b w:val="0"/>
          <w:bCs w:val="0"/>
          <w:color w:val="000000" w:themeColor="text1"/>
          <w14:textFill>
            <w14:solidFill>
              <w14:schemeClr w14:val="tx1"/>
            </w14:solidFill>
          </w14:textFill>
        </w:rPr>
        <w:t>部门概况</w:t>
      </w:r>
      <w:bookmarkEnd w:id="12"/>
      <w:bookmarkEnd w:id="13"/>
    </w:p>
    <w:p>
      <w:pPr>
        <w:widowControl/>
        <w:jc w:val="left"/>
        <w:rPr>
          <w:rFonts w:ascii="黑体" w:eastAsia="黑体"/>
          <w:color w:val="FF0000"/>
          <w:sz w:val="32"/>
          <w:szCs w:val="32"/>
        </w:rPr>
      </w:pPr>
    </w:p>
    <w:p>
      <w:pPr>
        <w:pStyle w:val="4"/>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部门职责及重点工作</w:t>
      </w:r>
    </w:p>
    <w:p>
      <w:pPr>
        <w:pStyle w:val="4"/>
        <w:pageBreakBefore w:val="0"/>
        <w:widowControl w:val="0"/>
        <w:numPr>
          <w:ilvl w:val="0"/>
          <w:numId w:val="0"/>
        </w:numPr>
        <w:kinsoku/>
        <w:wordWrap/>
        <w:overflowPunct/>
        <w:topLinePunct w:val="0"/>
        <w:autoSpaceDE/>
        <w:autoSpaceDN/>
        <w:bidi w:val="0"/>
        <w:adjustRightInd/>
        <w:snapToGrid/>
        <w:spacing w:before="0" w:after="0"/>
        <w:ind w:firstLine="64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黑体" w:hAnsi="黑体" w:eastAsia="黑体"/>
          <w:b w:val="0"/>
          <w:color w:val="000000" w:themeColor="text1"/>
          <w14:textFill>
            <w14:solidFill>
              <w14:schemeClr w14:val="tx1"/>
            </w14:solidFill>
          </w14:textFill>
        </w:rPr>
        <w:t>部门职责</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1.贯彻执行国家有关自然资源的调控政策、措施和法律、法规、规章，承担保护与合理利用土地资源、矿产资源的责任。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2.承担规范自然资源管理秩序的责任。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3.承担优化配置自然资源的责任。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4.负责规范自然资源权属管理。</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5.承担全县耕地保护的责任。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6.承担及时准确提供全县土地利用各种数据的责任。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7.承担节约集约利用土地资源的责任。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8.承担规范自然资源市场秩序的责任。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9.负责矿产资源开发的管理。   </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10.负责地质勘查行业和矿产资源储量管理。</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11.承担地质环境保护的责任。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12.依法征收土地、矿产资源收益，规范、监督资金使用，拟定土地、矿产资源参与经济调控的措施。</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13.组织制定并实施自然资源科技发展、人才培养规划和计划，组织实施自然资源重大科技项目，推进自然资源信息化和信息资料公共服务。</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14.负责管理我县乡镇自然资源管理人员；负责本系统党风廉政建设、行业行风建设。</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15.承担县政府公布的有关自然资源方面的行政审批事项。</w:t>
      </w:r>
    </w:p>
    <w:p>
      <w:pPr>
        <w:pStyle w:val="8"/>
        <w:ind w:firstLine="640" w:firstLineChars="200"/>
        <w:rPr>
          <w:b w:val="0"/>
        </w:rPr>
      </w:pPr>
      <w:r>
        <w:rPr>
          <w:rFonts w:hint="eastAsia"/>
          <w:b w:val="0"/>
          <w:lang w:val="en-US" w:eastAsia="zh-CN"/>
        </w:rPr>
        <w:t>16.</w:t>
      </w:r>
      <w:r>
        <w:rPr>
          <w:b w:val="0"/>
        </w:rPr>
        <w:t>负责编制县本级土地储备计划并实施</w:t>
      </w:r>
      <w:r>
        <w:rPr>
          <w:rFonts w:hint="eastAsia"/>
          <w:b w:val="0"/>
        </w:rPr>
        <w:t>，组织实施土地储备相关业务工作。</w:t>
      </w:r>
    </w:p>
    <w:p>
      <w:pPr>
        <w:pStyle w:val="8"/>
        <w:ind w:firstLine="640" w:firstLineChars="200"/>
        <w:rPr>
          <w:rFonts w:ascii="仿宋_GB2312" w:hAnsi="仿宋_GB2312" w:cs="仿宋_GB2312"/>
          <w:b w:val="0"/>
          <w:szCs w:val="32"/>
        </w:rPr>
      </w:pPr>
      <w:r>
        <w:rPr>
          <w:rFonts w:hint="eastAsia"/>
          <w:b w:val="0"/>
          <w:lang w:val="en-US" w:eastAsia="zh-CN"/>
        </w:rPr>
        <w:t>17.</w:t>
      </w:r>
      <w:r>
        <w:rPr>
          <w:b w:val="0"/>
        </w:rPr>
        <w:t>负责储备土地实施前期开发和管护</w:t>
      </w:r>
      <w:r>
        <w:rPr>
          <w:rFonts w:hint="eastAsia"/>
          <w:b w:val="0"/>
        </w:rPr>
        <w:t>工作。</w:t>
      </w:r>
    </w:p>
    <w:p>
      <w:pPr>
        <w:pStyle w:val="8"/>
        <w:ind w:firstLine="640" w:firstLineChars="200"/>
        <w:rPr>
          <w:rFonts w:ascii="宋体"/>
          <w:b w:val="0"/>
        </w:rPr>
      </w:pPr>
      <w:r>
        <w:rPr>
          <w:rFonts w:hint="eastAsia"/>
          <w:b w:val="0"/>
          <w:lang w:val="en-US" w:eastAsia="zh-CN"/>
        </w:rPr>
        <w:t>18.</w:t>
      </w:r>
      <w:r>
        <w:rPr>
          <w:rFonts w:ascii="宋体"/>
          <w:b w:val="0"/>
        </w:rPr>
        <w:t>配合土地储备专项债券发行工作</w:t>
      </w:r>
      <w:r>
        <w:rPr>
          <w:rFonts w:hint="eastAsia" w:ascii="宋体"/>
          <w:b w:val="0"/>
        </w:rPr>
        <w:t>。</w:t>
      </w:r>
    </w:p>
    <w:p>
      <w:pPr>
        <w:pStyle w:val="8"/>
        <w:ind w:firstLine="640" w:firstLineChars="200"/>
        <w:rPr>
          <w:rFonts w:ascii="宋体"/>
          <w:b w:val="0"/>
        </w:rPr>
      </w:pPr>
      <w:r>
        <w:rPr>
          <w:rFonts w:hint="eastAsia"/>
          <w:b w:val="0"/>
          <w:lang w:val="en-US" w:eastAsia="zh-CN"/>
        </w:rPr>
        <w:t>19.</w:t>
      </w:r>
      <w:r>
        <w:rPr>
          <w:rFonts w:ascii="宋体"/>
          <w:b w:val="0"/>
        </w:rPr>
        <w:t>承担国有建设用地供应事务性工作</w:t>
      </w:r>
      <w:r>
        <w:rPr>
          <w:rFonts w:hint="eastAsia" w:ascii="宋体"/>
          <w:b w:val="0"/>
        </w:rPr>
        <w:t>，</w:t>
      </w:r>
      <w:r>
        <w:rPr>
          <w:rFonts w:ascii="宋体"/>
          <w:b w:val="0"/>
        </w:rPr>
        <w:t>负责国有建设用地二级市场相关工作。</w:t>
      </w:r>
    </w:p>
    <w:p>
      <w:pPr>
        <w:pStyle w:val="8"/>
        <w:ind w:firstLine="640" w:firstLineChars="200"/>
        <w:rPr>
          <w:rFonts w:hint="eastAsia" w:ascii="宋体" w:eastAsia="仿宋_GB2312"/>
          <w:b w:val="0"/>
          <w:lang w:val="en-US" w:eastAsia="zh-CN"/>
        </w:rPr>
      </w:pPr>
      <w:r>
        <w:rPr>
          <w:rFonts w:hint="eastAsia"/>
          <w:b w:val="0"/>
          <w:lang w:val="en-US" w:eastAsia="zh-CN"/>
        </w:rPr>
        <w:t>20.</w:t>
      </w:r>
      <w:r>
        <w:rPr>
          <w:rFonts w:hint="eastAsia" w:ascii="宋体"/>
          <w:b w:val="0"/>
        </w:rPr>
        <w:t>贯彻执行土地登记、房屋登记及其交易、林地登记等不动产登记政策、法规；负责城市规划区内土地登记、房屋登记及其交易、林地登记受理经办工作；负责不动产登记自安息基础平台建设和管理，做好数据的整理、备份、依法对外查询工作。</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21.承办县政府交办的其他事项。</w:t>
      </w:r>
    </w:p>
    <w:p>
      <w:pPr>
        <w:pStyle w:val="13"/>
        <w:keepNext w:val="0"/>
        <w:keepLines w:val="0"/>
        <w:pageBreakBefore w:val="0"/>
        <w:widowControl w:val="0"/>
        <w:kinsoku/>
        <w:wordWrap/>
        <w:overflowPunct/>
        <w:topLinePunct w:val="0"/>
        <w:autoSpaceDE/>
        <w:autoSpaceDN/>
        <w:bidi w:val="0"/>
        <w:adjustRightInd w:val="0"/>
        <w:snapToGrid w:val="0"/>
        <w:spacing w:line="574" w:lineRule="atLeast"/>
        <w:jc w:val="left"/>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（二）2022年重点工作完成情况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是加强自然资源保护，筑牢粮食安全屏障。坚守耕地保护红线，全面落实耕地保护同责任务，确保全县耕地和基本农田保护面积不减少。全面落实年度耕地“进出平衡”，本年完成整改恢复并通过省级审核2169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是高效利用土地资源，提升用地保障能力。本年我县已向省人民政府申报12个建设用地项目，全力保障军民融合产业园等基础设施建设项目。报批用地总面积1571.8亩，总供应130宗土地共25.7823公顷，合计价款23190.2499万元。入库立项实施挂钩项目57个，流转挂钩节余指标4631.2845亩，2022年到位资金1.868亿元，2022年对外流转15个项目868.0512亩，总价款2.6041亿元。</w:t>
      </w:r>
    </w:p>
    <w:p>
      <w:pPr>
        <w:pStyle w:val="1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是突出规划引领，国土空间持续优化。按照省、市《乡村国土空间规划编制工作方案》要求，完成乡镇级片区国土空间规划编制并上交省厅备案，完成首批2个村级片区规划编制工作。本年参与规划选址和用地预审46次，出具规划设计条件通知书92份，审批建设用地规划许可46个、建设工程规划许可50个，完成建设项目规划核实和土地核验4个，办理各类行政审批事项267件。</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是加强生态修复治理，筑牢城市生态基底。本年长江干支流生态修复项目和废弃露天矿山生态修复项目24处生态修复项目均全面完工，修复面积21.22公顷。完成省级环保督察和生态环境问题整改，完成风景名胜区内矿业权退出4家，完成修复任务矿山3家，通过验收3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五是严格自然资源执法监管，严厉打击违法用地行为。</w:t>
      </w:r>
    </w:p>
    <w:p>
      <w:pPr>
        <w:keepNext w:val="0"/>
        <w:keepLines w:val="0"/>
        <w:pageBreakBefore w:val="0"/>
        <w:kinsoku/>
        <w:wordWrap/>
        <w:overflowPunct/>
        <w:autoSpaceDE/>
        <w:autoSpaceDN/>
        <w:bidi w:val="0"/>
        <w:spacing w:line="576" w:lineRule="exact"/>
        <w:textAlignment w:val="auto"/>
        <w:outlineLvl w:val="0"/>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核实下发的疑似土地矿产卫片图斑413个，上报卫片执法审查图斑通过率100%（12月下发图斑除外）；按照要求开工建设预警闲置土地，处置闲置土地率88.23%。完成农村乱占耕地图斑整改，整改土地面积260.16亩，其中基本农田31.43亩。自建房安全隐患排查864处，发现问题108处，整改完成105处，均为地质灾害隐患整治，3处农房占用基本农田已移交农业农村局，处置整改完成率100%。</w:t>
      </w:r>
    </w:p>
    <w:p>
      <w:pPr>
        <w:keepNext w:val="0"/>
        <w:keepLines w:val="0"/>
        <w:pageBreakBefore w:val="0"/>
        <w:kinsoku/>
        <w:wordWrap/>
        <w:overflowPunct/>
        <w:autoSpaceDE/>
        <w:autoSpaceDN/>
        <w:bidi w:val="0"/>
        <w:spacing w:line="576" w:lineRule="exact"/>
        <w:ind w:firstLine="640" w:firstLineChars="200"/>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六是落实地质灾害防治措施，确保群众生命财产安全。排查隐患993处，投入专业技术力量2979人次，入汛以来新增隐患点7处，主动转移人数108户434人；开展地质灾害防治宣传培训和白天、夜间以及“三断”应急避险演练，发放宣传单28000余张，组织开展避险演练1140场，参与演练人数达27000余人；完成15处治理项目施工、13处项目前期勘察设计及13个乡镇、61户受威胁群众的避险搬迁。</w:t>
      </w:r>
    </w:p>
    <w:p>
      <w:pPr>
        <w:keepNext w:val="0"/>
        <w:keepLines w:val="0"/>
        <w:pageBreakBefore w:val="0"/>
        <w:kinsoku/>
        <w:wordWrap/>
        <w:overflowPunct/>
        <w:autoSpaceDE/>
        <w:autoSpaceDN/>
        <w:bidi w:val="0"/>
        <w:spacing w:line="576" w:lineRule="exact"/>
        <w:ind w:firstLine="640" w:firstLineChars="200"/>
        <w:textAlignment w:val="auto"/>
        <w:outlineLvl w:val="0"/>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七是规范矿产资源开发，有效加强矿政管理。成功出让王河镇柏树岭、武连镇马鞍梁两宗砖瓦用页岩矿，实现矿业权出让收益673万元；办理了剑州国投公司所属地热温泉延续登记，征收采矿权价款207万元，目前已全部缴存入库；已办理鑫晶矿业、金俊陶土矿两宗采矿权延续登记。完成全国自然资源（矿产资源类）节约集约示范县创建申报，已经通过了省级核查并成功入围推荐至部级审核；按照石英砂产业工作部署，完成了全县石英砂资源储量核查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八是夯实基础业务，进一步提升服务发展能力。派驻武连镇武五村和双坪村各1名驻村第一书记和2名工作队员，积极做好脱贫攻坚成果与乡村振兴衔接迎检工作，同时协助乡镇和村两委搞好2021-2025年发展规划；持续推进4321精准监督模式，印发了全面从严治党主体责任等三张清单。</w:t>
      </w:r>
    </w:p>
    <w:p>
      <w:pPr>
        <w:pStyle w:val="4"/>
        <w:rPr>
          <w:rStyle w:val="30"/>
          <w:b w:val="0"/>
          <w:bCs w:val="0"/>
          <w:color w:val="000000" w:themeColor="text1"/>
          <w14:textFill>
            <w14:solidFill>
              <w14:schemeClr w14:val="tx1"/>
            </w14:solidFill>
          </w14:textFill>
        </w:rPr>
      </w:pPr>
      <w:bookmarkStart w:id="14" w:name="_Toc15396601"/>
      <w:bookmarkStart w:id="15" w:name="_Toc15377200"/>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30"/>
          <w:rFonts w:hint="eastAsia" w:ascii="黑体" w:hAnsi="黑体" w:eastAsia="黑体"/>
          <w:b w:val="0"/>
          <w:bCs w:val="0"/>
          <w:color w:val="000000" w:themeColor="text1"/>
          <w14:textFill>
            <w14:solidFill>
              <w14:schemeClr w14:val="tx1"/>
            </w14:solidFill>
          </w14:textFill>
        </w:rPr>
        <w:t>构设置</w:t>
      </w:r>
      <w:bookmarkEnd w:id="14"/>
      <w:bookmarkEnd w:id="15"/>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县自然资源局部门</w:t>
      </w:r>
      <w:r>
        <w:rPr>
          <w:rFonts w:hint="eastAsia" w:ascii="仿宋" w:hAnsi="仿宋" w:eastAsia="仿宋"/>
          <w:color w:val="000000" w:themeColor="text1"/>
          <w:sz w:val="32"/>
          <w:szCs w:val="32"/>
          <w14:textFill>
            <w14:solidFill>
              <w14:schemeClr w14:val="tx1"/>
            </w14:solidFill>
          </w14:textFill>
        </w:rPr>
        <w:t>下属二级预算单位</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w:t>
      </w:r>
      <w:r>
        <w:rPr>
          <w:rFonts w:hint="eastAsia" w:ascii="仿宋" w:hAnsi="仿宋" w:eastAsia="仿宋"/>
          <w:color w:val="000000" w:themeColor="text1"/>
          <w:sz w:val="32"/>
          <w:szCs w:val="32"/>
          <w:lang w:eastAsia="zh-CN"/>
          <w14:textFill>
            <w14:solidFill>
              <w14:schemeClr w14:val="tx1"/>
            </w14:solidFill>
          </w14:textFill>
        </w:rPr>
        <w:t>均为全额拨款</w:t>
      </w:r>
      <w:r>
        <w:rPr>
          <w:rFonts w:hint="eastAsia" w:ascii="仿宋" w:hAnsi="仿宋" w:eastAsia="仿宋"/>
          <w:color w:val="000000" w:themeColor="text1"/>
          <w:sz w:val="32"/>
          <w:szCs w:val="32"/>
          <w14:textFill>
            <w14:solidFill>
              <w14:schemeClr w14:val="tx1"/>
            </w14:solidFill>
          </w14:textFill>
        </w:rPr>
        <w:t>事业单位。</w:t>
      </w:r>
    </w:p>
    <w:p>
      <w:pPr>
        <w:pStyle w:val="2"/>
        <w:adjustRightInd w:val="0"/>
        <w:snapToGrid w:val="0"/>
        <w:spacing w:before="93" w:line="600" w:lineRule="exact"/>
        <w:ind w:firstLine="672" w:firstLineChars="21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纳入</w:t>
      </w:r>
      <w:r>
        <w:rPr>
          <w:rFonts w:hint="eastAsia" w:ascii="仿宋" w:hAnsi="仿宋" w:eastAsia="仿宋"/>
          <w:color w:val="000000" w:themeColor="text1"/>
          <w:sz w:val="32"/>
          <w:szCs w:val="32"/>
          <w:lang w:eastAsia="zh-CN"/>
          <w14:textFill>
            <w14:solidFill>
              <w14:schemeClr w14:val="tx1"/>
            </w14:solidFill>
          </w14:textFill>
        </w:rPr>
        <w:t>县自然资源局</w:t>
      </w:r>
      <w:r>
        <w:rPr>
          <w:rFonts w:hint="eastAsia" w:ascii="仿宋" w:hAnsi="仿宋" w:eastAsia="仿宋"/>
          <w:color w:val="000000" w:themeColor="text1"/>
          <w:sz w:val="32"/>
          <w:szCs w:val="32"/>
          <w14:textFill>
            <w14:solidFill>
              <w14:schemeClr w14:val="tx1"/>
            </w14:solidFill>
          </w14:textFill>
        </w:rPr>
        <w:t>2022年度部门决算编制范围的二级预算单位包括：</w:t>
      </w:r>
    </w:p>
    <w:p>
      <w:pPr>
        <w:pStyle w:val="2"/>
        <w:numPr>
          <w:ilvl w:val="0"/>
          <w:numId w:val="0"/>
        </w:numPr>
        <w:adjustRightInd w:val="0"/>
        <w:snapToGrid w:val="0"/>
        <w:spacing w:before="93" w:line="600" w:lineRule="exact"/>
        <w:ind w:firstLine="640" w:firstLineChars="200"/>
        <w:outlineLvl w:val="2"/>
        <w:rPr>
          <w:rFonts w:ascii="仿宋" w:hAnsi="仿宋" w:eastAsia="仿宋"/>
          <w:color w:val="000000" w:themeColor="text1"/>
          <w:sz w:val="32"/>
          <w:szCs w:val="32"/>
          <w14:textFill>
            <w14:solidFill>
              <w14:schemeClr w14:val="tx1"/>
            </w14:solidFill>
          </w14:textFill>
        </w:rPr>
      </w:pPr>
      <w:bookmarkStart w:id="16" w:name="_Toc15377202"/>
      <w:bookmarkStart w:id="17" w:name="_Toc15377433"/>
      <w:bookmarkStart w:id="18" w:name="_Toc15306276"/>
      <w:bookmarkStart w:id="19" w:name="_Toc15378449"/>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剑阁县不动产登记管理中心</w:t>
      </w:r>
      <w:bookmarkEnd w:id="16"/>
      <w:bookmarkEnd w:id="17"/>
      <w:bookmarkEnd w:id="18"/>
      <w:bookmarkEnd w:id="19"/>
    </w:p>
    <w:p>
      <w:pPr>
        <w:pStyle w:val="2"/>
        <w:adjustRightInd w:val="0"/>
        <w:snapToGrid w:val="0"/>
        <w:spacing w:before="93" w:line="600" w:lineRule="exact"/>
        <w:ind w:firstLine="640" w:firstLineChars="200"/>
        <w:rPr>
          <w:rFonts w:ascii="仿宋" w:hAnsi="仿宋" w:eastAsia="仿宋"/>
          <w:color w:val="000000" w:themeColor="text1"/>
          <w:sz w:val="32"/>
          <w:szCs w:val="32"/>
          <w14:textFill>
            <w14:solidFill>
              <w14:schemeClr w14:val="tx1"/>
            </w14:solidFill>
          </w14:textFill>
        </w:rPr>
      </w:pPr>
      <w:bookmarkStart w:id="20" w:name="_Toc15377434"/>
      <w:bookmarkStart w:id="21" w:name="_Toc15378450"/>
      <w:bookmarkStart w:id="22" w:name="_Toc15306277"/>
      <w:bookmarkStart w:id="23" w:name="_Toc15377203"/>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剑阁县自然资源储备交易中心</w:t>
      </w:r>
      <w:bookmarkEnd w:id="20"/>
      <w:bookmarkEnd w:id="21"/>
      <w:bookmarkEnd w:id="22"/>
      <w:bookmarkEnd w:id="23"/>
    </w:p>
    <w:p>
      <w:pPr>
        <w:widowControl/>
        <w:jc w:val="left"/>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pPr>
        <w:pStyle w:val="3"/>
        <w:ind w:right="440"/>
        <w:jc w:val="center"/>
        <w:rPr>
          <w:color w:val="000000" w:themeColor="text1"/>
          <w14:textFill>
            <w14:solidFill>
              <w14:schemeClr w14:val="tx1"/>
            </w14:solidFill>
          </w14:textFill>
        </w:rPr>
      </w:pPr>
      <w:bookmarkStart w:id="24" w:name="_Toc15396602"/>
      <w:bookmarkStart w:id="25" w:name="_Toc15377204"/>
      <w:r>
        <w:rPr>
          <w:rFonts w:hint="eastAsia" w:ascii="黑体" w:hAnsi="黑体" w:eastAsia="黑体"/>
          <w:b w:val="0"/>
          <w:color w:val="000000" w:themeColor="text1"/>
          <w14:textFill>
            <w14:solidFill>
              <w14:schemeClr w14:val="tx1"/>
            </w14:solidFill>
          </w14:textFill>
        </w:rPr>
        <w:t>第二部分 2022年度</w:t>
      </w:r>
      <w:r>
        <w:rPr>
          <w:rStyle w:val="29"/>
          <w:rFonts w:hint="eastAsia" w:ascii="黑体" w:hAnsi="黑体" w:eastAsia="黑体"/>
          <w:b w:val="0"/>
          <w:bCs/>
          <w:color w:val="000000" w:themeColor="text1"/>
          <w14:textFill>
            <w14:solidFill>
              <w14:schemeClr w14:val="tx1"/>
            </w14:solidFill>
          </w14:textFill>
        </w:rPr>
        <w:t>部门决算情况说明</w:t>
      </w:r>
      <w:bookmarkEnd w:id="24"/>
      <w:bookmarkEnd w:id="25"/>
    </w:p>
    <w:p>
      <w:pPr>
        <w:pStyle w:val="28"/>
        <w:numPr>
          <w:ilvl w:val="0"/>
          <w:numId w:val="2"/>
        </w:numPr>
        <w:spacing w:line="600" w:lineRule="exact"/>
        <w:ind w:firstLineChars="0"/>
        <w:outlineLvl w:val="1"/>
        <w:rPr>
          <w:rStyle w:val="30"/>
          <w:rFonts w:ascii="黑体" w:hAnsi="黑体" w:eastAsia="黑体"/>
          <w:b w:val="0"/>
          <w:color w:val="000000" w:themeColor="text1"/>
          <w14:textFill>
            <w14:solidFill>
              <w14:schemeClr w14:val="tx1"/>
            </w14:solidFill>
          </w14:textFill>
        </w:rPr>
      </w:pPr>
      <w:bookmarkStart w:id="26" w:name="_Toc15377205"/>
      <w:bookmarkStart w:id="27" w:name="_Toc15396603"/>
      <w:r>
        <w:rPr>
          <w:rFonts w:hint="eastAsia" w:ascii="黑体" w:hAnsi="黑体" w:eastAsia="黑体"/>
          <w:color w:val="000000" w:themeColor="text1"/>
          <w:sz w:val="32"/>
          <w:szCs w:val="32"/>
          <w14:textFill>
            <w14:solidFill>
              <w14:schemeClr w14:val="tx1"/>
            </w14:solidFill>
          </w14:textFill>
        </w:rPr>
        <w:t>收</w:t>
      </w:r>
      <w:r>
        <w:rPr>
          <w:rStyle w:val="30"/>
          <w:rFonts w:hint="eastAsia" w:ascii="黑体" w:hAnsi="黑体" w:eastAsia="黑体"/>
          <w:b w:val="0"/>
          <w:color w:val="000000" w:themeColor="text1"/>
          <w14:textFill>
            <w14:solidFill>
              <w14:schemeClr w14:val="tx1"/>
            </w14:solidFill>
          </w14:textFill>
        </w:rPr>
        <w:t>入支出决算总体情况说明</w:t>
      </w:r>
      <w:bookmarkEnd w:id="26"/>
      <w:bookmarkEnd w:id="27"/>
    </w:p>
    <w:p>
      <w:pPr>
        <w:spacing w:line="600" w:lineRule="exact"/>
        <w:ind w:firstLine="640" w:firstLineChars="200"/>
      </w:pPr>
      <w:r>
        <w:rPr>
          <w:rFonts w:hint="eastAsia" w:ascii="仿宋" w:hAnsi="仿宋" w:eastAsia="仿宋"/>
          <w:color w:val="000000" w:themeColor="text1"/>
          <w:sz w:val="32"/>
          <w:szCs w:val="32"/>
          <w14:textFill>
            <w14:solidFill>
              <w14:schemeClr w14:val="tx1"/>
            </w14:solidFill>
          </w14:textFill>
        </w:rPr>
        <w:t>2022年度收、支总计</w:t>
      </w:r>
      <w:r>
        <w:rPr>
          <w:rFonts w:hint="eastAsia" w:ascii="仿宋" w:hAnsi="仿宋" w:eastAsia="仿宋"/>
          <w:color w:val="000000" w:themeColor="text1"/>
          <w:sz w:val="32"/>
          <w:szCs w:val="32"/>
          <w:lang w:val="en-US" w:eastAsia="zh-CN"/>
          <w14:textFill>
            <w14:solidFill>
              <w14:schemeClr w14:val="tx1"/>
            </w14:solidFill>
          </w14:textFill>
        </w:rPr>
        <w:t>32893.16</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（含上年结转指标）</w:t>
      </w:r>
      <w:r>
        <w:rPr>
          <w:rFonts w:hint="eastAsia" w:ascii="仿宋" w:hAnsi="仿宋" w:eastAsia="仿宋"/>
          <w:color w:val="000000" w:themeColor="text1"/>
          <w:sz w:val="32"/>
          <w:szCs w:val="32"/>
          <w14:textFill>
            <w14:solidFill>
              <w14:schemeClr w14:val="tx1"/>
            </w14:solidFill>
          </w14:textFill>
        </w:rPr>
        <w:t>。与2021年相比，收、支总计各减少</w:t>
      </w:r>
      <w:r>
        <w:rPr>
          <w:rFonts w:hint="eastAsia" w:ascii="仿宋" w:hAnsi="仿宋" w:eastAsia="仿宋"/>
          <w:color w:val="000000" w:themeColor="text1"/>
          <w:sz w:val="32"/>
          <w:szCs w:val="32"/>
          <w:lang w:val="en-US" w:eastAsia="zh-CN"/>
          <w14:textFill>
            <w14:solidFill>
              <w14:schemeClr w14:val="tx1"/>
            </w14:solidFill>
          </w14:textFill>
        </w:rPr>
        <w:t>12361.76</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27.32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。主要变动原因是</w:t>
      </w:r>
      <w:r>
        <w:rPr>
          <w:rFonts w:hint="eastAsia" w:ascii="仿宋" w:hAnsi="仿宋" w:eastAsia="仿宋"/>
          <w:color w:val="000000" w:themeColor="text1"/>
          <w:sz w:val="32"/>
          <w:szCs w:val="32"/>
          <w:lang w:val="en-US" w:eastAsia="zh-CN"/>
          <w14:textFill>
            <w14:solidFill>
              <w14:schemeClr w14:val="tx1"/>
            </w14:solidFill>
          </w14:textFill>
        </w:rPr>
        <w:t>2022年财政下达项目资金减少，项目支出安排减少</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剔除变动情况，2022年收支总体平衡。</w:t>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rPr>
          <w:rFonts w:hint="default" w:ascii="仿宋" w:hAnsi="仿宋" w:eastAsia="仿宋"/>
          <w:color w:val="FF0000"/>
          <w:sz w:val="32"/>
          <w:szCs w:val="32"/>
          <w:lang w:val="en-US"/>
        </w:rPr>
      </w:pPr>
      <w:r>
        <w:drawing>
          <wp:anchor distT="0" distB="0" distL="114300" distR="114300" simplePos="0" relativeHeight="251660288"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8"/>
        <w:numPr>
          <w:ilvl w:val="0"/>
          <w:numId w:val="2"/>
        </w:numPr>
        <w:spacing w:line="600" w:lineRule="exact"/>
        <w:ind w:firstLineChars="0"/>
        <w:outlineLvl w:val="1"/>
        <w:rPr>
          <w:rStyle w:val="30"/>
          <w:rFonts w:ascii="黑体" w:hAnsi="黑体" w:eastAsia="黑体"/>
          <w:b w:val="0"/>
          <w:color w:val="000000" w:themeColor="text1"/>
          <w14:textFill>
            <w14:solidFill>
              <w14:schemeClr w14:val="tx1"/>
            </w14:solidFill>
          </w14:textFill>
        </w:rPr>
      </w:pPr>
      <w:bookmarkStart w:id="28" w:name="_Toc15396604"/>
      <w:bookmarkStart w:id="29" w:name="_Toc15377206"/>
      <w:r>
        <w:rPr>
          <w:rFonts w:hint="eastAsia" w:ascii="黑体" w:hAnsi="黑体" w:eastAsia="黑体"/>
          <w:color w:val="000000" w:themeColor="text1"/>
          <w:sz w:val="32"/>
          <w:szCs w:val="32"/>
          <w14:textFill>
            <w14:solidFill>
              <w14:schemeClr w14:val="tx1"/>
            </w14:solidFill>
          </w14:textFill>
        </w:rPr>
        <w:t>收</w:t>
      </w:r>
      <w:r>
        <w:rPr>
          <w:rStyle w:val="30"/>
          <w:rFonts w:hint="eastAsia" w:ascii="黑体" w:hAnsi="黑体" w:eastAsia="黑体"/>
          <w:b w:val="0"/>
          <w:color w:val="000000" w:themeColor="text1"/>
          <w14:textFill>
            <w14:solidFill>
              <w14:schemeClr w14:val="tx1"/>
            </w14:solidFill>
          </w14:textFill>
        </w:rPr>
        <w:t>入决算情况说明</w:t>
      </w:r>
      <w:bookmarkEnd w:id="28"/>
      <w:bookmarkEnd w:id="29"/>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22年本年收入合计</w:t>
      </w:r>
      <w:r>
        <w:rPr>
          <w:rFonts w:hint="eastAsia" w:ascii="仿宋" w:hAnsi="仿宋" w:eastAsia="仿宋"/>
          <w:color w:val="000000" w:themeColor="text1"/>
          <w:sz w:val="32"/>
          <w:szCs w:val="32"/>
          <w:lang w:val="en-US" w:eastAsia="zh-CN"/>
          <w14:textFill>
            <w14:solidFill>
              <w14:schemeClr w14:val="tx1"/>
            </w14:solidFill>
          </w14:textFill>
        </w:rPr>
        <w:t>32893.16万元（含上年结转13877.15万元）</w:t>
      </w:r>
      <w:r>
        <w:rPr>
          <w:rFonts w:hint="eastAsia" w:ascii="仿宋" w:hAnsi="仿宋" w:eastAsia="仿宋"/>
          <w:color w:val="000000" w:themeColor="text1"/>
          <w:sz w:val="32"/>
          <w:szCs w:val="32"/>
          <w14:textFill>
            <w14:solidFill>
              <w14:schemeClr w14:val="tx1"/>
            </w14:solidFill>
          </w14:textFill>
        </w:rPr>
        <w:t>，其中：一般公共预算财政拨款收入</w:t>
      </w:r>
      <w:r>
        <w:rPr>
          <w:rFonts w:hint="eastAsia" w:ascii="仿宋" w:hAnsi="仿宋" w:eastAsia="仿宋"/>
          <w:color w:val="000000" w:themeColor="text1"/>
          <w:sz w:val="32"/>
          <w:szCs w:val="32"/>
          <w:lang w:val="en-US" w:eastAsia="zh-CN"/>
          <w14:textFill>
            <w14:solidFill>
              <w14:schemeClr w14:val="tx1"/>
            </w14:solidFill>
          </w14:textFill>
        </w:rPr>
        <w:t>3631.83万元</w:t>
      </w:r>
      <w:r>
        <w:rPr>
          <w:rFonts w:hint="eastAsia" w:ascii="仿宋" w:hAnsi="仿宋" w:eastAsia="仿宋"/>
          <w:color w:val="000000" w:themeColor="text1"/>
          <w:sz w:val="32"/>
          <w:szCs w:val="32"/>
          <w:lang w:eastAsia="zh-CN"/>
          <w14:textFill>
            <w14:solidFill>
              <w14:schemeClr w14:val="tx1"/>
            </w14:solidFill>
          </w14:textFill>
        </w:rPr>
        <w:t>（含上年结转</w:t>
      </w:r>
      <w:r>
        <w:rPr>
          <w:rFonts w:hint="eastAsia" w:ascii="仿宋" w:hAnsi="仿宋" w:eastAsia="仿宋"/>
          <w:color w:val="000000" w:themeColor="text1"/>
          <w:sz w:val="32"/>
          <w:szCs w:val="32"/>
          <w:lang w:val="en-US" w:eastAsia="zh-CN"/>
          <w14:textFill>
            <w14:solidFill>
              <w14:schemeClr w14:val="tx1"/>
            </w14:solidFill>
          </w14:textFill>
        </w:rPr>
        <w:t>482.19万元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11.04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；政府性基金预算财政拨款收入</w:t>
      </w:r>
      <w:r>
        <w:rPr>
          <w:rFonts w:hint="eastAsia" w:ascii="仿宋" w:hAnsi="仿宋" w:eastAsia="仿宋"/>
          <w:color w:val="000000" w:themeColor="text1"/>
          <w:sz w:val="32"/>
          <w:szCs w:val="32"/>
          <w:lang w:val="en-US" w:eastAsia="zh-CN"/>
          <w14:textFill>
            <w14:solidFill>
              <w14:schemeClr w14:val="tx1"/>
            </w14:solidFill>
          </w14:textFill>
        </w:rPr>
        <w:t>29261.33</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（含上年结转</w:t>
      </w:r>
      <w:r>
        <w:rPr>
          <w:rFonts w:hint="eastAsia" w:ascii="仿宋" w:hAnsi="仿宋" w:eastAsia="仿宋"/>
          <w:color w:val="000000" w:themeColor="text1"/>
          <w:sz w:val="32"/>
          <w:szCs w:val="32"/>
          <w:lang w:val="en-US" w:eastAsia="zh-CN"/>
          <w14:textFill>
            <w14:solidFill>
              <w14:schemeClr w14:val="tx1"/>
            </w14:solidFill>
          </w14:textFill>
        </w:rPr>
        <w:t>13394.96万元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88.96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rPr>
          <w:rFonts w:hint="eastAsia" w:ascii="仿宋" w:hAnsi="仿宋" w:eastAsia="仿宋"/>
          <w:color w:val="FF0000"/>
          <w:sz w:val="32"/>
          <w:szCs w:val="32"/>
        </w:rPr>
      </w:pPr>
    </w:p>
    <w:p>
      <w:pPr>
        <w:pStyle w:val="20"/>
        <w:rPr>
          <w:rFonts w:hint="eastAsia"/>
          <w:color w:val="FF0000"/>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 xml:space="preserve"> </w:t>
      </w: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hint="default" w:ascii="仿宋_GB2312" w:eastAsia="仿宋_GB2312"/>
          <w:color w:val="FF0000"/>
          <w:sz w:val="32"/>
          <w:szCs w:val="32"/>
          <w:lang w:val="en-US"/>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_GB2312" w:eastAsia="仿宋_GB2312"/>
          <w:color w:val="FF0000"/>
          <w:sz w:val="32"/>
          <w:szCs w:val="32"/>
          <w:lang w:val="en-US" w:eastAsia="zh-CN"/>
        </w:rPr>
        <w:t xml:space="preserve">  </w:t>
      </w:r>
    </w:p>
    <w:p>
      <w:pPr>
        <w:pStyle w:val="28"/>
        <w:numPr>
          <w:ilvl w:val="0"/>
          <w:numId w:val="2"/>
        </w:numPr>
        <w:spacing w:line="600" w:lineRule="exact"/>
        <w:ind w:firstLineChars="0"/>
        <w:outlineLvl w:val="1"/>
        <w:rPr>
          <w:rStyle w:val="30"/>
          <w:rFonts w:ascii="黑体" w:hAnsi="黑体" w:eastAsia="黑体"/>
          <w:b w:val="0"/>
          <w:color w:val="000000" w:themeColor="text1"/>
          <w14:textFill>
            <w14:solidFill>
              <w14:schemeClr w14:val="tx1"/>
            </w14:solidFill>
          </w14:textFill>
        </w:rPr>
      </w:pPr>
      <w:bookmarkStart w:id="30" w:name="_Toc15396605"/>
      <w:bookmarkStart w:id="31" w:name="_Toc15377207"/>
      <w:r>
        <w:rPr>
          <w:rFonts w:hint="eastAsia" w:ascii="黑体" w:hAnsi="黑体" w:eastAsia="黑体"/>
          <w:color w:val="000000" w:themeColor="text1"/>
          <w:sz w:val="32"/>
          <w:szCs w:val="32"/>
          <w14:textFill>
            <w14:solidFill>
              <w14:schemeClr w14:val="tx1"/>
            </w14:solidFill>
          </w14:textFill>
        </w:rPr>
        <w:t>支</w:t>
      </w:r>
      <w:r>
        <w:rPr>
          <w:rStyle w:val="30"/>
          <w:rFonts w:hint="eastAsia" w:ascii="黑体" w:hAnsi="黑体" w:eastAsia="黑体"/>
          <w:b w:val="0"/>
          <w:color w:val="000000" w:themeColor="text1"/>
          <w14:textFill>
            <w14:solidFill>
              <w14:schemeClr w14:val="tx1"/>
            </w14:solidFill>
          </w14:textFill>
        </w:rPr>
        <w:t>出决算情况说明</w:t>
      </w:r>
      <w:bookmarkEnd w:id="30"/>
      <w:bookmarkEnd w:id="31"/>
    </w:p>
    <w:p>
      <w:pPr>
        <w:spacing w:line="600" w:lineRule="exact"/>
        <w:ind w:firstLine="640" w:firstLineChars="200"/>
        <w:outlineLvl w:val="1"/>
        <w:rPr>
          <w:rFonts w:hint="eastAsia"/>
          <w:color w:val="FF0000"/>
          <w:lang w:val="en-US" w:eastAsia="zh-CN"/>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22年本年支出合计</w:t>
      </w:r>
      <w:r>
        <w:rPr>
          <w:rFonts w:hint="eastAsia" w:ascii="仿宋" w:hAnsi="仿宋" w:eastAsia="仿宋"/>
          <w:color w:val="000000" w:themeColor="text1"/>
          <w:sz w:val="32"/>
          <w:szCs w:val="32"/>
          <w:lang w:val="en-US" w:eastAsia="zh-CN"/>
          <w14:textFill>
            <w14:solidFill>
              <w14:schemeClr w14:val="tx1"/>
            </w14:solidFill>
          </w14:textFill>
        </w:rPr>
        <w:t>32893.16</w:t>
      </w:r>
      <w:r>
        <w:rPr>
          <w:rFonts w:hint="eastAsia" w:ascii="仿宋" w:hAnsi="仿宋" w:eastAsia="仿宋"/>
          <w:color w:val="000000" w:themeColor="text1"/>
          <w:sz w:val="32"/>
          <w:szCs w:val="32"/>
          <w14:textFill>
            <w14:solidFill>
              <w14:schemeClr w14:val="tx1"/>
            </w14:solidFill>
          </w14:textFill>
        </w:rPr>
        <w:t>万元，其中：基本支出</w:t>
      </w:r>
      <w:r>
        <w:rPr>
          <w:rFonts w:hint="eastAsia" w:ascii="仿宋" w:hAnsi="仿宋" w:eastAsia="仿宋"/>
          <w:color w:val="000000" w:themeColor="text1"/>
          <w:sz w:val="32"/>
          <w:szCs w:val="32"/>
          <w:lang w:val="en-US" w:eastAsia="zh-CN"/>
          <w14:textFill>
            <w14:solidFill>
              <w14:schemeClr w14:val="tx1"/>
            </w14:solidFill>
          </w14:textFill>
        </w:rPr>
        <w:t>1698.46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5.16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；项目支出</w:t>
      </w:r>
      <w:r>
        <w:rPr>
          <w:rFonts w:hint="eastAsia" w:ascii="仿宋" w:hAnsi="仿宋" w:eastAsia="仿宋"/>
          <w:color w:val="000000" w:themeColor="text1"/>
          <w:sz w:val="32"/>
          <w:szCs w:val="32"/>
          <w:lang w:val="en-US" w:eastAsia="zh-CN"/>
          <w14:textFill>
            <w14:solidFill>
              <w14:schemeClr w14:val="tx1"/>
            </w14:solidFill>
          </w14:textFill>
        </w:rPr>
        <w:t>31194.70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94.84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20"/>
        <w:jc w:val="center"/>
        <w:rPr>
          <w:rFonts w:ascii="仿宋_GB2312" w:eastAsia="仿宋_GB2312"/>
          <w:color w:val="FF0000"/>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firstLineChars="200"/>
        <w:outlineLvl w:val="1"/>
        <w:rPr>
          <w:rStyle w:val="30"/>
          <w:rFonts w:ascii="黑体" w:hAnsi="黑体" w:eastAsia="黑体"/>
          <w:b w:val="0"/>
          <w:color w:val="FF0000"/>
        </w:rPr>
      </w:pPr>
      <w:bookmarkStart w:id="32" w:name="_Toc15396606"/>
      <w:bookmarkStart w:id="33" w:name="_Toc15377208"/>
      <w:r>
        <w:rPr>
          <w:rFonts w:hint="eastAsia" w:ascii="黑体" w:hAnsi="黑体" w:eastAsia="黑体"/>
          <w:color w:val="000000" w:themeColor="text1"/>
          <w:sz w:val="32"/>
          <w:szCs w:val="32"/>
          <w14:textFill>
            <w14:solidFill>
              <w14:schemeClr w14:val="tx1"/>
            </w14:solidFill>
          </w14:textFill>
        </w:rPr>
        <w:t>四、财</w:t>
      </w:r>
      <w:r>
        <w:rPr>
          <w:rStyle w:val="30"/>
          <w:rFonts w:hint="eastAsia" w:ascii="黑体" w:hAnsi="黑体" w:eastAsia="黑体"/>
          <w:b w:val="0"/>
          <w:color w:val="000000" w:themeColor="text1"/>
          <w14:textFill>
            <w14:solidFill>
              <w14:schemeClr w14:val="tx1"/>
            </w14:solidFill>
          </w14:textFill>
        </w:rPr>
        <w:t>政拨款收入支出决算总体情况说明</w:t>
      </w:r>
      <w:bookmarkEnd w:id="32"/>
      <w:bookmarkEnd w:id="33"/>
    </w:p>
    <w:p>
      <w:pPr>
        <w:spacing w:line="600" w:lineRule="exact"/>
        <w:ind w:firstLine="640"/>
        <w:rPr>
          <w:rFonts w:hint="eastAsia"/>
          <w:color w:val="FF0000"/>
          <w:lang w:val="en-US" w:eastAsia="zh-CN"/>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22年财政拨款收、支总计</w:t>
      </w:r>
      <w:r>
        <w:rPr>
          <w:rFonts w:hint="eastAsia" w:ascii="仿宋" w:hAnsi="仿宋" w:eastAsia="仿宋"/>
          <w:color w:val="000000" w:themeColor="text1"/>
          <w:sz w:val="32"/>
          <w:szCs w:val="32"/>
          <w:lang w:val="en-US" w:eastAsia="zh-CN"/>
          <w14:textFill>
            <w14:solidFill>
              <w14:schemeClr w14:val="tx1"/>
            </w14:solidFill>
          </w14:textFill>
        </w:rPr>
        <w:t>32893.16</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（含上年结转指标）</w:t>
      </w:r>
      <w:r>
        <w:rPr>
          <w:rFonts w:hint="eastAsia" w:ascii="仿宋" w:hAnsi="仿宋" w:eastAsia="仿宋"/>
          <w:color w:val="000000" w:themeColor="text1"/>
          <w:sz w:val="32"/>
          <w:szCs w:val="32"/>
          <w14:textFill>
            <w14:solidFill>
              <w14:schemeClr w14:val="tx1"/>
            </w14:solidFill>
          </w14:textFill>
        </w:rPr>
        <w:t>。与</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21年相比，财政拨款收、支总计各减少</w:t>
      </w:r>
      <w:r>
        <w:rPr>
          <w:rFonts w:hint="eastAsia" w:ascii="仿宋" w:hAnsi="仿宋" w:eastAsia="仿宋"/>
          <w:color w:val="000000" w:themeColor="text1"/>
          <w:sz w:val="32"/>
          <w:szCs w:val="32"/>
          <w:lang w:val="en-US" w:eastAsia="zh-CN"/>
          <w14:textFill>
            <w14:solidFill>
              <w14:schemeClr w14:val="tx1"/>
            </w14:solidFill>
          </w14:textFill>
        </w:rPr>
        <w:t>12361.76</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27.32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2022年财政下达项目资金减少，项目支出安排减少。</w:t>
      </w:r>
      <w:r>
        <w:rPr>
          <w:rFonts w:hint="eastAsia" w:ascii="仿宋" w:hAnsi="仿宋" w:eastAsia="仿宋"/>
          <w:color w:val="000000" w:themeColor="text1"/>
          <w:sz w:val="32"/>
          <w:szCs w:val="32"/>
          <w:lang w:val="en-US" w:eastAsia="zh-CN"/>
          <w14:textFill>
            <w14:solidFill>
              <w14:schemeClr w14:val="tx1"/>
            </w14:solidFill>
          </w14:textFill>
        </w:rPr>
        <w:t>剔除变动情况，2022年收支总体平衡。</w:t>
      </w:r>
    </w:p>
    <w:p>
      <w:pPr>
        <w:pStyle w:val="20"/>
        <w:jc w:val="center"/>
        <w:rPr>
          <w:rFonts w:ascii="仿宋" w:hAnsi="仿宋" w:eastAsia="仿宋"/>
          <w:b/>
          <w:color w:val="FF0000"/>
          <w:sz w:val="32"/>
          <w:szCs w:val="32"/>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600" w:lineRule="exact"/>
        <w:ind w:firstLine="640" w:firstLineChars="200"/>
        <w:outlineLvl w:val="1"/>
        <w:rPr>
          <w:rStyle w:val="30"/>
          <w:rFonts w:ascii="黑体" w:hAnsi="黑体" w:eastAsia="黑体"/>
          <w:b w:val="0"/>
          <w:color w:val="000000" w:themeColor="text1"/>
          <w14:textFill>
            <w14:solidFill>
              <w14:schemeClr w14:val="tx1"/>
            </w14:solidFill>
          </w14:textFill>
        </w:rPr>
      </w:pPr>
      <w:bookmarkStart w:id="34" w:name="_Toc15396607"/>
      <w:bookmarkStart w:id="35" w:name="_Toc15377209"/>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30"/>
          <w:rFonts w:hint="eastAsia" w:ascii="黑体" w:hAnsi="黑体" w:eastAsia="黑体"/>
          <w:b w:val="0"/>
          <w:color w:val="000000" w:themeColor="text1"/>
          <w14:textFill>
            <w14:solidFill>
              <w14:schemeClr w14:val="tx1"/>
            </w14:solidFill>
          </w14:textFill>
        </w:rPr>
        <w:t>般公共预算财政拨款支出决算情况说明</w:t>
      </w:r>
      <w:bookmarkEnd w:id="34"/>
      <w:bookmarkEnd w:id="35"/>
    </w:p>
    <w:p>
      <w:pPr>
        <w:spacing w:line="600" w:lineRule="exact"/>
        <w:ind w:firstLine="642" w:firstLineChars="200"/>
        <w:outlineLvl w:val="2"/>
        <w:rPr>
          <w:rFonts w:ascii="仿宋" w:hAnsi="仿宋" w:eastAsia="仿宋"/>
          <w:b/>
          <w:color w:val="000000" w:themeColor="text1"/>
          <w:sz w:val="32"/>
          <w:szCs w:val="32"/>
          <w14:textFill>
            <w14:solidFill>
              <w14:schemeClr w14:val="tx1"/>
            </w14:solidFill>
          </w14:textFill>
        </w:rPr>
      </w:pPr>
      <w:bookmarkStart w:id="36" w:name="_Toc15377210"/>
      <w:r>
        <w:rPr>
          <w:rFonts w:hint="eastAsia" w:ascii="仿宋" w:hAnsi="仿宋" w:eastAsia="仿宋"/>
          <w:b/>
          <w:color w:val="000000" w:themeColor="text1"/>
          <w:sz w:val="32"/>
          <w:szCs w:val="32"/>
          <w14:textFill>
            <w14:solidFill>
              <w14:schemeClr w14:val="tx1"/>
            </w14:solidFill>
          </w14:textFill>
        </w:rPr>
        <w:t>（一）一般公共预算财政拨款支出决算总体情况</w:t>
      </w:r>
      <w:bookmarkEnd w:id="36"/>
    </w:p>
    <w:p>
      <w:pPr>
        <w:spacing w:line="600" w:lineRule="exact"/>
        <w:ind w:firstLine="420" w:firstLineChars="200"/>
        <w:rPr>
          <w:rFonts w:hint="eastAsia" w:ascii="仿宋" w:hAnsi="仿宋" w:eastAsia="仿宋"/>
          <w:color w:val="000000" w:themeColor="text1"/>
          <w:sz w:val="32"/>
          <w:szCs w:val="32"/>
          <w:lang w:val="en-US" w:eastAsia="zh-CN"/>
          <w14:textFill>
            <w14:solidFill>
              <w14:schemeClr w14:val="tx1"/>
            </w14:solidFill>
          </w14:textFill>
        </w:rPr>
      </w:pPr>
      <w:r>
        <w:drawing>
          <wp:anchor distT="0" distB="0" distL="114300" distR="114300" simplePos="0" relativeHeight="251661312" behindDoc="1" locked="0" layoutInCell="1" allowOverlap="1">
            <wp:simplePos x="0" y="0"/>
            <wp:positionH relativeFrom="column">
              <wp:posOffset>103505</wp:posOffset>
            </wp:positionH>
            <wp:positionV relativeFrom="paragraph">
              <wp:posOffset>2038350</wp:posOffset>
            </wp:positionV>
            <wp:extent cx="4618355" cy="2313940"/>
            <wp:effectExtent l="4445" t="5080" r="44450" b="43180"/>
            <wp:wrapTight wrapText="bothSides">
              <wp:wrapPolygon>
                <wp:start x="-21" y="-47"/>
                <wp:lineTo x="-21" y="21470"/>
                <wp:lineTo x="21541" y="21470"/>
                <wp:lineTo x="21541" y="-47"/>
                <wp:lineTo x="-21" y="-47"/>
              </wp:wrapPolygon>
            </wp:wrapTight>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22年一般公共预算财政拨款支出</w:t>
      </w:r>
      <w:r>
        <w:rPr>
          <w:rFonts w:hint="eastAsia" w:ascii="仿宋" w:hAnsi="仿宋" w:eastAsia="仿宋"/>
          <w:color w:val="000000" w:themeColor="text1"/>
          <w:sz w:val="32"/>
          <w:szCs w:val="32"/>
          <w:lang w:val="en-US" w:eastAsia="zh-CN"/>
          <w14:textFill>
            <w14:solidFill>
              <w14:schemeClr w14:val="tx1"/>
            </w14:solidFill>
          </w14:textFill>
        </w:rPr>
        <w:t>3631.83</w:t>
      </w:r>
      <w:r>
        <w:rPr>
          <w:rFonts w:hint="eastAsia" w:ascii="仿宋" w:hAnsi="仿宋" w:eastAsia="仿宋"/>
          <w:color w:val="000000" w:themeColor="text1"/>
          <w:sz w:val="32"/>
          <w:szCs w:val="32"/>
          <w14:textFill>
            <w14:solidFill>
              <w14:schemeClr w14:val="tx1"/>
            </w14:solidFill>
          </w14:textFill>
        </w:rPr>
        <w:t>万元，占本年支出合计的</w:t>
      </w:r>
      <w:r>
        <w:rPr>
          <w:rFonts w:hint="eastAsia" w:ascii="仿宋" w:hAnsi="仿宋" w:eastAsia="仿宋"/>
          <w:color w:val="000000" w:themeColor="text1"/>
          <w:sz w:val="32"/>
          <w:szCs w:val="32"/>
          <w:lang w:val="en-US" w:eastAsia="zh-CN"/>
          <w14:textFill>
            <w14:solidFill>
              <w14:schemeClr w14:val="tx1"/>
            </w14:solidFill>
          </w14:textFill>
        </w:rPr>
        <w:t>11.04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。与</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21年相比，一般公共预算财政拨款支出减少</w:t>
      </w:r>
      <w:r>
        <w:rPr>
          <w:rFonts w:hint="eastAsia" w:ascii="仿宋" w:hAnsi="仿宋" w:eastAsia="仿宋"/>
          <w:color w:val="000000" w:themeColor="text1"/>
          <w:sz w:val="32"/>
          <w:szCs w:val="32"/>
          <w:lang w:val="en-US" w:eastAsia="zh-CN"/>
          <w14:textFill>
            <w14:solidFill>
              <w14:schemeClr w14:val="tx1"/>
            </w14:solidFill>
          </w14:textFill>
        </w:rPr>
        <w:t>1218.84</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25.13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主要变动原因是2022年土整项目和地灾项目支出减少。</w:t>
      </w:r>
      <w:r>
        <w:rPr>
          <w:rFonts w:hint="eastAsia" w:ascii="仿宋" w:hAnsi="仿宋" w:eastAsia="仿宋"/>
          <w:color w:val="000000" w:themeColor="text1"/>
          <w:sz w:val="32"/>
          <w:szCs w:val="32"/>
          <w:lang w:val="en-US" w:eastAsia="zh-CN"/>
          <w14:textFill>
            <w14:solidFill>
              <w14:schemeClr w14:val="tx1"/>
            </w14:solidFill>
          </w14:textFill>
        </w:rPr>
        <w:t>剔除变动情况，2022年收支总体平衡。</w:t>
      </w:r>
    </w:p>
    <w:p>
      <w:pPr>
        <w:pStyle w:val="20"/>
        <w:rPr>
          <w:rFonts w:hint="eastAsia"/>
          <w:lang w:val="en-US" w:eastAsia="zh-CN"/>
        </w:rPr>
      </w:pPr>
    </w:p>
    <w:p>
      <w:pPr>
        <w:pStyle w:val="20"/>
      </w:pPr>
    </w:p>
    <w:p>
      <w:pPr>
        <w:spacing w:line="600" w:lineRule="exact"/>
        <w:ind w:firstLine="640" w:firstLineChars="200"/>
        <w:rPr>
          <w:rFonts w:ascii="仿宋" w:hAnsi="仿宋" w:eastAsia="仿宋"/>
          <w:color w:val="FF0000"/>
          <w:sz w:val="32"/>
          <w:szCs w:val="32"/>
        </w:rPr>
      </w:pPr>
    </w:p>
    <w:p/>
    <w:p>
      <w:pPr>
        <w:spacing w:line="600" w:lineRule="exact"/>
        <w:ind w:firstLine="642" w:firstLineChars="200"/>
        <w:outlineLvl w:val="2"/>
        <w:rPr>
          <w:rFonts w:ascii="仿宋" w:hAnsi="仿宋" w:eastAsia="仿宋"/>
          <w:b/>
          <w:color w:val="000000" w:themeColor="text1"/>
          <w:sz w:val="32"/>
          <w:szCs w:val="32"/>
          <w14:textFill>
            <w14:solidFill>
              <w14:schemeClr w14:val="tx1"/>
            </w14:solidFill>
          </w14:textFill>
        </w:rPr>
      </w:pPr>
      <w:bookmarkStart w:id="37" w:name="_Toc15377211"/>
      <w:r>
        <w:rPr>
          <w:rFonts w:hint="eastAsia" w:ascii="仿宋" w:hAnsi="仿宋" w:eastAsia="仿宋"/>
          <w:b/>
          <w:color w:val="000000" w:themeColor="text1"/>
          <w:sz w:val="32"/>
          <w:szCs w:val="32"/>
          <w14:textFill>
            <w14:solidFill>
              <w14:schemeClr w14:val="tx1"/>
            </w14:solidFill>
          </w14:textFill>
        </w:rPr>
        <w:t>（二）一般公共预算财政拨款支出决算结构情况</w:t>
      </w:r>
      <w:bookmarkEnd w:id="37"/>
    </w:p>
    <w:p>
      <w:pPr>
        <w:spacing w:line="600" w:lineRule="exact"/>
        <w:ind w:firstLine="640"/>
        <w:rPr>
          <w:rFonts w:ascii="仿宋" w:hAnsi="仿宋" w:eastAsia="仿宋"/>
          <w:color w:val="FF0000"/>
          <w:sz w:val="32"/>
          <w:szCs w:val="32"/>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22年一般公共预算财政拨款支出</w:t>
      </w:r>
      <w:r>
        <w:rPr>
          <w:rFonts w:hint="eastAsia" w:ascii="仿宋" w:hAnsi="仿宋" w:eastAsia="仿宋"/>
          <w:color w:val="000000" w:themeColor="text1"/>
          <w:sz w:val="32"/>
          <w:szCs w:val="32"/>
          <w:lang w:val="en-US" w:eastAsia="zh-CN"/>
          <w14:textFill>
            <w14:solidFill>
              <w14:schemeClr w14:val="tx1"/>
            </w14:solidFill>
          </w14:textFill>
        </w:rPr>
        <w:t>3631.83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社会保障和就业支出135.08万元，占3.72%； 卫生健康支出66.64万元，占1.83%；自然资源海洋气象等支出1696.37万元，占46.71%；住房保障支出99.96万元，占2.75%；灾害防治及应急管理支出1633.78万元，占44.99%。</w:t>
      </w:r>
    </w:p>
    <w:p>
      <w:pPr>
        <w:pStyle w:val="20"/>
        <w:rPr>
          <w:rFonts w:ascii="仿宋" w:hAnsi="仿宋" w:eastAsia="仿宋"/>
          <w:color w:val="FF0000"/>
          <w:sz w:val="32"/>
          <w:szCs w:val="32"/>
        </w:rPr>
      </w:pPr>
      <w:r>
        <w:rPr>
          <w:rFonts w:hint="eastAsia"/>
          <w:color w:val="FF0000"/>
          <w:lang w:val="en-US" w:eastAsia="zh-CN"/>
        </w:rPr>
        <w:t xml:space="preserve">        </w:t>
      </w: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600" w:lineRule="exact"/>
        <w:ind w:firstLine="642" w:firstLineChars="200"/>
        <w:outlineLvl w:val="2"/>
        <w:rPr>
          <w:rFonts w:ascii="仿宋" w:hAnsi="仿宋" w:eastAsia="仿宋"/>
          <w:b/>
          <w:color w:val="000000" w:themeColor="text1"/>
          <w:sz w:val="32"/>
          <w:szCs w:val="32"/>
          <w14:textFill>
            <w14:solidFill>
              <w14:schemeClr w14:val="tx1"/>
            </w14:solidFill>
          </w14:textFill>
        </w:rPr>
      </w:pPr>
      <w:bookmarkStart w:id="38" w:name="_Toc15377212"/>
      <w:r>
        <w:rPr>
          <w:rFonts w:hint="eastAsia" w:ascii="仿宋" w:hAnsi="仿宋" w:eastAsia="仿宋"/>
          <w:b/>
          <w:color w:val="000000" w:themeColor="text1"/>
          <w:sz w:val="32"/>
          <w:szCs w:val="32"/>
          <w14:textFill>
            <w14:solidFill>
              <w14:schemeClr w14:val="tx1"/>
            </w14:solidFill>
          </w14:textFill>
        </w:rPr>
        <w:t>（三）一般公共预算财政拨款支出决算具体情况</w:t>
      </w:r>
      <w:bookmarkEnd w:id="38"/>
    </w:p>
    <w:p>
      <w:pPr>
        <w:spacing w:line="600" w:lineRule="exact"/>
        <w:ind w:firstLine="640" w:firstLineChars="200"/>
        <w:outlineLvl w:val="2"/>
        <w:rPr>
          <w:rFonts w:ascii="仿宋" w:hAnsi="仿宋" w:eastAsia="仿宋"/>
          <w:b w:val="0"/>
          <w:bCs/>
          <w:color w:val="000000" w:themeColor="text1"/>
          <w:sz w:val="32"/>
          <w:szCs w:val="32"/>
          <w14:textFill>
            <w14:solidFill>
              <w14:schemeClr w14:val="tx1"/>
            </w14:solidFill>
          </w14:textFill>
        </w:rPr>
      </w:pPr>
      <w:bookmarkStart w:id="39" w:name="_Toc15378460"/>
      <w:bookmarkStart w:id="40" w:name="_Toc15377444"/>
      <w:bookmarkStart w:id="41" w:name="_Toc15377213"/>
      <w:r>
        <w:rPr>
          <w:rFonts w:hint="eastAsia" w:ascii="仿宋" w:hAnsi="仿宋" w:eastAsia="仿宋"/>
          <w:b w:val="0"/>
          <w:bCs/>
          <w:color w:val="000000" w:themeColor="text1"/>
          <w:sz w:val="32"/>
          <w:szCs w:val="32"/>
          <w14:textFill>
            <w14:solidFill>
              <w14:schemeClr w14:val="tx1"/>
            </w14:solidFill>
          </w14:textFill>
        </w:rPr>
        <w:t>2022年一般公共预算支出决算数为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3631.83</w:t>
      </w:r>
      <w:r>
        <w:rPr>
          <w:rFonts w:hint="eastAsia"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。其中：</w:t>
      </w:r>
      <w:bookmarkEnd w:id="39"/>
      <w:bookmarkEnd w:id="40"/>
      <w:bookmarkEnd w:id="41"/>
    </w:p>
    <w:p>
      <w:pPr>
        <w:pStyle w:val="2"/>
        <w:keepNext w:val="0"/>
        <w:keepLines w:val="0"/>
        <w:pageBreakBefore w:val="0"/>
        <w:widowControl w:val="0"/>
        <w:numPr>
          <w:ilvl w:val="0"/>
          <w:numId w:val="0"/>
        </w:numPr>
        <w:kinsoku/>
        <w:wordWrap/>
        <w:overflowPunct/>
        <w:topLinePunct w:val="0"/>
        <w:autoSpaceDE/>
        <w:autoSpaceDN/>
        <w:bidi w:val="0"/>
        <w:adjustRightInd/>
        <w:snapToGrid/>
        <w:spacing w:before="2" w:line="576" w:lineRule="exact"/>
        <w:ind w:right="0" w:rightChars="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1.社会保障和就业（类）行政事业单位养老（款）行政单位离退休（项）：支出决算为1.79万元，完成预算100%，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 w:line="576" w:lineRule="exact"/>
        <w:ind w:right="0" w:rightChars="0" w:firstLine="640" w:firstLineChars="200"/>
        <w:jc w:val="both"/>
        <w:textAlignment w:val="auto"/>
        <w:rPr>
          <w:rFonts w:hint="eastAsia" w:ascii="仿宋" w:hAnsi="仿宋" w:eastAsia="仿宋" w:cs="仿宋"/>
          <w:b w:val="0"/>
          <w:bCs w:val="0"/>
          <w:color w:val="FF0000"/>
          <w:kern w:val="2"/>
          <w:sz w:val="32"/>
          <w:szCs w:val="32"/>
          <w:lang w:val="en-US" w:eastAsia="zh-CN" w:bidi="ar-SA"/>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2.社会保障和就业（类）行政事业单位养老（款）机关事业单位基本养老保险缴费（项）:支出决算为133.29万元，完成预算100%，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43" w:line="576" w:lineRule="exact"/>
        <w:ind w:right="0"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3.卫生健康（类）行政事业单位医疗（款）行政单位医疗（项）:支出决算为27.53万元，完成预算100%，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43" w:line="576" w:lineRule="exact"/>
        <w:ind w:right="0"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4.卫生健康（类）行政事业单位医疗（款）事业单位医疗（项）:支出决算为39.11万元，完成预算100%，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5.自然资源海洋气象（类）自然资源事务（款）行政运行（项）:支出决算为664.86万元，完成预算100%，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214" w:line="576" w:lineRule="exact"/>
        <w:ind w:right="0"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6.自然资源海洋气象（类）自然资源事务（款）一般行政管理事务（项）:支出决算为4.18万元，完成预算100%，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 w:line="576" w:lineRule="exact"/>
        <w:ind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7.自然资源海洋气象（类）自然资源事务（款）自然资源规划及管理（项）:支出决算为19.60万元，完成预算100.00%，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 w:line="576" w:lineRule="exact"/>
        <w:ind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8.自然资源海洋气象（类）自然资源事务（款）自然资源利用与保护（项）:支出决算为200.81万元，完成预算100.00%，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3" w:line="576" w:lineRule="exact"/>
        <w:ind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9.自然资源海洋气象（类）自然资源事务（款）事业运行（项）:支出决算为731.92万元，完成预算 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 w:line="576" w:lineRule="exact"/>
        <w:ind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10.自然资源海洋气象（类）自然资源事务（款）其他自然资源事务（项）:支出决算为75.00万元，完成预算100.00%，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 w:line="576" w:lineRule="exact"/>
        <w:ind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11.住房保障（类）住房改革（款）住房公积金（项）: 支出决算为99.96万元，完成预算100%，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12.灾害防治及应急管理（类）自然灾害防治（款）地质灾害防治（项）:支出决算为1633.78万元，完成预算100%，</w:t>
      </w:r>
      <w:r>
        <w:rPr>
          <w:rStyle w:val="18"/>
          <w:rFonts w:hint="eastAsia" w:ascii="仿宋" w:hAnsi="仿宋" w:eastAsia="仿宋"/>
          <w:b w:val="0"/>
          <w:bCs/>
          <w:color w:val="000000" w:themeColor="text1"/>
          <w:sz w:val="32"/>
          <w:szCs w:val="32"/>
          <w14:textFill>
            <w14:solidFill>
              <w14:schemeClr w14:val="tx1"/>
            </w14:solidFill>
          </w14:textFill>
        </w:rPr>
        <w:t>决算数等于预算数的主要原因是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tabs>
          <w:tab w:val="right" w:pos="8306"/>
        </w:tabs>
        <w:spacing w:line="600" w:lineRule="exact"/>
        <w:ind w:firstLine="640"/>
        <w:outlineLvl w:val="1"/>
        <w:rPr>
          <w:rStyle w:val="30"/>
          <w:color w:val="000000" w:themeColor="text1"/>
          <w14:textFill>
            <w14:solidFill>
              <w14:schemeClr w14:val="tx1"/>
            </w14:solidFill>
          </w14:textFill>
        </w:rPr>
      </w:pPr>
      <w:bookmarkStart w:id="42" w:name="_Toc15377214"/>
      <w:bookmarkStart w:id="43" w:name="_Toc15396608"/>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30"/>
          <w:rFonts w:hint="eastAsia" w:ascii="黑体" w:hAnsi="黑体" w:eastAsia="黑体"/>
          <w:b w:val="0"/>
          <w:color w:val="000000" w:themeColor="text1"/>
          <w14:textFill>
            <w14:solidFill>
              <w14:schemeClr w14:val="tx1"/>
            </w14:solidFill>
          </w14:textFill>
        </w:rPr>
        <w:t>般公共预算财政拨款基本支出决算情况说明</w:t>
      </w:r>
      <w:bookmarkEnd w:id="42"/>
      <w:bookmarkEnd w:id="43"/>
      <w:r>
        <w:rPr>
          <w:rStyle w:val="30"/>
          <w:rFonts w:ascii="黑体" w:hAnsi="黑体" w:eastAsia="黑体"/>
          <w:b w:val="0"/>
          <w:color w:val="000000" w:themeColor="text1"/>
          <w14:textFill>
            <w14:solidFill>
              <w14:schemeClr w14:val="tx1"/>
            </w14:solidFill>
          </w14:textFill>
        </w:rPr>
        <w:tab/>
      </w:r>
    </w:p>
    <w:p>
      <w:pPr>
        <w:pStyle w:val="2"/>
        <w:pageBreakBefore w:val="0"/>
        <w:widowControl w:val="0"/>
        <w:kinsoku/>
        <w:wordWrap/>
        <w:overflowPunct/>
        <w:topLinePunct w:val="0"/>
        <w:autoSpaceDE/>
        <w:autoSpaceDN/>
        <w:bidi w:val="0"/>
        <w:adjustRightInd/>
        <w:snapToGrid/>
        <w:spacing w:before="190" w:line="576"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2022 年一般公共预算财政拨款基本支出1698.46万元， 其中：</w:t>
      </w:r>
    </w:p>
    <w:p>
      <w:pPr>
        <w:spacing w:line="600" w:lineRule="exact"/>
        <w:ind w:firstLine="645"/>
        <w:rPr>
          <w:rFonts w:ascii="仿宋" w:hAnsi="仿宋" w:eastAsia="仿宋"/>
          <w:b/>
          <w:color w:val="FF0000"/>
          <w:sz w:val="32"/>
          <w:szCs w:val="32"/>
        </w:rPr>
      </w:pPr>
      <w:r>
        <w:rPr>
          <w:rFonts w:hint="eastAsia" w:ascii="仿宋" w:hAnsi="仿宋" w:eastAsia="仿宋" w:cs="仿宋"/>
          <w:color w:val="000000" w:themeColor="text1"/>
          <w:sz w:val="32"/>
          <w:szCs w:val="32"/>
          <w14:textFill>
            <w14:solidFill>
              <w14:schemeClr w14:val="tx1"/>
            </w14:solidFill>
          </w14:textFill>
        </w:rPr>
        <w:t>人员经费</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1520.33</w:t>
      </w:r>
      <w:r>
        <w:rPr>
          <w:rFonts w:hint="eastAsia" w:ascii="仿宋" w:hAnsi="仿宋" w:eastAsia="仿宋" w:cs="仿宋"/>
          <w:color w:val="000000" w:themeColor="text1"/>
          <w:sz w:val="32"/>
          <w:szCs w:val="32"/>
          <w14:textFill>
            <w14:solidFill>
              <w14:schemeClr w14:val="tx1"/>
            </w14:solidFill>
          </w14:textFill>
        </w:rPr>
        <w:t>万元，主要包括：基本工资、津贴补贴、奖金、绩效工资、机关事业单位基本养老保险缴费、职工基本医疗保险缴费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其他社会保障缴费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住房公积金、</w:t>
      </w:r>
      <w:r>
        <w:rPr>
          <w:rFonts w:hint="eastAsia" w:ascii="仿宋" w:hAnsi="仿宋" w:eastAsia="仿宋" w:cs="仿宋"/>
          <w:color w:val="000000" w:themeColor="text1"/>
          <w:sz w:val="32"/>
          <w:szCs w:val="32"/>
          <w:lang w:eastAsia="zh-CN"/>
          <w14:textFill>
            <w14:solidFill>
              <w14:schemeClr w14:val="tx1"/>
            </w14:solidFill>
          </w14:textFill>
        </w:rPr>
        <w:t>生活补助</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FF0000"/>
          <w:sz w:val="32"/>
          <w:szCs w:val="32"/>
        </w:rPr>
        <w:br w:type="textWrapping"/>
      </w:r>
      <w:r>
        <w:rPr>
          <w:rFonts w:hint="eastAsia" w:ascii="仿宋" w:hAnsi="仿宋" w:eastAsia="仿宋" w:cs="仿宋"/>
          <w:color w:val="000000" w:themeColor="text1"/>
          <w:sz w:val="32"/>
          <w:szCs w:val="32"/>
          <w14:textFill>
            <w14:solidFill>
              <w14:schemeClr w14:val="tx1"/>
            </w14:solidFill>
          </w14:textFill>
        </w:rPr>
        <w:t>　　公用经费</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178.13</w:t>
      </w:r>
      <w:r>
        <w:rPr>
          <w:rFonts w:hint="eastAsia" w:ascii="仿宋" w:hAnsi="仿宋" w:eastAsia="仿宋" w:cs="仿宋"/>
          <w:color w:val="000000" w:themeColor="text1"/>
          <w:sz w:val="32"/>
          <w:szCs w:val="32"/>
          <w14:textFill>
            <w14:solidFill>
              <w14:schemeClr w14:val="tx1"/>
            </w14:solidFill>
          </w14:textFill>
        </w:rPr>
        <w:t>万元，主要包括：办公费、印刷费、水费、电费、邮电费、差旅费、会议费、培训费、公务接待费、劳务费、工会经费、福利费、公务用车运行维护费、其他交通费</w:t>
      </w:r>
      <w:r>
        <w:rPr>
          <w:rFonts w:hint="eastAsia" w:ascii="仿宋" w:hAnsi="仿宋" w:eastAsia="仿宋" w:cs="仿宋"/>
          <w:color w:val="000000" w:themeColor="text1"/>
          <w:sz w:val="32"/>
          <w:szCs w:val="32"/>
          <w:lang w:eastAsia="zh-CN"/>
          <w14:textFill>
            <w14:solidFill>
              <w14:schemeClr w14:val="tx1"/>
            </w14:solidFill>
          </w14:textFill>
        </w:rPr>
        <w:t>用</w:t>
      </w:r>
      <w:r>
        <w:rPr>
          <w:rFonts w:hint="eastAsia" w:ascii="仿宋" w:hAnsi="仿宋" w:eastAsia="仿宋" w:cs="仿宋"/>
          <w:color w:val="000000" w:themeColor="text1"/>
          <w:sz w:val="32"/>
          <w:szCs w:val="32"/>
          <w14:textFill>
            <w14:solidFill>
              <w14:schemeClr w14:val="tx1"/>
            </w14:solidFill>
          </w14:textFill>
        </w:rPr>
        <w:t>等。</w:t>
      </w:r>
    </w:p>
    <w:p>
      <w:pPr>
        <w:spacing w:line="600" w:lineRule="exact"/>
        <w:ind w:firstLine="640"/>
        <w:outlineLvl w:val="1"/>
        <w:rPr>
          <w:rStyle w:val="30"/>
          <w:rFonts w:ascii="黑体" w:hAnsi="黑体" w:eastAsia="黑体"/>
          <w:b w:val="0"/>
          <w:color w:val="000000" w:themeColor="text1"/>
          <w14:textFill>
            <w14:solidFill>
              <w14:schemeClr w14:val="tx1"/>
            </w14:solidFill>
          </w14:textFill>
        </w:rPr>
      </w:pPr>
      <w:bookmarkStart w:id="44" w:name="_Toc15396609"/>
      <w:bookmarkStart w:id="45" w:name="_Toc15377215"/>
      <w:r>
        <w:rPr>
          <w:rFonts w:hint="eastAsia" w:ascii="黑体" w:eastAsia="黑体"/>
          <w:color w:val="000000" w:themeColor="text1"/>
          <w:sz w:val="32"/>
          <w:szCs w:val="32"/>
          <w14:textFill>
            <w14:solidFill>
              <w14:schemeClr w14:val="tx1"/>
            </w14:solidFill>
          </w14:textFill>
        </w:rPr>
        <w:t>七、</w:t>
      </w:r>
      <w:r>
        <w:rPr>
          <w:rStyle w:val="30"/>
          <w:rFonts w:hint="eastAsia" w:ascii="黑体" w:hAnsi="黑体" w:eastAsia="黑体"/>
          <w:b w:val="0"/>
          <w:color w:val="000000" w:themeColor="text1"/>
          <w14:textFill>
            <w14:solidFill>
              <w14:schemeClr w14:val="tx1"/>
            </w14:solidFill>
          </w14:textFill>
        </w:rPr>
        <w:t>财政拨款</w:t>
      </w:r>
      <w:r>
        <w:rPr>
          <w:rStyle w:val="30"/>
          <w:rFonts w:hint="eastAsia" w:ascii="黑体" w:hAnsi="黑体" w:eastAsia="黑体"/>
          <w:color w:val="000000" w:themeColor="text1"/>
          <w14:textFill>
            <w14:solidFill>
              <w14:schemeClr w14:val="tx1"/>
            </w14:solidFill>
          </w14:textFill>
        </w:rPr>
        <w:t>“</w:t>
      </w:r>
      <w:r>
        <w:rPr>
          <w:rStyle w:val="30"/>
          <w:rFonts w:hint="eastAsia" w:ascii="黑体" w:hAnsi="黑体" w:eastAsia="黑体"/>
          <w:b w:val="0"/>
          <w:color w:val="000000" w:themeColor="text1"/>
          <w14:textFill>
            <w14:solidFill>
              <w14:schemeClr w14:val="tx1"/>
            </w14:solidFill>
          </w14:textFill>
        </w:rPr>
        <w:t>三公”经费支出决算情况说明</w:t>
      </w:r>
      <w:bookmarkEnd w:id="44"/>
      <w:bookmarkEnd w:id="45"/>
    </w:p>
    <w:p>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46" w:name="_Toc15377216"/>
      <w:r>
        <w:rPr>
          <w:rFonts w:hint="eastAsia" w:ascii="仿宋" w:hAnsi="仿宋" w:eastAsia="仿宋"/>
          <w:b/>
          <w:color w:val="000000" w:themeColor="text1"/>
          <w:sz w:val="32"/>
          <w:szCs w:val="32"/>
          <w14:textFill>
            <w14:solidFill>
              <w14:schemeClr w14:val="tx1"/>
            </w14:solidFill>
          </w14:textFill>
        </w:rPr>
        <w:t>（一）“三公”经费财政拨款支出决算总体情况说明</w:t>
      </w:r>
      <w:bookmarkEnd w:id="46"/>
    </w:p>
    <w:p>
      <w:pPr>
        <w:spacing w:line="600" w:lineRule="exact"/>
        <w:ind w:firstLine="640"/>
        <w:rPr>
          <w:rFonts w:ascii="仿宋" w:hAnsi="仿宋" w:eastAsia="仿宋"/>
          <w:color w:val="FF0000"/>
          <w:sz w:val="32"/>
          <w:szCs w:val="32"/>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11.56</w:t>
      </w:r>
      <w:r>
        <w:rPr>
          <w:rFonts w:hint="eastAsia" w:ascii="仿宋" w:hAnsi="仿宋" w:eastAsia="仿宋"/>
          <w:color w:val="000000" w:themeColor="text1"/>
          <w:sz w:val="32"/>
          <w:szCs w:val="32"/>
          <w14:textFill>
            <w14:solidFill>
              <w14:schemeClr w14:val="tx1"/>
            </w14:solidFill>
          </w14:textFill>
        </w:rPr>
        <w:t>万元，完成预算</w:t>
      </w:r>
      <w:r>
        <w:rPr>
          <w:rFonts w:hint="eastAsia" w:ascii="仿宋" w:hAnsi="仿宋" w:eastAsia="仿宋"/>
          <w:color w:val="000000" w:themeColor="text1"/>
          <w:sz w:val="32"/>
          <w:szCs w:val="32"/>
          <w:lang w:val="en-US" w:eastAsia="zh-CN"/>
          <w14:textFill>
            <w14:solidFill>
              <w14:schemeClr w14:val="tx1"/>
            </w14:solidFill>
          </w14:textFill>
        </w:rPr>
        <w:t>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，较上年增加</w:t>
      </w:r>
      <w:r>
        <w:rPr>
          <w:rFonts w:hint="eastAsia" w:ascii="仿宋" w:hAnsi="仿宋" w:eastAsia="仿宋"/>
          <w:color w:val="000000" w:themeColor="text1"/>
          <w:sz w:val="32"/>
          <w:szCs w:val="32"/>
          <w:lang w:val="en-US" w:eastAsia="zh-CN"/>
          <w14:textFill>
            <w14:solidFill>
              <w14:schemeClr w14:val="tx1"/>
            </w14:solidFill>
          </w14:textFill>
        </w:rPr>
        <w:t>2.88</w:t>
      </w:r>
      <w:r>
        <w:rPr>
          <w:rFonts w:hint="eastAsia" w:ascii="仿宋" w:hAnsi="仿宋" w:eastAsia="仿宋"/>
          <w:color w:val="000000" w:themeColor="text1"/>
          <w:sz w:val="32"/>
          <w:szCs w:val="32"/>
          <w14:textFill>
            <w14:solidFill>
              <w14:schemeClr w14:val="tx1"/>
            </w14:solidFill>
          </w14:textFill>
        </w:rPr>
        <w:t>万元，增长</w:t>
      </w:r>
      <w:r>
        <w:rPr>
          <w:rFonts w:hint="eastAsia" w:ascii="仿宋" w:hAnsi="仿宋" w:eastAsia="仿宋"/>
          <w:color w:val="000000" w:themeColor="text1"/>
          <w:sz w:val="32"/>
          <w:szCs w:val="32"/>
          <w:lang w:val="en-US" w:eastAsia="zh-CN"/>
          <w14:textFill>
            <w14:solidFill>
              <w14:schemeClr w14:val="tx1"/>
            </w14:solidFill>
          </w14:textFill>
        </w:rPr>
        <w:t>33.18</w:t>
      </w:r>
      <w:r>
        <w:rPr>
          <w:rFonts w:hint="eastAsia" w:ascii="仿宋" w:hAnsi="仿宋" w:eastAsia="仿宋"/>
          <w:color w:val="000000" w:themeColor="text1"/>
          <w:sz w:val="32"/>
          <w:szCs w:val="32"/>
          <w14:textFill>
            <w14:solidFill>
              <w14:schemeClr w14:val="tx1"/>
            </w14:solidFill>
          </w14:textFill>
        </w:rPr>
        <w:t>%。决算数与预算数持平的主要原因是</w:t>
      </w:r>
      <w:r>
        <w:rPr>
          <w:rStyle w:val="18"/>
          <w:rFonts w:hint="eastAsia" w:ascii="仿宋" w:hAnsi="仿宋" w:eastAsia="仿宋"/>
          <w:b w:val="0"/>
          <w:bCs/>
          <w:color w:val="000000" w:themeColor="text1"/>
          <w:sz w:val="32"/>
          <w:szCs w:val="32"/>
          <w:lang w:eastAsia="zh-CN"/>
          <w14:textFill>
            <w14:solidFill>
              <w14:schemeClr w14:val="tx1"/>
            </w14:solidFill>
          </w14:textFill>
        </w:rPr>
        <w:t>严格按照预算执行，所以本年度收支持平</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47" w:name="_Toc15377217"/>
      <w:r>
        <w:rPr>
          <w:rFonts w:hint="eastAsia" w:ascii="仿宋" w:hAnsi="仿宋" w:eastAsia="仿宋"/>
          <w:b/>
          <w:color w:val="000000" w:themeColor="text1"/>
          <w:sz w:val="32"/>
          <w:szCs w:val="32"/>
          <w14:textFill>
            <w14:solidFill>
              <w14:schemeClr w14:val="tx1"/>
            </w14:solidFill>
          </w14:textFill>
        </w:rPr>
        <w:t>（二）“三公”经费财政拨款支出决算具体情况说明</w:t>
      </w:r>
      <w:bookmarkEnd w:id="47"/>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22年“三公”经费财政拨款支出决算中，因公出国（境）费支出决算</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；公务用车购置及运行维护费支出决算</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25.95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；公务接待费支出决算</w:t>
      </w:r>
      <w:r>
        <w:rPr>
          <w:rFonts w:hint="eastAsia" w:ascii="仿宋" w:hAnsi="仿宋" w:eastAsia="仿宋"/>
          <w:color w:val="000000" w:themeColor="text1"/>
          <w:sz w:val="32"/>
          <w:szCs w:val="32"/>
          <w:lang w:val="en-US" w:eastAsia="zh-CN"/>
          <w14:textFill>
            <w14:solidFill>
              <w14:schemeClr w14:val="tx1"/>
            </w14:solidFill>
          </w14:textFill>
        </w:rPr>
        <w:t>8.56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74.05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。具体情况如下：</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color w:val="FF0000"/>
          <w:lang w:val="en-US" w:eastAsia="zh-CN"/>
        </w:rPr>
      </w:pPr>
    </w:p>
    <w:p>
      <w:pPr>
        <w:spacing w:line="600" w:lineRule="exact"/>
        <w:ind w:firstLine="640"/>
        <w:rPr>
          <w:rFonts w:hint="eastAsia" w:ascii="仿宋" w:hAnsi="仿宋" w:eastAsia="仿宋"/>
          <w:color w:val="FF0000"/>
          <w:sz w:val="32"/>
          <w:szCs w:val="32"/>
        </w:rPr>
      </w:pPr>
      <w:r>
        <w:rPr>
          <w:rFonts w:hint="eastAsia"/>
          <w:color w:val="FF0000"/>
          <w:lang w:val="en-US" w:eastAsia="zh-CN"/>
        </w:rPr>
        <w:t xml:space="preserve">   </w:t>
      </w:r>
      <w:r>
        <w:drawing>
          <wp:anchor distT="0" distB="0" distL="114300" distR="114300" simplePos="0" relativeHeight="251662336" behindDoc="1" locked="0" layoutInCell="1" allowOverlap="1">
            <wp:simplePos x="0" y="0"/>
            <wp:positionH relativeFrom="column">
              <wp:posOffset>610870</wp:posOffset>
            </wp:positionH>
            <wp:positionV relativeFrom="paragraph">
              <wp:posOffset>-1881505</wp:posOffset>
            </wp:positionV>
            <wp:extent cx="4075430" cy="2169160"/>
            <wp:effectExtent l="4445" t="4445" r="15875" b="17145"/>
            <wp:wrapThrough wrapText="bothSides">
              <wp:wrapPolygon>
                <wp:start x="-24" y="-44"/>
                <wp:lineTo x="-24" y="21391"/>
                <wp:lineTo x="21482" y="21391"/>
                <wp:lineTo x="21482" y="-44"/>
                <wp:lineTo x="-24" y="-44"/>
              </wp:wrapPolygon>
            </wp:wrapThrough>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spacing w:line="600" w:lineRule="exact"/>
        <w:ind w:firstLine="640"/>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1.</w:t>
      </w:r>
      <w:r>
        <w:rPr>
          <w:rFonts w:hint="eastAsia" w:ascii="仿宋_GB2312" w:eastAsia="仿宋_GB2312"/>
          <w:b/>
          <w:color w:val="000000" w:themeColor="text1"/>
          <w:sz w:val="32"/>
          <w:szCs w:val="32"/>
          <w14:textFill>
            <w14:solidFill>
              <w14:schemeClr w14:val="tx1"/>
            </w14:solidFill>
          </w14:textFill>
        </w:rPr>
        <w:t>因公出国（境）经费支出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2.</w:t>
      </w:r>
      <w:r>
        <w:rPr>
          <w:rFonts w:hint="eastAsia" w:ascii="仿宋_GB2312" w:eastAsia="仿宋_GB2312"/>
          <w:b/>
          <w:color w:val="000000" w:themeColor="text1"/>
          <w:sz w:val="32"/>
          <w:szCs w:val="32"/>
          <w14:textFill>
            <w14:solidFill>
              <w14:schemeClr w14:val="tx1"/>
            </w14:solidFill>
          </w14:textFill>
        </w:rPr>
        <w:t>公务用车购置及运行维护费支出</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r>
        <w:rPr>
          <w:rStyle w:val="18"/>
          <w:rFonts w:hint="eastAsia" w:ascii="仿宋" w:hAnsi="仿宋" w:eastAsia="仿宋"/>
          <w:b w:val="0"/>
          <w:bCs/>
          <w:color w:val="000000" w:themeColor="text1"/>
          <w:sz w:val="32"/>
          <w:szCs w:val="32"/>
          <w14:textFill>
            <w14:solidFill>
              <w14:schemeClr w14:val="tx1"/>
            </w14:solidFill>
          </w14:textFill>
        </w:rPr>
        <w:t>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公务用车购置及运行维护费支出决算比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21年增加</w:t>
      </w:r>
      <w:r>
        <w:rPr>
          <w:rFonts w:hint="eastAsia" w:ascii="仿宋_GB2312" w:eastAsia="仿宋_GB2312"/>
          <w:color w:val="000000" w:themeColor="text1"/>
          <w:sz w:val="32"/>
          <w:szCs w:val="32"/>
          <w:lang w:val="en-US" w:eastAsia="zh-CN"/>
          <w14:textFill>
            <w14:solidFill>
              <w14:schemeClr w14:val="tx1"/>
            </w14:solidFill>
          </w14:textFill>
        </w:rPr>
        <w:t>0.02</w:t>
      </w:r>
      <w:r>
        <w:rPr>
          <w:rFonts w:hint="eastAsia" w:ascii="仿宋_GB2312" w:eastAsia="仿宋_GB2312"/>
          <w:color w:val="000000" w:themeColor="text1"/>
          <w:sz w:val="32"/>
          <w:szCs w:val="32"/>
          <w14:textFill>
            <w14:solidFill>
              <w14:schemeClr w14:val="tx1"/>
            </w14:solidFill>
          </w14:textFill>
        </w:rPr>
        <w:t>万元，增长</w:t>
      </w:r>
      <w:r>
        <w:rPr>
          <w:rFonts w:hint="eastAsia" w:ascii="仿宋_GB2312" w:eastAsia="仿宋_GB2312"/>
          <w:color w:val="000000" w:themeColor="text1"/>
          <w:sz w:val="32"/>
          <w:szCs w:val="32"/>
          <w:lang w:val="en-US" w:eastAsia="zh-CN"/>
          <w14:textFill>
            <w14:solidFill>
              <w14:schemeClr w14:val="tx1"/>
            </w14:solidFill>
          </w14:textFill>
        </w:rPr>
        <w:t>0.67</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油费上涨导致公务用车费用增加</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w:t>
      </w:r>
      <w:r>
        <w:rPr>
          <w:rFonts w:hint="eastAsia" w:ascii="仿宋_GB2312" w:eastAsia="仿宋_GB2312"/>
          <w:b/>
          <w:color w:val="000000" w:themeColor="text1"/>
          <w:sz w:val="32"/>
          <w:szCs w:val="32"/>
          <w14:textFill>
            <w14:solidFill>
              <w14:schemeClr w14:val="tx1"/>
            </w14:solidFill>
          </w14:textFill>
        </w:rPr>
        <w:t>公务用车购置支出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万元。截至</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月底，单位共有公务用车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主要用于我单位地质灾害监测、土地执法及其他</w:t>
      </w:r>
      <w:r>
        <w:rPr>
          <w:rFonts w:hint="eastAsia" w:ascii="仿宋_GB2312" w:eastAsia="仿宋_GB2312"/>
          <w:color w:val="000000" w:themeColor="text1"/>
          <w:sz w:val="32"/>
          <w:szCs w:val="32"/>
          <w:lang w:eastAsia="zh-CN"/>
          <w14:textFill>
            <w14:solidFill>
              <w14:schemeClr w14:val="tx1"/>
            </w14:solidFill>
          </w14:textFill>
        </w:rPr>
        <w:t>自然</w:t>
      </w:r>
      <w:r>
        <w:rPr>
          <w:rFonts w:hint="eastAsia" w:ascii="仿宋_GB2312" w:eastAsia="仿宋_GB2312"/>
          <w:color w:val="000000" w:themeColor="text1"/>
          <w:sz w:val="32"/>
          <w:szCs w:val="32"/>
          <w14:textFill>
            <w14:solidFill>
              <w14:schemeClr w14:val="tx1"/>
            </w14:solidFill>
          </w14:textFill>
        </w:rPr>
        <w:t>资源事务。</w:t>
      </w:r>
    </w:p>
    <w:p>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公务用车运行维护费支出</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万元。主要用于我单位地质灾害监测、土地执法及其他</w:t>
      </w:r>
      <w:r>
        <w:rPr>
          <w:rFonts w:hint="eastAsia" w:ascii="仿宋_GB2312" w:eastAsia="仿宋_GB2312"/>
          <w:color w:val="000000" w:themeColor="text1"/>
          <w:sz w:val="32"/>
          <w:szCs w:val="32"/>
          <w:lang w:eastAsia="zh-CN"/>
          <w14:textFill>
            <w14:solidFill>
              <w14:schemeClr w14:val="tx1"/>
            </w14:solidFill>
          </w14:textFill>
        </w:rPr>
        <w:t>自然</w:t>
      </w:r>
      <w:r>
        <w:rPr>
          <w:rFonts w:hint="eastAsia" w:ascii="仿宋_GB2312" w:eastAsia="仿宋_GB2312"/>
          <w:color w:val="000000" w:themeColor="text1"/>
          <w:sz w:val="32"/>
          <w:szCs w:val="32"/>
          <w14:textFill>
            <w14:solidFill>
              <w14:schemeClr w14:val="tx1"/>
            </w14:solidFill>
          </w14:textFill>
        </w:rPr>
        <w:t>资源事务（具体工作）等所需的公务用车燃料费、维修费、过路过桥费、保险费等支出。</w:t>
      </w:r>
    </w:p>
    <w:p>
      <w:pPr>
        <w:spacing w:line="600" w:lineRule="exact"/>
        <w:ind w:firstLine="640"/>
        <w:rPr>
          <w:rFonts w:ascii="仿宋_GB2312" w:eastAsia="仿宋_GB2312"/>
          <w:color w:val="FF0000"/>
          <w:sz w:val="32"/>
          <w:szCs w:val="32"/>
        </w:rPr>
      </w:pP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b/>
          <w:color w:val="000000" w:themeColor="text1"/>
          <w:sz w:val="32"/>
          <w:szCs w:val="32"/>
          <w14:textFill>
            <w14:solidFill>
              <w14:schemeClr w14:val="tx1"/>
            </w14:solidFill>
          </w14:textFill>
        </w:rPr>
        <w:t>公务接待费支出</w:t>
      </w:r>
      <w:r>
        <w:rPr>
          <w:rFonts w:hint="eastAsia" w:ascii="仿宋_GB2312" w:eastAsia="仿宋_GB2312"/>
          <w:color w:val="000000" w:themeColor="text1"/>
          <w:sz w:val="32"/>
          <w:szCs w:val="32"/>
          <w:lang w:val="en-US" w:eastAsia="zh-CN"/>
          <w14:textFill>
            <w14:solidFill>
              <w14:schemeClr w14:val="tx1"/>
            </w14:solidFill>
          </w14:textFill>
        </w:rPr>
        <w:t>8.56</w:t>
      </w:r>
      <w:r>
        <w:rPr>
          <w:rFonts w:hint="eastAsia" w:ascii="仿宋_GB2312" w:eastAsia="仿宋_GB2312"/>
          <w:color w:val="000000" w:themeColor="text1"/>
          <w:sz w:val="32"/>
          <w:szCs w:val="32"/>
          <w14:textFill>
            <w14:solidFill>
              <w14:schemeClr w14:val="tx1"/>
            </w14:solidFill>
          </w14:textFill>
        </w:rPr>
        <w:t>万元，</w:t>
      </w:r>
      <w:r>
        <w:rPr>
          <w:rStyle w:val="18"/>
          <w:rFonts w:hint="eastAsia" w:ascii="仿宋" w:hAnsi="仿宋" w:eastAsia="仿宋"/>
          <w:b w:val="0"/>
          <w:bCs/>
          <w:color w:val="000000" w:themeColor="text1"/>
          <w:sz w:val="32"/>
          <w:szCs w:val="32"/>
          <w14:textFill>
            <w14:solidFill>
              <w14:schemeClr w14:val="tx1"/>
            </w14:solidFill>
          </w14:textFill>
        </w:rPr>
        <w:t>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公务接待费支出决算比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21年增加</w:t>
      </w:r>
      <w:r>
        <w:rPr>
          <w:rFonts w:hint="eastAsia" w:ascii="仿宋_GB2312" w:eastAsia="仿宋_GB2312"/>
          <w:color w:val="000000" w:themeColor="text1"/>
          <w:sz w:val="32"/>
          <w:szCs w:val="32"/>
          <w:lang w:val="en-US" w:eastAsia="zh-CN"/>
          <w14:textFill>
            <w14:solidFill>
              <w14:schemeClr w14:val="tx1"/>
            </w14:solidFill>
          </w14:textFill>
        </w:rPr>
        <w:t>2.86</w:t>
      </w:r>
      <w:r>
        <w:rPr>
          <w:rFonts w:hint="eastAsia" w:ascii="仿宋_GB2312" w:eastAsia="仿宋_GB2312"/>
          <w:color w:val="000000" w:themeColor="text1"/>
          <w:sz w:val="32"/>
          <w:szCs w:val="32"/>
          <w14:textFill>
            <w14:solidFill>
              <w14:schemeClr w14:val="tx1"/>
            </w14:solidFill>
          </w14:textFill>
        </w:rPr>
        <w:t>万元，增长</w:t>
      </w:r>
      <w:r>
        <w:rPr>
          <w:rFonts w:hint="eastAsia" w:ascii="仿宋_GB2312" w:eastAsia="仿宋_GB2312"/>
          <w:color w:val="000000" w:themeColor="text1"/>
          <w:sz w:val="32"/>
          <w:szCs w:val="32"/>
          <w:lang w:val="en-US" w:eastAsia="zh-CN"/>
          <w14:textFill>
            <w14:solidFill>
              <w14:schemeClr w14:val="tx1"/>
            </w14:solidFill>
          </w14:textFill>
        </w:rPr>
        <w:t>50.18</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2022年度将两个二级预算单位纳入部门决算报送及部门业务量增加交流次数增加。</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rPr>
          <w:rFonts w:hint="eastAsia" w:ascii="仿宋_GB2312" w:eastAsia="仿宋_GB2312"/>
          <w:color w:val="FF0000"/>
          <w:sz w:val="32"/>
          <w:szCs w:val="32"/>
          <w:lang w:eastAsia="zh-CN"/>
        </w:rPr>
      </w:pPr>
      <w:r>
        <w:rPr>
          <w:rFonts w:hint="eastAsia" w:ascii="仿宋" w:hAnsi="仿宋" w:eastAsia="仿宋"/>
          <w:b/>
          <w:color w:val="000000" w:themeColor="text1"/>
          <w:sz w:val="32"/>
          <w:szCs w:val="32"/>
          <w14:textFill>
            <w14:solidFill>
              <w14:schemeClr w14:val="tx1"/>
            </w14:solidFill>
          </w14:textFill>
        </w:rPr>
        <w:t>国内公务接待支出</w:t>
      </w:r>
      <w:r>
        <w:rPr>
          <w:rFonts w:hint="eastAsia" w:ascii="仿宋" w:hAnsi="仿宋" w:eastAsia="仿宋"/>
          <w:color w:val="000000" w:themeColor="text1"/>
          <w:sz w:val="32"/>
          <w:szCs w:val="32"/>
          <w:lang w:val="en-US" w:eastAsia="zh-CN"/>
          <w14:textFill>
            <w14:solidFill>
              <w14:schemeClr w14:val="tx1"/>
            </w14:solidFill>
          </w14:textFill>
        </w:rPr>
        <w:t>8.56</w:t>
      </w:r>
      <w:r>
        <w:rPr>
          <w:rFonts w:hint="eastAsia" w:ascii="仿宋_GB2312" w:eastAsia="仿宋_GB2312"/>
          <w:color w:val="000000" w:themeColor="text1"/>
          <w:sz w:val="32"/>
          <w:szCs w:val="32"/>
          <w14:textFill>
            <w14:solidFill>
              <w14:schemeClr w14:val="tx1"/>
            </w14:solidFill>
          </w14:textFill>
        </w:rPr>
        <w:t>万元，主要用于执行公务、开展业务活动开支的交通费、住宿费、用餐费等。国内公务接待</w:t>
      </w:r>
      <w:r>
        <w:rPr>
          <w:rFonts w:hint="eastAsia" w:ascii="仿宋_GB2312" w:eastAsia="仿宋_GB2312"/>
          <w:color w:val="000000" w:themeColor="text1"/>
          <w:sz w:val="32"/>
          <w:szCs w:val="32"/>
          <w:lang w:val="en-US" w:eastAsia="zh-CN"/>
          <w14:textFill>
            <w14:solidFill>
              <w14:schemeClr w14:val="tx1"/>
            </w14:solidFill>
          </w14:textFill>
        </w:rPr>
        <w:t>112</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872</w:t>
      </w:r>
      <w:r>
        <w:rPr>
          <w:rFonts w:hint="eastAsia" w:ascii="仿宋_GB2312" w:eastAsia="仿宋_GB2312"/>
          <w:color w:val="000000" w:themeColor="text1"/>
          <w:sz w:val="32"/>
          <w:szCs w:val="32"/>
          <w14:textFill>
            <w14:solidFill>
              <w14:schemeClr w14:val="tx1"/>
            </w14:solidFill>
          </w14:textFill>
        </w:rPr>
        <w:t>人次（不包括陪同人员），共计支出</w:t>
      </w:r>
      <w:r>
        <w:rPr>
          <w:rFonts w:hint="eastAsia" w:ascii="仿宋_GB2312" w:eastAsia="仿宋_GB2312"/>
          <w:color w:val="000000" w:themeColor="text1"/>
          <w:sz w:val="32"/>
          <w:szCs w:val="32"/>
          <w:lang w:val="en-US" w:eastAsia="zh-CN"/>
          <w14:textFill>
            <w14:solidFill>
              <w14:schemeClr w14:val="tx1"/>
            </w14:solidFill>
          </w14:textFill>
        </w:rPr>
        <w:t>8.56</w:t>
      </w:r>
      <w:r>
        <w:rPr>
          <w:rFonts w:hint="eastAsia" w:ascii="仿宋_GB2312" w:eastAsia="仿宋_GB2312"/>
          <w:color w:val="000000" w:themeColor="text1"/>
          <w:sz w:val="32"/>
          <w:szCs w:val="32"/>
          <w14:textFill>
            <w14:solidFill>
              <w14:schemeClr w14:val="tx1"/>
            </w14:solidFill>
          </w14:textFill>
        </w:rPr>
        <w:t>万元，具体内容包括：接待房地一体项目检查</w:t>
      </w:r>
      <w:r>
        <w:rPr>
          <w:rFonts w:hint="eastAsia" w:ascii="仿宋_GB2312" w:eastAsia="仿宋_GB2312"/>
          <w:color w:val="000000" w:themeColor="text1"/>
          <w:sz w:val="32"/>
          <w:szCs w:val="32"/>
          <w:lang w:eastAsia="zh-CN"/>
          <w14:textFill>
            <w14:solidFill>
              <w14:schemeClr w14:val="tx1"/>
            </w14:solidFill>
          </w14:textFill>
        </w:rPr>
        <w:t>及</w:t>
      </w:r>
      <w:r>
        <w:rPr>
          <w:rFonts w:ascii="仿宋_GB2312" w:eastAsia="仿宋_GB2312"/>
          <w:color w:val="000000" w:themeColor="text1"/>
          <w:sz w:val="32"/>
          <w:szCs w:val="32"/>
          <w14:textFill>
            <w14:solidFill>
              <w14:schemeClr w14:val="tx1"/>
            </w14:solidFill>
          </w14:textFill>
        </w:rPr>
        <w:t>验收</w:t>
      </w:r>
      <w:r>
        <w:rPr>
          <w:rFonts w:hint="eastAsia" w:ascii="仿宋_GB2312" w:eastAsia="仿宋_GB2312"/>
          <w:color w:val="000000" w:themeColor="text1"/>
          <w:sz w:val="32"/>
          <w:szCs w:val="32"/>
          <w:lang w:eastAsia="zh-CN"/>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林权数据整合</w:t>
      </w:r>
      <w:r>
        <w:rPr>
          <w:rFonts w:hint="eastAsia" w:ascii="仿宋_GB2312" w:eastAsia="仿宋_GB2312"/>
          <w:color w:val="000000" w:themeColor="text1"/>
          <w:sz w:val="32"/>
          <w:szCs w:val="32"/>
          <w14:textFill>
            <w14:solidFill>
              <w14:schemeClr w14:val="tx1"/>
            </w14:solidFill>
          </w14:textFill>
        </w:rPr>
        <w:t>项目</w:t>
      </w:r>
      <w:r>
        <w:rPr>
          <w:rFonts w:ascii="仿宋_GB2312" w:eastAsia="仿宋_GB2312"/>
          <w:color w:val="000000" w:themeColor="text1"/>
          <w:sz w:val="32"/>
          <w:szCs w:val="32"/>
          <w14:textFill>
            <w14:solidFill>
              <w14:schemeClr w14:val="tx1"/>
            </w14:solidFill>
          </w14:textFill>
        </w:rPr>
        <w:t>前期工作</w:t>
      </w:r>
      <w:r>
        <w:rPr>
          <w:rFonts w:hint="eastAsia" w:ascii="仿宋_GB2312" w:eastAsia="仿宋_GB2312"/>
          <w:color w:val="000000" w:themeColor="text1"/>
          <w:sz w:val="32"/>
          <w:szCs w:val="32"/>
          <w14:textFill>
            <w14:solidFill>
              <w14:schemeClr w14:val="tx1"/>
            </w14:solidFill>
          </w14:textFill>
        </w:rPr>
        <w:t>、招商</w:t>
      </w:r>
      <w:r>
        <w:rPr>
          <w:rFonts w:ascii="仿宋_GB2312" w:eastAsia="仿宋_GB2312"/>
          <w:color w:val="000000" w:themeColor="text1"/>
          <w:sz w:val="32"/>
          <w:szCs w:val="32"/>
          <w14:textFill>
            <w14:solidFill>
              <w14:schemeClr w14:val="tx1"/>
            </w14:solidFill>
          </w14:textFill>
        </w:rPr>
        <w:t>引资、批而未供事项</w:t>
      </w:r>
      <w:r>
        <w:rPr>
          <w:rFonts w:hint="eastAsia" w:ascii="仿宋_GB2312" w:eastAsia="仿宋_GB2312"/>
          <w:color w:val="000000" w:themeColor="text1"/>
          <w:sz w:val="32"/>
          <w:szCs w:val="32"/>
          <w:lang w:eastAsia="zh-CN"/>
          <w14:textFill>
            <w14:solidFill>
              <w14:schemeClr w14:val="tx1"/>
            </w14:solidFill>
          </w14:textFill>
        </w:rPr>
        <w:t>、土地执法项目、三区三线划定、第三次全国土地调查项目、地灾项目、土地整治项目、各类检查审计接待及其他业务活动接待等，共计</w:t>
      </w:r>
      <w:r>
        <w:rPr>
          <w:rFonts w:hint="eastAsia" w:ascii="仿宋_GB2312" w:eastAsia="仿宋_GB2312"/>
          <w:color w:val="000000" w:themeColor="text1"/>
          <w:sz w:val="32"/>
          <w:szCs w:val="32"/>
          <w:lang w:val="en-US" w:eastAsia="zh-CN"/>
          <w14:textFill>
            <w14:solidFill>
              <w14:schemeClr w14:val="tx1"/>
            </w14:solidFill>
          </w14:textFill>
        </w:rPr>
        <w:t>8.56万元。</w:t>
      </w:r>
    </w:p>
    <w:p>
      <w:pPr>
        <w:spacing w:line="600" w:lineRule="exact"/>
        <w:ind w:firstLine="642" w:firstLineChars="200"/>
        <w:rPr>
          <w:rFonts w:ascii="黑体" w:eastAsia="黑体"/>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外事接待支出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bookmarkStart w:id="48" w:name="_Toc15377218"/>
      <w:bookmarkStart w:id="49" w:name="_Toc15396610"/>
    </w:p>
    <w:p>
      <w:pPr>
        <w:spacing w:line="600" w:lineRule="exact"/>
        <w:ind w:firstLine="640"/>
        <w:outlineLvl w:val="1"/>
        <w:rPr>
          <w:rStyle w:val="30"/>
          <w:rFonts w:ascii="黑体" w:hAnsi="黑体" w:eastAsia="黑体"/>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w:t>
      </w:r>
      <w:r>
        <w:rPr>
          <w:rStyle w:val="30"/>
          <w:rFonts w:hint="eastAsia" w:ascii="黑体" w:hAnsi="黑体" w:eastAsia="黑体"/>
          <w:b w:val="0"/>
          <w:color w:val="000000" w:themeColor="text1"/>
          <w14:textFill>
            <w14:solidFill>
              <w14:schemeClr w14:val="tx1"/>
            </w14:solidFill>
          </w14:textFill>
        </w:rPr>
        <w:t>政府性基金预算支出决算情况说明</w:t>
      </w:r>
      <w:bookmarkEnd w:id="48"/>
      <w:bookmarkEnd w:id="49"/>
    </w:p>
    <w:p>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22年政府性基金预算财政拨款支出</w:t>
      </w:r>
      <w:r>
        <w:rPr>
          <w:rFonts w:hint="eastAsia" w:ascii="仿宋_GB2312" w:eastAsia="仿宋_GB2312"/>
          <w:color w:val="000000" w:themeColor="text1"/>
          <w:sz w:val="32"/>
          <w:szCs w:val="32"/>
          <w:lang w:val="en-US" w:eastAsia="zh-CN"/>
          <w14:textFill>
            <w14:solidFill>
              <w14:schemeClr w14:val="tx1"/>
            </w14:solidFill>
          </w14:textFill>
        </w:rPr>
        <w:t>29261.33</w:t>
      </w:r>
      <w:r>
        <w:rPr>
          <w:rFonts w:hint="eastAsia" w:ascii="仿宋_GB2312" w:eastAsia="仿宋_GB2312"/>
          <w:color w:val="000000" w:themeColor="text1"/>
          <w:sz w:val="32"/>
          <w:szCs w:val="32"/>
          <w14:textFill>
            <w14:solidFill>
              <w14:schemeClr w14:val="tx1"/>
            </w14:solidFill>
          </w14:textFill>
        </w:rPr>
        <w:t>万元。</w:t>
      </w:r>
    </w:p>
    <w:p>
      <w:pPr>
        <w:numPr>
          <w:ilvl w:val="0"/>
          <w:numId w:val="3"/>
        </w:numPr>
        <w:spacing w:line="600" w:lineRule="exact"/>
        <w:ind w:firstLine="640"/>
        <w:outlineLvl w:val="1"/>
        <w:rPr>
          <w:rStyle w:val="30"/>
          <w:rFonts w:ascii="黑体" w:hAnsi="黑体" w:eastAsia="黑体"/>
          <w:b w:val="0"/>
          <w:color w:val="000000" w:themeColor="text1"/>
          <w14:textFill>
            <w14:solidFill>
              <w14:schemeClr w14:val="tx1"/>
            </w14:solidFill>
          </w14:textFill>
        </w:rPr>
      </w:pPr>
      <w:bookmarkStart w:id="50" w:name="_Toc15377219"/>
      <w:bookmarkStart w:id="51" w:name="_Toc15396611"/>
      <w:r>
        <w:rPr>
          <w:rStyle w:val="30"/>
          <w:rFonts w:hint="eastAsia" w:ascii="黑体" w:hAnsi="黑体" w:eastAsia="黑体"/>
          <w:b w:val="0"/>
          <w:color w:val="000000" w:themeColor="text1"/>
          <w14:textFill>
            <w14:solidFill>
              <w14:schemeClr w14:val="tx1"/>
            </w14:solidFill>
          </w14:textFill>
        </w:rPr>
        <w:t>国有资本经营预算支出决算情况说明</w:t>
      </w:r>
      <w:bookmarkEnd w:id="50"/>
      <w:bookmarkEnd w:id="51"/>
    </w:p>
    <w:p>
      <w:pPr>
        <w:spacing w:line="600" w:lineRule="exact"/>
        <w:ind w:firstLine="64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22年国有资本经营预算财政拨款支</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numPr>
          <w:ilvl w:val="0"/>
          <w:numId w:val="3"/>
        </w:numPr>
        <w:spacing w:line="600" w:lineRule="exact"/>
        <w:ind w:firstLine="640"/>
        <w:outlineLvl w:val="1"/>
        <w:rPr>
          <w:rStyle w:val="30"/>
          <w:rFonts w:ascii="黑体" w:hAnsi="黑体" w:eastAsia="黑体"/>
          <w:b w:val="0"/>
          <w:color w:val="000000" w:themeColor="text1"/>
          <w14:textFill>
            <w14:solidFill>
              <w14:schemeClr w14:val="tx1"/>
            </w14:solidFill>
          </w14:textFill>
        </w:rPr>
      </w:pPr>
      <w:bookmarkStart w:id="52" w:name="_Toc15396612"/>
      <w:bookmarkStart w:id="53" w:name="_Toc15377221"/>
      <w:r>
        <w:rPr>
          <w:rStyle w:val="30"/>
          <w:rFonts w:hint="eastAsia" w:ascii="黑体" w:hAnsi="黑体" w:eastAsia="黑体"/>
          <w:b w:val="0"/>
          <w:color w:val="000000" w:themeColor="text1"/>
          <w14:textFill>
            <w14:solidFill>
              <w14:schemeClr w14:val="tx1"/>
            </w14:solidFill>
          </w14:textFill>
        </w:rPr>
        <w:t>其他重要事项的情况说明</w:t>
      </w:r>
      <w:bookmarkEnd w:id="52"/>
      <w:bookmarkEnd w:id="53"/>
    </w:p>
    <w:p>
      <w:pPr>
        <w:spacing w:line="600" w:lineRule="exact"/>
        <w:ind w:firstLine="642" w:firstLineChars="200"/>
        <w:outlineLvl w:val="2"/>
        <w:rPr>
          <w:rFonts w:ascii="仿宋" w:hAnsi="仿宋" w:eastAsia="仿宋"/>
          <w:color w:val="000000" w:themeColor="text1"/>
          <w:sz w:val="32"/>
          <w:szCs w:val="32"/>
          <w14:textFill>
            <w14:solidFill>
              <w14:schemeClr w14:val="tx1"/>
            </w14:solidFill>
          </w14:textFill>
        </w:rPr>
      </w:pPr>
      <w:bookmarkStart w:id="54" w:name="_Toc15377222"/>
      <w:r>
        <w:rPr>
          <w:rFonts w:hint="eastAsia" w:ascii="仿宋" w:hAnsi="仿宋" w:eastAsia="仿宋"/>
          <w:b/>
          <w:color w:val="000000" w:themeColor="text1"/>
          <w:sz w:val="32"/>
          <w:szCs w:val="32"/>
          <w14:textFill>
            <w14:solidFill>
              <w14:schemeClr w14:val="tx1"/>
            </w14:solidFill>
          </w14:textFill>
        </w:rPr>
        <w:t>（一）机关运行经费支出情况</w:t>
      </w:r>
      <w:bookmarkEnd w:id="54"/>
    </w:p>
    <w:p>
      <w:pPr>
        <w:spacing w:line="60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2022年，</w:t>
      </w:r>
      <w:r>
        <w:rPr>
          <w:rFonts w:hint="eastAsia" w:ascii="仿宋_GB2312" w:eastAsia="仿宋_GB2312"/>
          <w:color w:val="000000" w:themeColor="text1"/>
          <w:sz w:val="32"/>
          <w:szCs w:val="32"/>
          <w:lang w:val="en-US" w:eastAsia="zh-CN"/>
          <w14:textFill>
            <w14:solidFill>
              <w14:schemeClr w14:val="tx1"/>
            </w14:solidFill>
          </w14:textFill>
        </w:rPr>
        <w:t>县自然资源局</w:t>
      </w:r>
      <w:r>
        <w:rPr>
          <w:rFonts w:hint="eastAsia" w:ascii="仿宋_GB2312" w:eastAsia="仿宋_GB2312"/>
          <w:color w:val="000000" w:themeColor="text1"/>
          <w:sz w:val="32"/>
          <w:szCs w:val="32"/>
          <w14:textFill>
            <w14:solidFill>
              <w14:schemeClr w14:val="tx1"/>
            </w14:solidFill>
          </w14:textFill>
        </w:rPr>
        <w:t>机关运行经费支出</w:t>
      </w:r>
      <w:r>
        <w:rPr>
          <w:rFonts w:hint="eastAsia" w:ascii="仿宋_GB2312" w:eastAsia="仿宋_GB2312"/>
          <w:color w:val="000000" w:themeColor="text1"/>
          <w:sz w:val="32"/>
          <w:szCs w:val="32"/>
          <w:lang w:val="en-US" w:eastAsia="zh-CN"/>
          <w14:textFill>
            <w14:solidFill>
              <w14:schemeClr w14:val="tx1"/>
            </w14:solidFill>
          </w14:textFill>
        </w:rPr>
        <w:t>154.63</w:t>
      </w:r>
      <w:r>
        <w:rPr>
          <w:rFonts w:hint="eastAsia" w:ascii="仿宋_GB2312" w:eastAsia="仿宋_GB2312"/>
          <w:color w:val="000000" w:themeColor="text1"/>
          <w:sz w:val="32"/>
          <w:szCs w:val="32"/>
          <w14:textFill>
            <w14:solidFill>
              <w14:schemeClr w14:val="tx1"/>
            </w14:solidFill>
          </w14:textFill>
        </w:rPr>
        <w:t>万元，比2021年增加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万元，增长</w:t>
      </w:r>
      <w:r>
        <w:rPr>
          <w:rFonts w:hint="eastAsia" w:ascii="仿宋_GB2312" w:eastAsia="仿宋_GB2312"/>
          <w:color w:val="000000" w:themeColor="text1"/>
          <w:sz w:val="32"/>
          <w:szCs w:val="32"/>
          <w:lang w:val="en-US" w:eastAsia="zh-CN"/>
          <w14:textFill>
            <w14:solidFill>
              <w14:schemeClr w14:val="tx1"/>
            </w14:solidFill>
          </w14:textFill>
        </w:rPr>
        <w:t>0.76</w:t>
      </w:r>
      <w:r>
        <w:rPr>
          <w:rFonts w:hint="eastAsia" w:ascii="仿宋_GB2312" w:eastAsia="仿宋_GB2312"/>
          <w:color w:val="000000" w:themeColor="text1"/>
          <w:sz w:val="32"/>
          <w:szCs w:val="32"/>
          <w14:textFill>
            <w14:solidFill>
              <w14:schemeClr w14:val="tx1"/>
            </w14:solidFill>
          </w14:textFill>
        </w:rPr>
        <w:t>%。主要原因是新</w:t>
      </w:r>
      <w:r>
        <w:rPr>
          <w:rFonts w:hint="eastAsia" w:ascii="仿宋_GB2312" w:eastAsia="仿宋_GB2312"/>
          <w:color w:val="000000" w:themeColor="text1"/>
          <w:sz w:val="32"/>
          <w:szCs w:val="32"/>
          <w:lang w:eastAsia="zh-CN"/>
          <w14:textFill>
            <w14:solidFill>
              <w14:schemeClr w14:val="tx1"/>
            </w14:solidFill>
          </w14:textFill>
        </w:rPr>
        <w:t>录用</w:t>
      </w:r>
      <w:r>
        <w:rPr>
          <w:rFonts w:hint="eastAsia" w:ascii="仿宋_GB2312" w:eastAsia="仿宋_GB2312"/>
          <w:color w:val="000000" w:themeColor="text1"/>
          <w:sz w:val="32"/>
          <w:szCs w:val="32"/>
          <w14:textFill>
            <w14:solidFill>
              <w14:schemeClr w14:val="tx1"/>
            </w14:solidFill>
          </w14:textFill>
        </w:rPr>
        <w:t>人员</w:t>
      </w:r>
      <w:r>
        <w:rPr>
          <w:rFonts w:hint="eastAsia" w:ascii="仿宋_GB2312" w:eastAsia="仿宋_GB2312"/>
          <w:color w:val="000000" w:themeColor="text1"/>
          <w:sz w:val="32"/>
          <w:szCs w:val="32"/>
          <w:lang w:eastAsia="zh-CN"/>
          <w14:textFill>
            <w14:solidFill>
              <w14:schemeClr w14:val="tx1"/>
            </w14:solidFill>
          </w14:textFill>
        </w:rPr>
        <w:t>增加导致</w:t>
      </w:r>
      <w:r>
        <w:rPr>
          <w:rFonts w:hint="eastAsia" w:ascii="仿宋_GB2312" w:eastAsia="仿宋_GB2312"/>
          <w:color w:val="000000" w:themeColor="text1"/>
          <w:sz w:val="32"/>
          <w:szCs w:val="32"/>
          <w14:textFill>
            <w14:solidFill>
              <w14:schemeClr w14:val="tx1"/>
            </w14:solidFill>
          </w14:textFill>
        </w:rPr>
        <w:t>机关运行经费</w:t>
      </w:r>
      <w:r>
        <w:rPr>
          <w:rFonts w:hint="eastAsia" w:ascii="仿宋_GB2312" w:eastAsia="仿宋_GB2312"/>
          <w:color w:val="000000" w:themeColor="text1"/>
          <w:sz w:val="32"/>
          <w:szCs w:val="32"/>
          <w:lang w:eastAsia="zh-CN"/>
          <w14:textFill>
            <w14:solidFill>
              <w14:schemeClr w14:val="tx1"/>
            </w14:solidFill>
          </w14:textFill>
        </w:rPr>
        <w:t>增加。</w:t>
      </w:r>
    </w:p>
    <w:p>
      <w:pPr>
        <w:autoSpaceDE w:val="0"/>
        <w:autoSpaceDN w:val="0"/>
        <w:adjustRightInd w:val="0"/>
        <w:spacing w:line="600" w:lineRule="exact"/>
        <w:ind w:firstLine="642" w:firstLineChars="200"/>
        <w:jc w:val="left"/>
        <w:outlineLvl w:val="2"/>
        <w:rPr>
          <w:rFonts w:ascii="仿宋" w:hAnsi="仿宋" w:eastAsia="仿宋"/>
          <w:b/>
          <w:color w:val="000000" w:themeColor="text1"/>
          <w:sz w:val="32"/>
          <w:szCs w:val="32"/>
          <w14:textFill>
            <w14:solidFill>
              <w14:schemeClr w14:val="tx1"/>
            </w14:solidFill>
          </w14:textFill>
        </w:rPr>
      </w:pPr>
      <w:bookmarkStart w:id="55" w:name="_Toc15377223"/>
      <w:r>
        <w:rPr>
          <w:rFonts w:hint="eastAsia" w:ascii="仿宋" w:hAnsi="仿宋" w:eastAsia="仿宋"/>
          <w:b/>
          <w:color w:val="000000" w:themeColor="text1"/>
          <w:sz w:val="32"/>
          <w:szCs w:val="32"/>
          <w14:textFill>
            <w14:solidFill>
              <w14:schemeClr w14:val="tx1"/>
            </w14:solidFill>
          </w14:textFill>
        </w:rPr>
        <w:t>（二）政府采购支出情况</w:t>
      </w:r>
      <w:bookmarkEnd w:id="55"/>
    </w:p>
    <w:p>
      <w:pPr>
        <w:spacing w:line="600" w:lineRule="exact"/>
        <w:ind w:firstLine="640" w:firstLineChars="200"/>
        <w:rPr>
          <w:rFonts w:ascii="仿宋" w:hAnsi="仿宋" w:eastAsia="仿宋"/>
          <w:b/>
          <w:color w:val="FF0000"/>
          <w:sz w:val="32"/>
          <w:szCs w:val="32"/>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w:t>
      </w:r>
      <w:r>
        <w:rPr>
          <w:rFonts w:hint="eastAsia" w:ascii="仿宋_GB2312" w:eastAsia="仿宋_GB2312"/>
          <w:color w:val="000000" w:themeColor="text1"/>
          <w:sz w:val="32"/>
          <w:szCs w:val="32"/>
          <w:lang w:eastAsia="zh-CN"/>
          <w14:textFill>
            <w14:solidFill>
              <w14:schemeClr w14:val="tx1"/>
            </w14:solidFill>
          </w14:textFill>
        </w:rPr>
        <w:t>县自然资源局部门</w:t>
      </w:r>
      <w:r>
        <w:rPr>
          <w:rFonts w:hint="eastAsia" w:ascii="仿宋_GB2312" w:eastAsia="仿宋_GB2312"/>
          <w:color w:val="000000" w:themeColor="text1"/>
          <w:sz w:val="32"/>
          <w:szCs w:val="32"/>
          <w14:textFill>
            <w14:solidFill>
              <w14:schemeClr w14:val="tx1"/>
            </w14:solidFill>
          </w14:textFill>
        </w:rPr>
        <w:t>政府采购支出总额</w:t>
      </w:r>
      <w:r>
        <w:rPr>
          <w:rFonts w:hint="eastAsia" w:ascii="仿宋_GB2312" w:eastAsia="仿宋_GB2312"/>
          <w:color w:val="000000" w:themeColor="text1"/>
          <w:sz w:val="32"/>
          <w:szCs w:val="32"/>
          <w:lang w:val="en-US" w:eastAsia="zh-CN"/>
          <w14:textFill>
            <w14:solidFill>
              <w14:schemeClr w14:val="tx1"/>
            </w14:solidFill>
          </w14:textFill>
        </w:rPr>
        <w:t>2319.34</w:t>
      </w:r>
      <w:r>
        <w:rPr>
          <w:rFonts w:hint="eastAsia" w:ascii="仿宋_GB2312" w:eastAsia="仿宋_GB2312"/>
          <w:color w:val="000000" w:themeColor="text1"/>
          <w:sz w:val="32"/>
          <w:szCs w:val="32"/>
          <w14:textFill>
            <w14:solidFill>
              <w14:schemeClr w14:val="tx1"/>
            </w14:solidFill>
          </w14:textFill>
        </w:rPr>
        <w:t>万元，其中：政府采购货物支出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万元、政府采购工程支出</w:t>
      </w:r>
      <w:r>
        <w:rPr>
          <w:rFonts w:hint="eastAsia" w:ascii="仿宋_GB2312" w:eastAsia="仿宋_GB2312"/>
          <w:color w:val="000000" w:themeColor="text1"/>
          <w:sz w:val="32"/>
          <w:szCs w:val="32"/>
          <w:lang w:val="en-US" w:eastAsia="zh-CN"/>
          <w14:textFill>
            <w14:solidFill>
              <w14:schemeClr w14:val="tx1"/>
            </w14:solidFill>
          </w14:textFill>
        </w:rPr>
        <w:t>512.64</w:t>
      </w:r>
      <w:r>
        <w:rPr>
          <w:rFonts w:hint="eastAsia" w:ascii="仿宋_GB2312" w:eastAsia="仿宋_GB2312"/>
          <w:color w:val="000000" w:themeColor="text1"/>
          <w:sz w:val="32"/>
          <w:szCs w:val="32"/>
          <w14:textFill>
            <w14:solidFill>
              <w14:schemeClr w14:val="tx1"/>
            </w14:solidFill>
          </w14:textFill>
        </w:rPr>
        <w:t>万元、政府采购服务支出</w:t>
      </w:r>
      <w:r>
        <w:rPr>
          <w:rFonts w:hint="eastAsia" w:ascii="仿宋_GB2312" w:eastAsia="仿宋_GB2312"/>
          <w:color w:val="000000" w:themeColor="text1"/>
          <w:sz w:val="32"/>
          <w:szCs w:val="32"/>
          <w:lang w:val="en-US" w:eastAsia="zh-CN"/>
          <w14:textFill>
            <w14:solidFill>
              <w14:schemeClr w14:val="tx1"/>
            </w14:solidFill>
          </w14:textFill>
        </w:rPr>
        <w:t>1806.70</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地灾项目技术服务、地价评估、土地利用总体规划调整、卫片执法技术服务、第三次全国土地调查、矿权出让前期服务、规划项目服务、土地变更调查、土地报征及其他相关业务活动</w:t>
      </w:r>
      <w:r>
        <w:rPr>
          <w:rFonts w:hint="eastAsia" w:ascii="仿宋_GB2312" w:eastAsia="仿宋_GB2312"/>
          <w:color w:val="000000" w:themeColor="text1"/>
          <w:sz w:val="32"/>
          <w:szCs w:val="32"/>
          <w14:textFill>
            <w14:solidFill>
              <w14:schemeClr w14:val="tx1"/>
            </w14:solidFill>
          </w14:textFill>
        </w:rPr>
        <w:t>。授予中小企业合同金额</w:t>
      </w:r>
      <w:r>
        <w:rPr>
          <w:rFonts w:hint="eastAsia" w:ascii="仿宋_GB2312" w:eastAsia="仿宋_GB2312"/>
          <w:color w:val="000000" w:themeColor="text1"/>
          <w:sz w:val="32"/>
          <w:szCs w:val="32"/>
          <w:lang w:val="en-US" w:eastAsia="zh-CN"/>
          <w14:textFill>
            <w14:solidFill>
              <w14:schemeClr w14:val="tx1"/>
            </w14:solidFill>
          </w14:textFill>
        </w:rPr>
        <w:t>512.64</w:t>
      </w:r>
      <w:r>
        <w:rPr>
          <w:rFonts w:hint="eastAsia" w:ascii="仿宋_GB2312" w:eastAsia="仿宋_GB2312"/>
          <w:color w:val="000000" w:themeColor="text1"/>
          <w:sz w:val="32"/>
          <w:szCs w:val="32"/>
          <w14:textFill>
            <w14:solidFill>
              <w14:schemeClr w14:val="tx1"/>
            </w14:solidFill>
          </w14:textFill>
        </w:rPr>
        <w:t>万元，占政府采购支出总额的</w:t>
      </w:r>
      <w:r>
        <w:rPr>
          <w:rFonts w:hint="eastAsia" w:ascii="仿宋_GB2312" w:eastAsia="仿宋_GB2312"/>
          <w:color w:val="000000" w:themeColor="text1"/>
          <w:sz w:val="32"/>
          <w:szCs w:val="32"/>
          <w:lang w:val="en-US" w:eastAsia="zh-CN"/>
          <w14:textFill>
            <w14:solidFill>
              <w14:schemeClr w14:val="tx1"/>
            </w14:solidFill>
          </w14:textFill>
        </w:rPr>
        <w:t>22.10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，其中：授予小微企业合同金额</w:t>
      </w:r>
      <w:r>
        <w:rPr>
          <w:rFonts w:hint="eastAsia" w:ascii="仿宋_GB2312" w:eastAsia="仿宋_GB2312"/>
          <w:color w:val="000000" w:themeColor="text1"/>
          <w:sz w:val="32"/>
          <w:szCs w:val="32"/>
          <w:lang w:val="en-US" w:eastAsia="zh-CN"/>
          <w14:textFill>
            <w14:solidFill>
              <w14:schemeClr w14:val="tx1"/>
            </w14:solidFill>
          </w14:textFill>
        </w:rPr>
        <w:t>512.64</w:t>
      </w:r>
      <w:r>
        <w:rPr>
          <w:rFonts w:hint="eastAsia" w:ascii="仿宋_GB2312" w:eastAsia="仿宋_GB2312"/>
          <w:color w:val="000000" w:themeColor="text1"/>
          <w:sz w:val="32"/>
          <w:szCs w:val="32"/>
          <w14:textFill>
            <w14:solidFill>
              <w14:schemeClr w14:val="tx1"/>
            </w14:solidFill>
          </w14:textFill>
        </w:rPr>
        <w:t>万元，占政府采购支出总额的</w:t>
      </w:r>
      <w:r>
        <w:rPr>
          <w:rFonts w:hint="eastAsia" w:ascii="仿宋_GB2312" w:eastAsia="仿宋_GB2312"/>
          <w:color w:val="000000" w:themeColor="text1"/>
          <w:sz w:val="32"/>
          <w:szCs w:val="32"/>
          <w:lang w:val="en-US" w:eastAsia="zh-CN"/>
          <w14:textFill>
            <w14:solidFill>
              <w14:schemeClr w14:val="tx1"/>
            </w14:solidFill>
          </w14:textFill>
        </w:rPr>
        <w:t>22.10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autoSpaceDE w:val="0"/>
        <w:autoSpaceDN w:val="0"/>
        <w:adjustRightInd w:val="0"/>
        <w:spacing w:line="600" w:lineRule="exact"/>
        <w:ind w:firstLine="642" w:firstLineChars="200"/>
        <w:jc w:val="left"/>
        <w:outlineLvl w:val="2"/>
        <w:rPr>
          <w:rFonts w:ascii="仿宋" w:hAnsi="仿宋" w:eastAsia="仿宋"/>
          <w:b/>
          <w:color w:val="000000" w:themeColor="text1"/>
          <w:sz w:val="32"/>
          <w:szCs w:val="32"/>
          <w14:textFill>
            <w14:solidFill>
              <w14:schemeClr w14:val="tx1"/>
            </w14:solidFill>
          </w14:textFill>
        </w:rPr>
      </w:pPr>
      <w:bookmarkStart w:id="56" w:name="_Toc15377224"/>
      <w:r>
        <w:rPr>
          <w:rFonts w:hint="eastAsia" w:ascii="仿宋" w:hAnsi="仿宋" w:eastAsia="仿宋"/>
          <w:b/>
          <w:color w:val="000000" w:themeColor="text1"/>
          <w:sz w:val="32"/>
          <w:szCs w:val="32"/>
          <w14:textFill>
            <w14:solidFill>
              <w14:schemeClr w14:val="tx1"/>
            </w14:solidFill>
          </w14:textFill>
        </w:rPr>
        <w:t>（三）国有资产占有使用情况</w:t>
      </w:r>
      <w:bookmarkEnd w:id="56"/>
    </w:p>
    <w:p>
      <w:pPr>
        <w:autoSpaceDE w:val="0"/>
        <w:autoSpaceDN w:val="0"/>
        <w:adjustRightInd w:val="0"/>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eastAsia="zh-CN"/>
          <w14:textFill>
            <w14:solidFill>
              <w14:schemeClr w14:val="tx1"/>
            </w14:solidFill>
          </w14:textFill>
        </w:rPr>
        <w:t>县自然资源局部门</w:t>
      </w:r>
      <w:r>
        <w:rPr>
          <w:rFonts w:hint="eastAsia" w:ascii="仿宋_GB2312" w:eastAsia="仿宋_GB2312"/>
          <w:color w:val="000000" w:themeColor="text1"/>
          <w:sz w:val="32"/>
          <w:szCs w:val="32"/>
          <w14:textFill>
            <w14:solidFill>
              <w14:schemeClr w14:val="tx1"/>
            </w14:solidFill>
          </w14:textFill>
        </w:rPr>
        <w:t>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辆，其中：应急保障用车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万元以上专用设备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autoSpaceDE w:val="0"/>
        <w:autoSpaceDN w:val="0"/>
        <w:adjustRightInd w:val="0"/>
        <w:spacing w:line="600" w:lineRule="exact"/>
        <w:ind w:firstLine="642" w:firstLineChars="200"/>
        <w:jc w:val="left"/>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（四）预算绩效管理情况</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eastAsia="仿宋_GB2312"/>
          <w:b/>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根据预算绩效管理要求，本部门在2022年度预算编制阶段，组织对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国土空间规划一张图</w:t>
      </w:r>
      <w:r>
        <w:rPr>
          <w:rFonts w:hint="eastAsia" w:ascii="仿宋_GB2312" w:hAnsi="仿宋_GB2312" w:eastAsia="仿宋_GB2312" w:cs="仿宋_GB2312"/>
          <w:color w:val="000000" w:themeColor="text1"/>
          <w:sz w:val="32"/>
          <w:szCs w:val="32"/>
          <w14:textFill>
            <w14:solidFill>
              <w14:schemeClr w14:val="tx1"/>
            </w14:solidFill>
          </w14:textFill>
        </w:rPr>
        <w:t>项目（项目名称）等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个项目开展了预算事前绩效评估，对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个项目编制了绩效目标，预算执行过程中，选取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14:textFill>
            <w14:solidFill>
              <w14:schemeClr w14:val="tx1"/>
            </w14:solidFill>
          </w14:textFill>
        </w:rPr>
        <w:t>个项目开展绩效监控。</w:t>
      </w:r>
      <w:r>
        <w:rPr>
          <w:rFonts w:hint="eastAsia" w:hAnsi="仿宋_GB2312" w:eastAsia="仿宋_GB2312" w:cs="仿宋_GB2312"/>
          <w:color w:val="000000" w:themeColor="text1"/>
          <w:sz w:val="32"/>
          <w:szCs w:val="32"/>
          <w:lang w:eastAsia="zh-CN"/>
          <w14:textFill>
            <w14:solidFill>
              <w14:schemeClr w14:val="tx1"/>
            </w14:solidFill>
          </w14:textFill>
        </w:rPr>
        <w:t>组织对</w:t>
      </w:r>
      <w:r>
        <w:rPr>
          <w:rFonts w:hint="eastAsia"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5个项目开展绩效自评，选取3个项目绩效自评进行公开，</w:t>
      </w:r>
      <w:r>
        <w:rPr>
          <w:rFonts w:hint="eastAsia" w:ascii="仿宋_GB2312" w:hAnsi="仿宋_GB2312" w:eastAsia="仿宋_GB2312" w:cs="仿宋_GB2312"/>
          <w:color w:val="000000" w:themeColor="text1"/>
          <w:sz w:val="32"/>
          <w:szCs w:val="32"/>
          <w14:textFill>
            <w14:solidFill>
              <w14:schemeClr w14:val="tx1"/>
            </w14:solidFill>
          </w14:textFill>
        </w:rPr>
        <w:t>绩效自评表详见第四部分附件。</w:t>
      </w:r>
      <w:r>
        <w:rPr>
          <w:rFonts w:ascii="仿宋_GB2312" w:eastAsia="仿宋_GB2312"/>
          <w:b/>
          <w:color w:val="FF0000"/>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color w:val="000000" w:themeColor="text1"/>
          <w14:textFill>
            <w14:solidFill>
              <w14:schemeClr w14:val="tx1"/>
            </w14:solidFill>
          </w14:textFill>
        </w:rPr>
      </w:pPr>
      <w:bookmarkStart w:id="57" w:name="_Toc15396613"/>
      <w:bookmarkStart w:id="58" w:name="_Toc15377225"/>
      <w:r>
        <w:rPr>
          <w:rFonts w:hint="eastAsia" w:ascii="黑体" w:hAnsi="黑体" w:eastAsia="黑体"/>
          <w:color w:val="000000" w:themeColor="text1"/>
          <w:sz w:val="44"/>
          <w:szCs w:val="44"/>
          <w14:textFill>
            <w14:solidFill>
              <w14:schemeClr w14:val="tx1"/>
            </w14:solidFill>
          </w14:textFill>
        </w:rPr>
        <w:t>名</w:t>
      </w:r>
      <w:r>
        <w:rPr>
          <w:rStyle w:val="29"/>
          <w:rFonts w:hint="eastAsia" w:ascii="黑体" w:hAnsi="黑体" w:eastAsia="黑体"/>
          <w:b w:val="0"/>
          <w:color w:val="000000" w:themeColor="text1"/>
          <w14:textFill>
            <w14:solidFill>
              <w14:schemeClr w14:val="tx1"/>
            </w14:solidFill>
          </w14:textFill>
        </w:rPr>
        <w:t>词解释</w:t>
      </w:r>
      <w:bookmarkEnd w:id="57"/>
      <w:bookmarkEnd w:id="58"/>
    </w:p>
    <w:p>
      <w:pPr>
        <w:spacing w:line="600" w:lineRule="exact"/>
        <w:jc w:val="left"/>
        <w:rPr>
          <w:rFonts w:ascii="宋体"/>
          <w:b/>
          <w:color w:val="FF0000"/>
          <w:sz w:val="44"/>
          <w:szCs w:val="44"/>
        </w:rPr>
      </w:pPr>
    </w:p>
    <w:p>
      <w:pPr>
        <w:pStyle w:val="27"/>
        <w:spacing w:line="560" w:lineRule="exact"/>
        <w:ind w:firstLine="640" w:firstLineChars="200"/>
        <w:rPr>
          <w:rFonts w:ascii="仿宋_GB2312" w:eastAsia="仿宋_GB2312"/>
          <w:color w:val="FF0000"/>
          <w:sz w:val="32"/>
          <w:szCs w:val="32"/>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r>
        <w:rPr>
          <w:rFonts w:ascii="仿宋_GB2312" w:eastAsia="仿宋_GB2312"/>
          <w:color w:val="FF0000"/>
          <w:sz w:val="32"/>
          <w:szCs w:val="32"/>
        </w:rPr>
        <w:t xml:space="preserve"> </w:t>
      </w:r>
    </w:p>
    <w:p>
      <w:pPr>
        <w:pStyle w:val="27"/>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r>
        <w:rPr>
          <w:rFonts w:hint="eastAsia" w:ascii="仿宋_GB2312" w:eastAsia="仿宋_GB2312"/>
          <w:color w:val="FF0000"/>
          <w:sz w:val="32"/>
          <w:szCs w:val="32"/>
        </w:rPr>
        <w:t xml:space="preserve"> </w:t>
      </w:r>
    </w:p>
    <w:p>
      <w:pPr>
        <w:pStyle w:val="27"/>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社会保障和就业（类）行政事业单位养老支出（款）   行政单位离退休（项）：</w:t>
      </w:r>
      <w:r>
        <w:rPr>
          <w:rFonts w:hint="eastAsia" w:ascii="仿宋_GB2312" w:eastAsia="仿宋_GB2312"/>
          <w:color w:val="000000" w:themeColor="text1"/>
          <w:sz w:val="32"/>
          <w:szCs w:val="32"/>
          <w:lang w:eastAsia="zh-CN"/>
          <w14:textFill>
            <w14:solidFill>
              <w14:schemeClr w14:val="tx1"/>
            </w14:solidFill>
          </w14:textFill>
        </w:rPr>
        <w:t>反映行政单位（包括实行公务员管理的事业单位）开支的离退休经费</w:t>
      </w:r>
      <w:r>
        <w:rPr>
          <w:rFonts w:hint="eastAsia" w:ascii="仿宋_GB2312" w:eastAsia="仿宋_GB2312"/>
          <w:color w:val="000000" w:themeColor="text1"/>
          <w:sz w:val="32"/>
          <w:szCs w:val="32"/>
          <w14:textFill>
            <w14:solidFill>
              <w14:schemeClr w14:val="tx1"/>
            </w14:solidFill>
          </w14:textFill>
        </w:rPr>
        <w:t>。</w:t>
      </w:r>
    </w:p>
    <w:p>
      <w:pPr>
        <w:pStyle w:val="2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.社会保障和就业（类）行政事业单位养老支出（款） 机关事业单位基本养老险缴费支出（项）：</w:t>
      </w:r>
      <w:r>
        <w:rPr>
          <w:rFonts w:hint="eastAsia" w:ascii="仿宋_GB2312" w:eastAsia="仿宋_GB2312"/>
          <w:color w:val="000000" w:themeColor="text1"/>
          <w:sz w:val="32"/>
          <w:szCs w:val="32"/>
          <w:lang w:eastAsia="zh-CN"/>
          <w14:textFill>
            <w14:solidFill>
              <w14:schemeClr w14:val="tx1"/>
            </w14:solidFill>
          </w14:textFill>
        </w:rPr>
        <w:t>反映机关事业单位实施养老保险制度由单位缴纳的基本养老保险费支出</w:t>
      </w:r>
      <w:r>
        <w:rPr>
          <w:rFonts w:hint="eastAsia" w:ascii="仿宋_GB2312" w:eastAsia="仿宋_GB2312"/>
          <w:color w:val="000000" w:themeColor="text1"/>
          <w:sz w:val="32"/>
          <w:szCs w:val="32"/>
          <w14:textFill>
            <w14:solidFill>
              <w14:schemeClr w14:val="tx1"/>
            </w14:solidFill>
          </w14:textFill>
        </w:rPr>
        <w:t>。</w:t>
      </w:r>
    </w:p>
    <w:p>
      <w:pPr>
        <w:pStyle w:val="2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.卫生健康支出（类）行政事业单位医疗（款）行政单位医疗（项）：</w:t>
      </w:r>
      <w:r>
        <w:rPr>
          <w:rFonts w:hint="eastAsia" w:ascii="仿宋_GB2312" w:eastAsia="仿宋_GB2312"/>
          <w:color w:val="000000" w:themeColor="text1"/>
          <w:sz w:val="32"/>
          <w:szCs w:val="32"/>
          <w:lang w:eastAsia="zh-CN"/>
          <w14:textFill>
            <w14:solidFill>
              <w14:schemeClr w14:val="tx1"/>
            </w14:solidFill>
          </w14:textFill>
        </w:rPr>
        <w:t>反映财政部门安排的行政单位（包括实行公务员管理的事业单位）基本医疗保险缴费经费</w:t>
      </w:r>
      <w:r>
        <w:rPr>
          <w:rFonts w:hint="eastAsia" w:ascii="仿宋_GB2312" w:eastAsia="仿宋_GB2312"/>
          <w:color w:val="000000" w:themeColor="text1"/>
          <w:sz w:val="32"/>
          <w:szCs w:val="32"/>
          <w14:textFill>
            <w14:solidFill>
              <w14:schemeClr w14:val="tx1"/>
            </w14:solidFill>
          </w14:textFill>
        </w:rPr>
        <w:t>。</w:t>
      </w:r>
    </w:p>
    <w:p>
      <w:pPr>
        <w:pStyle w:val="2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.卫生健康支出（类）行政事业单位医疗（款）</w:t>
      </w:r>
      <w:r>
        <w:rPr>
          <w:rFonts w:hint="eastAsia" w:ascii="仿宋_GB2312" w:eastAsia="仿宋_GB2312"/>
          <w:color w:val="000000" w:themeColor="text1"/>
          <w:sz w:val="32"/>
          <w:szCs w:val="32"/>
          <w:lang w:eastAsia="zh-CN"/>
          <w14:textFill>
            <w14:solidFill>
              <w14:schemeClr w14:val="tx1"/>
            </w14:solidFill>
          </w14:textFill>
        </w:rPr>
        <w:t>事业</w:t>
      </w:r>
      <w:r>
        <w:rPr>
          <w:rFonts w:hint="eastAsia" w:ascii="仿宋_GB2312" w:eastAsia="仿宋_GB2312"/>
          <w:color w:val="000000" w:themeColor="text1"/>
          <w:sz w:val="32"/>
          <w:szCs w:val="32"/>
          <w14:textFill>
            <w14:solidFill>
              <w14:schemeClr w14:val="tx1"/>
            </w14:solidFill>
          </w14:textFill>
        </w:rPr>
        <w:t>单位医疗（项）：</w:t>
      </w:r>
      <w:r>
        <w:rPr>
          <w:rFonts w:hint="eastAsia" w:ascii="仿宋_GB2312" w:eastAsia="仿宋_GB2312"/>
          <w:color w:val="000000" w:themeColor="text1"/>
          <w:sz w:val="32"/>
          <w:szCs w:val="32"/>
          <w:lang w:eastAsia="zh-CN"/>
          <w14:textFill>
            <w14:solidFill>
              <w14:schemeClr w14:val="tx1"/>
            </w14:solidFill>
          </w14:textFill>
        </w:rPr>
        <w:t>反映财政部门安排的事业单位基本医疗保险缴费经费</w:t>
      </w:r>
      <w:r>
        <w:rPr>
          <w:rFonts w:hint="eastAsia" w:ascii="仿宋_GB2312" w:eastAsia="仿宋_GB2312"/>
          <w:color w:val="000000" w:themeColor="text1"/>
          <w:sz w:val="32"/>
          <w:szCs w:val="32"/>
          <w14:textFill>
            <w14:solidFill>
              <w14:schemeClr w14:val="tx1"/>
            </w14:solidFill>
          </w14:textFill>
        </w:rPr>
        <w:t>。</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7.城乡社区支出（类）国有土地使用权出让收入安排的支出（款） 征地和拆迁补偿支出（项）：反映地方政府在征地和收购土地过程中支付的土地补偿费、安置补助费、地上附着和青苗补偿费、拆迁补偿费支出。</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8.城乡社区支出（类）国有土地使用权出让收入安排的支出（款）土地开发支出（项）：反映用于前期土地开发性支出以及与前期土地开发相关的费用等支出。</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城乡社区支出（类）国有土地使用权出让收入安排的支出（款）农村基础设施建设支出（项）：反映土地出让收入用于农村供水保障、村庄公共设施建设和管护以及与农业农村直接相关的以工代赈等方面的支出。</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10.城乡社区支出（类）国有土地使用权出让收入安排的支出（款）补助被征地农民支出（项）：反映土地出让收入用于补助被征地农民社会保障支出以及保持被征地农民原有生活水平支出。</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11.城乡社区支出（类）国有土地使用权出让收入安排的支出（款）土地出让业务支出（项）：反映土地出让收入用于土地出让业务费用的开支。</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12.城乡社区支出（类）国有土地使用权出让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pStyle w:val="27"/>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13.城乡社区支出（类）土地储备专项债券收入安排的支出（款）征地和拆迁补偿支出（项）：反映土地储备专项债券用于地方政府在征地和收购土地过程中支付的土地补偿费、安置补助费、地上附着和青苗补偿费、拆迁补偿费支出。</w:t>
      </w:r>
    </w:p>
    <w:p>
      <w:pPr>
        <w:pStyle w:val="2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.自然资源海洋气象（类）自然资源事务（款）行政运行（项）:</w:t>
      </w:r>
      <w:r>
        <w:rPr>
          <w:rFonts w:hint="eastAsia" w:ascii="仿宋_GB2312" w:eastAsia="仿宋_GB2312"/>
          <w:color w:val="000000" w:themeColor="text1"/>
          <w:sz w:val="32"/>
          <w:szCs w:val="32"/>
          <w:lang w:eastAsia="zh-CN"/>
          <w14:textFill>
            <w14:solidFill>
              <w14:schemeClr w14:val="tx1"/>
            </w14:solidFill>
          </w14:textFill>
        </w:rPr>
        <w:t>反映行政单位（包括实行公务员管理的事业单位）的基本支出</w:t>
      </w:r>
      <w:r>
        <w:rPr>
          <w:rFonts w:hint="eastAsia" w:ascii="仿宋_GB2312" w:eastAsia="仿宋_GB2312"/>
          <w:color w:val="000000" w:themeColor="text1"/>
          <w:sz w:val="32"/>
          <w:szCs w:val="32"/>
          <w14:textFill>
            <w14:solidFill>
              <w14:schemeClr w14:val="tx1"/>
            </w14:solidFill>
          </w14:textFill>
        </w:rPr>
        <w:t>。</w:t>
      </w:r>
    </w:p>
    <w:p>
      <w:pPr>
        <w:pStyle w:val="27"/>
        <w:keepNext w:val="0"/>
        <w:keepLines w:val="0"/>
        <w:pageBreakBefore w:val="0"/>
        <w:widowControl w:val="0"/>
        <w:kinsoku/>
        <w:wordWrap/>
        <w:overflowPunct/>
        <w:topLinePunct w:val="0"/>
        <w:bidi w:val="0"/>
        <w:snapToGrid/>
        <w:spacing w:line="560" w:lineRule="exact"/>
        <w:ind w:right="0" w:firstLine="640" w:firstLineChars="200"/>
        <w:textAlignment w:val="auto"/>
        <w:rPr>
          <w:rFonts w:hint="eastAsia"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.自然资源海洋气象（类）自然资源事务（款）一般行政管理事务（项）:</w:t>
      </w:r>
      <w:r>
        <w:rPr>
          <w:rFonts w:hint="eastAsia" w:ascii="仿宋_GB2312" w:eastAsia="仿宋_GB2312"/>
          <w:color w:val="000000" w:themeColor="text1"/>
          <w:sz w:val="32"/>
          <w:szCs w:val="32"/>
          <w:lang w:eastAsia="zh-CN"/>
          <w14:textFill>
            <w14:solidFill>
              <w14:schemeClr w14:val="tx1"/>
            </w14:solidFill>
          </w14:textFill>
        </w:rPr>
        <w:t>反映行政单位（包括实行公务员管理的事业单位）未单独设置项级科目的其他项目支出</w:t>
      </w:r>
      <w:r>
        <w:rPr>
          <w:rFonts w:hint="eastAsia" w:ascii="仿宋_GB2312" w:eastAsia="仿宋_GB2312"/>
          <w:color w:val="000000" w:themeColor="text1"/>
          <w:sz w:val="32"/>
          <w:szCs w:val="32"/>
          <w14:textFill>
            <w14:solidFill>
              <w14:schemeClr w14:val="tx1"/>
            </w14:solidFill>
          </w14:textFill>
        </w:rPr>
        <w:t>。</w:t>
      </w:r>
    </w:p>
    <w:p>
      <w:pPr>
        <w:pStyle w:val="28"/>
        <w:keepNext w:val="0"/>
        <w:keepLines w:val="0"/>
        <w:pageBreakBefore w:val="0"/>
        <w:widowControl w:val="0"/>
        <w:numPr>
          <w:ilvl w:val="0"/>
          <w:numId w:val="0"/>
        </w:numPr>
        <w:tabs>
          <w:tab w:val="left" w:pos="2020"/>
        </w:tabs>
        <w:kinsoku/>
        <w:wordWrap/>
        <w:overflowPunct/>
        <w:topLinePunct w:val="0"/>
        <w:bidi w:val="0"/>
        <w:snapToGrid/>
        <w:spacing w:before="3" w:after="0" w:line="336" w:lineRule="auto"/>
        <w:ind w:right="0" w:rightChars="0" w:firstLine="640" w:firstLineChars="200"/>
        <w:jc w:val="left"/>
        <w:textAlignment w:val="auto"/>
        <w:rPr>
          <w:rFonts w:hint="eastAsia" w:ascii="仿宋_GB2312" w:hAnsi="Calibri" w:eastAsia="仿宋_GB2312" w:cs="仿宋"/>
          <w:color w:val="000000" w:themeColor="text1"/>
          <w:sz w:val="32"/>
          <w:szCs w:val="32"/>
          <w:lang w:val="en-US" w:eastAsia="zh-CN" w:bidi="ar-SA"/>
          <w14:textFill>
            <w14:solidFill>
              <w14:schemeClr w14:val="tx1"/>
            </w14:solidFill>
          </w14:textFill>
        </w:rPr>
      </w:pPr>
      <w:r>
        <w:rPr>
          <w:rFonts w:hint="eastAsia" w:ascii="仿宋_GB2312" w:hAnsi="Calibri" w:eastAsia="仿宋_GB2312" w:cs="仿宋"/>
          <w:color w:val="000000" w:themeColor="text1"/>
          <w:sz w:val="32"/>
          <w:szCs w:val="32"/>
          <w:lang w:val="en-US" w:eastAsia="zh-CN" w:bidi="ar-SA"/>
          <w14:textFill>
            <w14:solidFill>
              <w14:schemeClr w14:val="tx1"/>
            </w14:solidFill>
          </w14:textFill>
        </w:rPr>
        <w:t>16.自然资源海洋气象（类）自然资源事务（款）自然资源规划及管理（项）:反映用于国土空间规划、国土空间开发适宜性评价等方面的支出。</w:t>
      </w:r>
    </w:p>
    <w:p>
      <w:pPr>
        <w:pStyle w:val="28"/>
        <w:keepNext w:val="0"/>
        <w:keepLines w:val="0"/>
        <w:pageBreakBefore w:val="0"/>
        <w:widowControl w:val="0"/>
        <w:numPr>
          <w:ilvl w:val="0"/>
          <w:numId w:val="0"/>
        </w:numPr>
        <w:tabs>
          <w:tab w:val="left" w:pos="2020"/>
        </w:tabs>
        <w:kinsoku/>
        <w:wordWrap/>
        <w:overflowPunct/>
        <w:topLinePunct w:val="0"/>
        <w:bidi w:val="0"/>
        <w:snapToGrid/>
        <w:spacing w:before="3" w:after="0" w:line="336" w:lineRule="auto"/>
        <w:ind w:right="0" w:rightChars="0" w:firstLine="640" w:firstLineChars="200"/>
        <w:jc w:val="left"/>
        <w:textAlignment w:val="auto"/>
        <w:rPr>
          <w:rFonts w:hint="eastAsia" w:ascii="仿宋_GB2312" w:hAnsi="Calibri" w:eastAsia="仿宋_GB2312" w:cs="仿宋"/>
          <w:color w:val="FF0000"/>
          <w:sz w:val="32"/>
          <w:szCs w:val="32"/>
          <w:lang w:val="en-US" w:eastAsia="zh-CN" w:bidi="ar-SA"/>
        </w:rPr>
      </w:pPr>
      <w:r>
        <w:rPr>
          <w:rFonts w:hint="eastAsia" w:ascii="仿宋_GB2312" w:hAnsi="Calibri" w:eastAsia="仿宋_GB2312" w:cs="仿宋"/>
          <w:color w:val="000000" w:themeColor="text1"/>
          <w:sz w:val="32"/>
          <w:szCs w:val="32"/>
          <w:lang w:val="en-US" w:eastAsia="zh-CN" w:bidi="ar-SA"/>
          <w14:textFill>
            <w14:solidFill>
              <w14:schemeClr w14:val="tx1"/>
            </w14:solidFill>
          </w14:textFill>
        </w:rPr>
        <w:t>17.自然资源海洋气象（类）自然资源事务（款）自然资源利用与保护（项）:反映用于自然资源有偿使用与合理开发利用，国土空间生态修复、国土整治，耕地保护等方面的支出。</w:t>
      </w:r>
    </w:p>
    <w:p>
      <w:pPr>
        <w:pStyle w:val="28"/>
        <w:keepNext w:val="0"/>
        <w:keepLines w:val="0"/>
        <w:pageBreakBefore w:val="0"/>
        <w:widowControl w:val="0"/>
        <w:numPr>
          <w:ilvl w:val="0"/>
          <w:numId w:val="0"/>
        </w:numPr>
        <w:tabs>
          <w:tab w:val="left" w:pos="2020"/>
        </w:tabs>
        <w:kinsoku/>
        <w:wordWrap/>
        <w:overflowPunct/>
        <w:topLinePunct w:val="0"/>
        <w:bidi w:val="0"/>
        <w:snapToGrid/>
        <w:spacing w:before="3" w:after="0" w:line="336" w:lineRule="auto"/>
        <w:ind w:right="0" w:rightChars="0" w:firstLine="640" w:firstLineChars="200"/>
        <w:jc w:val="lef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Calibri" w:eastAsia="仿宋_GB2312" w:cs="仿宋"/>
          <w:color w:val="000000" w:themeColor="text1"/>
          <w:sz w:val="32"/>
          <w:szCs w:val="32"/>
          <w:lang w:val="en-US" w:eastAsia="zh-CN" w:bidi="ar-SA"/>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t>自然资源海洋气象（类）自然资源事务（款）</w:t>
      </w:r>
      <w:r>
        <w:rPr>
          <w:rFonts w:hint="eastAsia" w:ascii="仿宋_GB2312" w:eastAsia="仿宋_GB2312"/>
          <w:color w:val="000000" w:themeColor="text1"/>
          <w:sz w:val="32"/>
          <w:szCs w:val="32"/>
          <w:lang w:eastAsia="zh-CN"/>
          <w14:textFill>
            <w14:solidFill>
              <w14:schemeClr w14:val="tx1"/>
            </w14:solidFill>
          </w14:textFill>
        </w:rPr>
        <w:t>事业</w:t>
      </w:r>
      <w:r>
        <w:rPr>
          <w:rFonts w:hint="eastAsia" w:ascii="仿宋_GB2312" w:eastAsia="仿宋_GB2312"/>
          <w:color w:val="000000" w:themeColor="text1"/>
          <w:sz w:val="32"/>
          <w:szCs w:val="32"/>
          <w14:textFill>
            <w14:solidFill>
              <w14:schemeClr w14:val="tx1"/>
            </w14:solidFill>
          </w14:textFill>
        </w:rPr>
        <w:t>运行（项）:</w:t>
      </w:r>
      <w:r>
        <w:rPr>
          <w:rFonts w:hint="eastAsia" w:ascii="仿宋_GB2312" w:eastAsia="仿宋_GB2312"/>
          <w:color w:val="000000" w:themeColor="text1"/>
          <w:sz w:val="32"/>
          <w:szCs w:val="32"/>
          <w:lang w:eastAsia="zh-CN"/>
          <w14:textFill>
            <w14:solidFill>
              <w14:schemeClr w14:val="tx1"/>
            </w14:solidFill>
          </w14:textFill>
        </w:rPr>
        <w:t>反映事业单位的基本支出，不包括行政单位（包括实行公务员管理的事业单位）后勤服务中心、医务室等附属事业单位</w:t>
      </w:r>
      <w:r>
        <w:rPr>
          <w:rFonts w:hint="eastAsia" w:ascii="仿宋_GB2312" w:eastAsia="仿宋_GB2312"/>
          <w:color w:val="000000" w:themeColor="text1"/>
          <w:sz w:val="32"/>
          <w:szCs w:val="32"/>
          <w14:textFill>
            <w14:solidFill>
              <w14:schemeClr w14:val="tx1"/>
            </w14:solidFill>
          </w14:textFill>
        </w:rPr>
        <w:t>。</w:t>
      </w:r>
    </w:p>
    <w:p>
      <w:pPr>
        <w:pStyle w:val="28"/>
        <w:keepNext w:val="0"/>
        <w:keepLines w:val="0"/>
        <w:pageBreakBefore w:val="0"/>
        <w:widowControl w:val="0"/>
        <w:numPr>
          <w:ilvl w:val="0"/>
          <w:numId w:val="0"/>
        </w:numPr>
        <w:tabs>
          <w:tab w:val="left" w:pos="2020"/>
        </w:tabs>
        <w:kinsoku/>
        <w:wordWrap/>
        <w:overflowPunct/>
        <w:topLinePunct w:val="0"/>
        <w:bidi w:val="0"/>
        <w:snapToGrid/>
        <w:spacing w:before="3" w:after="0" w:line="336" w:lineRule="auto"/>
        <w:ind w:right="0" w:rightChars="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t>自然资源海洋气象（类）自然资源事务（款）</w:t>
      </w:r>
      <w:r>
        <w:rPr>
          <w:rFonts w:hint="eastAsia" w:ascii="仿宋_GB2312" w:eastAsia="仿宋_GB2312"/>
          <w:color w:val="000000" w:themeColor="text1"/>
          <w:sz w:val="32"/>
          <w:szCs w:val="32"/>
          <w:lang w:eastAsia="zh-CN"/>
          <w14:textFill>
            <w14:solidFill>
              <w14:schemeClr w14:val="tx1"/>
            </w14:solidFill>
          </w14:textFill>
        </w:rPr>
        <w:t>其他自然资源事务支出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olor w:val="000000" w:themeColor="text1"/>
          <w:sz w:val="32"/>
          <w:szCs w:val="32"/>
          <w:lang w:eastAsia="zh-CN"/>
          <w14:textFill>
            <w14:solidFill>
              <w14:schemeClr w14:val="tx1"/>
            </w14:solidFill>
          </w14:textFill>
        </w:rPr>
        <w:t>反映除上述项目以外其他用于自然资源事务方面的支出。</w:t>
      </w:r>
    </w:p>
    <w:p>
      <w:pPr>
        <w:pStyle w:val="2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.住房保障（类）住房改革支出（款）住房公积</w:t>
      </w:r>
      <w:r>
        <w:rPr>
          <w:rFonts w:hint="eastAsia" w:ascii="仿宋_GB2312" w:eastAsia="仿宋_GB2312"/>
          <w:color w:val="000000" w:themeColor="text1"/>
          <w:sz w:val="32"/>
          <w:szCs w:val="32"/>
          <w:lang w:eastAsia="zh-CN"/>
          <w14:textFill>
            <w14:solidFill>
              <w14:schemeClr w14:val="tx1"/>
            </w14:solidFill>
          </w14:textFill>
        </w:rPr>
        <w:t>金</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olor w:val="000000" w:themeColor="text1"/>
          <w:sz w:val="32"/>
          <w:szCs w:val="32"/>
          <w:lang w:eastAsia="zh-CN"/>
          <w14:textFill>
            <w14:solidFill>
              <w14:schemeClr w14:val="tx1"/>
            </w14:solidFill>
          </w14:textFill>
        </w:rPr>
        <w:t>反映行政事业单位按人力资源和社会保障部、财政部规定的基本工资和津贴补贴以及规定比例为职工缴纳的住房公积金</w:t>
      </w:r>
      <w:r>
        <w:rPr>
          <w:rFonts w:hint="eastAsia" w:ascii="仿宋_GB2312" w:eastAsia="仿宋_GB2312"/>
          <w:color w:val="000000" w:themeColor="text1"/>
          <w:sz w:val="32"/>
          <w:szCs w:val="32"/>
          <w14:textFill>
            <w14:solidFill>
              <w14:schemeClr w14:val="tx1"/>
            </w14:solidFill>
          </w14:textFill>
        </w:rPr>
        <w:t>。</w:t>
      </w:r>
    </w:p>
    <w:p>
      <w:pPr>
        <w:pStyle w:val="28"/>
        <w:numPr>
          <w:ilvl w:val="0"/>
          <w:numId w:val="0"/>
        </w:numPr>
        <w:tabs>
          <w:tab w:val="left" w:pos="2020"/>
        </w:tabs>
        <w:spacing w:before="5" w:after="0" w:line="336" w:lineRule="auto"/>
        <w:ind w:right="757" w:rightChars="0" w:firstLine="640" w:firstLineChars="200"/>
        <w:jc w:val="left"/>
        <w:rPr>
          <w:rFonts w:hint="eastAsia" w:ascii="仿宋_GB2312" w:hAnsi="Calibri"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
          <w:color w:val="000000" w:themeColor="text1"/>
          <w:kern w:val="2"/>
          <w:sz w:val="32"/>
          <w:szCs w:val="32"/>
          <w:lang w:val="en-US" w:eastAsia="zh-CN" w:bidi="ar-SA"/>
          <w14:textFill>
            <w14:solidFill>
              <w14:schemeClr w14:val="tx1"/>
            </w14:solidFill>
          </w14:textFill>
        </w:rPr>
        <w:t>21.灾害防治及应急管理（类）自然灾害防治（款）地质灾害防治（项）:反映防治地质灾害方面的支出。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项目支出：指在基本支出之外为完成特定行政任务和事业发展目标所发生的支出。</w:t>
      </w:r>
      <w:r>
        <w:rPr>
          <w:rFonts w:ascii="仿宋_GB2312" w:eastAsia="仿宋_GB2312"/>
          <w:color w:val="000000" w:themeColor="text1"/>
          <w:sz w:val="32"/>
          <w:szCs w:val="32"/>
          <w14:textFill>
            <w14:solidFill>
              <w14:schemeClr w14:val="tx1"/>
            </w14:solidFill>
          </w14:textFill>
        </w:rPr>
        <w:t xml:space="preserve"> </w:t>
      </w:r>
    </w:p>
    <w:p>
      <w:pPr>
        <w:pStyle w:val="2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24</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25</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FF0000"/>
          <w:sz w:val="32"/>
          <w:szCs w:val="32"/>
        </w:rPr>
      </w:pPr>
    </w:p>
    <w:p>
      <w:pPr>
        <w:spacing w:line="600" w:lineRule="exact"/>
        <w:jc w:val="center"/>
        <w:outlineLvl w:val="0"/>
        <w:rPr>
          <w:rStyle w:val="29"/>
          <w:rFonts w:ascii="黑体" w:hAnsi="黑体" w:eastAsia="黑体"/>
          <w:b w:val="0"/>
          <w:color w:val="000000" w:themeColor="text1"/>
          <w14:textFill>
            <w14:solidFill>
              <w14:schemeClr w14:val="tx1"/>
            </w14:solidFill>
          </w14:textFill>
        </w:rPr>
      </w:pPr>
      <w:bookmarkStart w:id="59" w:name="_Toc15377226"/>
      <w:r>
        <w:rPr>
          <w:rFonts w:ascii="宋体"/>
          <w:b/>
          <w:color w:val="FF0000"/>
          <w:sz w:val="44"/>
          <w:szCs w:val="44"/>
        </w:rPr>
        <w:br w:type="page"/>
      </w:r>
      <w:bookmarkStart w:id="60" w:name="_Toc15396614"/>
      <w:r>
        <w:rPr>
          <w:rFonts w:hint="eastAsia" w:ascii="黑体" w:hAnsi="黑体" w:eastAsia="黑体"/>
          <w:color w:val="000000" w:themeColor="text1"/>
          <w:sz w:val="44"/>
          <w:szCs w:val="44"/>
          <w14:textFill>
            <w14:solidFill>
              <w14:schemeClr w14:val="tx1"/>
            </w14:solidFill>
          </w14:textFill>
        </w:rPr>
        <w:t>第</w:t>
      </w:r>
      <w:r>
        <w:rPr>
          <w:rStyle w:val="29"/>
          <w:rFonts w:hint="eastAsia" w:ascii="黑体" w:hAnsi="黑体" w:eastAsia="黑体"/>
          <w:b w:val="0"/>
          <w:color w:val="000000" w:themeColor="text1"/>
          <w14:textFill>
            <w14:solidFill>
              <w14:schemeClr w14:val="tx1"/>
            </w14:solidFill>
          </w14:textFill>
        </w:rPr>
        <w:t>四部分 附件</w:t>
      </w:r>
      <w:bookmarkEnd w:id="60"/>
    </w:p>
    <w:p>
      <w:pPr>
        <w:spacing w:line="572" w:lineRule="exact"/>
        <w:jc w:val="left"/>
        <w:outlineLvl w:val="0"/>
        <w:rPr>
          <w:rFonts w:hint="eastAsia" w:ascii="方正小标宋简体" w:hAnsi="方正小标宋简体" w:eastAsia="黑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val="0"/>
          <w:bCs/>
          <w:color w:val="000000" w:themeColor="text1"/>
          <w:sz w:val="44"/>
          <w:szCs w:val="44"/>
          <w:highlight w:val="none"/>
          <w:shd w:val="clear" w:color="auto" w:fill="FFFFFF"/>
          <w14:textFill>
            <w14:solidFill>
              <w14:schemeClr w14:val="tx1"/>
            </w14:solidFill>
          </w14:textFill>
        </w:rPr>
      </w:pPr>
      <w:r>
        <w:rPr>
          <w:rFonts w:hint="eastAsia" w:ascii="宋体" w:hAnsi="宋体" w:eastAsia="宋体"/>
          <w:b w:val="0"/>
          <w:bCs/>
          <w:color w:val="000000" w:themeColor="text1"/>
          <w:sz w:val="44"/>
          <w:szCs w:val="44"/>
          <w:highlight w:val="none"/>
          <w:shd w:val="clear" w:color="auto" w:fill="FFFFFF"/>
          <w14:textFill>
            <w14:solidFill>
              <w14:schemeClr w14:val="tx1"/>
            </w14:solidFill>
          </w14:textFill>
        </w:rPr>
        <w:t>剑阁县自然资源局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黑体" w:hAnsi="宋体" w:eastAsia="黑体" w:cs="宋体"/>
          <w:color w:val="000000" w:themeColor="text1"/>
          <w:kern w:val="0"/>
          <w:sz w:val="24"/>
          <w:szCs w:val="32"/>
          <w:highlight w:val="none"/>
          <w:shd w:val="clear" w:color="auto" w:fill="FFFFFF"/>
          <w14:textFill>
            <w14:solidFill>
              <w14:schemeClr w14:val="tx1"/>
            </w14:solidFill>
          </w14:textFill>
        </w:rPr>
      </w:pPr>
      <w:r>
        <w:rPr>
          <w:rFonts w:hint="eastAsia" w:ascii="宋体" w:hAnsi="宋体" w:eastAsia="宋体"/>
          <w:b w:val="0"/>
          <w:bCs/>
          <w:color w:val="000000" w:themeColor="text1"/>
          <w:sz w:val="44"/>
          <w:szCs w:val="44"/>
          <w:highlight w:val="none"/>
          <w:shd w:val="clear" w:color="auto" w:fill="FFFFFF"/>
          <w:lang w:val="en-US" w:eastAsia="zh-CN"/>
          <w14:textFill>
            <w14:solidFill>
              <w14:schemeClr w14:val="tx1"/>
            </w14:solidFill>
          </w14:textFill>
        </w:rPr>
        <w:t>部门</w:t>
      </w:r>
      <w:r>
        <w:rPr>
          <w:rFonts w:hint="eastAsia" w:ascii="宋体" w:hAnsi="宋体" w:eastAsia="宋体"/>
          <w:b w:val="0"/>
          <w:bCs/>
          <w:color w:val="000000" w:themeColor="text1"/>
          <w:sz w:val="44"/>
          <w:szCs w:val="44"/>
          <w:highlight w:val="none"/>
          <w:shd w:val="clear" w:color="auto" w:fill="FFFFFF"/>
          <w14:textFill>
            <w14:solidFill>
              <w14:schemeClr w14:val="tx1"/>
            </w14:solidFill>
          </w14:textFill>
        </w:rPr>
        <w:t>整体支出绩效评价报告</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黑体" w:hAnsi="宋体" w:eastAsia="黑体" w:cs="宋体"/>
          <w:color w:val="000000" w:themeColor="text1"/>
          <w:kern w:val="0"/>
          <w:sz w:val="32"/>
          <w:szCs w:val="32"/>
          <w:highlight w:val="none"/>
          <w:shd w:val="clear" w:color="auto" w:fill="FFFFFF"/>
          <w:lang w:val="zh-CN"/>
          <w14:textFill>
            <w14:solidFill>
              <w14:schemeClr w14:val="tx1"/>
            </w14:solidFill>
          </w14:textFill>
        </w:rPr>
        <w:t>部门基本情况</w:t>
      </w:r>
    </w:p>
    <w:p>
      <w:pPr>
        <w:pStyle w:val="20"/>
        <w:pageBreakBefore w:val="0"/>
        <w:kinsoku/>
        <w:wordWrap/>
        <w:overflowPunct/>
        <w:topLinePunct w:val="0"/>
        <w:autoSpaceDE/>
        <w:autoSpaceDN/>
        <w:bidi w:val="0"/>
        <w:spacing w:before="0" w:after="0"/>
        <w:ind w:firstLine="642" w:firstLineChars="200"/>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eastAsia="zh-CN" w:bidi="ar-SA"/>
          <w14:textFill>
            <w14:solidFill>
              <w14:schemeClr w14:val="tx1"/>
            </w14:solidFill>
          </w14:textFill>
        </w:rPr>
        <w:t>（一）部门组成。</w:t>
      </w:r>
    </w:p>
    <w:p>
      <w:pPr>
        <w:pStyle w:val="2"/>
        <w:pageBreakBefore w:val="0"/>
        <w:kinsoku/>
        <w:wordWrap/>
        <w:overflowPunct/>
        <w:topLinePunct w:val="0"/>
        <w:autoSpaceDE/>
        <w:autoSpaceDN/>
        <w:bidi w:val="0"/>
        <w:adjustRightInd w:val="0"/>
        <w:snapToGrid w:val="0"/>
        <w:spacing w:beforeLines="0" w:line="600" w:lineRule="exact"/>
        <w:ind w:firstLine="640" w:firstLineChars="200"/>
        <w:textAlignment w:val="auto"/>
        <w:rPr>
          <w:rFonts w:ascii="仿宋" w:hAnsi="仿宋" w:eastAsia="仿宋"/>
          <w:color w:val="FF0000"/>
          <w:sz w:val="32"/>
          <w:szCs w:val="32"/>
        </w:rPr>
      </w:pPr>
      <w:r>
        <w:rPr>
          <w:rFonts w:hint="eastAsia" w:ascii="仿宋" w:hAnsi="仿宋" w:eastAsia="仿宋"/>
          <w:color w:val="000000" w:themeColor="text1"/>
          <w:sz w:val="32"/>
          <w:szCs w:val="32"/>
          <w:lang w:eastAsia="zh-CN"/>
          <w14:textFill>
            <w14:solidFill>
              <w14:schemeClr w14:val="tx1"/>
            </w14:solidFill>
          </w14:textFill>
        </w:rPr>
        <w:t>县自然资源局部门</w:t>
      </w:r>
      <w:r>
        <w:rPr>
          <w:rFonts w:hint="eastAsia" w:ascii="仿宋" w:hAnsi="仿宋" w:eastAsia="仿宋"/>
          <w:color w:val="000000" w:themeColor="text1"/>
          <w:sz w:val="32"/>
          <w:szCs w:val="32"/>
          <w14:textFill>
            <w14:solidFill>
              <w14:schemeClr w14:val="tx1"/>
            </w14:solidFill>
          </w14:textFill>
        </w:rPr>
        <w:t>下属二级预算单位</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w:t>
      </w:r>
      <w:r>
        <w:rPr>
          <w:rFonts w:hint="eastAsia" w:ascii="仿宋" w:hAnsi="仿宋" w:eastAsia="仿宋"/>
          <w:color w:val="000000" w:themeColor="text1"/>
          <w:sz w:val="32"/>
          <w:szCs w:val="32"/>
          <w:lang w:eastAsia="zh-CN"/>
          <w14:textFill>
            <w14:solidFill>
              <w14:schemeClr w14:val="tx1"/>
            </w14:solidFill>
          </w14:textFill>
        </w:rPr>
        <w:t>均为全额拨款事业单位</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主要包括：县不动产登记管理中心及县自然资源储备交易中心</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000000" w:themeColor="text1"/>
          <w:kern w:val="0"/>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（二）机构职能和人员概况。</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1.贯彻执行国家有关自然资源的调控政策、措施和法律、法规、规章，承担保护与合理利用土地资源、矿产资源的责任。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2.承担规范自然资源管理秩序的责任。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3.承担优化配置自然资源的责任。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4.负责规范自然资源权属管理。</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5.承担全县耕地保护的责任。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6.承担及时准确提供全县土地利用各种数据的责任。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7.承担节约集约利用土地资源的责任。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8.承担规范自然资源市场秩序的责任。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9.负责矿产资源开发的管理。   </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10.负责地质勘查行业和矿产资源储量管理。</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11.承担地质环境保护的责任。</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12.依法征收土地、矿产资源收益，规范、监督资金使用，拟定土地、矿产资源参与经济调控的措施。</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13.组织制定并实施自然资源科技发展、人才培养规划和计划，组织实施自然资源重大科技项目，推进自然资源信息化和信息资料公共服务。</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14.负责管理我县乡镇自然资源管理人员；负责本系统党风廉政建设、行业行风建设。</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15.承担县政府公布的有关自然资源方面的行政审批事项。</w:t>
      </w:r>
    </w:p>
    <w:p>
      <w:pPr>
        <w:pStyle w:val="8"/>
        <w:ind w:firstLine="640" w:firstLineChars="200"/>
        <w:rPr>
          <w:b w:val="0"/>
        </w:rPr>
      </w:pPr>
      <w:r>
        <w:rPr>
          <w:rFonts w:hint="eastAsia"/>
          <w:b w:val="0"/>
          <w:lang w:val="en-US" w:eastAsia="zh-CN"/>
        </w:rPr>
        <w:t>16.</w:t>
      </w:r>
      <w:r>
        <w:rPr>
          <w:b w:val="0"/>
        </w:rPr>
        <w:t>负责编制县本级土地储备计划并实施</w:t>
      </w:r>
      <w:r>
        <w:rPr>
          <w:rFonts w:hint="eastAsia"/>
          <w:b w:val="0"/>
        </w:rPr>
        <w:t>，组织实施土地储备相关业务工作。</w:t>
      </w:r>
    </w:p>
    <w:p>
      <w:pPr>
        <w:pStyle w:val="8"/>
        <w:ind w:firstLine="640" w:firstLineChars="200"/>
        <w:rPr>
          <w:rFonts w:ascii="仿宋_GB2312" w:hAnsi="仿宋_GB2312" w:cs="仿宋_GB2312"/>
          <w:b w:val="0"/>
          <w:szCs w:val="32"/>
        </w:rPr>
      </w:pPr>
      <w:r>
        <w:rPr>
          <w:rFonts w:hint="eastAsia"/>
          <w:b w:val="0"/>
          <w:lang w:val="en-US" w:eastAsia="zh-CN"/>
        </w:rPr>
        <w:t>17.</w:t>
      </w:r>
      <w:r>
        <w:rPr>
          <w:b w:val="0"/>
        </w:rPr>
        <w:t>负责储备土地实施前期开发和管护</w:t>
      </w:r>
      <w:r>
        <w:rPr>
          <w:rFonts w:hint="eastAsia"/>
          <w:b w:val="0"/>
        </w:rPr>
        <w:t>工作。</w:t>
      </w:r>
    </w:p>
    <w:p>
      <w:pPr>
        <w:pStyle w:val="8"/>
        <w:ind w:firstLine="640" w:firstLineChars="200"/>
        <w:rPr>
          <w:rFonts w:ascii="宋体"/>
          <w:b w:val="0"/>
        </w:rPr>
      </w:pPr>
      <w:r>
        <w:rPr>
          <w:rFonts w:hint="eastAsia"/>
          <w:b w:val="0"/>
          <w:lang w:val="en-US" w:eastAsia="zh-CN"/>
        </w:rPr>
        <w:t>18.</w:t>
      </w:r>
      <w:r>
        <w:rPr>
          <w:rFonts w:ascii="宋体"/>
          <w:b w:val="0"/>
        </w:rPr>
        <w:t>配合土地储备专项债券发行工作</w:t>
      </w:r>
      <w:r>
        <w:rPr>
          <w:rFonts w:hint="eastAsia" w:ascii="宋体"/>
          <w:b w:val="0"/>
        </w:rPr>
        <w:t>。</w:t>
      </w:r>
    </w:p>
    <w:p>
      <w:pPr>
        <w:pStyle w:val="8"/>
        <w:ind w:firstLine="640" w:firstLineChars="200"/>
        <w:rPr>
          <w:rFonts w:ascii="宋体"/>
          <w:b w:val="0"/>
        </w:rPr>
      </w:pPr>
      <w:r>
        <w:rPr>
          <w:rFonts w:hint="eastAsia"/>
          <w:b w:val="0"/>
          <w:lang w:val="en-US" w:eastAsia="zh-CN"/>
        </w:rPr>
        <w:t>19.</w:t>
      </w:r>
      <w:r>
        <w:rPr>
          <w:rFonts w:ascii="宋体"/>
          <w:b w:val="0"/>
        </w:rPr>
        <w:t>承担国有建设用地供应事务性工作</w:t>
      </w:r>
      <w:r>
        <w:rPr>
          <w:rFonts w:hint="eastAsia" w:ascii="宋体"/>
          <w:b w:val="0"/>
        </w:rPr>
        <w:t>，</w:t>
      </w:r>
      <w:r>
        <w:rPr>
          <w:rFonts w:ascii="宋体"/>
          <w:b w:val="0"/>
        </w:rPr>
        <w:t>负责国有建设用地二级市场相关工作。</w:t>
      </w:r>
    </w:p>
    <w:p>
      <w:pPr>
        <w:pStyle w:val="8"/>
        <w:ind w:firstLine="640" w:firstLineChars="200"/>
        <w:rPr>
          <w:rFonts w:hint="eastAsia" w:ascii="宋体" w:eastAsia="仿宋_GB2312"/>
          <w:b w:val="0"/>
          <w:lang w:val="en-US" w:eastAsia="zh-CN"/>
        </w:rPr>
      </w:pPr>
      <w:r>
        <w:rPr>
          <w:rFonts w:hint="eastAsia"/>
          <w:b w:val="0"/>
          <w:lang w:val="en-US" w:eastAsia="zh-CN"/>
        </w:rPr>
        <w:t>20.</w:t>
      </w:r>
      <w:r>
        <w:rPr>
          <w:rFonts w:hint="eastAsia" w:ascii="宋体"/>
          <w:b w:val="0"/>
        </w:rPr>
        <w:t>贯彻执行土地登记、房屋登记及其交易、林地登记等不动产登记政策、法规；负责城市规划区内土地登记、房屋登记及其交易、林地登记受理经办工作；负责不动产登记自安息基础平台建设和管理，做好数据的整理、备份、依法对外查询工作。</w:t>
      </w:r>
    </w:p>
    <w:p>
      <w:pPr>
        <w:keepNext w:val="0"/>
        <w:keepLines w:val="0"/>
        <w:pageBreakBefore w:val="0"/>
        <w:widowControl w:val="0"/>
        <w:kinsoku/>
        <w:wordWrap/>
        <w:overflowPunct/>
        <w:topLinePunct w:val="0"/>
        <w:autoSpaceDE/>
        <w:autoSpaceDN/>
        <w:bidi w:val="0"/>
        <w:spacing w:line="574" w:lineRule="atLeas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21.承办县政府交办的其他事项。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FF0000"/>
          <w:sz w:val="32"/>
          <w:szCs w:val="32"/>
          <w:lang w:eastAsia="zh-CN"/>
        </w:rPr>
      </w:pP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剑阁县自然资源局</w:t>
      </w:r>
      <w:r>
        <w:rPr>
          <w:rFonts w:hint="eastAsia" w:ascii="仿宋" w:hAnsi="仿宋" w:eastAsia="仿宋" w:cs="宋体"/>
          <w:color w:val="000000" w:themeColor="text1"/>
          <w:sz w:val="32"/>
          <w:szCs w:val="32"/>
          <w:lang w:eastAsia="zh-CN"/>
          <w14:textFill>
            <w14:solidFill>
              <w14:schemeClr w14:val="tx1"/>
            </w14:solidFill>
          </w14:textFill>
        </w:rPr>
        <w:t>部门</w:t>
      </w:r>
      <w:r>
        <w:rPr>
          <w:rFonts w:hint="eastAsia" w:ascii="仿宋" w:hAnsi="仿宋" w:eastAsia="仿宋" w:cs="宋体"/>
          <w:color w:val="000000" w:themeColor="text1"/>
          <w:sz w:val="32"/>
          <w:szCs w:val="32"/>
          <w14:textFill>
            <w14:solidFill>
              <w14:schemeClr w14:val="tx1"/>
            </w14:solidFill>
          </w14:textFill>
        </w:rPr>
        <w:t>核准编制总数为</w:t>
      </w:r>
      <w:r>
        <w:rPr>
          <w:rFonts w:hint="eastAsia" w:ascii="仿宋" w:hAnsi="仿宋" w:eastAsia="仿宋" w:cs="宋体"/>
          <w:color w:val="000000" w:themeColor="text1"/>
          <w:sz w:val="32"/>
          <w:szCs w:val="32"/>
          <w:lang w:val="en-US" w:eastAsia="zh-CN"/>
          <w14:textFill>
            <w14:solidFill>
              <w14:schemeClr w14:val="tx1"/>
            </w14:solidFill>
          </w14:textFill>
        </w:rPr>
        <w:t>140</w:t>
      </w:r>
      <w:r>
        <w:rPr>
          <w:rFonts w:hint="eastAsia" w:ascii="仿宋" w:hAnsi="仿宋" w:eastAsia="仿宋" w:cs="宋体"/>
          <w:color w:val="000000" w:themeColor="text1"/>
          <w:sz w:val="32"/>
          <w:szCs w:val="32"/>
          <w14:textFill>
            <w14:solidFill>
              <w14:schemeClr w14:val="tx1"/>
            </w14:solidFill>
          </w14:textFill>
        </w:rPr>
        <w:t>名，其中行政编制14名，参公编制48名，事业编制</w:t>
      </w:r>
      <w:r>
        <w:rPr>
          <w:rFonts w:hint="eastAsia" w:ascii="仿宋" w:hAnsi="仿宋" w:eastAsia="仿宋" w:cs="宋体"/>
          <w:color w:val="000000" w:themeColor="text1"/>
          <w:sz w:val="32"/>
          <w:szCs w:val="32"/>
          <w:lang w:val="en-US" w:eastAsia="zh-CN"/>
          <w14:textFill>
            <w14:solidFill>
              <w14:schemeClr w14:val="tx1"/>
            </w14:solidFill>
          </w14:textFill>
        </w:rPr>
        <w:t>76</w:t>
      </w:r>
      <w:r>
        <w:rPr>
          <w:rFonts w:hint="eastAsia" w:ascii="仿宋" w:hAnsi="仿宋" w:eastAsia="仿宋" w:cs="宋体"/>
          <w:color w:val="000000" w:themeColor="text1"/>
          <w:sz w:val="32"/>
          <w:szCs w:val="32"/>
          <w14:textFill>
            <w14:solidFill>
              <w14:schemeClr w14:val="tx1"/>
            </w14:solidFill>
          </w14:textFill>
        </w:rPr>
        <w:t>名，工勤编制2名（机关工勤）。</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在职人员总</w:t>
      </w:r>
      <w:r>
        <w:rPr>
          <w:rFonts w:hint="eastAsia" w:ascii="仿宋" w:hAnsi="仿宋" w:eastAsia="仿宋" w:cs="宋体"/>
          <w:color w:val="000000" w:themeColor="text1"/>
          <w:sz w:val="32"/>
          <w:szCs w:val="32"/>
          <w:lang w:eastAsia="zh-CN"/>
          <w14:textFill>
            <w14:solidFill>
              <w14:schemeClr w14:val="tx1"/>
            </w14:solidFill>
          </w14:textFill>
        </w:rPr>
        <w:t>数</w:t>
      </w:r>
      <w:r>
        <w:rPr>
          <w:rFonts w:hint="eastAsia" w:ascii="仿宋" w:hAnsi="仿宋" w:eastAsia="仿宋" w:cs="宋体"/>
          <w:color w:val="000000" w:themeColor="text1"/>
          <w:sz w:val="32"/>
          <w:szCs w:val="32"/>
          <w:lang w:val="en-US" w:eastAsia="zh-CN"/>
          <w14:textFill>
            <w14:solidFill>
              <w14:schemeClr w14:val="tx1"/>
            </w14:solidFill>
          </w14:textFill>
        </w:rPr>
        <w:t>130</w:t>
      </w:r>
      <w:r>
        <w:rPr>
          <w:rFonts w:hint="eastAsia" w:ascii="仿宋" w:hAnsi="仿宋" w:eastAsia="仿宋" w:cs="宋体"/>
          <w:color w:val="000000" w:themeColor="text1"/>
          <w:sz w:val="32"/>
          <w:szCs w:val="32"/>
          <w14:textFill>
            <w14:solidFill>
              <w14:schemeClr w14:val="tx1"/>
            </w14:solidFill>
          </w14:textFill>
        </w:rPr>
        <w:t>人，其中行政人员</w:t>
      </w:r>
      <w:r>
        <w:rPr>
          <w:rFonts w:hint="eastAsia" w:ascii="仿宋" w:hAnsi="仿宋" w:eastAsia="仿宋" w:cs="宋体"/>
          <w:color w:val="000000" w:themeColor="text1"/>
          <w:sz w:val="32"/>
          <w:szCs w:val="32"/>
          <w:lang w:val="en-US" w:eastAsia="zh-CN"/>
          <w14:textFill>
            <w14:solidFill>
              <w14:schemeClr w14:val="tx1"/>
            </w14:solidFill>
          </w14:textFill>
        </w:rPr>
        <w:t>13</w:t>
      </w:r>
      <w:r>
        <w:rPr>
          <w:rFonts w:hint="eastAsia" w:ascii="仿宋" w:hAnsi="仿宋" w:eastAsia="仿宋" w:cs="宋体"/>
          <w:color w:val="000000" w:themeColor="text1"/>
          <w:sz w:val="32"/>
          <w:szCs w:val="32"/>
          <w14:textFill>
            <w14:solidFill>
              <w14:schemeClr w14:val="tx1"/>
            </w14:solidFill>
          </w14:textFill>
        </w:rPr>
        <w:t>人，参公人员</w:t>
      </w:r>
      <w:r>
        <w:rPr>
          <w:rFonts w:hint="eastAsia" w:ascii="仿宋" w:hAnsi="仿宋" w:eastAsia="仿宋" w:cs="宋体"/>
          <w:color w:val="000000" w:themeColor="text1"/>
          <w:sz w:val="32"/>
          <w:szCs w:val="32"/>
          <w:lang w:val="en-US" w:eastAsia="zh-CN"/>
          <w14:textFill>
            <w14:solidFill>
              <w14:schemeClr w14:val="tx1"/>
            </w14:solidFill>
          </w14:textFill>
        </w:rPr>
        <w:t>40</w:t>
      </w:r>
      <w:r>
        <w:rPr>
          <w:rFonts w:hint="eastAsia" w:ascii="仿宋" w:hAnsi="仿宋" w:eastAsia="仿宋" w:cs="宋体"/>
          <w:color w:val="000000" w:themeColor="text1"/>
          <w:sz w:val="32"/>
          <w:szCs w:val="32"/>
          <w14:textFill>
            <w14:solidFill>
              <w14:schemeClr w14:val="tx1"/>
            </w14:solidFill>
          </w14:textFill>
        </w:rPr>
        <w:t>人，事业人员</w:t>
      </w:r>
      <w:r>
        <w:rPr>
          <w:rFonts w:hint="eastAsia" w:ascii="仿宋" w:hAnsi="仿宋" w:eastAsia="仿宋" w:cs="宋体"/>
          <w:color w:val="000000" w:themeColor="text1"/>
          <w:sz w:val="32"/>
          <w:szCs w:val="32"/>
          <w:lang w:val="en-US" w:eastAsia="zh-CN"/>
          <w14:textFill>
            <w14:solidFill>
              <w14:schemeClr w14:val="tx1"/>
            </w14:solidFill>
          </w14:textFill>
        </w:rPr>
        <w:t>76</w:t>
      </w:r>
      <w:r>
        <w:rPr>
          <w:rFonts w:hint="eastAsia" w:ascii="仿宋" w:hAnsi="仿宋" w:eastAsia="仿宋" w:cs="宋体"/>
          <w:color w:val="000000" w:themeColor="text1"/>
          <w:sz w:val="32"/>
          <w:szCs w:val="32"/>
          <w14:textFill>
            <w14:solidFill>
              <w14:schemeClr w14:val="tx1"/>
            </w14:solidFill>
          </w14:textFill>
        </w:rPr>
        <w:t>人，机关工勤人员</w:t>
      </w: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人。</w:t>
      </w:r>
    </w:p>
    <w:p>
      <w:pPr>
        <w:pStyle w:val="20"/>
        <w:pageBreakBefore w:val="0"/>
        <w:numPr>
          <w:ilvl w:val="0"/>
          <w:numId w:val="0"/>
        </w:numPr>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eastAsia="zh-CN" w:bidi="ar-SA"/>
          <w14:textFill>
            <w14:solidFill>
              <w14:schemeClr w14:val="tx1"/>
            </w14:solidFill>
          </w14:textFill>
        </w:rPr>
        <w:t>（三）年度主要工作任务。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宋体" w:hAnsi="Courier New" w:eastAsia="仿宋_GB2312" w:cs="Courier New"/>
          <w:b w:val="0"/>
          <w:kern w:val="2"/>
          <w:sz w:val="32"/>
          <w:szCs w:val="21"/>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一是坚守耕地保护红线，全面落实耕地保护同责任务，确保全县耕地和基本农田保护面积不减少，筑牢粮食安全屏障。二是完成</w:t>
      </w:r>
      <w:r>
        <w:rPr>
          <w:rFonts w:hint="eastAsia" w:ascii="仿宋_GB2312" w:hAnsi="仿宋_GB2312" w:eastAsia="仿宋_GB2312" w:cs="仿宋_GB2312"/>
          <w:sz w:val="32"/>
          <w:szCs w:val="32"/>
          <w:lang w:eastAsia="zh-CN"/>
        </w:rPr>
        <w:t>下达</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土地报征任务800亩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编制水田垦造项目可研、规划设计方案。</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三是按照省、市《乡村国土空间规划编制工作方案》要求编制乡镇级片区国土空间规划，</w:t>
      </w:r>
      <w:r>
        <w:rPr>
          <w:rFonts w:hint="eastAsia" w:ascii="仿宋_GB2312" w:hAnsi="仿宋_GB2312" w:eastAsia="仿宋_GB2312" w:cs="仿宋_GB2312"/>
          <w:spacing w:val="-6"/>
          <w:sz w:val="32"/>
          <w:szCs w:val="32"/>
          <w:highlight w:val="none"/>
        </w:rPr>
        <w:t>及时开展“三区三线”划定工作</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做好全县项目用地规划审查和保障工作</w:t>
      </w:r>
      <w:r>
        <w:rPr>
          <w:rFonts w:hint="eastAsia" w:ascii="仿宋" w:hAnsi="仿宋" w:eastAsia="仿宋" w:cs="仿宋"/>
          <w:color w:val="000000" w:themeColor="text1"/>
          <w:kern w:val="2"/>
          <w:sz w:val="32"/>
          <w:szCs w:val="32"/>
          <w:lang w:val="en-US" w:eastAsia="zh-CN" w:bidi="ar-SA"/>
          <w14:textFill>
            <w14:solidFill>
              <w14:schemeClr w14:val="tx1"/>
            </w14:solidFill>
          </w14:textFill>
        </w:rPr>
        <w:t>。四是有序推进长江干支流生态修复项目和废弃露天矿山生态修复项目24处生态修复项目，</w:t>
      </w:r>
      <w:r>
        <w:rPr>
          <w:rFonts w:hint="eastAsia" w:ascii="仿宋_GB2312" w:hAnsi="仿宋_GB2312" w:eastAsia="仿宋_GB2312" w:cs="仿宋_GB2312"/>
          <w:kern w:val="2"/>
          <w:sz w:val="32"/>
          <w:szCs w:val="32"/>
          <w:lang w:val="en-US" w:eastAsia="zh-CN" w:bidi="ar-SA"/>
        </w:rPr>
        <w:t>完成省级环保督察和生态环境问题整改</w:t>
      </w:r>
      <w:r>
        <w:rPr>
          <w:rFonts w:hint="eastAsia" w:ascii="仿宋" w:hAnsi="仿宋" w:eastAsia="仿宋" w:cs="仿宋"/>
          <w:color w:val="000000" w:themeColor="text1"/>
          <w:kern w:val="2"/>
          <w:sz w:val="32"/>
          <w:szCs w:val="32"/>
          <w:lang w:val="en-US" w:eastAsia="zh-CN" w:bidi="ar-SA"/>
          <w14:textFill>
            <w14:solidFill>
              <w14:schemeClr w14:val="tx1"/>
            </w14:solidFill>
          </w14:textFill>
        </w:rPr>
        <w:t>。五是核实下发的疑似土地矿产卫片图斑并整改上报通过，按照要求开工建设预警闲置土地，整改农村乱占耕地图斑，严厉打击违法用地行为。六是全面排查地灾隐患，开展地质灾害防治宣传培训和应急避险演练，推进地灾治理项目施工</w:t>
      </w:r>
      <w:r>
        <w:rPr>
          <w:rFonts w:hint="eastAsia" w:ascii="宋体" w:hAnsi="Courier New" w:eastAsia="仿宋_GB2312" w:cs="Courier New"/>
          <w:b w:val="0"/>
          <w:kern w:val="2"/>
          <w:sz w:val="32"/>
          <w:szCs w:val="21"/>
          <w:lang w:val="en-US" w:eastAsia="zh-CN" w:bidi="ar-SA"/>
        </w:rPr>
        <w:t>及避险搬迁工作，保障群众生命财产安全。七是认真研究省自然资源厅10条措施强化自然资源要素保障服务经济稳增长工作，依据第四轮矿规，及时启动砂石市场化配置前期工作。面摸排全县石英砂资源储备分布家底，完成了全县石英砂资源储量核查工作，为县委县政府招商玻璃用的石英砂深加工产业提供要素保障。</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8"/>
        <w:ind w:firstLine="640" w:firstLineChars="200"/>
        <w:rPr>
          <w:rFonts w:hint="eastAsia" w:ascii="宋体" w:eastAsia="仿宋_GB2312"/>
          <w:b w:val="0"/>
          <w:color w:val="000000" w:themeColor="text1"/>
          <w:lang w:val="zh-CN" w:eastAsia="zh-CN"/>
          <w14:textFill>
            <w14:solidFill>
              <w14:schemeClr w14:val="tx1"/>
            </w14:solidFill>
          </w14:textFill>
        </w:rPr>
      </w:pPr>
      <w:r>
        <w:rPr>
          <w:rFonts w:hint="eastAsia" w:ascii="宋体"/>
          <w:b w:val="0"/>
        </w:rPr>
        <w:t>高效服务保障全县经济发展用地，充分发挥自然资源行业优势助推脱贫攻坚和乡村振兴，切实防范化解自然资源领域重大风险，全面深化自然资源领域重点改革，为全县经济社</w:t>
      </w:r>
      <w:r>
        <w:rPr>
          <w:rFonts w:hint="eastAsia" w:ascii="宋体"/>
          <w:b w:val="0"/>
          <w:color w:val="000000" w:themeColor="text1"/>
          <w14:textFill>
            <w14:solidFill>
              <w14:schemeClr w14:val="tx1"/>
            </w14:solidFill>
          </w14:textFill>
        </w:rPr>
        <w:t>会又好又快发展提供有力保障</w:t>
      </w:r>
      <w:r>
        <w:rPr>
          <w:rFonts w:hint="eastAsia"/>
          <w:b w:val="0"/>
          <w:color w:val="000000" w:themeColor="text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themeColor="text1"/>
          <w:kern w:val="0"/>
          <w:sz w:val="32"/>
          <w:szCs w:val="32"/>
          <w:highlight w:val="none"/>
          <w:shd w:val="clear" w:color="auto" w:fill="FFFFFF"/>
          <w14:textFill>
            <w14:solidFill>
              <w14:schemeClr w14:val="tx1"/>
            </w14:solidFill>
          </w14:textFill>
        </w:rPr>
      </w:pPr>
      <w:r>
        <w:rPr>
          <w:rFonts w:hint="eastAsia" w:ascii="黑体" w:hAnsi="宋体" w:eastAsia="黑体" w:cs="宋体"/>
          <w:color w:val="000000" w:themeColor="text1"/>
          <w:kern w:val="0"/>
          <w:sz w:val="32"/>
          <w:szCs w:val="32"/>
          <w:highlight w:val="none"/>
          <w:shd w:val="clear" w:color="auto" w:fill="FFFFFF"/>
          <w14:textFill>
            <w14:solidFill>
              <w14:schemeClr w14:val="tx1"/>
            </w14:solidFill>
          </w14:textFill>
        </w:rPr>
        <w:t>二、</w:t>
      </w:r>
      <w:r>
        <w:rPr>
          <w:rFonts w:hint="eastAsia" w:ascii="黑体" w:hAnsi="宋体" w:eastAsia="黑体" w:cs="宋体"/>
          <w:color w:val="000000" w:themeColor="text1"/>
          <w:kern w:val="0"/>
          <w:sz w:val="32"/>
          <w:szCs w:val="32"/>
          <w:highlight w:val="none"/>
          <w:shd w:val="clear" w:color="auto" w:fill="FFFFFF"/>
          <w:lang w:eastAsia="zh-CN"/>
          <w14:textFill>
            <w14:solidFill>
              <w14:schemeClr w14:val="tx1"/>
            </w14:solidFill>
          </w14:textFill>
        </w:rPr>
        <w:t>部门</w:t>
      </w:r>
      <w:r>
        <w:rPr>
          <w:rFonts w:hint="eastAsia" w:ascii="黑体" w:hAnsi="宋体" w:eastAsia="黑体" w:cs="宋体"/>
          <w:color w:val="000000" w:themeColor="text1"/>
          <w:kern w:val="0"/>
          <w:sz w:val="32"/>
          <w:szCs w:val="32"/>
          <w:highlight w:val="none"/>
          <w:shd w:val="clear" w:color="auto" w:fill="FFFFFF"/>
          <w14:textFill>
            <w14:solidFill>
              <w14:schemeClr w14:val="tx1"/>
            </w14:solidFill>
          </w14:textFill>
        </w:rPr>
        <w:t>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600" w:lineRule="exact"/>
        <w:ind w:firstLine="640" w:firstLineChars="200"/>
        <w:outlineLvl w:val="1"/>
        <w:rPr>
          <w:rFonts w:hint="eastAsia"/>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22年本年收入合计</w:t>
      </w:r>
      <w:r>
        <w:rPr>
          <w:rFonts w:hint="eastAsia" w:ascii="仿宋" w:hAnsi="仿宋" w:eastAsia="仿宋"/>
          <w:color w:val="000000" w:themeColor="text1"/>
          <w:sz w:val="32"/>
          <w:szCs w:val="32"/>
          <w:lang w:val="en-US" w:eastAsia="zh-CN"/>
          <w14:textFill>
            <w14:solidFill>
              <w14:schemeClr w14:val="tx1"/>
            </w14:solidFill>
          </w14:textFill>
        </w:rPr>
        <w:t>32893.16万元（含上年结转13877.15万元）</w:t>
      </w:r>
      <w:r>
        <w:rPr>
          <w:rFonts w:hint="eastAsia" w:ascii="仿宋" w:hAnsi="仿宋" w:eastAsia="仿宋"/>
          <w:color w:val="000000" w:themeColor="text1"/>
          <w:sz w:val="32"/>
          <w:szCs w:val="32"/>
          <w14:textFill>
            <w14:solidFill>
              <w14:schemeClr w14:val="tx1"/>
            </w14:solidFill>
          </w14:textFill>
        </w:rPr>
        <w:t>，其中：一般公共预算财政拨款收入</w:t>
      </w:r>
      <w:r>
        <w:rPr>
          <w:rFonts w:hint="eastAsia" w:ascii="仿宋" w:hAnsi="仿宋" w:eastAsia="仿宋"/>
          <w:color w:val="000000" w:themeColor="text1"/>
          <w:sz w:val="32"/>
          <w:szCs w:val="32"/>
          <w:lang w:val="en-US" w:eastAsia="zh-CN"/>
          <w14:textFill>
            <w14:solidFill>
              <w14:schemeClr w14:val="tx1"/>
            </w14:solidFill>
          </w14:textFill>
        </w:rPr>
        <w:t>3631.83万元</w:t>
      </w:r>
      <w:r>
        <w:rPr>
          <w:rFonts w:hint="eastAsia" w:ascii="仿宋" w:hAnsi="仿宋" w:eastAsia="仿宋"/>
          <w:color w:val="000000" w:themeColor="text1"/>
          <w:sz w:val="32"/>
          <w:szCs w:val="32"/>
          <w:lang w:eastAsia="zh-CN"/>
          <w14:textFill>
            <w14:solidFill>
              <w14:schemeClr w14:val="tx1"/>
            </w14:solidFill>
          </w14:textFill>
        </w:rPr>
        <w:t>（含上年结转</w:t>
      </w:r>
      <w:r>
        <w:rPr>
          <w:rFonts w:hint="eastAsia" w:ascii="仿宋" w:hAnsi="仿宋" w:eastAsia="仿宋"/>
          <w:color w:val="000000" w:themeColor="text1"/>
          <w:sz w:val="32"/>
          <w:szCs w:val="32"/>
          <w:lang w:val="en-US" w:eastAsia="zh-CN"/>
          <w14:textFill>
            <w14:solidFill>
              <w14:schemeClr w14:val="tx1"/>
            </w14:solidFill>
          </w14:textFill>
        </w:rPr>
        <w:t>482.19万元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11.04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；政府性基金预算财政拨款收入</w:t>
      </w:r>
      <w:r>
        <w:rPr>
          <w:rFonts w:hint="eastAsia" w:ascii="仿宋" w:hAnsi="仿宋" w:eastAsia="仿宋"/>
          <w:color w:val="000000" w:themeColor="text1"/>
          <w:sz w:val="32"/>
          <w:szCs w:val="32"/>
          <w:lang w:val="en-US" w:eastAsia="zh-CN"/>
          <w14:textFill>
            <w14:solidFill>
              <w14:schemeClr w14:val="tx1"/>
            </w14:solidFill>
          </w14:textFill>
        </w:rPr>
        <w:t>29261.33</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（含上年结转</w:t>
      </w:r>
      <w:r>
        <w:rPr>
          <w:rFonts w:hint="eastAsia" w:ascii="仿宋" w:hAnsi="仿宋" w:eastAsia="仿宋"/>
          <w:color w:val="000000" w:themeColor="text1"/>
          <w:sz w:val="32"/>
          <w:szCs w:val="32"/>
          <w:lang w:val="en-US" w:eastAsia="zh-CN"/>
          <w14:textFill>
            <w14:solidFill>
              <w14:schemeClr w14:val="tx1"/>
            </w14:solidFill>
          </w14:textFill>
        </w:rPr>
        <w:t>13394.96万元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88.96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spacing w:line="600" w:lineRule="exact"/>
        <w:ind w:firstLine="640" w:firstLineChars="200"/>
        <w:outlineLvl w:val="1"/>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22年本年支出合计</w:t>
      </w:r>
      <w:r>
        <w:rPr>
          <w:rFonts w:hint="eastAsia" w:ascii="仿宋" w:hAnsi="仿宋" w:eastAsia="仿宋"/>
          <w:color w:val="000000" w:themeColor="text1"/>
          <w:sz w:val="32"/>
          <w:szCs w:val="32"/>
          <w:lang w:val="en-US" w:eastAsia="zh-CN"/>
          <w14:textFill>
            <w14:solidFill>
              <w14:schemeClr w14:val="tx1"/>
            </w14:solidFill>
          </w14:textFill>
        </w:rPr>
        <w:t>32893.16</w:t>
      </w:r>
      <w:r>
        <w:rPr>
          <w:rFonts w:hint="eastAsia" w:ascii="仿宋" w:hAnsi="仿宋" w:eastAsia="仿宋"/>
          <w:color w:val="000000" w:themeColor="text1"/>
          <w:sz w:val="32"/>
          <w:szCs w:val="32"/>
          <w14:textFill>
            <w14:solidFill>
              <w14:schemeClr w14:val="tx1"/>
            </w14:solidFill>
          </w14:textFill>
        </w:rPr>
        <w:t>万元，其中：基本支出</w:t>
      </w:r>
      <w:r>
        <w:rPr>
          <w:rFonts w:hint="eastAsia" w:ascii="仿宋" w:hAnsi="仿宋" w:eastAsia="仿宋"/>
          <w:color w:val="000000" w:themeColor="text1"/>
          <w:sz w:val="32"/>
          <w:szCs w:val="32"/>
          <w:lang w:val="en-US" w:eastAsia="zh-CN"/>
          <w14:textFill>
            <w14:solidFill>
              <w14:schemeClr w14:val="tx1"/>
            </w14:solidFill>
          </w14:textFill>
        </w:rPr>
        <w:t>1698.46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5.16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；项目支出</w:t>
      </w:r>
      <w:r>
        <w:rPr>
          <w:rFonts w:hint="eastAsia" w:ascii="仿宋" w:hAnsi="仿宋" w:eastAsia="仿宋"/>
          <w:color w:val="000000" w:themeColor="text1"/>
          <w:sz w:val="32"/>
          <w:szCs w:val="32"/>
          <w:lang w:val="en-US" w:eastAsia="zh-CN"/>
          <w14:textFill>
            <w14:solidFill>
              <w14:schemeClr w14:val="tx1"/>
            </w14:solidFill>
          </w14:textFill>
        </w:rPr>
        <w:t>31194.70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94.84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color w:val="000000" w:themeColor="text1"/>
          <w:lang w:val="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2022年度我部门无结转结余资金。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000000" w:themeColor="text1"/>
          <w:kern w:val="0"/>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（二）部门财政拨款收支情况。</w:t>
      </w:r>
      <w:r>
        <w:rPr>
          <w:rFonts w:hint="eastAsia" w:ascii="楷体_GB2312" w:hAnsi="楷体_GB2312" w:eastAsia="楷体_GB2312" w:cs="楷体_GB2312"/>
          <w:b/>
          <w:bCs/>
          <w:color w:val="000000" w:themeColor="text1"/>
          <w:kern w:val="0"/>
          <w:sz w:val="32"/>
          <w:szCs w:val="32"/>
          <w:highlight w:val="none"/>
          <w:shd w:val="clear" w:color="auto" w:fill="FFFFFF"/>
          <w:lang w:val="en-US" w:eastAsia="zh-CN"/>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1.部门财政拨款收入情况</w:t>
      </w:r>
    </w:p>
    <w:p>
      <w:pPr>
        <w:spacing w:line="600" w:lineRule="exact"/>
        <w:ind w:firstLine="640"/>
        <w:rPr>
          <w:rFonts w:hint="eastAsia"/>
          <w:color w:val="auto"/>
          <w:lang w:val="en-US" w:eastAsia="zh-CN"/>
        </w:rPr>
      </w:pPr>
      <w:r>
        <w:rPr>
          <w:rFonts w:ascii="仿宋" w:hAnsi="仿宋" w:eastAsia="仿宋"/>
          <w:color w:val="auto"/>
          <w:sz w:val="32"/>
          <w:szCs w:val="32"/>
        </w:rPr>
        <w:t>20</w:t>
      </w:r>
      <w:r>
        <w:rPr>
          <w:rFonts w:hint="eastAsia" w:ascii="仿宋" w:hAnsi="仿宋" w:eastAsia="仿宋"/>
          <w:color w:val="auto"/>
          <w:sz w:val="32"/>
          <w:szCs w:val="32"/>
        </w:rPr>
        <w:t>22年财政拨款收</w:t>
      </w:r>
      <w:r>
        <w:rPr>
          <w:rFonts w:hint="eastAsia" w:ascii="仿宋" w:hAnsi="仿宋" w:eastAsia="仿宋"/>
          <w:color w:val="auto"/>
          <w:sz w:val="32"/>
          <w:szCs w:val="32"/>
          <w:lang w:eastAsia="zh-CN"/>
        </w:rPr>
        <w:t>入</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32893.16</w:t>
      </w:r>
      <w:r>
        <w:rPr>
          <w:rFonts w:hint="eastAsia" w:ascii="仿宋" w:hAnsi="仿宋" w:eastAsia="仿宋"/>
          <w:color w:val="auto"/>
          <w:sz w:val="32"/>
          <w:szCs w:val="32"/>
        </w:rPr>
        <w:t>万元</w:t>
      </w:r>
      <w:r>
        <w:rPr>
          <w:rFonts w:hint="eastAsia" w:ascii="仿宋" w:hAnsi="仿宋" w:eastAsia="仿宋"/>
          <w:color w:val="auto"/>
          <w:sz w:val="32"/>
          <w:szCs w:val="32"/>
          <w:lang w:eastAsia="zh-CN"/>
        </w:rPr>
        <w:t>（含上年结转指标）</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21年相比，财政拨款收</w:t>
      </w:r>
      <w:r>
        <w:rPr>
          <w:rFonts w:hint="eastAsia" w:ascii="仿宋" w:hAnsi="仿宋" w:eastAsia="仿宋"/>
          <w:color w:val="auto"/>
          <w:sz w:val="32"/>
          <w:szCs w:val="32"/>
          <w:lang w:eastAsia="zh-CN"/>
        </w:rPr>
        <w:t>入</w:t>
      </w:r>
      <w:r>
        <w:rPr>
          <w:rFonts w:hint="eastAsia" w:ascii="仿宋" w:hAnsi="仿宋" w:eastAsia="仿宋"/>
          <w:color w:val="auto"/>
          <w:sz w:val="32"/>
          <w:szCs w:val="32"/>
        </w:rPr>
        <w:t>减少</w:t>
      </w:r>
      <w:r>
        <w:rPr>
          <w:rFonts w:hint="eastAsia" w:ascii="仿宋" w:hAnsi="仿宋" w:eastAsia="仿宋"/>
          <w:color w:val="auto"/>
          <w:sz w:val="32"/>
          <w:szCs w:val="32"/>
          <w:lang w:val="en-US" w:eastAsia="zh-CN"/>
        </w:rPr>
        <w:t>12361.76</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27.32</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s="仿宋"/>
          <w:color w:val="auto"/>
          <w:kern w:val="2"/>
          <w:sz w:val="32"/>
          <w:szCs w:val="32"/>
          <w:lang w:val="en-US" w:eastAsia="zh-CN" w:bidi="ar-SA"/>
        </w:rPr>
        <w:t>2022年财政下达项目资金减少，项目支出安排减少。</w:t>
      </w:r>
      <w:r>
        <w:rPr>
          <w:rFonts w:hint="eastAsia" w:ascii="仿宋" w:hAnsi="仿宋" w:eastAsia="仿宋"/>
          <w:color w:val="auto"/>
          <w:sz w:val="32"/>
          <w:szCs w:val="32"/>
          <w:lang w:val="en-US" w:eastAsia="zh-CN"/>
        </w:rPr>
        <w:t>剔除变动情况，2022年收支总体平衡。</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2.部门财政拨款支出情况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剑阁县自然资源局部门2022年支出合计32893.16万元。</w:t>
      </w:r>
    </w:p>
    <w:p>
      <w:pPr>
        <w:spacing w:line="600" w:lineRule="exact"/>
        <w:ind w:firstLine="640"/>
        <w:rPr>
          <w:rFonts w:hint="default"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2022年一般公共预算财政拨款支出3631.83万元，占2022年支出总额11.04%。主要用于以下方面：行政单位离退休（项）支出1.79万元，占0.05%；机关事业单位基本养老保险缴费（项）支出133.29万元，占3.67%；行政单位医疗（项）支出27.53万元，占0.76%；事业单位医疗（项）支出39.11万元，占1.07%；行政运行（项）支出664.86万元，占18.31%；一般行政管理事务（项）支出4.18万元，占0.12%；自然资源规划及管理（项）支出19.60万元，占0.54%；自然资源利用与保护（项）支出200.81万元，占5.53%；事业运行（项）支出731.92万元，占20.15%；其他自然资源事务（项）支出75万元2.06%；住房公积金（项）支出99.96万元2.75%；地质灾害防治（项）支出1633.78万元，占44.99%。</w:t>
      </w:r>
    </w:p>
    <w:p>
      <w:pPr>
        <w:spacing w:line="600" w:lineRule="exact"/>
        <w:ind w:firstLine="640"/>
        <w:rPr>
          <w:rFonts w:hint="eastAsia" w:ascii="仿宋" w:hAnsi="仿宋" w:eastAsia="仿宋" w:cs="仿宋"/>
          <w:color w:val="FF0000"/>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2022年政府性基金预算财政拨款支出29261.33万元，占2022年支出总额88.96%。主要用于以下方面：征地和拆迁补偿（项）支出874.25万元，占2.99%；土地开发（项）支出9348.34万元，占31.95%；农村基础设施建设（项）支出769.36万元，占2.63%；补助被征地农民（项）支出3115.98万元，占10.65%；土地出让业务（项）支出284.76万元，占0.97%；其他国有土地使用权出让收入安排（项）支出6635.40万元，占22.67%；征地和拆迁补偿（项）支出8233.24万元,占28.14%。</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3.部门财政拨款结转结余情况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2022年度我部门财政拨款无结余结转资金。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themeColor="text1"/>
          <w:kern w:val="0"/>
          <w:sz w:val="32"/>
          <w:szCs w:val="32"/>
          <w:highlight w:val="none"/>
          <w:shd w:val="clear" w:color="auto" w:fill="FFFFFF"/>
          <w14:textFill>
            <w14:solidFill>
              <w14:schemeClr w14:val="tx1"/>
            </w14:solidFill>
          </w14:textFill>
        </w:rPr>
      </w:pPr>
      <w:r>
        <w:rPr>
          <w:rFonts w:hint="eastAsia" w:ascii="黑体" w:hAnsi="宋体" w:eastAsia="黑体" w:cs="宋体"/>
          <w:color w:val="000000" w:themeColor="text1"/>
          <w:kern w:val="0"/>
          <w:sz w:val="32"/>
          <w:szCs w:val="32"/>
          <w:highlight w:val="none"/>
          <w:shd w:val="clear" w:color="auto" w:fill="FFFFFF"/>
          <w14:textFill>
            <w14:solidFill>
              <w14:schemeClr w14:val="tx1"/>
            </w14:solidFill>
          </w14:textFill>
        </w:rPr>
        <w:t>三、</w:t>
      </w:r>
      <w:r>
        <w:rPr>
          <w:rFonts w:hint="eastAsia" w:ascii="黑体" w:hAnsi="宋体" w:eastAsia="黑体" w:cs="宋体"/>
          <w:color w:val="000000" w:themeColor="text1"/>
          <w:kern w:val="0"/>
          <w:sz w:val="32"/>
          <w:szCs w:val="32"/>
          <w:highlight w:val="none"/>
          <w:u w:val="none"/>
          <w:shd w:val="clear" w:color="auto" w:fill="FFFFFF"/>
          <w:lang w:eastAsia="zh-CN"/>
          <w14:textFill>
            <w14:solidFill>
              <w14:schemeClr w14:val="tx1"/>
            </w14:solidFill>
          </w14:textFill>
        </w:rPr>
        <w:t>部门</w:t>
      </w:r>
      <w:r>
        <w:rPr>
          <w:rFonts w:hint="eastAsia" w:ascii="黑体" w:hAnsi="宋体" w:eastAsia="黑体" w:cs="宋体"/>
          <w:color w:val="000000" w:themeColor="text1"/>
          <w:kern w:val="0"/>
          <w:sz w:val="32"/>
          <w:szCs w:val="32"/>
          <w:highlight w:val="none"/>
          <w:u w:val="none"/>
          <w:shd w:val="clear" w:color="auto" w:fill="FFFFFF"/>
          <w14:textFill>
            <w14:solidFill>
              <w14:schemeClr w14:val="tx1"/>
            </w14:solidFill>
          </w14:textFill>
        </w:rPr>
        <w:t>整体绩效</w:t>
      </w:r>
      <w:r>
        <w:rPr>
          <w:rFonts w:hint="eastAsia" w:ascii="黑体" w:hAnsi="宋体" w:eastAsia="黑体" w:cs="宋体"/>
          <w:color w:val="000000" w:themeColor="text1"/>
          <w:kern w:val="0"/>
          <w:sz w:val="32"/>
          <w:szCs w:val="32"/>
          <w:highlight w:val="none"/>
          <w:u w:val="none"/>
          <w:shd w:val="clear" w:color="auto" w:fill="FFFFFF"/>
          <w:lang w:eastAsia="zh-CN"/>
          <w14:textFill>
            <w14:solidFill>
              <w14:schemeClr w14:val="tx1"/>
            </w14:solidFill>
          </w14:textFill>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（一）部门预算项目绩效分析。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1.人员类项目绩效分析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人员类预算资金1520.33万元，为全系统职工工资福利和工作正常开展提供经费保障，完成工资福利支出1520.33万元；</w:t>
      </w:r>
      <w:r>
        <w:rPr>
          <w:rFonts w:hint="eastAsia" w:ascii="仿宋" w:hAnsi="仿宋" w:eastAsia="仿宋" w:cs="宋体"/>
          <w:color w:val="000000" w:themeColor="text1"/>
          <w:sz w:val="32"/>
          <w:szCs w:val="32"/>
          <w:lang w:eastAsia="zh-CN"/>
          <w14:textFill>
            <w14:solidFill>
              <w14:schemeClr w14:val="tx1"/>
            </w14:solidFill>
          </w14:textFill>
        </w:rPr>
        <w:t>及时开展绩效运行监控，按需进行预算调整；</w:t>
      </w:r>
      <w:r>
        <w:rPr>
          <w:rFonts w:hint="eastAsia" w:ascii="仿宋" w:hAnsi="仿宋" w:eastAsia="仿宋" w:cs="宋体"/>
          <w:color w:val="000000" w:themeColor="text1"/>
          <w:sz w:val="32"/>
          <w:szCs w:val="32"/>
          <w:lang w:val="en-US" w:eastAsia="zh-CN"/>
          <w14:textFill>
            <w14:solidFill>
              <w14:schemeClr w14:val="tx1"/>
            </w14:solidFill>
          </w14:textFill>
        </w:rPr>
        <w:t>截止2022年底部门预算执行进度100%；人员类预算支出完成率100%；人员类资金结余0万元，资金结余</w:t>
      </w:r>
      <w:r>
        <w:rPr>
          <w:rFonts w:hint="eastAsia" w:ascii="仿宋" w:hAnsi="仿宋" w:eastAsia="仿宋" w:cs="宋体"/>
          <w:color w:val="000000" w:themeColor="text1"/>
          <w:sz w:val="32"/>
          <w:szCs w:val="32"/>
          <w:lang w:val="zh-CN" w:eastAsia="zh-CN"/>
          <w14:textFill>
            <w14:solidFill>
              <w14:schemeClr w14:val="tx1"/>
            </w14:solidFill>
          </w14:textFill>
        </w:rPr>
        <w:t>率</w:t>
      </w:r>
      <w:r>
        <w:rPr>
          <w:rFonts w:hint="eastAsia" w:ascii="仿宋" w:hAnsi="仿宋" w:eastAsia="仿宋" w:cs="宋体"/>
          <w:color w:val="000000" w:themeColor="text1"/>
          <w:sz w:val="32"/>
          <w:szCs w:val="32"/>
          <w:lang w:val="en-US" w:eastAsia="zh-CN"/>
          <w14:textFill>
            <w14:solidFill>
              <w14:schemeClr w14:val="tx1"/>
            </w14:solidFill>
          </w14:textFill>
        </w:rPr>
        <w:t>0%，不存在</w:t>
      </w:r>
      <w:r>
        <w:rPr>
          <w:rFonts w:hint="eastAsia" w:ascii="仿宋" w:hAnsi="仿宋" w:eastAsia="仿宋" w:cs="宋体"/>
          <w:color w:val="000000" w:themeColor="text1"/>
          <w:sz w:val="32"/>
          <w:szCs w:val="32"/>
          <w:lang w:val="zh-CN" w:eastAsia="zh-CN"/>
          <w14:textFill>
            <w14:solidFill>
              <w14:schemeClr w14:val="tx1"/>
            </w14:solidFill>
          </w14:textFill>
        </w:rPr>
        <w:t>低效无效率的情况；人员类</w:t>
      </w:r>
      <w:r>
        <w:rPr>
          <w:rFonts w:hint="eastAsia" w:ascii="仿宋" w:hAnsi="仿宋" w:eastAsia="仿宋" w:cs="宋体"/>
          <w:color w:val="000000" w:themeColor="text1"/>
          <w:sz w:val="32"/>
          <w:szCs w:val="32"/>
          <w:lang w:val="en-US" w:eastAsia="zh-CN"/>
          <w14:textFill>
            <w14:solidFill>
              <w14:schemeClr w14:val="tx1"/>
            </w14:solidFill>
          </w14:textFill>
        </w:rPr>
        <w:t>支出无违规记录的情况。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2.运转类项目绩效分析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运转类预算资金178.13万元，完成日常工作运转支出178.13万元；2022年度决算职工日常工作运转支出178.13万元，非定额公用支出0万元；</w:t>
      </w:r>
      <w:r>
        <w:rPr>
          <w:rFonts w:hint="eastAsia" w:ascii="仿宋" w:hAnsi="仿宋" w:eastAsia="仿宋" w:cs="宋体"/>
          <w:color w:val="000000" w:themeColor="text1"/>
          <w:sz w:val="32"/>
          <w:szCs w:val="32"/>
          <w:lang w:eastAsia="zh-CN"/>
          <w14:textFill>
            <w14:solidFill>
              <w14:schemeClr w14:val="tx1"/>
            </w14:solidFill>
          </w14:textFill>
        </w:rPr>
        <w:t>及时开展绩效运行监控，按需进行预算调整；</w:t>
      </w:r>
      <w:r>
        <w:rPr>
          <w:rFonts w:hint="eastAsia" w:ascii="仿宋" w:hAnsi="仿宋" w:eastAsia="仿宋" w:cs="宋体"/>
          <w:color w:val="000000" w:themeColor="text1"/>
          <w:sz w:val="32"/>
          <w:szCs w:val="32"/>
          <w:lang w:val="en-US" w:eastAsia="zh-CN"/>
          <w14:textFill>
            <w14:solidFill>
              <w14:schemeClr w14:val="tx1"/>
            </w14:solidFill>
          </w14:textFill>
        </w:rPr>
        <w:t>截止2022年底部门预算执行进度100%；运转类预算支出完成率100%；运转类资金结余0万元，资金结余</w:t>
      </w:r>
      <w:r>
        <w:rPr>
          <w:rFonts w:hint="eastAsia" w:ascii="仿宋" w:hAnsi="仿宋" w:eastAsia="仿宋" w:cs="宋体"/>
          <w:color w:val="000000" w:themeColor="text1"/>
          <w:sz w:val="32"/>
          <w:szCs w:val="32"/>
          <w:lang w:val="zh-CN" w:eastAsia="zh-CN"/>
          <w14:textFill>
            <w14:solidFill>
              <w14:schemeClr w14:val="tx1"/>
            </w14:solidFill>
          </w14:textFill>
        </w:rPr>
        <w:t>率</w:t>
      </w:r>
      <w:r>
        <w:rPr>
          <w:rFonts w:hint="eastAsia" w:ascii="仿宋" w:hAnsi="仿宋" w:eastAsia="仿宋" w:cs="宋体"/>
          <w:color w:val="000000" w:themeColor="text1"/>
          <w:sz w:val="32"/>
          <w:szCs w:val="32"/>
          <w:lang w:val="en-US" w:eastAsia="zh-CN"/>
          <w14:textFill>
            <w14:solidFill>
              <w14:schemeClr w14:val="tx1"/>
            </w14:solidFill>
          </w14:textFill>
        </w:rPr>
        <w:t>0%，不存在</w:t>
      </w:r>
      <w:r>
        <w:rPr>
          <w:rFonts w:hint="eastAsia" w:ascii="仿宋" w:hAnsi="仿宋" w:eastAsia="仿宋" w:cs="宋体"/>
          <w:color w:val="000000" w:themeColor="text1"/>
          <w:sz w:val="32"/>
          <w:szCs w:val="32"/>
          <w:lang w:val="zh-CN" w:eastAsia="zh-CN"/>
          <w14:textFill>
            <w14:solidFill>
              <w14:schemeClr w14:val="tx1"/>
            </w14:solidFill>
          </w14:textFill>
        </w:rPr>
        <w:t>低效无效率的情况；运转类</w:t>
      </w:r>
      <w:r>
        <w:rPr>
          <w:rFonts w:hint="eastAsia" w:ascii="仿宋" w:hAnsi="仿宋" w:eastAsia="仿宋" w:cs="宋体"/>
          <w:color w:val="000000" w:themeColor="text1"/>
          <w:sz w:val="32"/>
          <w:szCs w:val="32"/>
          <w:lang w:val="en-US" w:eastAsia="zh-CN"/>
          <w14:textFill>
            <w14:solidFill>
              <w14:schemeClr w14:val="tx1"/>
            </w14:solidFill>
          </w14:textFill>
        </w:rPr>
        <w:t>支出无违规记录的情况。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3.特定目标类项目绩效分析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themeColor="text1"/>
          <w:kern w:val="0"/>
          <w:sz w:val="32"/>
          <w:szCs w:val="32"/>
          <w:shd w:val="clear" w:color="auto" w:fill="FFFFFF"/>
          <w:lang w:val="en-US" w:eastAsia="zh-CN" w:bidi="ar-SA"/>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特定目标类项目预算资金31194.70万元，特定目标类项目45个，完成特定目标类项目支出31194.70万元；及时开展绩效运行监控，按需进行预算调整；截止2022年底预算执行进度100%；特定目标类预算支出完成率100%；特定目标类资金结余0万元，资金结余</w:t>
      </w:r>
      <w:r>
        <w:rPr>
          <w:rFonts w:hint="eastAsia" w:ascii="仿宋" w:hAnsi="仿宋" w:eastAsia="仿宋" w:cs="宋体"/>
          <w:color w:val="000000" w:themeColor="text1"/>
          <w:sz w:val="32"/>
          <w:szCs w:val="32"/>
          <w:lang w:val="zh-CN" w:eastAsia="zh-CN"/>
          <w14:textFill>
            <w14:solidFill>
              <w14:schemeClr w14:val="tx1"/>
            </w14:solidFill>
          </w14:textFill>
        </w:rPr>
        <w:t>率</w:t>
      </w:r>
      <w:r>
        <w:rPr>
          <w:rFonts w:hint="eastAsia" w:ascii="仿宋" w:hAnsi="仿宋" w:eastAsia="仿宋" w:cs="宋体"/>
          <w:color w:val="000000" w:themeColor="text1"/>
          <w:sz w:val="32"/>
          <w:szCs w:val="32"/>
          <w:lang w:val="en-US" w:eastAsia="zh-CN"/>
          <w14:textFill>
            <w14:solidFill>
              <w14:schemeClr w14:val="tx1"/>
            </w14:solidFill>
          </w14:textFill>
        </w:rPr>
        <w:t>0%，不存在</w:t>
      </w:r>
      <w:r>
        <w:rPr>
          <w:rFonts w:hint="eastAsia" w:ascii="仿宋" w:hAnsi="仿宋" w:eastAsia="仿宋" w:cs="宋体"/>
          <w:color w:val="000000" w:themeColor="text1"/>
          <w:sz w:val="32"/>
          <w:szCs w:val="32"/>
          <w:lang w:val="zh-CN" w:eastAsia="zh-CN"/>
          <w14:textFill>
            <w14:solidFill>
              <w14:schemeClr w14:val="tx1"/>
            </w14:solidFill>
          </w14:textFill>
        </w:rPr>
        <w:t>低效无效率的情况；</w:t>
      </w:r>
      <w:r>
        <w:rPr>
          <w:rFonts w:hint="eastAsia" w:ascii="仿宋" w:hAnsi="仿宋" w:eastAsia="仿宋" w:cs="宋体"/>
          <w:color w:val="000000" w:themeColor="text1"/>
          <w:sz w:val="32"/>
          <w:szCs w:val="32"/>
          <w:lang w:val="en-US" w:eastAsia="zh-CN"/>
          <w14:textFill>
            <w14:solidFill>
              <w14:schemeClr w14:val="tx1"/>
            </w14:solidFill>
          </w14:textFill>
        </w:rPr>
        <w:t>特定目标</w:t>
      </w:r>
      <w:r>
        <w:rPr>
          <w:rFonts w:hint="eastAsia" w:ascii="仿宋" w:hAnsi="仿宋" w:eastAsia="仿宋" w:cs="宋体"/>
          <w:color w:val="000000" w:themeColor="text1"/>
          <w:sz w:val="32"/>
          <w:szCs w:val="32"/>
          <w:lang w:val="zh-CN" w:eastAsia="zh-CN"/>
          <w14:textFill>
            <w14:solidFill>
              <w14:schemeClr w14:val="tx1"/>
            </w14:solidFill>
          </w14:textFill>
        </w:rPr>
        <w:t>类</w:t>
      </w:r>
      <w:r>
        <w:rPr>
          <w:rFonts w:hint="eastAsia" w:ascii="仿宋" w:hAnsi="仿宋" w:eastAsia="仿宋" w:cs="宋体"/>
          <w:color w:val="000000" w:themeColor="text1"/>
          <w:sz w:val="32"/>
          <w:szCs w:val="32"/>
          <w:lang w:val="en-US" w:eastAsia="zh-CN"/>
          <w14:textFill>
            <w14:solidFill>
              <w14:schemeClr w14:val="tx1"/>
            </w14:solidFill>
          </w14:textFill>
        </w:rPr>
        <w:t>支出无违规记录的情况。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结果应用情况。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1、内部应用及自评公开情况。一是内部应用情况。将内设机构与下属单位绩效自评纳入考核体系。二是自评公开情况。按照要求将相关绩效信息随同决算信息进行公开。</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2、问题整改及应用反馈情况。因2022年度我部门未收到绩效管理过程中提出的问题，所以也未向财政部门反馈应用整改情况。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四、评价结论及建议</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（一）评价结论。</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zh-CN"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我部门支出绩效总体良好，各项目标达到了相应时期执行进度，各项经费按预算实施，使财政收支预算执行得到了良好的制度保障和实施效果。</w:t>
      </w:r>
    </w:p>
    <w:p>
      <w:pPr>
        <w:keepNext w:val="0"/>
        <w:keepLines w:val="0"/>
        <w:pageBreakBefore w:val="0"/>
        <w:numPr>
          <w:ilvl w:val="0"/>
          <w:numId w:val="7"/>
        </w:numPr>
        <w:kinsoku/>
        <w:wordWrap/>
        <w:overflowPunct/>
        <w:topLinePunct w:val="0"/>
        <w:autoSpaceDE/>
        <w:autoSpaceDN/>
        <w:bidi w:val="0"/>
        <w:spacing w:line="560" w:lineRule="exact"/>
        <w:ind w:firstLine="642" w:firstLineChars="200"/>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存在问题。</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项目繁多，各级检查频繁，导致费用增加，财政预算严重不足，工作经费差口较大，希望在经费方面给与更多的支持。</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shd w:val="clear" w:color="auto" w:fill="FFFFFF"/>
          <w:lang w:val="zh-CN"/>
          <w14:textFill>
            <w14:solidFill>
              <w14:schemeClr w14:val="tx1"/>
            </w14:solidFill>
          </w14:textFill>
        </w:rPr>
        <w:t>（三）改进建议。</w:t>
      </w:r>
    </w:p>
    <w:p>
      <w:pPr>
        <w:pStyle w:val="15"/>
        <w:spacing w:line="560" w:lineRule="exact"/>
        <w:ind w:left="0" w:leftChars="0" w:firstLine="640"/>
        <w:rPr>
          <w:rFonts w:hAnsi="仿宋_GB2312" w:eastAsia="仿宋_GB2312" w:cs="仿宋_GB2312"/>
          <w:color w:val="000000" w:themeColor="text1"/>
          <w:sz w:val="32"/>
          <w:lang w:val="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进一步提高部门预算支出的财政保障水平。加强政府会计制度和预算法学习培训，规范财务核算。</w:t>
      </w:r>
    </w:p>
    <w:p>
      <w:pPr>
        <w:pStyle w:val="15"/>
        <w:spacing w:line="560" w:lineRule="exact"/>
        <w:ind w:left="0" w:leftChars="0" w:firstLine="0" w:firstLineChars="0"/>
        <w:rPr>
          <w:color w:val="FF0000"/>
          <w:sz w:val="32"/>
          <w:lang w:val="zh-CN"/>
        </w:rPr>
      </w:pPr>
    </w:p>
    <w:p>
      <w:pPr>
        <w:pStyle w:val="2"/>
        <w:spacing w:before="93"/>
        <w:rPr>
          <w:rFonts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2"/>
        <w:spacing w:before="93"/>
        <w:rPr>
          <w:rFonts w:hint="eastAsia" w:hAnsi="宋体" w:cs="宋体"/>
          <w:color w:val="FF0000"/>
          <w:sz w:val="32"/>
          <w:szCs w:val="32"/>
          <w:shd w:val="clear" w:color="auto" w:fill="FFFFFF"/>
          <w:lang w:val="zh-CN"/>
        </w:rPr>
      </w:pPr>
    </w:p>
    <w:p>
      <w:pPr>
        <w:pStyle w:val="35"/>
        <w:keepNext w:val="0"/>
        <w:keepLines w:val="0"/>
        <w:pageBreakBefore w:val="0"/>
        <w:widowControl w:val="0"/>
        <w:kinsoku/>
        <w:wordWrap/>
        <w:overflowPunct/>
        <w:topLinePunct w:val="0"/>
        <w:autoSpaceDE/>
        <w:autoSpaceDN/>
        <w:bidi w:val="0"/>
        <w:spacing w:line="560" w:lineRule="exact"/>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附件2</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剑阁县2022年地质灾害防治专项资金</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预算项目绩效自评报告</w:t>
      </w:r>
    </w:p>
    <w:p>
      <w:pPr>
        <w:pStyle w:val="3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000000" w:themeColor="text1"/>
          <w:kern w:val="2"/>
          <w:sz w:val="32"/>
          <w:szCs w:val="32"/>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黑体" w:hAnsi="黑体" w:eastAsia="黑体" w:cs="黑体"/>
          <w:color w:val="000000" w:themeColor="text1"/>
          <w:kern w:val="0"/>
          <w:sz w:val="32"/>
          <w:szCs w:val="32"/>
          <w:highlight w:val="none"/>
          <w:u w:val="none"/>
          <w:shd w:val="clear" w:color="auto" w:fill="FFFFFF"/>
          <w:lang w:val="zh-CN"/>
          <w14:textFill>
            <w14:solidFill>
              <w14:schemeClr w14:val="tx1"/>
            </w14:solidFill>
          </w14:textFill>
        </w:rPr>
      </w:pPr>
      <w:r>
        <w:rPr>
          <w:rFonts w:hint="eastAsia" w:ascii="黑体" w:hAnsi="黑体" w:eastAsia="黑体" w:cs="黑体"/>
          <w:color w:val="000000" w:themeColor="text1"/>
          <w:kern w:val="0"/>
          <w:sz w:val="32"/>
          <w:szCs w:val="32"/>
          <w:highlight w:val="none"/>
          <w:u w:val="none"/>
          <w:shd w:val="clear" w:color="auto" w:fill="FFFFFF"/>
          <w:lang w:val="zh-CN"/>
          <w14:textFill>
            <w14:solidFill>
              <w14:schemeClr w14:val="tx1"/>
            </w14:solidFill>
          </w14:textFill>
        </w:rPr>
        <w:t>一、项目概况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textAlignment w:val="auto"/>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1.项目主管部门职能。</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在开展2022年剑阁县地质灾害防治项目管理中，我单位主要承担建设单位管理职责，依法组织确定项目承担单位和组织实施地质灾害防治项目；配合市局、省厅组织实施项目验收以及整改工作。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2" w:firstLineChars="200"/>
        <w:textAlignment w:val="auto"/>
        <w:rPr>
          <w:rFonts w:hint="eastAsia" w:ascii="仿宋_GB2312" w:hAnsi="仿宋" w:eastAsia="仿宋_GB2312" w:cs="仿宋"/>
          <w:b/>
          <w:bCs/>
          <w:color w:val="000000" w:themeColor="text1"/>
          <w:sz w:val="32"/>
          <w:szCs w:val="32"/>
          <w:lang w:val="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2.</w:t>
      </w:r>
      <w:r>
        <w:rPr>
          <w:rFonts w:hint="eastAsia" w:ascii="仿宋_GB2312" w:hAnsi="仿宋" w:eastAsia="仿宋_GB2312" w:cs="仿宋"/>
          <w:b/>
          <w:bCs/>
          <w:color w:val="000000" w:themeColor="text1"/>
          <w:sz w:val="32"/>
          <w:szCs w:val="32"/>
          <w:lang w:val="zh-CN"/>
          <w14:textFill>
            <w14:solidFill>
              <w14:schemeClr w14:val="tx1"/>
            </w14:solidFill>
          </w14:textFill>
        </w:rPr>
        <w:t>项目立项、资金申报的依据。</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我局在申报项目资金时均以前期专家现场踏勘估算金额或设计单位预算作为依据，项目申报内容与具体实施内容相符、申报目标合理可行，符合年度规划方案。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2" w:firstLineChars="200"/>
        <w:textAlignment w:val="auto"/>
        <w:rPr>
          <w:rFonts w:hint="eastAsia" w:ascii="仿宋_GB2312" w:hAnsi="仿宋" w:eastAsia="仿宋_GB2312" w:cs="仿宋"/>
          <w:b/>
          <w:bCs/>
          <w:color w:val="000000" w:themeColor="text1"/>
          <w:sz w:val="32"/>
          <w:szCs w:val="32"/>
          <w:lang w:val="zh-CN" w:eastAsia="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3.</w:t>
      </w:r>
      <w:r>
        <w:rPr>
          <w:rFonts w:hint="eastAsia" w:ascii="仿宋_GB2312" w:hAnsi="仿宋" w:eastAsia="仿宋_GB2312" w:cs="仿宋"/>
          <w:b/>
          <w:bCs/>
          <w:color w:val="000000" w:themeColor="text1"/>
          <w:sz w:val="32"/>
          <w:szCs w:val="32"/>
          <w:lang w:val="zh-CN" w:eastAsia="zh-CN"/>
          <w14:textFill>
            <w14:solidFill>
              <w14:schemeClr w14:val="tx1"/>
            </w14:solidFill>
          </w14:textFill>
        </w:rPr>
        <w:t>资金分配的原则及考虑因素。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color w:val="000000" w:themeColor="text1"/>
          <w:lang w:val="zh-CN"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资金分配按照地质灾害项目轻重缓急及施工图设计预算分配</w:t>
      </w:r>
      <w:r>
        <w:rPr>
          <w:rFonts w:hint="eastAsia" w:ascii="仿宋_GB2312" w:hAnsi="仿宋" w:eastAsia="仿宋_GB2312" w:cs="仿宋"/>
          <w:b w:val="0"/>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（二）项目绩效目标。</w:t>
      </w:r>
    </w:p>
    <w:p>
      <w:pPr>
        <w:pStyle w:val="8"/>
        <w:ind w:firstLine="640" w:firstLineChars="200"/>
        <w:rPr>
          <w:rFonts w:hint="eastAsia" w:ascii="仿宋" w:hAnsi="仿宋" w:eastAsia="仿宋" w:cs="宋体"/>
          <w:b w:val="0"/>
          <w:color w:val="FF0000"/>
          <w:kern w:val="2"/>
          <w:sz w:val="32"/>
          <w:szCs w:val="32"/>
          <w:lang w:val="zh-CN" w:eastAsia="zh-CN" w:bidi="ar-SA"/>
        </w:rPr>
      </w:pPr>
      <w:r>
        <w:rPr>
          <w:rFonts w:hint="eastAsia" w:ascii="仿宋" w:hAnsi="仿宋" w:eastAsia="仿宋" w:cs="宋体"/>
          <w:b w:val="0"/>
          <w:color w:val="000000" w:themeColor="text1"/>
          <w:kern w:val="2"/>
          <w:sz w:val="32"/>
          <w:szCs w:val="32"/>
          <w:lang w:val="en-US" w:eastAsia="zh-CN" w:bidi="ar-SA"/>
          <w14:textFill>
            <w14:solidFill>
              <w14:schemeClr w14:val="tx1"/>
            </w14:solidFill>
          </w14:textFill>
        </w:rPr>
        <w:t>完成工程治理及排危除险13处，完成地质灾害防治项目专职监测任务241处，完成避险搬迁任务数61户，完成地质灾害防治项目群专结合监测预警任务8处。截至目前，</w:t>
      </w:r>
      <w:r>
        <w:rPr>
          <w:rFonts w:hint="eastAsia" w:ascii="仿宋" w:hAnsi="仿宋" w:eastAsia="仿宋" w:cs="宋体"/>
          <w:b w:val="0"/>
          <w:color w:val="000000" w:themeColor="text1"/>
          <w:kern w:val="2"/>
          <w:sz w:val="32"/>
          <w:szCs w:val="32"/>
          <w:lang w:val="zh-CN" w:eastAsia="zh-CN" w:bidi="ar-SA"/>
          <w14:textFill>
            <w14:solidFill>
              <w14:schemeClr w14:val="tx1"/>
            </w14:solidFill>
          </w14:textFill>
        </w:rPr>
        <w:t>已完成全部项目绩效目标任务，项目实施进度计划、质量等均到达要求。项目绩效目标申报内容与实际相符，申报目标合理可行。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（三）项目自评步骤及方法。</w:t>
      </w:r>
    </w:p>
    <w:p>
      <w:pPr>
        <w:pStyle w:val="8"/>
        <w:ind w:firstLine="640" w:firstLineChars="200"/>
        <w:rPr>
          <w:rFonts w:hint="eastAsia" w:ascii="仿宋" w:hAnsi="仿宋" w:eastAsia="仿宋" w:cs="宋体"/>
          <w:b w:val="0"/>
          <w:color w:val="000000" w:themeColor="text1"/>
          <w:kern w:val="2"/>
          <w:sz w:val="32"/>
          <w:szCs w:val="32"/>
          <w:lang w:val="zh-CN" w:eastAsia="zh-CN" w:bidi="ar-SA"/>
          <w14:textFill>
            <w14:solidFill>
              <w14:schemeClr w14:val="tx1"/>
            </w14:solidFill>
          </w14:textFill>
        </w:rPr>
      </w:pPr>
      <w:r>
        <w:rPr>
          <w:rFonts w:hint="eastAsia" w:ascii="仿宋" w:hAnsi="仿宋" w:eastAsia="仿宋" w:cs="宋体"/>
          <w:b w:val="0"/>
          <w:color w:val="000000" w:themeColor="text1"/>
          <w:kern w:val="2"/>
          <w:sz w:val="32"/>
          <w:szCs w:val="32"/>
          <w:lang w:val="zh-CN" w:eastAsia="zh-CN" w:bidi="ar-SA"/>
          <w14:textFill>
            <w14:solidFill>
              <w14:schemeClr w14:val="tx1"/>
            </w14:solidFill>
          </w14:textFill>
        </w:rPr>
        <w:t>本次项目绩效自评的组织实施步骤及方法主要结合目标质量、进度、效益完成情况据实开展自评工作。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（一）项目资金申报及批复情况。</w:t>
      </w:r>
    </w:p>
    <w:p>
      <w:pPr>
        <w:pStyle w:val="8"/>
        <w:ind w:firstLine="640" w:firstLineChars="200"/>
        <w:rPr>
          <w:rFonts w:hint="eastAsia" w:ascii="仿宋" w:hAnsi="仿宋" w:eastAsia="仿宋" w:cs="宋体"/>
          <w:b w:val="0"/>
          <w:color w:val="FF0000"/>
          <w:kern w:val="2"/>
          <w:sz w:val="32"/>
          <w:szCs w:val="32"/>
          <w:lang w:val="zh-CN" w:eastAsia="zh-CN" w:bidi="ar-SA"/>
        </w:rPr>
      </w:pPr>
      <w:r>
        <w:rPr>
          <w:rFonts w:hint="eastAsia" w:ascii="仿宋" w:hAnsi="仿宋" w:eastAsia="仿宋" w:cs="宋体"/>
          <w:b w:val="0"/>
          <w:color w:val="000000" w:themeColor="text1"/>
          <w:kern w:val="2"/>
          <w:sz w:val="32"/>
          <w:szCs w:val="32"/>
          <w:lang w:val="en-US" w:eastAsia="zh-CN" w:bidi="ar-SA"/>
          <w14:textFill>
            <w14:solidFill>
              <w14:schemeClr w14:val="tx1"/>
            </w14:solidFill>
          </w14:textFill>
        </w:rPr>
        <w:t>资金申报主要根据前期专家现场踏勘估算金额或设计单位预算作为依据，2022年省厅共计下达我县地质灾害防治中省资金1005.26万元</w:t>
      </w:r>
      <w:r>
        <w:rPr>
          <w:rFonts w:hint="eastAsia" w:ascii="仿宋" w:hAnsi="仿宋" w:eastAsia="仿宋" w:cs="宋体"/>
          <w:b w:val="0"/>
          <w:color w:val="000000" w:themeColor="text1"/>
          <w:kern w:val="2"/>
          <w:sz w:val="32"/>
          <w:szCs w:val="32"/>
          <w:lang w:val="zh-CN"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2" w:firstLineChars="200"/>
        <w:textAlignment w:val="auto"/>
        <w:rPr>
          <w:rFonts w:hint="eastAsia" w:ascii="仿宋_GB2312" w:hAnsi="仿宋" w:eastAsia="仿宋_GB2312" w:cs="仿宋"/>
          <w:b/>
          <w:bCs/>
          <w:color w:val="000000" w:themeColor="text1"/>
          <w:sz w:val="32"/>
          <w:szCs w:val="32"/>
          <w:lang w:val="zh-CN" w:eastAsia="zh-CN"/>
          <w14:textFill>
            <w14:solidFill>
              <w14:schemeClr w14:val="tx1"/>
            </w14:solidFill>
          </w14:textFill>
        </w:rPr>
      </w:pPr>
      <w:r>
        <w:rPr>
          <w:rFonts w:hint="eastAsia" w:ascii="仿宋_GB2312" w:hAnsi="仿宋" w:eastAsia="仿宋_GB2312" w:cs="仿宋"/>
          <w:b/>
          <w:bCs/>
          <w:color w:val="000000" w:themeColor="text1"/>
          <w:sz w:val="32"/>
          <w:szCs w:val="32"/>
          <w:lang w:val="zh-CN" w:eastAsia="zh-CN"/>
          <w14:textFill>
            <w14:solidFill>
              <w14:schemeClr w14:val="tx1"/>
            </w14:solidFill>
          </w14:textFill>
        </w:rPr>
        <w:t>1</w:t>
      </w:r>
      <w:r>
        <w:rPr>
          <w:rFonts w:hint="eastAsia" w:ascii="仿宋_GB2312" w:hAnsi="仿宋" w:eastAsia="仿宋_GB2312" w:cs="仿宋"/>
          <w:b/>
          <w:bCs/>
          <w:color w:val="000000" w:themeColor="text1"/>
          <w:sz w:val="32"/>
          <w:szCs w:val="32"/>
          <w:lang w:val="en-US" w:eastAsia="zh-CN"/>
          <w14:textFill>
            <w14:solidFill>
              <w14:schemeClr w14:val="tx1"/>
            </w14:solidFill>
          </w14:textFill>
        </w:rPr>
        <w:t>.</w:t>
      </w:r>
      <w:r>
        <w:rPr>
          <w:rFonts w:hint="eastAsia" w:ascii="仿宋_GB2312" w:hAnsi="仿宋" w:eastAsia="仿宋_GB2312" w:cs="仿宋"/>
          <w:b/>
          <w:bCs/>
          <w:color w:val="000000" w:themeColor="text1"/>
          <w:sz w:val="32"/>
          <w:szCs w:val="32"/>
          <w:lang w:val="zh-CN" w:eastAsia="zh-CN"/>
          <w14:textFill>
            <w14:solidFill>
              <w14:schemeClr w14:val="tx1"/>
            </w14:solidFill>
          </w14:textFill>
        </w:rPr>
        <w:t>资金计划及到位。</w:t>
      </w:r>
    </w:p>
    <w:p>
      <w:pPr>
        <w:pStyle w:val="8"/>
        <w:ind w:firstLine="640" w:firstLineChars="200"/>
        <w:rPr>
          <w:rFonts w:hint="eastAsia" w:ascii="仿宋" w:hAnsi="仿宋" w:eastAsia="仿宋" w:cs="宋体"/>
          <w:b w:val="0"/>
          <w:color w:val="FF0000"/>
          <w:kern w:val="2"/>
          <w:sz w:val="32"/>
          <w:szCs w:val="32"/>
          <w:lang w:val="zh-CN" w:eastAsia="zh-CN" w:bidi="ar-SA"/>
        </w:rPr>
      </w:pPr>
      <w:r>
        <w:rPr>
          <w:rFonts w:hint="eastAsia" w:ascii="仿宋" w:hAnsi="仿宋" w:eastAsia="仿宋" w:cs="宋体"/>
          <w:b w:val="0"/>
          <w:color w:val="000000" w:themeColor="text1"/>
          <w:kern w:val="2"/>
          <w:sz w:val="32"/>
          <w:szCs w:val="32"/>
          <w:lang w:val="en-US" w:eastAsia="zh-CN" w:bidi="ar-SA"/>
          <w14:textFill>
            <w14:solidFill>
              <w14:schemeClr w14:val="tx1"/>
            </w14:solidFill>
          </w14:textFill>
        </w:rPr>
        <w:t>根据广元市财政局 广元市自然资源局《关于下达2022年第一批中央地质灾害防治补助资金预算的通知》（广财资环﹝2022﹞2号）、《关于下达2022年第三批地质灾害防治补助资金（省级）预算的通知》（广财资环﹝2022﹞45号），下达我县2022年第一批地质灾害防治项目群专结合监测预警任务8处，经费48万元，工程治理及排危除险3处，经费179万元；2022年第三批地质灾害防治项目专职监测任务241处，经费86.76万元，工程治理及排危除险10处，经费478万元，避险搬迁任务数61户，经费213.5万元。共计下达资金1005.26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2.</w:t>
      </w:r>
      <w:r>
        <w:rPr>
          <w:rFonts w:hint="eastAsia" w:ascii="仿宋_GB2312" w:hAnsi="仿宋" w:eastAsia="仿宋_GB2312" w:cs="仿宋"/>
          <w:b/>
          <w:bCs/>
          <w:color w:val="000000" w:themeColor="text1"/>
          <w:sz w:val="32"/>
          <w:szCs w:val="32"/>
          <w:lang w:val="zh-CN" w:eastAsia="zh-CN"/>
          <w14:textFill>
            <w14:solidFill>
              <w14:schemeClr w14:val="tx1"/>
            </w14:solidFill>
          </w14:textFill>
        </w:rPr>
        <w:t>资金使用。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截至目前，</w:t>
      </w:r>
      <w:r>
        <w:rPr>
          <w:rFonts w:hint="eastAsia" w:ascii="仿宋_GB2312" w:hAnsi="仿宋" w:eastAsia="仿宋_GB2312" w:cs="仿宋"/>
          <w:b w:val="0"/>
          <w:color w:val="000000" w:themeColor="text1"/>
          <w:kern w:val="2"/>
          <w:sz w:val="32"/>
          <w:szCs w:val="32"/>
          <w:lang w:val="en-US" w:eastAsia="zh-CN" w:bidi="ar-SA"/>
          <w14:textFill>
            <w14:solidFill>
              <w14:schemeClr w14:val="tx1"/>
            </w14:solidFill>
          </w14:textFill>
        </w:rPr>
        <w:t>2022年第一批中央地质灾害防治补助资金227万元已使用227万元；2022年第三批地质灾害防治补助资金（省级）778.26万元，已使用778.26万元</w:t>
      </w: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项目主要由县地质环境监测站负责组织实施，项目所在地自然资源管理所作为现场代表负责项目实施期间的管理，局财务股负责项目资金审核和拨付，项目实施和资金拨付严格按照项目管理办法和资金管理办法执行。</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工程治理及排危除险项目、专业监测项目均通过竞争性谈判开展招投标，项目进场前成立地质灾害治理项目指挥部，建立项目安全管理制度，并公示项目基本情况。</w:t>
      </w:r>
      <w:r>
        <w:rPr>
          <w:rFonts w:hint="eastAsia" w:ascii="仿宋_GB2312" w:hAnsi="仿宋_GB2312" w:eastAsia="仿宋_GB2312" w:cs="仿宋_GB2312"/>
          <w:color w:val="000000" w:themeColor="text1"/>
          <w:kern w:val="0"/>
          <w:sz w:val="32"/>
          <w:szCs w:val="32"/>
          <w:highlight w:val="none"/>
          <w:u w:val="none"/>
          <w:shd w:val="clear" w:color="auto" w:fill="FFFFFF"/>
          <w:lang w:val="zh-CN"/>
          <w14:textFill>
            <w14:solidFill>
              <w14:schemeClr w14:val="tx1"/>
            </w14:solidFill>
          </w14:textFill>
        </w:rPr>
        <w:t>各项目实施单位严格执行相关法律法规及项目管理制度。</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项目监管情况。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本单位作为项目主管部门，严格按照省、市地质灾害防治项目管理办法监管项目，加强项目管理。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000000" w:themeColor="text1"/>
          <w:sz w:val="32"/>
          <w:szCs w:val="32"/>
          <w:highlight w:val="none"/>
          <w:u w:val="none"/>
          <w:lang w:val="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四、项目绩效情况</w:t>
      </w:r>
      <w:r>
        <w:rPr>
          <w:rFonts w:hint="eastAsia" w:ascii="仿宋_GB2312" w:hAnsi="宋体"/>
          <w:color w:val="000000" w:themeColor="text1"/>
          <w:sz w:val="32"/>
          <w:szCs w:val="32"/>
          <w:highlight w:val="none"/>
          <w:u w:val="none"/>
          <w:lang w:val="zh-CN"/>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按照省厅下达任务书要求，20</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年我县</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241</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处专职监测已完成、</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处工程治理及排危除险项目已完成、</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61</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户避险搬迁已完成、</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处地质灾害隐患点自动化监测设备安装已完成。已完成项目质量均达到设计要求，按照项目进度计划安排情况，所有项目均按照进度完成。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通过工程治理项目的实施及时解决了地质灾害给受威胁群众带来的安全隐患，避险搬迁项目的实施切实改善了民生生活环境、彻底搬离了危险区域、专职监测和专业监测项目的实施实现了人防和机防有机结合的监测模式，使地质灾害防范水平和能力更先进和优化。</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通过</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2022年地质灾害防治项目的实施</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消除了部分地质灾害隐患，建立健全了剑阁县地质灾害防治体系，地质灾害预警预报能力较过去五年显著提升，监测预警区地质灾害防范能力显著提升，实施区域群众防灾减灾参与度、受益人群满意度均达95%。同时开展地质灾害隐患点培训、演练覆盖率达90%以上，规划任务在四川省地质环境管理信息系统填报率100%，按时编制并启动实施202</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年度实施方案。</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避险搬迁农户搬迁意愿反复，前期规划后，农户因自筹资金不足或放弃选择其他惠民政策等原因自愿放弃搬迁，我局需重新规划、修编，导致项目实施周期长、极难在目标任务书要求的时间节点完成任务</w:t>
      </w:r>
      <w:r>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000000" w:themeColor="text1"/>
          <w:sz w:val="32"/>
          <w:szCs w:val="32"/>
          <w:highlight w:val="none"/>
          <w:u w:val="none"/>
          <w:lang w:val="zh-CN"/>
          <w14:textFill>
            <w14:solidFill>
              <w14:schemeClr w14:val="tx1"/>
            </w14:solidFill>
          </w14:textFill>
        </w:rPr>
      </w:pPr>
      <w:r>
        <w:rPr>
          <w:rFonts w:hint="eastAsia" w:ascii="楷体_GB2312" w:hAnsi="宋体" w:eastAsia="楷体_GB2312"/>
          <w:b/>
          <w:color w:val="000000" w:themeColor="text1"/>
          <w:sz w:val="32"/>
          <w:szCs w:val="32"/>
          <w:highlight w:val="none"/>
          <w:u w:val="none"/>
          <w:lang w:val="zh-CN"/>
          <w14:textFill>
            <w14:solidFill>
              <w14:schemeClr w14:val="tx1"/>
            </w14:solidFill>
          </w14:textFill>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shd w:val="clear" w:color="auto" w:fill="FFFFFF"/>
          <w:lang w:val="zh-CN" w:eastAsia="zh-CN"/>
          <w14:textFill>
            <w14:solidFill>
              <w14:schemeClr w14:val="tx1"/>
            </w14:solidFill>
          </w14:textFill>
        </w:rPr>
        <w:t>增加地质灾害避险搬迁补助资金额度。</w:t>
      </w:r>
    </w:p>
    <w:p>
      <w:pPr>
        <w:pStyle w:val="8"/>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p>
    <w:p>
      <w:pPr>
        <w:pStyle w:val="8"/>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p>
    <w:p>
      <w:pPr>
        <w:spacing w:line="240" w:lineRule="auto"/>
        <w:ind w:firstLine="0" w:firstLineChars="0"/>
        <w:rPr>
          <w:rFonts w:hint="default" w:ascii="黑体" w:hAnsi="黑体" w:eastAsia="黑体" w:cs="黑体"/>
          <w:color w:val="000000" w:themeColor="text1"/>
          <w:spacing w:val="7"/>
          <w:sz w:val="32"/>
          <w:szCs w:val="32"/>
          <w:lang w:val="en-US" w:eastAsia="zh-CN"/>
          <w14:textFill>
            <w14:solidFill>
              <w14:schemeClr w14:val="tx1"/>
            </w14:solidFill>
          </w14:textFill>
        </w:rPr>
      </w:pPr>
      <w:r>
        <w:rPr>
          <w:rFonts w:hint="eastAsia" w:ascii="黑体" w:hAnsi="黑体" w:eastAsia="黑体" w:cs="黑体"/>
          <w:color w:val="000000" w:themeColor="text1"/>
          <w:spacing w:val="7"/>
          <w:sz w:val="32"/>
          <w:szCs w:val="32"/>
          <w14:textFill>
            <w14:solidFill>
              <w14:schemeClr w14:val="tx1"/>
            </w14:solidFill>
          </w14:textFill>
        </w:rPr>
        <w:t>附</w:t>
      </w:r>
      <w:r>
        <w:rPr>
          <w:rFonts w:hint="eastAsia" w:ascii="黑体" w:hAnsi="黑体" w:eastAsia="黑体" w:cs="黑体"/>
          <w:color w:val="000000" w:themeColor="text1"/>
          <w:spacing w:val="7"/>
          <w:sz w:val="32"/>
          <w:szCs w:val="32"/>
          <w:lang w:eastAsia="zh-CN"/>
          <w14:textFill>
            <w14:solidFill>
              <w14:schemeClr w14:val="tx1"/>
            </w14:solidFill>
          </w14:textFill>
        </w:rPr>
        <w:t>表</w:t>
      </w:r>
      <w:r>
        <w:rPr>
          <w:rFonts w:hint="eastAsia" w:ascii="黑体" w:hAnsi="黑体" w:eastAsia="黑体" w:cs="黑体"/>
          <w:color w:val="000000" w:themeColor="text1"/>
          <w:spacing w:val="7"/>
          <w:sz w:val="32"/>
          <w:szCs w:val="32"/>
          <w:lang w:val="en-US" w:eastAsia="zh-CN"/>
          <w14:textFill>
            <w14:solidFill>
              <w14:schemeClr w14:val="tx1"/>
            </w14:solidFill>
          </w14:textFill>
        </w:rPr>
        <w:t>1</w:t>
      </w:r>
    </w:p>
    <w:tbl>
      <w:tblPr>
        <w:tblStyle w:val="1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000"/>
        <w:gridCol w:w="999"/>
        <w:gridCol w:w="1587"/>
        <w:gridCol w:w="628"/>
        <w:gridCol w:w="860"/>
        <w:gridCol w:w="591"/>
        <w:gridCol w:w="21"/>
        <w:gridCol w:w="2"/>
        <w:gridCol w:w="910"/>
        <w:gridCol w:w="640"/>
        <w:gridCol w:w="578"/>
        <w:gridCol w:w="6"/>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exact"/>
        </w:trPr>
        <w:tc>
          <w:tcPr>
            <w:tcW w:w="993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项目名称</w:t>
            </w:r>
          </w:p>
        </w:tc>
        <w:tc>
          <w:tcPr>
            <w:tcW w:w="79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2022年中央地灾防治补助资金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trPr>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主管部门</w:t>
            </w:r>
          </w:p>
        </w:tc>
        <w:tc>
          <w:tcPr>
            <w:tcW w:w="4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剑阁县自然资源局部门</w:t>
            </w:r>
          </w:p>
        </w:tc>
        <w:tc>
          <w:tcPr>
            <w:tcW w:w="93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实施单位 （盖章）</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剑阁县自然资源局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exac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项目基本情况</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46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项目年度目标</w:t>
            </w:r>
          </w:p>
        </w:tc>
        <w:tc>
          <w:tcPr>
            <w:tcW w:w="3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exac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6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开展地质灾害综合防治体系建设，提供地质灾害防治能力。</w:t>
            </w:r>
          </w:p>
        </w:tc>
        <w:tc>
          <w:tcPr>
            <w:tcW w:w="3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开展地质灾害综合防治体系建设，提供地质灾害防治能力。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96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工程治理及排危除险项目、专业监测项目均通过竞争性谈判开展招投标，项目进场前成立地质灾害治理项目指挥部，建立项目安全管理制度，并公示项目基本情况。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exac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预算执行情况（10分）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年度预算数（万元）</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年初预算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调整后预算数</w:t>
            </w: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w:t>
            </w:r>
          </w:p>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总额</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100.0</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exac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其中：财政资金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227.00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100.0</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exac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财政专户管理资金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exac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单位资金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其他资金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1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exact"/>
        </w:trPr>
        <w:tc>
          <w:tcPr>
            <w:tcW w:w="96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绩效指标（90分）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指标性质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指标值</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度量单位</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完成值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未完成原因</w:t>
            </w:r>
          </w:p>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exac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2处工程治理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按时完成验收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exac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8处自动化监测点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一年</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exac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确保群众生命安全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exact"/>
        </w:trPr>
        <w:tc>
          <w:tcPr>
            <w:tcW w:w="9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w:t>
            </w:r>
          </w:p>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已完成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评价结论</w:t>
            </w:r>
          </w:p>
        </w:tc>
        <w:tc>
          <w:tcPr>
            <w:tcW w:w="8967" w:type="dxa"/>
            <w:gridSpan w:val="13"/>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自评满分，</w:t>
            </w:r>
            <w:r>
              <w:rPr>
                <w:rFonts w:hint="eastAsia" w:ascii="宋体" w:hAnsi="宋体" w:cs="宋体"/>
                <w:i w:val="0"/>
                <w:iCs w:val="0"/>
                <w:color w:val="000000" w:themeColor="text1"/>
                <w:sz w:val="18"/>
                <w:szCs w:val="18"/>
                <w:u w:val="none"/>
                <w:lang w:val="zh-CN" w:eastAsia="zh-CN"/>
                <w14:textFill>
                  <w14:solidFill>
                    <w14:schemeClr w14:val="tx1"/>
                  </w14:solidFill>
                </w14:textFill>
              </w:rPr>
              <w:t>消除了部分地质灾害隐患，建立健全了剑阁县地质灾害防治体系。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存在问题</w:t>
            </w:r>
          </w:p>
        </w:tc>
        <w:tc>
          <w:tcPr>
            <w:tcW w:w="8967" w:type="dxa"/>
            <w:gridSpan w:val="13"/>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改进措施</w:t>
            </w:r>
          </w:p>
        </w:tc>
        <w:tc>
          <w:tcPr>
            <w:tcW w:w="8967" w:type="dxa"/>
            <w:gridSpan w:val="13"/>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177"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项目负责人：赵金</w:t>
            </w:r>
          </w:p>
        </w:tc>
        <w:tc>
          <w:tcPr>
            <w:tcW w:w="4753"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财务负责人：王菊</w:t>
            </w:r>
          </w:p>
        </w:tc>
      </w:tr>
    </w:tbl>
    <w:p>
      <w:pPr>
        <w:pStyle w:val="8"/>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p>
    <w:p>
      <w:pPr>
        <w:spacing w:line="240" w:lineRule="auto"/>
        <w:ind w:firstLine="0" w:firstLineChars="0"/>
        <w:rPr>
          <w:rFonts w:hint="eastAsia" w:ascii="黑体" w:hAnsi="黑体" w:eastAsia="黑体" w:cs="黑体"/>
          <w:color w:val="000000" w:themeColor="text1"/>
          <w:spacing w:val="7"/>
          <w:sz w:val="32"/>
          <w:szCs w:val="32"/>
          <w14:textFill>
            <w14:solidFill>
              <w14:schemeClr w14:val="tx1"/>
            </w14:solidFill>
          </w14:textFill>
        </w:rPr>
        <w:sectPr>
          <w:headerReference r:id="rId7" w:type="default"/>
          <w:footerReference r:id="rId8" w:type="default"/>
          <w:pgSz w:w="11906" w:h="16838"/>
          <w:pgMar w:top="1440" w:right="1800" w:bottom="1440" w:left="1800" w:header="851" w:footer="992" w:gutter="0"/>
          <w:pgNumType w:fmt="decimal" w:start="1"/>
          <w:cols w:space="425" w:num="1"/>
          <w:titlePg/>
          <w:docGrid w:type="lines" w:linePitch="312" w:charSpace="0"/>
        </w:sectPr>
      </w:pPr>
    </w:p>
    <w:p>
      <w:pPr>
        <w:spacing w:line="240" w:lineRule="auto"/>
        <w:ind w:firstLine="0" w:firstLineChars="0"/>
        <w:rPr>
          <w:rFonts w:hint="eastAsia" w:ascii="黑体" w:hAnsi="黑体" w:eastAsia="黑体" w:cs="黑体"/>
          <w:color w:val="000000" w:themeColor="text1"/>
          <w:spacing w:val="7"/>
          <w:sz w:val="32"/>
          <w:szCs w:val="32"/>
          <w:lang w:val="en-US" w:eastAsia="zh-CN"/>
          <w14:textFill>
            <w14:solidFill>
              <w14:schemeClr w14:val="tx1"/>
            </w14:solidFill>
          </w14:textFill>
        </w:rPr>
      </w:pPr>
      <w:r>
        <w:rPr>
          <w:rFonts w:hint="eastAsia" w:ascii="黑体" w:hAnsi="黑体" w:eastAsia="黑体" w:cs="黑体"/>
          <w:color w:val="000000" w:themeColor="text1"/>
          <w:spacing w:val="7"/>
          <w:sz w:val="32"/>
          <w:szCs w:val="32"/>
          <w14:textFill>
            <w14:solidFill>
              <w14:schemeClr w14:val="tx1"/>
            </w14:solidFill>
          </w14:textFill>
        </w:rPr>
        <w:t>附</w:t>
      </w:r>
      <w:r>
        <w:rPr>
          <w:rFonts w:hint="eastAsia" w:ascii="黑体" w:hAnsi="黑体" w:eastAsia="黑体" w:cs="黑体"/>
          <w:color w:val="000000" w:themeColor="text1"/>
          <w:spacing w:val="7"/>
          <w:sz w:val="32"/>
          <w:szCs w:val="32"/>
          <w:lang w:eastAsia="zh-CN"/>
          <w14:textFill>
            <w14:solidFill>
              <w14:schemeClr w14:val="tx1"/>
            </w14:solidFill>
          </w14:textFill>
        </w:rPr>
        <w:t>表</w:t>
      </w:r>
      <w:r>
        <w:rPr>
          <w:rFonts w:hint="eastAsia" w:ascii="黑体" w:hAnsi="黑体" w:eastAsia="黑体" w:cs="黑体"/>
          <w:color w:val="000000" w:themeColor="text1"/>
          <w:spacing w:val="7"/>
          <w:sz w:val="32"/>
          <w:szCs w:val="32"/>
          <w:lang w:val="en-US" w:eastAsia="zh-CN"/>
          <w14:textFill>
            <w14:solidFill>
              <w14:schemeClr w14:val="tx1"/>
            </w14:solidFill>
          </w14:textFill>
        </w:rPr>
        <w:t>2</w:t>
      </w:r>
    </w:p>
    <w:tbl>
      <w:tblPr>
        <w:tblStyle w:val="16"/>
        <w:tblW w:w="9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961"/>
        <w:gridCol w:w="851"/>
        <w:gridCol w:w="2235"/>
        <w:gridCol w:w="615"/>
        <w:gridCol w:w="964"/>
        <w:gridCol w:w="137"/>
        <w:gridCol w:w="505"/>
        <w:gridCol w:w="764"/>
        <w:gridCol w:w="501"/>
        <w:gridCol w:w="519"/>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exact"/>
        </w:trPr>
        <w:tc>
          <w:tcPr>
            <w:tcW w:w="96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项目名称</w:t>
            </w:r>
          </w:p>
        </w:tc>
        <w:tc>
          <w:tcPr>
            <w:tcW w:w="7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2022年第三批地质灾害防治补助资金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exac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主管部门</w:t>
            </w:r>
          </w:p>
        </w:tc>
        <w:tc>
          <w:tcPr>
            <w:tcW w:w="48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剑阁县自然资源局部门</w:t>
            </w:r>
          </w:p>
        </w:tc>
        <w:tc>
          <w:tcPr>
            <w:tcW w:w="126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实施单位 （盖章）</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剑阁县自然资源局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项目基本情况</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48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项目年度目标</w:t>
            </w:r>
          </w:p>
        </w:tc>
        <w:tc>
          <w:tcPr>
            <w:tcW w:w="3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exac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8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开展地质灾害综合防治体系建设，提高地质灾害防治能力。</w:t>
            </w:r>
          </w:p>
        </w:tc>
        <w:tc>
          <w:tcPr>
            <w:tcW w:w="3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开展地质灾害综合防治体系建设，提高地质灾害防治能力。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工程治理及排危除险项目、专业监测项目均通过竞争性谈判开展招投标，项目进场前成立地质灾害治理项目指挥部，建立项目安全管理制度，并公示项目基本情况。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exac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预算执行情况（10分）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年度预算数（万元）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年初预算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调整后预算数</w:t>
            </w: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总额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778.26</w:t>
            </w: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778.26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100</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其中：财政资金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778.26</w:t>
            </w: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778.26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100</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财政专户管理资金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单位资金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其他资金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绩效指标（90分）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指标性质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指标值</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度量单位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工程治理及排危除险项目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地灾隐患点专职监测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241</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编制并启动2022年度实施方案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避险搬迁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61</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2"/>
                <w:szCs w:val="12"/>
                <w:u w:val="none"/>
                <w14:textFill>
                  <w14:solidFill>
                    <w14:schemeClr w14:val="tx1"/>
                  </w14:solidFill>
                </w14:textFill>
              </w:rPr>
            </w:pPr>
            <w:r>
              <w:rPr>
                <w:rFonts w:ascii="宋体" w:hAnsi="宋体" w:eastAsia="宋体" w:cs="宋体"/>
                <w:i w:val="0"/>
                <w:iCs w:val="0"/>
                <w:color w:val="000000" w:themeColor="text1"/>
                <w:kern w:val="0"/>
                <w:sz w:val="12"/>
                <w:szCs w:val="12"/>
                <w:u w:val="none"/>
                <w:lang w:val="en-US" w:eastAsia="zh-CN" w:bidi="ar"/>
                <w14:textFill>
                  <w14:solidFill>
                    <w14:schemeClr w14:val="tx1"/>
                  </w14:solidFill>
                </w14:textFill>
              </w:rPr>
              <w:t>户（套）</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监测预警地区地质灾害防范能力提升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exac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经济效益指标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地灾灾害预警预报能力提升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exac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经济效益指标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核销地质灾害隐患数量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实施区域受益人群满意度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实施区域群众防灾减灾参与度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85</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bl>
    <w:p>
      <w:pPr>
        <w:jc w:val="center"/>
        <w:rPr>
          <w:rFonts w:hint="eastAsia" w:ascii="宋体" w:hAnsi="宋体" w:eastAsia="宋体" w:cs="宋体"/>
          <w:i w:val="0"/>
          <w:iCs w:val="0"/>
          <w:color w:val="000000" w:themeColor="text1"/>
          <w:sz w:val="18"/>
          <w:szCs w:val="18"/>
          <w:u w:val="none"/>
          <w14:textFill>
            <w14:solidFill>
              <w14:schemeClr w14:val="tx1"/>
            </w14:solidFill>
          </w14:textFill>
        </w:rPr>
        <w:sectPr>
          <w:footerReference r:id="rId10" w:type="first"/>
          <w:footerReference r:id="rId9" w:type="default"/>
          <w:pgSz w:w="11906" w:h="16838"/>
          <w:pgMar w:top="1440" w:right="1800" w:bottom="1440" w:left="1800" w:header="851" w:footer="992" w:gutter="0"/>
          <w:pgNumType w:fmt="decimal" w:start="38"/>
          <w:cols w:space="425" w:num="1"/>
          <w:titlePg/>
          <w:docGrid w:type="lines" w:linePitch="312" w:charSpace="0"/>
        </w:sectPr>
      </w:pPr>
    </w:p>
    <w:tbl>
      <w:tblPr>
        <w:tblStyle w:val="16"/>
        <w:tblW w:w="9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961"/>
        <w:gridCol w:w="851"/>
        <w:gridCol w:w="2235"/>
        <w:gridCol w:w="8"/>
        <w:gridCol w:w="607"/>
        <w:gridCol w:w="964"/>
        <w:gridCol w:w="642"/>
        <w:gridCol w:w="764"/>
        <w:gridCol w:w="501"/>
        <w:gridCol w:w="519"/>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社会成本指标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项目投资额</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10782600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cs="宋体"/>
                <w:i w:val="0"/>
                <w:iCs w:val="0"/>
                <w:color w:val="000000" w:themeColor="text1"/>
                <w:sz w:val="18"/>
                <w:szCs w:val="18"/>
                <w:u w:val="none"/>
                <w:lang w:val="en-US" w:eastAsia="zh-CN"/>
                <w14:textFill>
                  <w14:solidFill>
                    <w14:schemeClr w14:val="tx1"/>
                  </w14:solidFill>
                </w14:textFill>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评价</w:t>
            </w:r>
          </w:p>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结论</w:t>
            </w:r>
          </w:p>
        </w:tc>
        <w:tc>
          <w:tcPr>
            <w:tcW w:w="8847"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自评满分，</w:t>
            </w:r>
            <w:r>
              <w:rPr>
                <w:rFonts w:hint="eastAsia" w:ascii="宋体" w:hAnsi="宋体" w:cs="宋体"/>
                <w:i w:val="0"/>
                <w:iCs w:val="0"/>
                <w:color w:val="000000" w:themeColor="text1"/>
                <w:sz w:val="18"/>
                <w:szCs w:val="18"/>
                <w:u w:val="none"/>
                <w:lang w:val="zh-CN" w:eastAsia="zh-CN"/>
                <w14:textFill>
                  <w14:solidFill>
                    <w14:schemeClr w14:val="tx1"/>
                  </w14:solidFill>
                </w14:textFill>
              </w:rPr>
              <w:t>消除了部分地质灾害隐患，建立健全了剑阁县地质灾害防治体系。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存在</w:t>
            </w:r>
          </w:p>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问题</w:t>
            </w:r>
          </w:p>
        </w:tc>
        <w:tc>
          <w:tcPr>
            <w:tcW w:w="8847"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改进</w:t>
            </w:r>
          </w:p>
          <w:p>
            <w:pPr>
              <w:keepNext w:val="0"/>
              <w:keepLines w:val="0"/>
              <w:widowControl/>
              <w:suppressLineNumbers w:val="0"/>
              <w:jc w:val="center"/>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措施</w:t>
            </w:r>
          </w:p>
        </w:tc>
        <w:tc>
          <w:tcPr>
            <w:tcW w:w="8847"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项目负责人：赵金</w:t>
            </w:r>
          </w:p>
        </w:tc>
        <w:tc>
          <w:tcPr>
            <w:tcW w:w="479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财务负责人：王菊</w:t>
            </w:r>
          </w:p>
        </w:tc>
      </w:tr>
    </w:tbl>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spacing w:before="109" w:line="219" w:lineRule="auto"/>
        <w:ind w:left="426"/>
        <w:rPr>
          <w:rFonts w:ascii="宋体" w:hAnsi="宋体" w:eastAsia="宋体" w:cs="宋体"/>
          <w:b/>
          <w:bCs/>
          <w:color w:val="FF0000"/>
          <w:spacing w:val="-30"/>
          <w:sz w:val="47"/>
          <w:szCs w:val="47"/>
        </w:rPr>
      </w:pPr>
    </w:p>
    <w:p>
      <w:pPr>
        <w:pStyle w:val="35"/>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sectPr>
          <w:footerReference r:id="rId12" w:type="first"/>
          <w:footerReference r:id="rId11" w:type="default"/>
          <w:pgSz w:w="11906" w:h="16838"/>
          <w:pgMar w:top="1440" w:right="1800" w:bottom="1440" w:left="1800" w:header="851" w:footer="992" w:gutter="0"/>
          <w:pgNumType w:fmt="decimal" w:start="36"/>
          <w:cols w:space="425" w:num="1"/>
          <w:titlePg/>
          <w:docGrid w:type="lines" w:linePitch="312" w:charSpace="0"/>
        </w:sectPr>
      </w:pPr>
    </w:p>
    <w:p>
      <w:pPr>
        <w:pStyle w:val="35"/>
        <w:keepNext w:val="0"/>
        <w:keepLines w:val="0"/>
        <w:pageBreakBefore w:val="0"/>
        <w:widowControl w:val="0"/>
        <w:kinsoku/>
        <w:wordWrap/>
        <w:overflowPunct/>
        <w:topLinePunct w:val="0"/>
        <w:autoSpaceDE/>
        <w:autoSpaceDN/>
        <w:bidi w:val="0"/>
        <w:spacing w:line="560" w:lineRule="exact"/>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附件3</w:t>
      </w:r>
    </w:p>
    <w:p>
      <w:pPr>
        <w:spacing w:before="109" w:line="219" w:lineRule="auto"/>
        <w:ind w:left="426"/>
        <w:rPr>
          <w:rFonts w:ascii="宋体" w:hAnsi="宋体" w:eastAsia="宋体" w:cs="宋体"/>
          <w:color w:val="000000" w:themeColor="text1"/>
          <w:sz w:val="47"/>
          <w:szCs w:val="47"/>
          <w14:textFill>
            <w14:solidFill>
              <w14:schemeClr w14:val="tx1"/>
            </w14:solidFill>
          </w14:textFill>
        </w:rPr>
      </w:pPr>
      <w:r>
        <w:rPr>
          <w:rFonts w:ascii="宋体" w:hAnsi="宋体" w:eastAsia="宋体" w:cs="宋体"/>
          <w:b/>
          <w:bCs/>
          <w:color w:val="000000" w:themeColor="text1"/>
          <w:spacing w:val="-30"/>
          <w:sz w:val="47"/>
          <w:szCs w:val="47"/>
          <w14:textFill>
            <w14:solidFill>
              <w14:schemeClr w14:val="tx1"/>
            </w14:solidFill>
          </w14:textFill>
        </w:rPr>
        <w:t>剑阁县</w:t>
      </w:r>
      <w:r>
        <w:rPr>
          <w:rFonts w:ascii="宋体" w:hAnsi="宋体" w:eastAsia="宋体" w:cs="宋体"/>
          <w:b/>
          <w:bCs/>
          <w:color w:val="000000" w:themeColor="text1"/>
          <w:spacing w:val="-33"/>
          <w:sz w:val="47"/>
          <w:szCs w:val="47"/>
          <w14:textFill>
            <w14:solidFill>
              <w14:schemeClr w14:val="tx1"/>
            </w14:solidFill>
          </w14:textFill>
        </w:rPr>
        <w:t>乡村国土空间规划编制省级财政奖补</w:t>
      </w:r>
    </w:p>
    <w:p>
      <w:pPr>
        <w:spacing w:before="111" w:line="218" w:lineRule="auto"/>
        <w:ind w:left="2196"/>
        <w:rPr>
          <w:rFonts w:ascii="宋体" w:hAnsi="宋体" w:eastAsia="宋体" w:cs="宋体"/>
          <w:color w:val="000000" w:themeColor="text1"/>
          <w:sz w:val="47"/>
          <w:szCs w:val="47"/>
          <w14:textFill>
            <w14:solidFill>
              <w14:schemeClr w14:val="tx1"/>
            </w14:solidFill>
          </w14:textFill>
        </w:rPr>
      </w:pPr>
      <w:r>
        <w:rPr>
          <w:rFonts w:ascii="宋体" w:hAnsi="宋体" w:eastAsia="宋体" w:cs="宋体"/>
          <w:b/>
          <w:bCs/>
          <w:color w:val="000000" w:themeColor="text1"/>
          <w:spacing w:val="-29"/>
          <w:sz w:val="47"/>
          <w:szCs w:val="47"/>
          <w14:textFill>
            <w14:solidFill>
              <w14:schemeClr w14:val="tx1"/>
            </w14:solidFill>
          </w14:textFill>
        </w:rPr>
        <w:t>专项资金绩效自评报告</w:t>
      </w:r>
    </w:p>
    <w:p>
      <w:pPr>
        <w:rPr>
          <w:rFonts w:hint="default"/>
          <w:color w:val="FF0000"/>
          <w:lang w:val="en-US" w:eastAsia="zh-CN"/>
        </w:rPr>
      </w:pPr>
    </w:p>
    <w:p>
      <w:pPr>
        <w:pageBreakBefore w:val="0"/>
        <w:widowControl w:val="0"/>
        <w:kinsoku/>
        <w:wordWrap/>
        <w:overflowPunct/>
        <w:topLinePunct w:val="0"/>
        <w:autoSpaceDE/>
        <w:autoSpaceDN/>
        <w:bidi w:val="0"/>
        <w:adjustRightInd/>
        <w:snapToGrid/>
        <w:spacing w:before="104" w:line="221" w:lineRule="auto"/>
        <w:ind w:left="634"/>
        <w:textAlignment w:val="auto"/>
        <w:outlineLvl w:val="0"/>
        <w:rPr>
          <w:rFonts w:ascii="黑体" w:hAnsi="黑体" w:eastAsia="黑体" w:cs="黑体"/>
          <w:color w:val="000000" w:themeColor="text1"/>
          <w:sz w:val="34"/>
          <w:szCs w:val="34"/>
          <w14:textFill>
            <w14:solidFill>
              <w14:schemeClr w14:val="tx1"/>
            </w14:solidFill>
          </w14:textFill>
        </w:rPr>
      </w:pPr>
      <w:r>
        <w:rPr>
          <w:rFonts w:ascii="黑体" w:hAnsi="黑体" w:eastAsia="黑体" w:cs="黑体"/>
          <w:b/>
          <w:bCs/>
          <w:color w:val="000000" w:themeColor="text1"/>
          <w:spacing w:val="-20"/>
          <w:sz w:val="34"/>
          <w:szCs w:val="34"/>
          <w14:textFill>
            <w14:solidFill>
              <w14:schemeClr w14:val="tx1"/>
            </w14:solidFill>
          </w14:textFill>
        </w:rPr>
        <w:t>一、项目概况</w:t>
      </w:r>
    </w:p>
    <w:p>
      <w:pPr>
        <w:pageBreakBefore w:val="0"/>
        <w:widowControl w:val="0"/>
        <w:kinsoku/>
        <w:wordWrap/>
        <w:overflowPunct/>
        <w:topLinePunct w:val="0"/>
        <w:autoSpaceDE/>
        <w:autoSpaceDN/>
        <w:bidi w:val="0"/>
        <w:adjustRightInd/>
        <w:snapToGrid/>
        <w:spacing w:before="104" w:line="589" w:lineRule="exact"/>
        <w:ind w:left="834"/>
        <w:textAlignment w:val="auto"/>
        <w:rPr>
          <w:rFonts w:hint="eastAsia" w:ascii="楷体" w:hAnsi="楷体" w:eastAsia="楷体" w:cs="楷体"/>
          <w:b/>
          <w:bCs/>
          <w:color w:val="000000" w:themeColor="text1"/>
          <w:spacing w:val="8"/>
          <w:position w:val="19"/>
          <w:sz w:val="32"/>
          <w:szCs w:val="32"/>
          <w:lang w:eastAsia="zh-CN"/>
          <w14:textFill>
            <w14:solidFill>
              <w14:schemeClr w14:val="tx1"/>
            </w14:solidFill>
          </w14:textFill>
        </w:rPr>
      </w:pPr>
      <w:r>
        <w:rPr>
          <w:rFonts w:ascii="楷体" w:hAnsi="楷体" w:eastAsia="楷体" w:cs="楷体"/>
          <w:b/>
          <w:bCs/>
          <w:color w:val="000000" w:themeColor="text1"/>
          <w:spacing w:val="8"/>
          <w:position w:val="19"/>
          <w:sz w:val="32"/>
          <w:szCs w:val="32"/>
          <w14:textFill>
            <w14:solidFill>
              <w14:schemeClr w14:val="tx1"/>
            </w14:solidFill>
          </w14:textFill>
        </w:rPr>
        <w:t>(一)项目基本情况</w:t>
      </w:r>
      <w:r>
        <w:rPr>
          <w:rFonts w:hint="eastAsia" w:ascii="楷体" w:hAnsi="楷体" w:eastAsia="楷体" w:cs="楷体"/>
          <w:b/>
          <w:bCs/>
          <w:color w:val="000000" w:themeColor="text1"/>
          <w:spacing w:val="8"/>
          <w:position w:val="19"/>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04" w:line="224" w:lineRule="auto"/>
        <w:ind w:left="635"/>
        <w:textAlignment w:val="auto"/>
        <w:outlineLvl w:val="0"/>
        <w:rPr>
          <w:rFonts w:ascii="仿宋" w:hAnsi="仿宋" w:eastAsia="仿宋" w:cs="仿宋"/>
          <w:b/>
          <w:bCs/>
          <w:color w:val="000000" w:themeColor="text1"/>
          <w:spacing w:val="1"/>
          <w:sz w:val="31"/>
          <w:szCs w:val="31"/>
          <w14:textFill>
            <w14:solidFill>
              <w14:schemeClr w14:val="tx1"/>
            </w14:solidFill>
          </w14:textFill>
        </w:rPr>
      </w:pPr>
      <w:r>
        <w:rPr>
          <w:rFonts w:ascii="仿宋" w:hAnsi="仿宋" w:eastAsia="仿宋" w:cs="仿宋"/>
          <w:b/>
          <w:bCs/>
          <w:color w:val="000000" w:themeColor="text1"/>
          <w:spacing w:val="1"/>
          <w:sz w:val="31"/>
          <w:szCs w:val="31"/>
          <w14:textFill>
            <w14:solidFill>
              <w14:schemeClr w14:val="tx1"/>
            </w14:solidFill>
          </w14:textFill>
        </w:rPr>
        <w:t>1.项目主管部门职能。</w:t>
      </w:r>
    </w:p>
    <w:p>
      <w:pPr>
        <w:keepNext w:val="0"/>
        <w:keepLines w:val="0"/>
        <w:pageBreakBefore w:val="0"/>
        <w:widowControl w:val="0"/>
        <w:kinsoku/>
        <w:wordWrap/>
        <w:overflowPunct/>
        <w:topLinePunct w:val="0"/>
        <w:autoSpaceDE/>
        <w:autoSpaceDN/>
        <w:bidi w:val="0"/>
        <w:adjustRightInd/>
        <w:snapToGrid/>
        <w:spacing w:before="104" w:line="346" w:lineRule="auto"/>
        <w:ind w:right="40" w:firstLine="629"/>
        <w:jc w:val="both"/>
        <w:textAlignment w:val="auto"/>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2022年乡村国土空间规划编制工作主要由我局牵头推进并</w:t>
      </w:r>
      <w:r>
        <w:rPr>
          <w:rFonts w:ascii="仿宋" w:hAnsi="仿宋" w:eastAsia="仿宋" w:cs="仿宋"/>
          <w:color w:val="000000" w:themeColor="text1"/>
          <w:spacing w:val="3"/>
          <w:sz w:val="31"/>
          <w:szCs w:val="31"/>
          <w14:textFill>
            <w14:solidFill>
              <w14:schemeClr w14:val="tx1"/>
            </w14:solidFill>
          </w14:textFill>
        </w:rPr>
        <w:t>负责日常管理工作。具体职责包括管理编制技术单位，对</w:t>
      </w:r>
      <w:r>
        <w:rPr>
          <w:rFonts w:ascii="仿宋" w:hAnsi="仿宋" w:eastAsia="仿宋" w:cs="仿宋"/>
          <w:color w:val="000000" w:themeColor="text1"/>
          <w:spacing w:val="2"/>
          <w:sz w:val="31"/>
          <w:szCs w:val="31"/>
          <w14:textFill>
            <w14:solidFill>
              <w14:schemeClr w14:val="tx1"/>
            </w14:solidFill>
          </w14:textFill>
        </w:rPr>
        <w:t>编制成</w:t>
      </w:r>
      <w:r>
        <w:rPr>
          <w:rFonts w:ascii="仿宋" w:hAnsi="仿宋" w:eastAsia="仿宋" w:cs="仿宋"/>
          <w:color w:val="000000" w:themeColor="text1"/>
          <w:spacing w:val="3"/>
          <w:sz w:val="31"/>
          <w:szCs w:val="31"/>
          <w14:textFill>
            <w14:solidFill>
              <w14:schemeClr w14:val="tx1"/>
            </w14:solidFill>
          </w14:textFill>
        </w:rPr>
        <w:t>果的质量与时间进行把控与审核；配合市局按各时限要求上报编</w:t>
      </w:r>
      <w:r>
        <w:rPr>
          <w:rFonts w:ascii="仿宋" w:hAnsi="仿宋" w:eastAsia="仿宋" w:cs="仿宋"/>
          <w:color w:val="000000" w:themeColor="text1"/>
          <w:spacing w:val="4"/>
          <w:sz w:val="31"/>
          <w:szCs w:val="31"/>
          <w14:textFill>
            <w14:solidFill>
              <w14:schemeClr w14:val="tx1"/>
            </w14:solidFill>
          </w14:textFill>
        </w:rPr>
        <w:t>制成果；联系部门有序推进专项规划编制工作，并将成果与</w:t>
      </w:r>
      <w:r>
        <w:rPr>
          <w:rFonts w:ascii="仿宋" w:hAnsi="仿宋" w:eastAsia="仿宋" w:cs="仿宋"/>
          <w:color w:val="000000" w:themeColor="text1"/>
          <w:spacing w:val="3"/>
          <w:sz w:val="31"/>
          <w:szCs w:val="31"/>
          <w14:textFill>
            <w14:solidFill>
              <w14:schemeClr w14:val="tx1"/>
            </w14:solidFill>
          </w14:textFill>
        </w:rPr>
        <w:t>总体</w:t>
      </w:r>
      <w:r>
        <w:rPr>
          <w:rFonts w:ascii="仿宋" w:hAnsi="仿宋" w:eastAsia="仿宋" w:cs="仿宋"/>
          <w:color w:val="000000" w:themeColor="text1"/>
          <w:sz w:val="31"/>
          <w:szCs w:val="31"/>
          <w14:textFill>
            <w14:solidFill>
              <w14:schemeClr w14:val="tx1"/>
            </w14:solidFill>
          </w14:textFill>
        </w:rPr>
        <w:t>规划进行充分衔接。</w:t>
      </w:r>
    </w:p>
    <w:p>
      <w:pPr>
        <w:keepNext w:val="0"/>
        <w:keepLines w:val="0"/>
        <w:pageBreakBefore w:val="0"/>
        <w:widowControl w:val="0"/>
        <w:kinsoku/>
        <w:wordWrap/>
        <w:overflowPunct/>
        <w:topLinePunct w:val="0"/>
        <w:autoSpaceDE/>
        <w:autoSpaceDN/>
        <w:bidi w:val="0"/>
        <w:adjustRightInd/>
        <w:snapToGrid/>
        <w:spacing w:before="104" w:line="224" w:lineRule="auto"/>
        <w:ind w:left="635"/>
        <w:textAlignment w:val="auto"/>
        <w:outlineLvl w:val="0"/>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
          <w:sz w:val="31"/>
          <w:szCs w:val="31"/>
          <w14:textFill>
            <w14:solidFill>
              <w14:schemeClr w14:val="tx1"/>
            </w14:solidFill>
          </w14:textFill>
        </w:rPr>
        <w:t>2.项目立项、资金申报的依据。</w:t>
      </w:r>
    </w:p>
    <w:p>
      <w:pPr>
        <w:keepNext w:val="0"/>
        <w:keepLines w:val="0"/>
        <w:pageBreakBefore w:val="0"/>
        <w:widowControl w:val="0"/>
        <w:kinsoku/>
        <w:wordWrap/>
        <w:overflowPunct/>
        <w:topLinePunct w:val="0"/>
        <w:autoSpaceDE/>
        <w:autoSpaceDN/>
        <w:bidi w:val="0"/>
        <w:adjustRightInd/>
        <w:snapToGrid/>
        <w:spacing w:before="104" w:line="339" w:lineRule="auto"/>
        <w:ind w:firstLine="629"/>
        <w:jc w:val="both"/>
        <w:textAlignment w:val="auto"/>
        <w:rPr>
          <w:rFonts w:ascii="仿宋" w:hAnsi="仿宋" w:eastAsia="仿宋" w:cs="仿宋"/>
          <w:color w:val="000000" w:themeColor="text1"/>
          <w:spacing w:val="11"/>
          <w:sz w:val="31"/>
          <w:szCs w:val="31"/>
          <w14:textFill>
            <w14:solidFill>
              <w14:schemeClr w14:val="tx1"/>
            </w14:solidFill>
          </w14:textFill>
        </w:rPr>
      </w:pPr>
      <w:r>
        <w:rPr>
          <w:rFonts w:ascii="仿宋" w:hAnsi="仿宋" w:eastAsia="仿宋" w:cs="仿宋"/>
          <w:color w:val="000000" w:themeColor="text1"/>
          <w:spacing w:val="10"/>
          <w:sz w:val="31"/>
          <w:szCs w:val="31"/>
          <w14:textFill>
            <w14:solidFill>
              <w14:schemeClr w14:val="tx1"/>
            </w14:solidFill>
          </w14:textFill>
        </w:rPr>
        <w:t>根据《广元市财政局广元市自然资源局&lt;关于下达2022年乡</w:t>
      </w:r>
      <w:r>
        <w:rPr>
          <w:rFonts w:ascii="仿宋" w:hAnsi="仿宋" w:eastAsia="仿宋" w:cs="仿宋"/>
          <w:color w:val="000000" w:themeColor="text1"/>
          <w:spacing w:val="5"/>
          <w:sz w:val="31"/>
          <w:szCs w:val="31"/>
          <w14:textFill>
            <w14:solidFill>
              <w14:schemeClr w14:val="tx1"/>
            </w14:solidFill>
          </w14:textFill>
        </w:rPr>
        <w:t>村国土空间规划编制省级财政奖补专项资金预算的通知&gt;》(广财</w:t>
      </w:r>
      <w:r>
        <w:rPr>
          <w:rFonts w:ascii="仿宋" w:hAnsi="仿宋" w:eastAsia="仿宋" w:cs="仿宋"/>
          <w:color w:val="000000" w:themeColor="text1"/>
          <w:spacing w:val="8"/>
          <w:sz w:val="31"/>
          <w:szCs w:val="31"/>
          <w14:textFill>
            <w14:solidFill>
              <w14:schemeClr w14:val="tx1"/>
            </w14:solidFill>
          </w14:textFill>
        </w:rPr>
        <w:t>资环〔2022〕39号),为促进乡村国土空间</w:t>
      </w:r>
      <w:r>
        <w:rPr>
          <w:rFonts w:ascii="仿宋" w:hAnsi="仿宋" w:eastAsia="仿宋" w:cs="仿宋"/>
          <w:color w:val="000000" w:themeColor="text1"/>
          <w:spacing w:val="7"/>
          <w:sz w:val="31"/>
          <w:szCs w:val="31"/>
          <w14:textFill>
            <w14:solidFill>
              <w14:schemeClr w14:val="tx1"/>
            </w14:solidFill>
          </w14:textFill>
        </w:rPr>
        <w:t>规划编制工作有力有</w:t>
      </w:r>
      <w:r>
        <w:rPr>
          <w:rFonts w:ascii="仿宋" w:hAnsi="仿宋" w:eastAsia="仿宋" w:cs="仿宋"/>
          <w:color w:val="000000" w:themeColor="text1"/>
          <w:spacing w:val="14"/>
          <w:sz w:val="31"/>
          <w:szCs w:val="31"/>
          <w14:textFill>
            <w14:solidFill>
              <w14:schemeClr w14:val="tx1"/>
            </w14:solidFill>
          </w14:textFill>
        </w:rPr>
        <w:t>序推进，下达2022年乡村国土空间规划编制省级财政</w:t>
      </w:r>
      <w:r>
        <w:rPr>
          <w:rFonts w:ascii="仿宋" w:hAnsi="仿宋" w:eastAsia="仿宋" w:cs="仿宋"/>
          <w:color w:val="000000" w:themeColor="text1"/>
          <w:spacing w:val="13"/>
          <w:sz w:val="31"/>
          <w:szCs w:val="31"/>
          <w14:textFill>
            <w14:solidFill>
              <w14:schemeClr w14:val="tx1"/>
            </w14:solidFill>
          </w14:textFill>
        </w:rPr>
        <w:t>奖补专项</w:t>
      </w:r>
      <w:r>
        <w:rPr>
          <w:rFonts w:ascii="仿宋" w:hAnsi="仿宋" w:eastAsia="仿宋" w:cs="仿宋"/>
          <w:color w:val="000000" w:themeColor="text1"/>
          <w:spacing w:val="11"/>
          <w:sz w:val="31"/>
          <w:szCs w:val="31"/>
          <w14:textFill>
            <w14:solidFill>
              <w14:schemeClr w14:val="tx1"/>
            </w14:solidFill>
          </w14:textFill>
        </w:rPr>
        <w:t>资金预算</w:t>
      </w:r>
      <w:r>
        <w:rPr>
          <w:rFonts w:hint="eastAsia" w:ascii="仿宋" w:hAnsi="仿宋" w:eastAsia="仿宋" w:cs="仿宋"/>
          <w:color w:val="000000" w:themeColor="text1"/>
          <w:spacing w:val="11"/>
          <w:sz w:val="31"/>
          <w:szCs w:val="31"/>
          <w:lang w:val="en-US" w:eastAsia="zh-CN"/>
          <w14:textFill>
            <w14:solidFill>
              <w14:schemeClr w14:val="tx1"/>
            </w14:solidFill>
          </w14:textFill>
        </w:rPr>
        <w:t>108</w:t>
      </w:r>
      <w:r>
        <w:rPr>
          <w:rFonts w:ascii="仿宋" w:hAnsi="仿宋" w:eastAsia="仿宋" w:cs="仿宋"/>
          <w:color w:val="000000" w:themeColor="text1"/>
          <w:spacing w:val="11"/>
          <w:sz w:val="31"/>
          <w:szCs w:val="31"/>
          <w14:textFill>
            <w14:solidFill>
              <w14:schemeClr w14:val="tx1"/>
            </w14:solidFill>
          </w14:textFill>
        </w:rPr>
        <w:t>万元，专项用于乡村国土空间规划编制工作。</w:t>
      </w:r>
    </w:p>
    <w:p>
      <w:pPr>
        <w:keepNext w:val="0"/>
        <w:keepLines w:val="0"/>
        <w:pageBreakBefore w:val="0"/>
        <w:widowControl w:val="0"/>
        <w:kinsoku/>
        <w:wordWrap/>
        <w:overflowPunct/>
        <w:topLinePunct w:val="0"/>
        <w:autoSpaceDE/>
        <w:autoSpaceDN/>
        <w:bidi w:val="0"/>
        <w:adjustRightInd/>
        <w:snapToGrid/>
        <w:spacing w:before="104" w:line="224" w:lineRule="auto"/>
        <w:ind w:left="692"/>
        <w:textAlignment w:val="auto"/>
        <w:outlineLvl w:val="0"/>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z w:val="31"/>
          <w:szCs w:val="31"/>
          <w14:textFill>
            <w14:solidFill>
              <w14:schemeClr w14:val="tx1"/>
            </w14:solidFill>
          </w14:textFill>
        </w:rPr>
        <w:t>3.资金或项目管理办法制定情况。</w:t>
      </w:r>
    </w:p>
    <w:p>
      <w:pPr>
        <w:keepNext w:val="0"/>
        <w:keepLines w:val="0"/>
        <w:pageBreakBefore w:val="0"/>
        <w:widowControl w:val="0"/>
        <w:kinsoku/>
        <w:wordWrap/>
        <w:overflowPunct/>
        <w:topLinePunct w:val="0"/>
        <w:autoSpaceDE/>
        <w:autoSpaceDN/>
        <w:bidi w:val="0"/>
        <w:adjustRightInd/>
        <w:snapToGrid/>
        <w:spacing w:before="104" w:line="339" w:lineRule="auto"/>
        <w:ind w:right="6" w:firstLine="731"/>
        <w:textAlignment w:val="auto"/>
        <w:rPr>
          <w:rFonts w:hint="eastAsia"/>
          <w:color w:val="000000" w:themeColor="text1"/>
          <w:lang w:val="en-US" w:eastAsia="zh-CN"/>
          <w14:textFill>
            <w14:solidFill>
              <w14:schemeClr w14:val="tx1"/>
            </w14:solidFill>
          </w14:textFill>
        </w:rPr>
      </w:pPr>
      <w:r>
        <w:rPr>
          <w:rFonts w:ascii="仿宋" w:hAnsi="仿宋" w:eastAsia="仿宋" w:cs="仿宋"/>
          <w:color w:val="000000" w:themeColor="text1"/>
          <w:spacing w:val="1"/>
          <w:sz w:val="31"/>
          <w:szCs w:val="31"/>
          <w14:textFill>
            <w14:solidFill>
              <w14:schemeClr w14:val="tx1"/>
            </w14:solidFill>
          </w14:textFill>
        </w:rPr>
        <w:t>为保障乡村国土空间规划编制工作高质量推进，我县印发了</w:t>
      </w:r>
      <w:r>
        <w:rPr>
          <w:rFonts w:ascii="仿宋" w:hAnsi="仿宋" w:eastAsia="仿宋" w:cs="仿宋"/>
          <w:color w:val="000000" w:themeColor="text1"/>
          <w:spacing w:val="16"/>
          <w:sz w:val="31"/>
          <w:szCs w:val="31"/>
          <w14:textFill>
            <w14:solidFill>
              <w14:schemeClr w14:val="tx1"/>
            </w14:solidFill>
          </w14:textFill>
        </w:rPr>
        <w:t>《剑阁县乡镇国土空间总体规划全覆盖和村规划应编尽编</w:t>
      </w:r>
      <w:r>
        <w:rPr>
          <w:rFonts w:ascii="仿宋" w:hAnsi="仿宋" w:eastAsia="仿宋" w:cs="仿宋"/>
          <w:color w:val="000000" w:themeColor="text1"/>
          <w:spacing w:val="15"/>
          <w:sz w:val="31"/>
          <w:szCs w:val="31"/>
          <w14:textFill>
            <w14:solidFill>
              <w14:schemeClr w14:val="tx1"/>
            </w14:solidFill>
          </w14:textFill>
        </w:rPr>
        <w:t>工作</w:t>
      </w:r>
      <w:r>
        <w:rPr>
          <w:rFonts w:ascii="仿宋" w:hAnsi="仿宋" w:eastAsia="仿宋" w:cs="仿宋"/>
          <w:color w:val="000000" w:themeColor="text1"/>
          <w:spacing w:val="4"/>
          <w:sz w:val="31"/>
          <w:szCs w:val="31"/>
          <w14:textFill>
            <w14:solidFill>
              <w14:schemeClr w14:val="tx1"/>
            </w14:solidFill>
          </w14:textFill>
        </w:rPr>
        <w:t>方案》、《剑阁县人民政府办公室关于印发《剑阁县第一批次乡</w:t>
      </w:r>
      <w:r>
        <w:rPr>
          <w:rFonts w:ascii="仿宋" w:hAnsi="仿宋" w:eastAsia="仿宋" w:cs="仿宋"/>
          <w:color w:val="000000" w:themeColor="text1"/>
          <w:spacing w:val="20"/>
          <w:sz w:val="31"/>
          <w:szCs w:val="31"/>
          <w14:textFill>
            <w14:solidFill>
              <w14:schemeClr w14:val="tx1"/>
            </w14:solidFill>
          </w14:textFill>
        </w:rPr>
        <w:t>镇级片区国土空间总体规划编制工作方案》的通知》(剑府发</w:t>
      </w:r>
      <w:r>
        <w:rPr>
          <w:rFonts w:ascii="仿宋" w:hAnsi="仿宋" w:eastAsia="仿宋" w:cs="仿宋"/>
          <w:color w:val="000000" w:themeColor="text1"/>
          <w:spacing w:val="9"/>
          <w:sz w:val="31"/>
          <w:szCs w:val="31"/>
          <w14:textFill>
            <w14:solidFill>
              <w14:schemeClr w14:val="tx1"/>
            </w14:solidFill>
          </w14:textFill>
        </w:rPr>
        <w:t>〔2022〕38号)等文件专项推进各县工作。并成立了剑阁乡村</w:t>
      </w:r>
      <w:r>
        <w:rPr>
          <w:rFonts w:ascii="仿宋" w:hAnsi="仿宋" w:eastAsia="仿宋" w:cs="仿宋"/>
          <w:color w:val="000000" w:themeColor="text1"/>
          <w:spacing w:val="15"/>
          <w:sz w:val="31"/>
          <w:szCs w:val="31"/>
          <w14:textFill>
            <w14:solidFill>
              <w14:schemeClr w14:val="tx1"/>
            </w14:solidFill>
          </w14:textFill>
        </w:rPr>
        <w:t>国土空间规划编制工作领导小组负责主要的审核与</w:t>
      </w:r>
      <w:r>
        <w:rPr>
          <w:rFonts w:ascii="仿宋" w:hAnsi="仿宋" w:eastAsia="仿宋" w:cs="仿宋"/>
          <w:color w:val="000000" w:themeColor="text1"/>
          <w:spacing w:val="14"/>
          <w:sz w:val="31"/>
          <w:szCs w:val="31"/>
          <w14:textFill>
            <w14:solidFill>
              <w14:schemeClr w14:val="tx1"/>
            </w14:solidFill>
          </w14:textFill>
        </w:rPr>
        <w:t>日常推进工</w:t>
      </w:r>
      <w:r>
        <w:rPr>
          <w:rFonts w:ascii="仿宋" w:hAnsi="仿宋" w:eastAsia="仿宋" w:cs="仿宋"/>
          <w:color w:val="000000" w:themeColor="text1"/>
          <w:spacing w:val="9"/>
          <w:sz w:val="31"/>
          <w:szCs w:val="31"/>
          <w14:textFill>
            <w14:solidFill>
              <w14:schemeClr w14:val="tx1"/>
            </w14:solidFill>
          </w14:textFill>
        </w:rPr>
        <w:t>作。资金的使用管理是依照《广元市财政局广元市自然资源局&lt;</w:t>
      </w:r>
      <w:r>
        <w:rPr>
          <w:rFonts w:ascii="仿宋" w:hAnsi="仿宋" w:eastAsia="仿宋" w:cs="仿宋"/>
          <w:color w:val="000000" w:themeColor="text1"/>
          <w:spacing w:val="14"/>
          <w:sz w:val="31"/>
          <w:szCs w:val="31"/>
          <w14:textFill>
            <w14:solidFill>
              <w14:schemeClr w14:val="tx1"/>
            </w14:solidFill>
          </w14:textFill>
        </w:rPr>
        <w:t>关于下达2022年乡村国土空间规划编制省级财政奖补专项资金</w:t>
      </w:r>
      <w:r>
        <w:rPr>
          <w:rFonts w:ascii="仿宋" w:hAnsi="仿宋" w:eastAsia="仿宋" w:cs="仿宋"/>
          <w:color w:val="000000" w:themeColor="text1"/>
          <w:spacing w:val="7"/>
          <w:sz w:val="31"/>
          <w:szCs w:val="31"/>
          <w14:textFill>
            <w14:solidFill>
              <w14:schemeClr w14:val="tx1"/>
            </w14:solidFill>
          </w14:textFill>
        </w:rPr>
        <w:t>预算的通知&gt;》(广财资环〔2022〕39号)专项资金专用于保障乡</w:t>
      </w:r>
      <w:r>
        <w:rPr>
          <w:rFonts w:ascii="仿宋" w:hAnsi="仿宋" w:eastAsia="仿宋" w:cs="仿宋"/>
          <w:color w:val="000000" w:themeColor="text1"/>
          <w:spacing w:val="3"/>
          <w:sz w:val="31"/>
          <w:szCs w:val="31"/>
          <w14:textFill>
            <w14:solidFill>
              <w14:schemeClr w14:val="tx1"/>
            </w14:solidFill>
          </w14:textFill>
        </w:rPr>
        <w:t>村国土空间规划编制工作。</w:t>
      </w:r>
    </w:p>
    <w:p>
      <w:pPr>
        <w:pageBreakBefore w:val="0"/>
        <w:widowControl w:val="0"/>
        <w:kinsoku/>
        <w:wordWrap/>
        <w:overflowPunct/>
        <w:topLinePunct w:val="0"/>
        <w:autoSpaceDE/>
        <w:autoSpaceDN/>
        <w:bidi w:val="0"/>
        <w:adjustRightInd/>
        <w:snapToGrid/>
        <w:spacing w:before="104" w:line="222" w:lineRule="auto"/>
        <w:ind w:left="694"/>
        <w:textAlignment w:val="auto"/>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8"/>
          <w:sz w:val="32"/>
          <w:szCs w:val="32"/>
          <w14:textFill>
            <w14:solidFill>
              <w14:schemeClr w14:val="tx1"/>
            </w14:solidFill>
          </w14:textFill>
        </w:rPr>
        <w:t>4.资金分配的原则及考虑因素。</w:t>
      </w:r>
    </w:p>
    <w:p>
      <w:pPr>
        <w:pageBreakBefore w:val="0"/>
        <w:widowControl w:val="0"/>
        <w:kinsoku/>
        <w:wordWrap/>
        <w:overflowPunct/>
        <w:topLinePunct w:val="0"/>
        <w:autoSpaceDE/>
        <w:autoSpaceDN/>
        <w:bidi w:val="0"/>
        <w:adjustRightInd/>
        <w:snapToGrid/>
        <w:spacing w:before="104" w:line="579" w:lineRule="exact"/>
        <w:ind w:firstLine="66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5"/>
          <w:position w:val="19"/>
          <w:sz w:val="32"/>
          <w:szCs w:val="32"/>
          <w14:textFill>
            <w14:solidFill>
              <w14:schemeClr w14:val="tx1"/>
            </w14:solidFill>
          </w14:textFill>
        </w:rPr>
        <w:t>资金分配依照乡村国土空间规划推进的批次中合同约定</w:t>
      </w:r>
      <w:r>
        <w:rPr>
          <w:rFonts w:hint="eastAsia" w:ascii="仿宋" w:hAnsi="仿宋" w:eastAsia="仿宋" w:cs="仿宋"/>
          <w:color w:val="000000" w:themeColor="text1"/>
          <w:spacing w:val="5"/>
          <w:position w:val="19"/>
          <w:sz w:val="32"/>
          <w:szCs w:val="32"/>
          <w:lang w:eastAsia="zh-CN"/>
          <w14:textFill>
            <w14:solidFill>
              <w14:schemeClr w14:val="tx1"/>
            </w14:solidFill>
          </w14:textFill>
        </w:rPr>
        <w:t>支付比例进行支付。</w:t>
      </w:r>
    </w:p>
    <w:p>
      <w:pPr>
        <w:pageBreakBefore w:val="0"/>
        <w:widowControl w:val="0"/>
        <w:kinsoku/>
        <w:wordWrap/>
        <w:overflowPunct/>
        <w:topLinePunct w:val="0"/>
        <w:autoSpaceDE/>
        <w:autoSpaceDN/>
        <w:bidi w:val="0"/>
        <w:adjustRightInd/>
        <w:snapToGrid/>
        <w:spacing w:before="104" w:line="589" w:lineRule="exact"/>
        <w:ind w:left="83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8"/>
          <w:position w:val="19"/>
          <w:sz w:val="32"/>
          <w:szCs w:val="32"/>
          <w14:textFill>
            <w14:solidFill>
              <w14:schemeClr w14:val="tx1"/>
            </w14:solidFill>
          </w14:textFill>
        </w:rPr>
        <w:t>(二)项目绩效目标。</w:t>
      </w:r>
    </w:p>
    <w:p>
      <w:pPr>
        <w:pageBreakBefore w:val="0"/>
        <w:widowControl w:val="0"/>
        <w:kinsoku/>
        <w:wordWrap/>
        <w:overflowPunct/>
        <w:topLinePunct w:val="0"/>
        <w:autoSpaceDE/>
        <w:autoSpaceDN/>
        <w:bidi w:val="0"/>
        <w:adjustRightInd/>
        <w:snapToGrid/>
        <w:spacing w:before="104" w:line="222" w:lineRule="auto"/>
        <w:ind w:left="694"/>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13"/>
          <w:sz w:val="32"/>
          <w:szCs w:val="32"/>
          <w14:textFill>
            <w14:solidFill>
              <w14:schemeClr w14:val="tx1"/>
            </w14:solidFill>
          </w14:textFill>
        </w:rPr>
        <w:t>1.项目主要内容。</w:t>
      </w:r>
    </w:p>
    <w:p>
      <w:pPr>
        <w:pageBreakBefore w:val="0"/>
        <w:widowControl w:val="0"/>
        <w:kinsoku/>
        <w:wordWrap/>
        <w:overflowPunct/>
        <w:topLinePunct w:val="0"/>
        <w:autoSpaceDE/>
        <w:autoSpaceDN/>
        <w:bidi w:val="0"/>
        <w:adjustRightInd/>
        <w:snapToGrid/>
        <w:spacing w:before="104" w:line="329" w:lineRule="auto"/>
        <w:ind w:firstLine="689"/>
        <w:jc w:val="both"/>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乡村国土空间规划编制包含剑门关城乡融合发</w:t>
      </w:r>
      <w:r>
        <w:rPr>
          <w:rFonts w:ascii="仿宋" w:hAnsi="仿宋" w:eastAsia="仿宋" w:cs="仿宋"/>
          <w:color w:val="000000" w:themeColor="text1"/>
          <w:spacing w:val="-9"/>
          <w:sz w:val="32"/>
          <w:szCs w:val="32"/>
          <w14:textFill>
            <w14:solidFill>
              <w14:schemeClr w14:val="tx1"/>
            </w14:solidFill>
          </w14:textFill>
        </w:rPr>
        <w:t>展片区、剑南</w:t>
      </w:r>
      <w:r>
        <w:rPr>
          <w:rFonts w:ascii="仿宋" w:hAnsi="仿宋" w:eastAsia="仿宋" w:cs="仿宋"/>
          <w:color w:val="000000" w:themeColor="text1"/>
          <w:spacing w:val="-4"/>
          <w:sz w:val="32"/>
          <w:szCs w:val="32"/>
          <w14:textFill>
            <w14:solidFill>
              <w14:schemeClr w14:val="tx1"/>
            </w14:solidFill>
          </w14:textFill>
        </w:rPr>
        <w:t>优质粮油片区、升钟湖库区果蔬经济片区、鹤龄农旅融合片区、</w:t>
      </w:r>
      <w:r>
        <w:rPr>
          <w:rFonts w:ascii="仿宋" w:hAnsi="仿宋" w:eastAsia="仿宋" w:cs="仿宋"/>
          <w:color w:val="000000" w:themeColor="text1"/>
          <w:spacing w:val="5"/>
          <w:sz w:val="32"/>
          <w:szCs w:val="32"/>
          <w14:textFill>
            <w14:solidFill>
              <w14:schemeClr w14:val="tx1"/>
            </w14:solidFill>
          </w14:textFill>
        </w:rPr>
        <w:t>开封武连农工融合发展片区五个乡镇级片区国土空间规划分三</w:t>
      </w:r>
      <w:r>
        <w:rPr>
          <w:rFonts w:ascii="仿宋" w:hAnsi="仿宋" w:eastAsia="仿宋" w:cs="仿宋"/>
          <w:color w:val="000000" w:themeColor="text1"/>
          <w:spacing w:val="7"/>
          <w:sz w:val="32"/>
          <w:szCs w:val="32"/>
          <w14:textFill>
            <w14:solidFill>
              <w14:schemeClr w14:val="tx1"/>
            </w14:solidFill>
          </w14:textFill>
        </w:rPr>
        <w:t>个批次推进；43个村庄分为11个片区五批次推进。</w:t>
      </w:r>
    </w:p>
    <w:p>
      <w:pPr>
        <w:pageBreakBefore w:val="0"/>
        <w:widowControl w:val="0"/>
        <w:kinsoku/>
        <w:wordWrap/>
        <w:overflowPunct/>
        <w:topLinePunct w:val="0"/>
        <w:autoSpaceDE/>
        <w:autoSpaceDN/>
        <w:bidi w:val="0"/>
        <w:adjustRightInd/>
        <w:snapToGrid/>
        <w:spacing w:before="104" w:line="222" w:lineRule="auto"/>
        <w:ind w:left="644"/>
        <w:textAlignment w:val="auto"/>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9"/>
          <w:sz w:val="32"/>
          <w:szCs w:val="32"/>
          <w14:textFill>
            <w14:solidFill>
              <w14:schemeClr w14:val="tx1"/>
            </w14:solidFill>
          </w14:textFill>
        </w:rPr>
        <w:t>2.项目应实现的具体绩效目标。</w:t>
      </w:r>
    </w:p>
    <w:p>
      <w:pPr>
        <w:pageBreakBefore w:val="0"/>
        <w:widowControl w:val="0"/>
        <w:kinsoku/>
        <w:wordWrap/>
        <w:overflowPunct/>
        <w:topLinePunct w:val="0"/>
        <w:autoSpaceDE/>
        <w:autoSpaceDN/>
        <w:bidi w:val="0"/>
        <w:adjustRightInd/>
        <w:snapToGrid/>
        <w:spacing w:before="104" w:line="334" w:lineRule="auto"/>
        <w:ind w:right="43" w:firstLine="689"/>
        <w:jc w:val="both"/>
        <w:textAlignment w:val="auto"/>
        <w:rPr>
          <w:rFonts w:ascii="仿宋" w:hAnsi="仿宋" w:eastAsia="仿宋" w:cs="仿宋"/>
          <w:color w:val="000000" w:themeColor="text1"/>
          <w:spacing w:val="6"/>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乡镇级片区国土空间规划第一批次、第二批次、第三</w:t>
      </w:r>
      <w:r>
        <w:rPr>
          <w:rFonts w:ascii="仿宋" w:hAnsi="仿宋" w:eastAsia="仿宋" w:cs="仿宋"/>
          <w:color w:val="000000" w:themeColor="text1"/>
          <w:spacing w:val="-9"/>
          <w:sz w:val="32"/>
          <w:szCs w:val="32"/>
          <w14:textFill>
            <w14:solidFill>
              <w14:schemeClr w14:val="tx1"/>
            </w14:solidFill>
          </w14:textFill>
        </w:rPr>
        <w:t>批次分</w:t>
      </w:r>
      <w:r>
        <w:rPr>
          <w:rFonts w:ascii="仿宋" w:hAnsi="仿宋" w:eastAsia="仿宋" w:cs="仿宋"/>
          <w:color w:val="000000" w:themeColor="text1"/>
          <w:spacing w:val="25"/>
          <w:sz w:val="32"/>
          <w:szCs w:val="32"/>
          <w14:textFill>
            <w14:solidFill>
              <w14:schemeClr w14:val="tx1"/>
            </w14:solidFill>
          </w14:textFill>
        </w:rPr>
        <w:t>别于2022年6月底、12月底和2023年4月底上报上报省厅审</w:t>
      </w:r>
      <w:r>
        <w:rPr>
          <w:rFonts w:ascii="仿宋" w:hAnsi="仿宋" w:eastAsia="仿宋" w:cs="仿宋"/>
          <w:color w:val="000000" w:themeColor="text1"/>
          <w:spacing w:val="6"/>
          <w:sz w:val="32"/>
          <w:szCs w:val="32"/>
          <w14:textFill>
            <w14:solidFill>
              <w14:schemeClr w14:val="tx1"/>
            </w14:solidFill>
          </w14:textFill>
        </w:rPr>
        <w:t>查备案。村级片区国土空间规划分为五批次推进，第一批次于</w:t>
      </w:r>
      <w:r>
        <w:rPr>
          <w:rFonts w:ascii="仿宋" w:hAnsi="仿宋" w:eastAsia="仿宋" w:cs="仿宋"/>
          <w:color w:val="000000" w:themeColor="text1"/>
          <w:spacing w:val="5"/>
          <w:sz w:val="32"/>
          <w:szCs w:val="32"/>
          <w14:textFill>
            <w14:solidFill>
              <w14:schemeClr w14:val="tx1"/>
            </w14:solidFill>
          </w14:textFill>
        </w:rPr>
        <w:t>2022年11月底上报市自然资源局审查后</w:t>
      </w:r>
      <w:r>
        <w:rPr>
          <w:rFonts w:ascii="仿宋" w:hAnsi="仿宋" w:eastAsia="仿宋" w:cs="仿宋"/>
          <w:color w:val="000000" w:themeColor="text1"/>
          <w:spacing w:val="4"/>
          <w:sz w:val="32"/>
          <w:szCs w:val="32"/>
          <w14:textFill>
            <w14:solidFill>
              <w14:schemeClr w14:val="tx1"/>
            </w14:solidFill>
          </w14:textFill>
        </w:rPr>
        <w:t>报省厅备案，第二批次</w:t>
      </w:r>
      <w:r>
        <w:rPr>
          <w:rFonts w:ascii="仿宋" w:hAnsi="仿宋" w:eastAsia="仿宋" w:cs="仿宋"/>
          <w:color w:val="000000" w:themeColor="text1"/>
          <w:spacing w:val="7"/>
          <w:sz w:val="32"/>
          <w:szCs w:val="32"/>
          <w14:textFill>
            <w14:solidFill>
              <w14:schemeClr w14:val="tx1"/>
            </w14:solidFill>
          </w14:textFill>
        </w:rPr>
        <w:t>至第五批次依次推进，需于2024年6月底全部完成村</w:t>
      </w:r>
      <w:r>
        <w:rPr>
          <w:rFonts w:ascii="仿宋" w:hAnsi="仿宋" w:eastAsia="仿宋" w:cs="仿宋"/>
          <w:color w:val="000000" w:themeColor="text1"/>
          <w:spacing w:val="6"/>
          <w:sz w:val="32"/>
          <w:szCs w:val="32"/>
          <w14:textFill>
            <w14:solidFill>
              <w14:schemeClr w14:val="tx1"/>
            </w14:solidFill>
          </w14:textFill>
        </w:rPr>
        <w:t>规编制。</w:t>
      </w:r>
    </w:p>
    <w:p>
      <w:pPr>
        <w:pageBreakBefore w:val="0"/>
        <w:widowControl w:val="0"/>
        <w:kinsoku/>
        <w:wordWrap/>
        <w:overflowPunct/>
        <w:topLinePunct w:val="0"/>
        <w:autoSpaceDE/>
        <w:autoSpaceDN/>
        <w:bidi w:val="0"/>
        <w:adjustRightInd/>
        <w:snapToGrid/>
        <w:spacing w:before="104" w:line="223" w:lineRule="auto"/>
        <w:ind w:left="69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5"/>
          <w:sz w:val="32"/>
          <w:szCs w:val="32"/>
          <w14:textFill>
            <w14:solidFill>
              <w14:schemeClr w14:val="tx1"/>
            </w14:solidFill>
          </w14:textFill>
        </w:rPr>
        <w:t>(三)项目自评步骤及方法。</w:t>
      </w:r>
    </w:p>
    <w:p>
      <w:pPr>
        <w:pageBreakBefore w:val="0"/>
        <w:widowControl w:val="0"/>
        <w:kinsoku/>
        <w:wordWrap/>
        <w:overflowPunct/>
        <w:topLinePunct w:val="0"/>
        <w:autoSpaceDE/>
        <w:autoSpaceDN/>
        <w:bidi w:val="0"/>
        <w:adjustRightInd/>
        <w:snapToGrid/>
        <w:spacing w:before="104" w:line="552" w:lineRule="exact"/>
        <w:ind w:firstLine="664"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6"/>
          <w:position w:val="17"/>
          <w:sz w:val="32"/>
          <w:szCs w:val="32"/>
          <w14:textFill>
            <w14:solidFill>
              <w14:schemeClr w14:val="tx1"/>
            </w14:solidFill>
          </w14:textFill>
        </w:rPr>
        <w:t>本次项目绩效自评的组织实施步骤及方法主要结合目标</w:t>
      </w:r>
      <w:r>
        <w:rPr>
          <w:rFonts w:hint="eastAsia" w:ascii="仿宋" w:hAnsi="仿宋" w:eastAsia="仿宋" w:cs="仿宋"/>
          <w:color w:val="000000" w:themeColor="text1"/>
          <w:spacing w:val="6"/>
          <w:position w:val="17"/>
          <w:sz w:val="32"/>
          <w:szCs w:val="32"/>
          <w:lang w:eastAsia="zh-CN"/>
          <w14:textFill>
            <w14:solidFill>
              <w14:schemeClr w14:val="tx1"/>
            </w14:solidFill>
          </w14:textFill>
        </w:rPr>
        <w:t>质</w:t>
      </w:r>
      <w:r>
        <w:rPr>
          <w:rFonts w:ascii="仿宋" w:hAnsi="仿宋" w:eastAsia="仿宋" w:cs="仿宋"/>
          <w:color w:val="000000" w:themeColor="text1"/>
          <w:spacing w:val="6"/>
          <w:position w:val="17"/>
          <w:sz w:val="32"/>
          <w:szCs w:val="32"/>
          <w14:textFill>
            <w14:solidFill>
              <w14:schemeClr w14:val="tx1"/>
            </w14:solidFill>
          </w14:textFill>
        </w:rPr>
        <w:t>量、进度、效益完成情况据实开展自评工作。</w:t>
      </w:r>
    </w:p>
    <w:p>
      <w:pPr>
        <w:keepNext w:val="0"/>
        <w:keepLines w:val="0"/>
        <w:pageBreakBefore w:val="0"/>
        <w:widowControl w:val="0"/>
        <w:kinsoku/>
        <w:wordWrap/>
        <w:overflowPunct/>
        <w:topLinePunct w:val="0"/>
        <w:autoSpaceDE/>
        <w:autoSpaceDN/>
        <w:bidi w:val="0"/>
        <w:adjustRightInd/>
        <w:snapToGrid/>
        <w:spacing w:before="104" w:line="224" w:lineRule="auto"/>
        <w:ind w:left="692"/>
        <w:textAlignment w:val="auto"/>
        <w:outlineLvl w:val="0"/>
        <w:rPr>
          <w:rFonts w:ascii="黑体" w:hAnsi="黑体" w:eastAsia="黑体" w:cs="黑体"/>
          <w:color w:val="000000" w:themeColor="text1"/>
          <w:sz w:val="32"/>
          <w:szCs w:val="32"/>
          <w14:textFill>
            <w14:solidFill>
              <w14:schemeClr w14:val="tx1"/>
            </w14:solidFill>
          </w14:textFill>
        </w:rPr>
      </w:pPr>
      <w:r>
        <w:rPr>
          <w:rFonts w:ascii="黑体" w:hAnsi="黑体" w:eastAsia="黑体" w:cs="黑体"/>
          <w:b/>
          <w:bCs/>
          <w:color w:val="000000" w:themeColor="text1"/>
          <w:spacing w:val="-10"/>
          <w:sz w:val="32"/>
          <w:szCs w:val="32"/>
          <w14:textFill>
            <w14:solidFill>
              <w14:schemeClr w14:val="tx1"/>
            </w14:solidFill>
          </w14:textFill>
        </w:rPr>
        <w:t>二、</w:t>
      </w:r>
      <w:r>
        <w:rPr>
          <w:rFonts w:ascii="黑体" w:hAnsi="黑体" w:eastAsia="黑体" w:cs="黑体"/>
          <w:color w:val="000000" w:themeColor="text1"/>
          <w:spacing w:val="-72"/>
          <w:sz w:val="32"/>
          <w:szCs w:val="32"/>
          <w14:textFill>
            <w14:solidFill>
              <w14:schemeClr w14:val="tx1"/>
            </w14:solidFill>
          </w14:textFill>
        </w:rPr>
        <w:t xml:space="preserve"> </w:t>
      </w:r>
      <w:r>
        <w:rPr>
          <w:rFonts w:ascii="黑体" w:hAnsi="黑体" w:eastAsia="黑体" w:cs="黑体"/>
          <w:b/>
          <w:bCs/>
          <w:color w:val="000000" w:themeColor="text1"/>
          <w:spacing w:val="-10"/>
          <w:sz w:val="32"/>
          <w:szCs w:val="32"/>
          <w14:textFill>
            <w14:solidFill>
              <w14:schemeClr w14:val="tx1"/>
            </w14:solidFill>
          </w14:textFill>
        </w:rPr>
        <w:t>项目资金申报及使用情况</w:t>
      </w:r>
    </w:p>
    <w:p>
      <w:pPr>
        <w:pStyle w:val="20"/>
        <w:keepNext/>
        <w:keepLines/>
        <w:pageBreakBefore w:val="0"/>
        <w:widowControl w:val="0"/>
        <w:kinsoku/>
        <w:wordWrap/>
        <w:overflowPunct/>
        <w:topLinePunct w:val="0"/>
        <w:autoSpaceDE/>
        <w:autoSpaceDN/>
        <w:bidi w:val="0"/>
        <w:adjustRightInd/>
        <w:snapToGrid/>
        <w:spacing w:before="104" w:after="0" w:line="377" w:lineRule="auto"/>
        <w:ind w:firstLine="654" w:firstLineChars="200"/>
        <w:textAlignment w:val="auto"/>
        <w:rPr>
          <w:rFonts w:ascii="楷体" w:hAnsi="楷体" w:eastAsia="楷体" w:cs="楷体"/>
          <w:color w:val="000000" w:themeColor="text1"/>
          <w:spacing w:val="9"/>
          <w:sz w:val="32"/>
          <w:szCs w:val="32"/>
          <w14:textFill>
            <w14:solidFill>
              <w14:schemeClr w14:val="tx1"/>
            </w14:solidFill>
          </w14:textFill>
        </w:rPr>
      </w:pPr>
      <w:r>
        <w:rPr>
          <w:rFonts w:ascii="楷体" w:hAnsi="楷体" w:eastAsia="楷体" w:cs="楷体"/>
          <w:b/>
          <w:bCs/>
          <w:color w:val="000000" w:themeColor="text1"/>
          <w:spacing w:val="3"/>
          <w:sz w:val="32"/>
          <w:szCs w:val="32"/>
          <w14:textFill>
            <w14:solidFill>
              <w14:schemeClr w14:val="tx1"/>
            </w14:solidFill>
          </w14:textFill>
        </w:rPr>
        <w:t>(一)项目资金申报及批复情况</w:t>
      </w:r>
      <w:r>
        <w:rPr>
          <w:rFonts w:ascii="楷体" w:hAnsi="楷体" w:eastAsia="楷体" w:cs="楷体"/>
          <w:color w:val="000000" w:themeColor="text1"/>
          <w:spacing w:val="3"/>
          <w:sz w:val="32"/>
          <w:szCs w:val="32"/>
          <w14:textFill>
            <w14:solidFill>
              <w14:schemeClr w14:val="tx1"/>
            </w14:solidFill>
          </w14:textFill>
        </w:rPr>
        <w:t>。</w:t>
      </w:r>
      <w:r>
        <w:rPr>
          <w:rFonts w:ascii="楷体" w:hAnsi="楷体" w:eastAsia="楷体" w:cs="楷体"/>
          <w:color w:val="000000" w:themeColor="text1"/>
          <w:spacing w:val="9"/>
          <w:sz w:val="32"/>
          <w:szCs w:val="32"/>
          <w14:textFill>
            <w14:solidFill>
              <w14:schemeClr w14:val="tx1"/>
            </w14:solidFill>
          </w14:textFill>
        </w:rPr>
        <w:t xml:space="preserve"> </w:t>
      </w:r>
    </w:p>
    <w:p>
      <w:pPr>
        <w:pStyle w:val="20"/>
        <w:keepNext/>
        <w:keepLines/>
        <w:pageBreakBefore w:val="0"/>
        <w:widowControl w:val="0"/>
        <w:kinsoku/>
        <w:wordWrap/>
        <w:overflowPunct/>
        <w:topLinePunct w:val="0"/>
        <w:autoSpaceDE/>
        <w:autoSpaceDN/>
        <w:bidi w:val="0"/>
        <w:adjustRightInd/>
        <w:snapToGrid/>
        <w:spacing w:before="104" w:after="0" w:line="377" w:lineRule="auto"/>
        <w:ind w:firstLine="664" w:firstLineChars="200"/>
        <w:textAlignment w:val="auto"/>
        <w:rPr>
          <w:color w:val="000000" w:themeColor="text1"/>
          <w:lang w:val="en-US" w:eastAsia="zh-CN"/>
          <w14:textFill>
            <w14:solidFill>
              <w14:schemeClr w14:val="tx1"/>
            </w14:solidFill>
          </w14:textFill>
        </w:rPr>
      </w:pPr>
      <w:r>
        <w:rPr>
          <w:rFonts w:ascii="仿宋" w:hAnsi="仿宋" w:eastAsia="仿宋" w:cs="仿宋"/>
          <w:b w:val="0"/>
          <w:color w:val="000000" w:themeColor="text1"/>
          <w:spacing w:val="6"/>
          <w:kern w:val="2"/>
          <w:position w:val="17"/>
          <w:sz w:val="32"/>
          <w:szCs w:val="32"/>
          <w:lang w:val="en-US" w:eastAsia="zh-CN" w:bidi="ar-SA"/>
          <w14:textFill>
            <w14:solidFill>
              <w14:schemeClr w14:val="tx1"/>
            </w14:solidFill>
          </w14:textFill>
        </w:rPr>
        <w:t>资金由上级下达，未进行申报。</w:t>
      </w:r>
    </w:p>
    <w:p>
      <w:pPr>
        <w:keepNext w:val="0"/>
        <w:keepLines w:val="0"/>
        <w:pageBreakBefore w:val="0"/>
        <w:widowControl w:val="0"/>
        <w:kinsoku/>
        <w:wordWrap/>
        <w:overflowPunct/>
        <w:topLinePunct w:val="0"/>
        <w:autoSpaceDE/>
        <w:autoSpaceDN/>
        <w:bidi w:val="0"/>
        <w:adjustRightInd/>
        <w:snapToGrid/>
        <w:spacing w:before="104" w:line="226" w:lineRule="auto"/>
        <w:ind w:left="692"/>
        <w:textAlignment w:val="auto"/>
        <w:rPr>
          <w:rFonts w:ascii="楷体" w:hAnsi="楷体" w:eastAsia="楷体" w:cs="楷体"/>
          <w:b/>
          <w:bCs/>
          <w:color w:val="000000" w:themeColor="text1"/>
          <w:spacing w:val="8"/>
          <w:sz w:val="32"/>
          <w:szCs w:val="32"/>
          <w14:textFill>
            <w14:solidFill>
              <w14:schemeClr w14:val="tx1"/>
            </w14:solidFill>
          </w14:textFill>
        </w:rPr>
      </w:pPr>
      <w:r>
        <w:rPr>
          <w:rFonts w:ascii="楷体" w:hAnsi="楷体" w:eastAsia="楷体" w:cs="楷体"/>
          <w:b/>
          <w:bCs/>
          <w:color w:val="000000" w:themeColor="text1"/>
          <w:spacing w:val="8"/>
          <w:sz w:val="32"/>
          <w:szCs w:val="32"/>
          <w14:textFill>
            <w14:solidFill>
              <w14:schemeClr w14:val="tx1"/>
            </w14:solidFill>
          </w14:textFill>
        </w:rPr>
        <w:t>(二)资金计划、到位及使用情况。</w:t>
      </w:r>
    </w:p>
    <w:p>
      <w:pPr>
        <w:pageBreakBefore w:val="0"/>
        <w:widowControl w:val="0"/>
        <w:kinsoku/>
        <w:wordWrap/>
        <w:overflowPunct/>
        <w:topLinePunct w:val="0"/>
        <w:autoSpaceDE/>
        <w:autoSpaceDN/>
        <w:bidi w:val="0"/>
        <w:adjustRightInd/>
        <w:snapToGrid/>
        <w:spacing w:before="104" w:line="222" w:lineRule="auto"/>
        <w:ind w:left="654"/>
        <w:textAlignment w:val="auto"/>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12"/>
          <w:sz w:val="32"/>
          <w:szCs w:val="32"/>
          <w14:textFill>
            <w14:solidFill>
              <w14:schemeClr w14:val="tx1"/>
            </w14:solidFill>
          </w14:textFill>
        </w:rPr>
        <w:t>1.资金计划。</w:t>
      </w:r>
    </w:p>
    <w:p>
      <w:pPr>
        <w:pageBreakBefore w:val="0"/>
        <w:widowControl w:val="0"/>
        <w:kinsoku/>
        <w:wordWrap/>
        <w:overflowPunct/>
        <w:topLinePunct w:val="0"/>
        <w:autoSpaceDE/>
        <w:autoSpaceDN/>
        <w:bidi w:val="0"/>
        <w:adjustRightInd/>
        <w:snapToGrid/>
        <w:spacing w:before="104" w:line="334" w:lineRule="auto"/>
        <w:ind w:firstLine="649"/>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
          <w:sz w:val="32"/>
          <w:szCs w:val="32"/>
          <w14:textFill>
            <w14:solidFill>
              <w14:schemeClr w14:val="tx1"/>
            </w14:solidFill>
          </w14:textFill>
        </w:rPr>
        <w:t>经县十九届人民政府第7次常务会议决定“将规划编制费用</w:t>
      </w:r>
      <w:r>
        <w:rPr>
          <w:rFonts w:ascii="仿宋" w:hAnsi="仿宋" w:eastAsia="仿宋" w:cs="仿宋"/>
          <w:color w:val="000000" w:themeColor="text1"/>
          <w:spacing w:val="5"/>
          <w:sz w:val="32"/>
          <w:szCs w:val="32"/>
          <w14:textFill>
            <w14:solidFill>
              <w14:schemeClr w14:val="tx1"/>
            </w14:solidFill>
          </w14:textFill>
        </w:rPr>
        <w:t>2136万纳入县财政预算统筹解决”,同意</w:t>
      </w:r>
      <w:r>
        <w:rPr>
          <w:rFonts w:ascii="仿宋" w:hAnsi="仿宋" w:eastAsia="仿宋" w:cs="仿宋"/>
          <w:color w:val="000000" w:themeColor="text1"/>
          <w:spacing w:val="4"/>
          <w:sz w:val="32"/>
          <w:szCs w:val="32"/>
          <w14:textFill>
            <w14:solidFill>
              <w14:schemeClr w14:val="tx1"/>
            </w14:solidFill>
          </w14:textFill>
        </w:rPr>
        <w:t>县自然资源局请示内</w:t>
      </w:r>
      <w:r>
        <w:rPr>
          <w:rFonts w:ascii="仿宋" w:hAnsi="仿宋" w:eastAsia="仿宋" w:cs="仿宋"/>
          <w:color w:val="000000" w:themeColor="text1"/>
          <w:spacing w:val="7"/>
          <w:sz w:val="32"/>
          <w:szCs w:val="32"/>
          <w14:textFill>
            <w14:solidFill>
              <w14:schemeClr w14:val="tx1"/>
            </w14:solidFill>
          </w14:textFill>
        </w:rPr>
        <w:t>容：“2021年度按总费用的20%(约427.2万元)列入财政预算，</w:t>
      </w:r>
      <w:r>
        <w:rPr>
          <w:rFonts w:ascii="仿宋" w:hAnsi="仿宋" w:eastAsia="仿宋" w:cs="仿宋"/>
          <w:color w:val="000000" w:themeColor="text1"/>
          <w:spacing w:val="1"/>
          <w:sz w:val="32"/>
          <w:szCs w:val="32"/>
          <w14:textFill>
            <w14:solidFill>
              <w14:schemeClr w14:val="tx1"/>
            </w14:solidFill>
          </w14:textFill>
        </w:rPr>
        <w:t xml:space="preserve"> </w:t>
      </w:r>
      <w:r>
        <w:rPr>
          <w:rFonts w:ascii="仿宋" w:hAnsi="仿宋" w:eastAsia="仿宋" w:cs="仿宋"/>
          <w:color w:val="000000" w:themeColor="text1"/>
          <w:spacing w:val="14"/>
          <w:sz w:val="32"/>
          <w:szCs w:val="32"/>
          <w14:textFill>
            <w14:solidFill>
              <w14:schemeClr w14:val="tx1"/>
            </w14:solidFill>
          </w14:textFill>
        </w:rPr>
        <w:t>2022年按总费用的40%(约854.4万元)列入财政预算”。根据</w:t>
      </w:r>
      <w:r>
        <w:rPr>
          <w:rFonts w:ascii="仿宋" w:hAnsi="仿宋" w:eastAsia="仿宋" w:cs="仿宋"/>
          <w:color w:val="000000" w:themeColor="text1"/>
          <w:spacing w:val="3"/>
          <w:sz w:val="32"/>
          <w:szCs w:val="32"/>
          <w14:textFill>
            <w14:solidFill>
              <w14:schemeClr w14:val="tx1"/>
            </w14:solidFill>
          </w14:textFill>
        </w:rPr>
        <w:t>《广元市财政局广元市自然资源局&lt;关于下达2022年乡村国土</w:t>
      </w:r>
      <w:r>
        <w:rPr>
          <w:rFonts w:ascii="仿宋" w:hAnsi="仿宋" w:eastAsia="仿宋" w:cs="仿宋"/>
          <w:color w:val="000000" w:themeColor="text1"/>
          <w:spacing w:val="5"/>
          <w:sz w:val="32"/>
          <w:szCs w:val="32"/>
          <w14:textFill>
            <w14:solidFill>
              <w14:schemeClr w14:val="tx1"/>
            </w14:solidFill>
          </w14:textFill>
        </w:rPr>
        <w:t>空间规划编制省级财政奖补专项资金预算的通知&gt;》(广财资环</w:t>
      </w:r>
      <w:r>
        <w:rPr>
          <w:rFonts w:ascii="仿宋" w:hAnsi="仿宋" w:eastAsia="仿宋" w:cs="仿宋"/>
          <w:color w:val="000000" w:themeColor="text1"/>
          <w:spacing w:val="-3"/>
          <w:sz w:val="32"/>
          <w:szCs w:val="32"/>
          <w14:textFill>
            <w14:solidFill>
              <w14:schemeClr w14:val="tx1"/>
            </w14:solidFill>
          </w14:textFill>
        </w:rPr>
        <w:t>〔2022〕39号),为促进乡村国土空间规划编制工作有</w:t>
      </w:r>
      <w:r>
        <w:rPr>
          <w:rFonts w:ascii="仿宋" w:hAnsi="仿宋" w:eastAsia="仿宋" w:cs="仿宋"/>
          <w:color w:val="000000" w:themeColor="text1"/>
          <w:spacing w:val="-4"/>
          <w:sz w:val="32"/>
          <w:szCs w:val="32"/>
          <w14:textFill>
            <w14:solidFill>
              <w14:schemeClr w14:val="tx1"/>
            </w14:solidFill>
          </w14:textFill>
        </w:rPr>
        <w:t>力有序推</w:t>
      </w:r>
      <w:r>
        <w:rPr>
          <w:rFonts w:ascii="仿宋" w:hAnsi="仿宋" w:eastAsia="仿宋" w:cs="仿宋"/>
          <w:color w:val="000000" w:themeColor="text1"/>
          <w:spacing w:val="5"/>
          <w:sz w:val="32"/>
          <w:szCs w:val="32"/>
          <w14:textFill>
            <w14:solidFill>
              <w14:schemeClr w14:val="tx1"/>
            </w14:solidFill>
          </w14:textFill>
        </w:rPr>
        <w:t>进，下达2022年乡村国土空间规划编制省级财政奖补专项资金</w:t>
      </w:r>
      <w:r>
        <w:rPr>
          <w:rFonts w:ascii="仿宋" w:hAnsi="仿宋" w:eastAsia="仿宋" w:cs="仿宋"/>
          <w:color w:val="000000" w:themeColor="text1"/>
          <w:spacing w:val="1"/>
          <w:sz w:val="32"/>
          <w:szCs w:val="32"/>
          <w14:textFill>
            <w14:solidFill>
              <w14:schemeClr w14:val="tx1"/>
            </w14:solidFill>
          </w14:textFill>
        </w:rPr>
        <w:t>预算</w:t>
      </w:r>
      <w:r>
        <w:rPr>
          <w:rFonts w:hint="eastAsia" w:ascii="仿宋" w:hAnsi="仿宋" w:eastAsia="仿宋" w:cs="仿宋"/>
          <w:color w:val="000000" w:themeColor="text1"/>
          <w:spacing w:val="1"/>
          <w:sz w:val="32"/>
          <w:szCs w:val="32"/>
          <w:lang w:val="en-US" w:eastAsia="zh-CN"/>
          <w14:textFill>
            <w14:solidFill>
              <w14:schemeClr w14:val="tx1"/>
            </w14:solidFill>
          </w14:textFill>
        </w:rPr>
        <w:t>108</w:t>
      </w:r>
      <w:r>
        <w:rPr>
          <w:rFonts w:ascii="仿宋" w:hAnsi="仿宋" w:eastAsia="仿宋" w:cs="仿宋"/>
          <w:color w:val="000000" w:themeColor="text1"/>
          <w:spacing w:val="1"/>
          <w:sz w:val="32"/>
          <w:szCs w:val="32"/>
          <w14:textFill>
            <w14:solidFill>
              <w14:schemeClr w14:val="tx1"/>
            </w14:solidFill>
          </w14:textFill>
        </w:rPr>
        <w:t>万元，专项用于乡村国土空间规划编制工作。</w:t>
      </w:r>
    </w:p>
    <w:p>
      <w:pPr>
        <w:keepNext w:val="0"/>
        <w:keepLines w:val="0"/>
        <w:pageBreakBefore w:val="0"/>
        <w:widowControl w:val="0"/>
        <w:kinsoku/>
        <w:wordWrap/>
        <w:overflowPunct/>
        <w:topLinePunct w:val="0"/>
        <w:autoSpaceDE/>
        <w:autoSpaceDN/>
        <w:bidi w:val="0"/>
        <w:adjustRightInd/>
        <w:snapToGrid/>
        <w:spacing w:before="104" w:line="224" w:lineRule="auto"/>
        <w:ind w:left="652"/>
        <w:textAlignment w:val="auto"/>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12"/>
          <w:sz w:val="32"/>
          <w:szCs w:val="32"/>
          <w14:textFill>
            <w14:solidFill>
              <w14:schemeClr w14:val="tx1"/>
            </w14:solidFill>
          </w14:textFill>
        </w:rPr>
        <w:t>2.资金到位。</w:t>
      </w:r>
    </w:p>
    <w:p>
      <w:pPr>
        <w:keepNext w:val="0"/>
        <w:keepLines w:val="0"/>
        <w:pageBreakBefore w:val="0"/>
        <w:widowControl w:val="0"/>
        <w:kinsoku/>
        <w:wordWrap/>
        <w:overflowPunct/>
        <w:topLinePunct w:val="0"/>
        <w:autoSpaceDE/>
        <w:autoSpaceDN/>
        <w:bidi w:val="0"/>
        <w:adjustRightInd/>
        <w:snapToGrid/>
        <w:spacing w:before="104" w:line="329" w:lineRule="auto"/>
        <w:ind w:left="11" w:right="79" w:firstLine="641"/>
        <w:jc w:val="both"/>
        <w:textAlignment w:val="auto"/>
        <w:rPr>
          <w:color w:val="000000" w:themeColor="text1"/>
          <w14:textFill>
            <w14:solidFill>
              <w14:schemeClr w14:val="tx1"/>
            </w14:solidFill>
          </w14:textFill>
        </w:rPr>
      </w:pPr>
      <w:r>
        <w:rPr>
          <w:rFonts w:ascii="仿宋" w:hAnsi="仿宋" w:eastAsia="仿宋" w:cs="仿宋"/>
          <w:color w:val="000000" w:themeColor="text1"/>
          <w:spacing w:val="11"/>
          <w:sz w:val="32"/>
          <w:szCs w:val="32"/>
          <w14:textFill>
            <w14:solidFill>
              <w14:schemeClr w14:val="tx1"/>
            </w14:solidFill>
          </w14:textFill>
        </w:rPr>
        <w:t>2022年县政府财政预算到位600万</w:t>
      </w:r>
      <w:r>
        <w:rPr>
          <w:rFonts w:hint="eastAsia" w:ascii="仿宋" w:hAnsi="仿宋" w:eastAsia="仿宋" w:cs="仿宋"/>
          <w:color w:val="000000" w:themeColor="text1"/>
          <w:spacing w:val="11"/>
          <w:sz w:val="32"/>
          <w:szCs w:val="32"/>
          <w:lang w:eastAsia="zh-CN"/>
          <w14:textFill>
            <w14:solidFill>
              <w14:schemeClr w14:val="tx1"/>
            </w14:solidFill>
          </w14:textFill>
        </w:rPr>
        <w:t>元</w:t>
      </w:r>
      <w:r>
        <w:rPr>
          <w:rFonts w:ascii="仿宋" w:hAnsi="仿宋" w:eastAsia="仿宋" w:cs="仿宋"/>
          <w:color w:val="000000" w:themeColor="text1"/>
          <w:spacing w:val="11"/>
          <w:sz w:val="32"/>
          <w:szCs w:val="32"/>
          <w14:textFill>
            <w14:solidFill>
              <w14:schemeClr w14:val="tx1"/>
            </w14:solidFill>
          </w14:textFill>
        </w:rPr>
        <w:t>，但是因为项目支</w:t>
      </w:r>
      <w:r>
        <w:rPr>
          <w:rFonts w:ascii="仿宋" w:hAnsi="仿宋" w:eastAsia="仿宋" w:cs="仿宋"/>
          <w:color w:val="000000" w:themeColor="text1"/>
          <w:spacing w:val="10"/>
          <w:sz w:val="32"/>
          <w:szCs w:val="32"/>
          <w14:textFill>
            <w14:solidFill>
              <w14:schemeClr w14:val="tx1"/>
            </w14:solidFill>
          </w14:textFill>
        </w:rPr>
        <w:t>付需</w:t>
      </w:r>
      <w:r>
        <w:rPr>
          <w:rFonts w:ascii="仿宋" w:hAnsi="仿宋" w:eastAsia="仿宋" w:cs="仿宋"/>
          <w:color w:val="000000" w:themeColor="text1"/>
          <w:spacing w:val="-7"/>
          <w:sz w:val="32"/>
          <w:szCs w:val="32"/>
          <w14:textFill>
            <w14:solidFill>
              <w14:schemeClr w14:val="tx1"/>
            </w14:solidFill>
          </w14:textFill>
        </w:rPr>
        <w:t>按批次和项目开展节点支付，截止年底未达支付要求，于是年末</w:t>
      </w:r>
      <w:r>
        <w:rPr>
          <w:rFonts w:ascii="仿宋" w:hAnsi="仿宋" w:eastAsia="仿宋" w:cs="仿宋"/>
          <w:color w:val="000000" w:themeColor="text1"/>
          <w:spacing w:val="5"/>
          <w:sz w:val="32"/>
          <w:szCs w:val="32"/>
          <w14:textFill>
            <w14:solidFill>
              <w14:schemeClr w14:val="tx1"/>
            </w14:solidFill>
          </w14:textFill>
        </w:rPr>
        <w:t>该项预算收回，未实际支付；省级财政奖补专项资金预算指标</w:t>
      </w:r>
      <w:r>
        <w:rPr>
          <w:rFonts w:hint="eastAsia" w:ascii="仿宋" w:hAnsi="仿宋" w:eastAsia="仿宋" w:cs="仿宋"/>
          <w:color w:val="000000" w:themeColor="text1"/>
          <w:spacing w:val="-2"/>
          <w:sz w:val="32"/>
          <w:szCs w:val="32"/>
          <w:lang w:val="en-US" w:eastAsia="zh-CN"/>
          <w14:textFill>
            <w14:solidFill>
              <w14:schemeClr w14:val="tx1"/>
            </w14:solidFill>
          </w14:textFill>
        </w:rPr>
        <w:t>108</w:t>
      </w:r>
      <w:r>
        <w:rPr>
          <w:rFonts w:ascii="仿宋" w:hAnsi="仿宋" w:eastAsia="仿宋" w:cs="仿宋"/>
          <w:color w:val="000000" w:themeColor="text1"/>
          <w:spacing w:val="-2"/>
          <w:sz w:val="32"/>
          <w:szCs w:val="32"/>
          <w14:textFill>
            <w14:solidFill>
              <w14:schemeClr w14:val="tx1"/>
            </w14:solidFill>
          </w14:textFill>
        </w:rPr>
        <w:t>万元完全到位。</w:t>
      </w:r>
    </w:p>
    <w:p>
      <w:pPr>
        <w:keepNext w:val="0"/>
        <w:keepLines w:val="0"/>
        <w:pageBreakBefore w:val="0"/>
        <w:widowControl w:val="0"/>
        <w:kinsoku/>
        <w:wordWrap/>
        <w:overflowPunct/>
        <w:topLinePunct w:val="0"/>
        <w:autoSpaceDE/>
        <w:autoSpaceDN/>
        <w:bidi w:val="0"/>
        <w:adjustRightInd/>
        <w:snapToGrid/>
        <w:spacing w:before="104" w:line="224" w:lineRule="auto"/>
        <w:ind w:left="652"/>
        <w:textAlignment w:val="auto"/>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12"/>
          <w:sz w:val="32"/>
          <w:szCs w:val="32"/>
          <w14:textFill>
            <w14:solidFill>
              <w14:schemeClr w14:val="tx1"/>
            </w14:solidFill>
          </w14:textFill>
        </w:rPr>
        <w:t>3.资金使用。</w:t>
      </w:r>
    </w:p>
    <w:p>
      <w:pPr>
        <w:keepNext w:val="0"/>
        <w:keepLines w:val="0"/>
        <w:pageBreakBefore w:val="0"/>
        <w:widowControl w:val="0"/>
        <w:kinsoku/>
        <w:wordWrap/>
        <w:overflowPunct/>
        <w:topLinePunct w:val="0"/>
        <w:autoSpaceDE/>
        <w:autoSpaceDN/>
        <w:bidi w:val="0"/>
        <w:adjustRightInd/>
        <w:snapToGrid/>
        <w:spacing w:before="104" w:line="336" w:lineRule="auto"/>
        <w:ind w:left="11" w:right="68" w:firstLine="641"/>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截至目前，乡镇级片区国土空间规划编制服务</w:t>
      </w:r>
      <w:r>
        <w:rPr>
          <w:rFonts w:ascii="仿宋" w:hAnsi="仿宋" w:eastAsia="仿宋" w:cs="仿宋"/>
          <w:color w:val="000000" w:themeColor="text1"/>
          <w:spacing w:val="5"/>
          <w:sz w:val="32"/>
          <w:szCs w:val="32"/>
          <w14:textFill>
            <w14:solidFill>
              <w14:schemeClr w14:val="tx1"/>
            </w14:solidFill>
          </w14:textFill>
        </w:rPr>
        <w:t>(包一)支付</w:t>
      </w:r>
      <w:r>
        <w:rPr>
          <w:rFonts w:ascii="仿宋" w:hAnsi="仿宋" w:eastAsia="仿宋" w:cs="仿宋"/>
          <w:color w:val="000000" w:themeColor="text1"/>
          <w:spacing w:val="4"/>
          <w:sz w:val="32"/>
          <w:szCs w:val="32"/>
          <w14:textFill>
            <w14:solidFill>
              <w14:schemeClr w14:val="tx1"/>
            </w14:solidFill>
          </w14:textFill>
        </w:rPr>
        <w:t>项目资金25万元；乡镇级片区国土空间规划编制服务(包二)支</w:t>
      </w:r>
      <w:r>
        <w:rPr>
          <w:rFonts w:ascii="仿宋" w:hAnsi="仿宋" w:eastAsia="仿宋" w:cs="仿宋"/>
          <w:color w:val="000000" w:themeColor="text1"/>
          <w:spacing w:val="5"/>
          <w:sz w:val="32"/>
          <w:szCs w:val="32"/>
          <w14:textFill>
            <w14:solidFill>
              <w14:schemeClr w14:val="tx1"/>
            </w14:solidFill>
          </w14:textFill>
        </w:rPr>
        <w:t>付项目资金25万元；乡镇级片区国土空间规划编制服务(包三)</w:t>
      </w:r>
      <w:r>
        <w:rPr>
          <w:rFonts w:ascii="仿宋" w:hAnsi="仿宋" w:eastAsia="仿宋" w:cs="仿宋"/>
          <w:color w:val="000000" w:themeColor="text1"/>
          <w:spacing w:val="8"/>
          <w:sz w:val="32"/>
          <w:szCs w:val="32"/>
          <w14:textFill>
            <w14:solidFill>
              <w14:schemeClr w14:val="tx1"/>
            </w14:solidFill>
          </w14:textFill>
        </w:rPr>
        <w:t>支付项目资金</w:t>
      </w:r>
      <w:r>
        <w:rPr>
          <w:rFonts w:hint="eastAsia" w:ascii="仿宋" w:hAnsi="仿宋" w:eastAsia="仿宋" w:cs="仿宋"/>
          <w:color w:val="000000" w:themeColor="text1"/>
          <w:spacing w:val="8"/>
          <w:sz w:val="32"/>
          <w:szCs w:val="32"/>
          <w:lang w:val="en-US" w:eastAsia="zh-CN"/>
          <w14:textFill>
            <w14:solidFill>
              <w14:schemeClr w14:val="tx1"/>
            </w14:solidFill>
          </w14:textFill>
        </w:rPr>
        <w:t>58</w:t>
      </w:r>
      <w:r>
        <w:rPr>
          <w:rFonts w:ascii="仿宋" w:hAnsi="仿宋" w:eastAsia="仿宋" w:cs="仿宋"/>
          <w:color w:val="000000" w:themeColor="text1"/>
          <w:spacing w:val="8"/>
          <w:sz w:val="32"/>
          <w:szCs w:val="32"/>
          <w14:textFill>
            <w14:solidFill>
              <w14:schemeClr w14:val="tx1"/>
            </w14:solidFill>
          </w14:textFill>
        </w:rPr>
        <w:t>万元，共计支付1</w:t>
      </w:r>
      <w:r>
        <w:rPr>
          <w:rFonts w:hint="eastAsia" w:ascii="仿宋" w:hAnsi="仿宋" w:eastAsia="仿宋" w:cs="仿宋"/>
          <w:color w:val="000000" w:themeColor="text1"/>
          <w:spacing w:val="8"/>
          <w:sz w:val="32"/>
          <w:szCs w:val="32"/>
          <w:lang w:val="en-US" w:eastAsia="zh-CN"/>
          <w14:textFill>
            <w14:solidFill>
              <w14:schemeClr w14:val="tx1"/>
            </w14:solidFill>
          </w14:textFill>
        </w:rPr>
        <w:t>08</w:t>
      </w:r>
      <w:r>
        <w:rPr>
          <w:rFonts w:ascii="仿宋" w:hAnsi="仿宋" w:eastAsia="仿宋" w:cs="仿宋"/>
          <w:color w:val="000000" w:themeColor="text1"/>
          <w:spacing w:val="8"/>
          <w:sz w:val="32"/>
          <w:szCs w:val="32"/>
          <w14:textFill>
            <w14:solidFill>
              <w14:schemeClr w14:val="tx1"/>
            </w14:solidFill>
          </w14:textFill>
        </w:rPr>
        <w:t>万元。</w:t>
      </w:r>
    </w:p>
    <w:p>
      <w:pPr>
        <w:pStyle w:val="8"/>
        <w:pageBreakBefore w:val="0"/>
        <w:widowControl w:val="0"/>
        <w:kinsoku/>
        <w:wordWrap/>
        <w:overflowPunct/>
        <w:topLinePunct w:val="0"/>
        <w:autoSpaceDE/>
        <w:autoSpaceDN/>
        <w:bidi w:val="0"/>
        <w:adjustRightInd/>
        <w:snapToGrid/>
        <w:spacing w:before="104"/>
        <w:ind w:firstLine="662" w:firstLineChars="200"/>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楷体" w:hAnsi="楷体" w:eastAsia="楷体" w:cs="楷体"/>
          <w:b/>
          <w:bCs/>
          <w:color w:val="000000" w:themeColor="text1"/>
          <w:spacing w:val="5"/>
          <w:sz w:val="32"/>
          <w:szCs w:val="32"/>
          <w14:textFill>
            <w14:solidFill>
              <w14:schemeClr w14:val="tx1"/>
            </w14:solidFill>
          </w14:textFill>
        </w:rPr>
        <w:t>(三)项目财务管理情况。</w:t>
      </w:r>
    </w:p>
    <w:p>
      <w:pPr>
        <w:pageBreakBefore w:val="0"/>
        <w:widowControl w:val="0"/>
        <w:kinsoku/>
        <w:wordWrap/>
        <w:overflowPunct/>
        <w:topLinePunct w:val="0"/>
        <w:autoSpaceDE/>
        <w:autoSpaceDN/>
        <w:bidi w:val="0"/>
        <w:adjustRightInd/>
        <w:snapToGrid/>
        <w:spacing w:before="104" w:line="221" w:lineRule="auto"/>
        <w:ind w:left="649"/>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项目实施单位财务管理制度健全，严格执行财务管理制度，</w:t>
      </w:r>
    </w:p>
    <w:p>
      <w:pPr>
        <w:pageBreakBefore w:val="0"/>
        <w:widowControl w:val="0"/>
        <w:kinsoku/>
        <w:wordWrap/>
        <w:overflowPunct/>
        <w:topLinePunct w:val="0"/>
        <w:autoSpaceDE/>
        <w:autoSpaceDN/>
        <w:bidi w:val="0"/>
        <w:adjustRightInd/>
        <w:snapToGrid/>
        <w:spacing w:before="104" w:line="222" w:lineRule="auto"/>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账务处理及时，会计核算规范。</w:t>
      </w:r>
    </w:p>
    <w:p>
      <w:pPr>
        <w:keepNext w:val="0"/>
        <w:keepLines w:val="0"/>
        <w:pageBreakBefore w:val="0"/>
        <w:widowControl w:val="0"/>
        <w:kinsoku/>
        <w:wordWrap/>
        <w:overflowPunct/>
        <w:topLinePunct w:val="0"/>
        <w:autoSpaceDE/>
        <w:autoSpaceDN/>
        <w:bidi w:val="0"/>
        <w:adjustRightInd/>
        <w:snapToGrid/>
        <w:spacing w:before="104" w:line="224" w:lineRule="auto"/>
        <w:ind w:left="754"/>
        <w:textAlignment w:val="auto"/>
        <w:outlineLvl w:val="0"/>
        <w:rPr>
          <w:rFonts w:ascii="黑体" w:hAnsi="黑体" w:eastAsia="黑体" w:cs="黑体"/>
          <w:color w:val="000000" w:themeColor="text1"/>
          <w:sz w:val="32"/>
          <w:szCs w:val="32"/>
          <w14:textFill>
            <w14:solidFill>
              <w14:schemeClr w14:val="tx1"/>
            </w14:solidFill>
          </w14:textFill>
        </w:rPr>
      </w:pPr>
      <w:r>
        <w:rPr>
          <w:rFonts w:ascii="黑体" w:hAnsi="黑体" w:eastAsia="黑体" w:cs="黑体"/>
          <w:b/>
          <w:bCs/>
          <w:color w:val="000000" w:themeColor="text1"/>
          <w:spacing w:val="-10"/>
          <w:sz w:val="32"/>
          <w:szCs w:val="32"/>
          <w14:textFill>
            <w14:solidFill>
              <w14:schemeClr w14:val="tx1"/>
            </w14:solidFill>
          </w14:textFill>
        </w:rPr>
        <w:t>三、</w:t>
      </w:r>
      <w:r>
        <w:rPr>
          <w:rFonts w:ascii="黑体" w:hAnsi="黑体" w:eastAsia="黑体" w:cs="黑体"/>
          <w:color w:val="000000" w:themeColor="text1"/>
          <w:spacing w:val="-75"/>
          <w:sz w:val="32"/>
          <w:szCs w:val="32"/>
          <w14:textFill>
            <w14:solidFill>
              <w14:schemeClr w14:val="tx1"/>
            </w14:solidFill>
          </w14:textFill>
        </w:rPr>
        <w:t xml:space="preserve"> </w:t>
      </w:r>
      <w:r>
        <w:rPr>
          <w:rFonts w:ascii="黑体" w:hAnsi="黑体" w:eastAsia="黑体" w:cs="黑体"/>
          <w:b/>
          <w:bCs/>
          <w:color w:val="000000" w:themeColor="text1"/>
          <w:spacing w:val="-10"/>
          <w:sz w:val="32"/>
          <w:szCs w:val="32"/>
          <w14:textFill>
            <w14:solidFill>
              <w14:schemeClr w14:val="tx1"/>
            </w14:solidFill>
          </w14:textFill>
        </w:rPr>
        <w:t>项目实施及管理情况</w:t>
      </w:r>
    </w:p>
    <w:p>
      <w:pPr>
        <w:keepNext w:val="0"/>
        <w:keepLines w:val="0"/>
        <w:pageBreakBefore w:val="0"/>
        <w:widowControl w:val="0"/>
        <w:kinsoku/>
        <w:wordWrap/>
        <w:overflowPunct/>
        <w:topLinePunct w:val="0"/>
        <w:autoSpaceDE/>
        <w:autoSpaceDN/>
        <w:bidi w:val="0"/>
        <w:adjustRightInd/>
        <w:snapToGrid/>
        <w:spacing w:before="104" w:line="224" w:lineRule="auto"/>
        <w:ind w:left="88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5"/>
          <w:sz w:val="32"/>
          <w:szCs w:val="32"/>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snapToGrid/>
        <w:spacing w:before="104" w:line="329" w:lineRule="auto"/>
        <w:ind w:right="57" w:firstLine="646"/>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项目主要由县国土空间规划编制研究中心负责组织编制，县</w:t>
      </w:r>
      <w:r>
        <w:rPr>
          <w:rFonts w:ascii="仿宋" w:hAnsi="仿宋" w:eastAsia="仿宋" w:cs="仿宋"/>
          <w:color w:val="000000" w:themeColor="text1"/>
          <w:spacing w:val="-6"/>
          <w:sz w:val="32"/>
          <w:szCs w:val="32"/>
          <w14:textFill>
            <w14:solidFill>
              <w14:schemeClr w14:val="tx1"/>
            </w14:solidFill>
          </w14:textFill>
        </w:rPr>
        <w:t>级国土空间规划编制专班负责项目质量把控与进度监管。局财务股负责项目资金审核和拨付，项目实施和资金拨付严格按照项目管理办法和资金管理办法执行。</w:t>
      </w:r>
    </w:p>
    <w:p>
      <w:pPr>
        <w:pageBreakBefore w:val="0"/>
        <w:widowControl w:val="0"/>
        <w:kinsoku/>
        <w:wordWrap/>
        <w:overflowPunct/>
        <w:topLinePunct w:val="0"/>
        <w:autoSpaceDE/>
        <w:autoSpaceDN/>
        <w:bidi w:val="0"/>
        <w:adjustRightInd/>
        <w:snapToGrid/>
        <w:spacing w:before="104" w:line="329" w:lineRule="auto"/>
        <w:ind w:firstLine="804"/>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6"/>
          <w:sz w:val="32"/>
          <w:szCs w:val="32"/>
          <w14:textFill>
            <w14:solidFill>
              <w14:schemeClr w14:val="tx1"/>
            </w14:solidFill>
          </w14:textFill>
        </w:rPr>
        <w:t>(二)项目管理情况。</w:t>
      </w:r>
      <w:r>
        <w:rPr>
          <w:rFonts w:ascii="仿宋" w:hAnsi="仿宋" w:eastAsia="仿宋" w:cs="仿宋"/>
          <w:color w:val="000000" w:themeColor="text1"/>
          <w:spacing w:val="-6"/>
          <w:sz w:val="32"/>
          <w:szCs w:val="32"/>
          <w14:textFill>
            <w14:solidFill>
              <w14:schemeClr w14:val="tx1"/>
            </w14:solidFill>
          </w14:textFill>
        </w:rPr>
        <w:t>项目总分为三个包进行招</w:t>
      </w:r>
      <w:r>
        <w:rPr>
          <w:rFonts w:ascii="仿宋" w:hAnsi="仿宋" w:eastAsia="仿宋" w:cs="仿宋"/>
          <w:color w:val="000000" w:themeColor="text1"/>
          <w:spacing w:val="-7"/>
          <w:sz w:val="32"/>
          <w:szCs w:val="32"/>
          <w14:textFill>
            <w14:solidFill>
              <w14:schemeClr w14:val="tx1"/>
            </w14:solidFill>
          </w14:textFill>
        </w:rPr>
        <w:t>投标，完成</w:t>
      </w:r>
      <w:r>
        <w:rPr>
          <w:rFonts w:ascii="仿宋" w:hAnsi="仿宋" w:eastAsia="仿宋" w:cs="仿宋"/>
          <w:color w:val="000000" w:themeColor="text1"/>
          <w:spacing w:val="-4"/>
          <w:sz w:val="32"/>
          <w:szCs w:val="32"/>
          <w14:textFill>
            <w14:solidFill>
              <w14:schemeClr w14:val="tx1"/>
            </w14:solidFill>
          </w14:textFill>
        </w:rPr>
        <w:t>需求论证后进行招标采购程序，通过四川政府采购网公开招标，</w:t>
      </w:r>
      <w:r>
        <w:rPr>
          <w:rFonts w:ascii="仿宋" w:hAnsi="仿宋" w:eastAsia="仿宋" w:cs="仿宋"/>
          <w:color w:val="000000" w:themeColor="text1"/>
          <w:spacing w:val="4"/>
          <w:sz w:val="32"/>
          <w:szCs w:val="32"/>
          <w14:textFill>
            <w14:solidFill>
              <w14:schemeClr w14:val="tx1"/>
            </w14:solidFill>
          </w14:textFill>
        </w:rPr>
        <w:t>由专家评审确定创辉达设计股份有限公司承包开封武连农工融</w:t>
      </w:r>
      <w:r>
        <w:rPr>
          <w:rFonts w:ascii="仿宋" w:hAnsi="仿宋" w:eastAsia="仿宋" w:cs="仿宋"/>
          <w:color w:val="000000" w:themeColor="text1"/>
          <w:spacing w:val="-6"/>
          <w:sz w:val="32"/>
          <w:szCs w:val="32"/>
          <w14:textFill>
            <w14:solidFill>
              <w14:schemeClr w14:val="tx1"/>
            </w14:solidFill>
          </w14:textFill>
        </w:rPr>
        <w:t>合发展片区和升钟湖库区果蔬经济片区编制工作，苍穹数码技术股份有限公司承包剑门关城乡融合发展片区编制工作；由陕西金</w:t>
      </w:r>
      <w:r>
        <w:rPr>
          <w:rFonts w:ascii="仿宋" w:hAnsi="仿宋" w:eastAsia="仿宋" w:cs="仿宋"/>
          <w:color w:val="000000" w:themeColor="text1"/>
          <w:spacing w:val="6"/>
          <w:sz w:val="32"/>
          <w:szCs w:val="32"/>
          <w14:textFill>
            <w14:solidFill>
              <w14:schemeClr w14:val="tx1"/>
            </w14:solidFill>
          </w14:textFill>
        </w:rPr>
        <w:t>城绿景城市规划设计公司承包鹤龄农旅融合片区和剑南优质粮</w:t>
      </w:r>
      <w:r>
        <w:rPr>
          <w:rFonts w:ascii="仿宋" w:hAnsi="仿宋" w:eastAsia="仿宋" w:cs="仿宋"/>
          <w:color w:val="000000" w:themeColor="text1"/>
          <w:spacing w:val="-8"/>
          <w:sz w:val="32"/>
          <w:szCs w:val="32"/>
          <w14:textFill>
            <w14:solidFill>
              <w14:schemeClr w14:val="tx1"/>
            </w14:solidFill>
          </w14:textFill>
        </w:rPr>
        <w:t>油片区编制工作。</w:t>
      </w:r>
    </w:p>
    <w:p>
      <w:pPr>
        <w:keepNext w:val="0"/>
        <w:keepLines w:val="0"/>
        <w:pageBreakBefore w:val="0"/>
        <w:widowControl w:val="0"/>
        <w:kinsoku/>
        <w:wordWrap/>
        <w:overflowPunct/>
        <w:topLinePunct w:val="0"/>
        <w:autoSpaceDE/>
        <w:autoSpaceDN/>
        <w:bidi w:val="0"/>
        <w:adjustRightInd/>
        <w:snapToGrid/>
        <w:spacing w:before="104" w:line="329" w:lineRule="auto"/>
        <w:ind w:right="45" w:firstLine="794"/>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pacing w:val="-7"/>
          <w:sz w:val="32"/>
          <w:szCs w:val="32"/>
          <w14:textFill>
            <w14:solidFill>
              <w14:schemeClr w14:val="tx1"/>
            </w14:solidFill>
          </w14:textFill>
        </w:rPr>
        <w:t>(三)项目监管情况。</w:t>
      </w:r>
      <w:r>
        <w:rPr>
          <w:rFonts w:ascii="仿宋" w:hAnsi="仿宋" w:eastAsia="仿宋" w:cs="仿宋"/>
          <w:color w:val="000000" w:themeColor="text1"/>
          <w:spacing w:val="-7"/>
          <w:sz w:val="32"/>
          <w:szCs w:val="32"/>
          <w14:textFill>
            <w14:solidFill>
              <w14:schemeClr w14:val="tx1"/>
            </w14:solidFill>
          </w14:textFill>
        </w:rPr>
        <w:t>作为项目主管部门，我局严格依照省市要求按时推进国土空间规划编制工作，依照时省级市级相关精</w:t>
      </w:r>
      <w:r>
        <w:rPr>
          <w:rFonts w:ascii="仿宋" w:hAnsi="仿宋" w:eastAsia="仿宋" w:cs="仿宋"/>
          <w:color w:val="000000" w:themeColor="text1"/>
          <w:spacing w:val="-5"/>
          <w:sz w:val="32"/>
          <w:szCs w:val="32"/>
          <w14:textFill>
            <w14:solidFill>
              <w14:schemeClr w14:val="tx1"/>
            </w14:solidFill>
          </w14:textFill>
        </w:rPr>
        <w:t>神对质量进行把关和审核。</w:t>
      </w:r>
    </w:p>
    <w:p>
      <w:pPr>
        <w:keepNext w:val="0"/>
        <w:keepLines w:val="0"/>
        <w:pageBreakBefore w:val="0"/>
        <w:widowControl w:val="0"/>
        <w:kinsoku/>
        <w:wordWrap/>
        <w:overflowPunct/>
        <w:topLinePunct w:val="0"/>
        <w:autoSpaceDE/>
        <w:autoSpaceDN/>
        <w:bidi w:val="0"/>
        <w:adjustRightInd/>
        <w:snapToGrid/>
        <w:spacing w:before="104" w:line="221" w:lineRule="auto"/>
        <w:ind w:left="652"/>
        <w:textAlignment w:val="auto"/>
        <w:outlineLvl w:val="0"/>
        <w:rPr>
          <w:rFonts w:ascii="黑体" w:hAnsi="黑体" w:eastAsia="黑体" w:cs="黑体"/>
          <w:color w:val="000000" w:themeColor="text1"/>
          <w:sz w:val="32"/>
          <w:szCs w:val="32"/>
          <w14:textFill>
            <w14:solidFill>
              <w14:schemeClr w14:val="tx1"/>
            </w14:solidFill>
          </w14:textFill>
        </w:rPr>
      </w:pPr>
      <w:r>
        <w:rPr>
          <w:rFonts w:ascii="黑体" w:hAnsi="黑体" w:eastAsia="黑体" w:cs="黑体"/>
          <w:b/>
          <w:bCs/>
          <w:color w:val="000000" w:themeColor="text1"/>
          <w:spacing w:val="-13"/>
          <w:sz w:val="32"/>
          <w:szCs w:val="32"/>
          <w14:textFill>
            <w14:solidFill>
              <w14:schemeClr w14:val="tx1"/>
            </w14:solidFill>
          </w14:textFill>
        </w:rPr>
        <w:t>四、</w:t>
      </w:r>
      <w:r>
        <w:rPr>
          <w:rFonts w:ascii="黑体" w:hAnsi="黑体" w:eastAsia="黑体" w:cs="黑体"/>
          <w:color w:val="000000" w:themeColor="text1"/>
          <w:spacing w:val="-81"/>
          <w:sz w:val="32"/>
          <w:szCs w:val="32"/>
          <w14:textFill>
            <w14:solidFill>
              <w14:schemeClr w14:val="tx1"/>
            </w14:solidFill>
          </w14:textFill>
        </w:rPr>
        <w:t xml:space="preserve"> </w:t>
      </w:r>
      <w:r>
        <w:rPr>
          <w:rFonts w:ascii="黑体" w:hAnsi="黑体" w:eastAsia="黑体" w:cs="黑体"/>
          <w:b/>
          <w:bCs/>
          <w:color w:val="000000" w:themeColor="text1"/>
          <w:spacing w:val="-13"/>
          <w:sz w:val="32"/>
          <w:szCs w:val="32"/>
          <w14:textFill>
            <w14:solidFill>
              <w14:schemeClr w14:val="tx1"/>
            </w14:solidFill>
          </w14:textFill>
        </w:rPr>
        <w:t>项目绩效情况</w:t>
      </w:r>
    </w:p>
    <w:p>
      <w:pPr>
        <w:keepNext w:val="0"/>
        <w:keepLines w:val="0"/>
        <w:pageBreakBefore w:val="0"/>
        <w:widowControl w:val="0"/>
        <w:kinsoku/>
        <w:wordWrap/>
        <w:overflowPunct/>
        <w:topLinePunct w:val="0"/>
        <w:autoSpaceDE/>
        <w:autoSpaceDN/>
        <w:bidi w:val="0"/>
        <w:adjustRightInd/>
        <w:snapToGrid/>
        <w:spacing w:before="104" w:line="228" w:lineRule="auto"/>
        <w:ind w:left="873"/>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8"/>
          <w:sz w:val="32"/>
          <w:szCs w:val="32"/>
          <w14:textFill>
            <w14:solidFill>
              <w14:schemeClr w14:val="tx1"/>
            </w14:solidFill>
          </w14:textFill>
        </w:rPr>
        <w:t>(一)项目完成情况。</w:t>
      </w:r>
    </w:p>
    <w:p>
      <w:pPr>
        <w:pageBreakBefore w:val="0"/>
        <w:widowControl w:val="0"/>
        <w:kinsoku/>
        <w:wordWrap/>
        <w:overflowPunct/>
        <w:topLinePunct w:val="0"/>
        <w:autoSpaceDE/>
        <w:autoSpaceDN/>
        <w:bidi w:val="0"/>
        <w:adjustRightInd/>
        <w:snapToGrid/>
        <w:spacing w:before="104" w:line="335" w:lineRule="auto"/>
        <w:ind w:right="45" w:firstLine="684" w:firstLineChars="200"/>
        <w:jc w:val="both"/>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仿宋" w:hAnsi="仿宋" w:eastAsia="仿宋" w:cs="仿宋"/>
          <w:color w:val="000000" w:themeColor="text1"/>
          <w:spacing w:val="11"/>
          <w:sz w:val="32"/>
          <w:szCs w:val="32"/>
          <w14:textFill>
            <w14:solidFill>
              <w14:schemeClr w14:val="tx1"/>
            </w14:solidFill>
          </w14:textFill>
        </w:rPr>
        <w:t>照上级要求，我局于2022年6月29日按照要求完成第一</w:t>
      </w:r>
      <w:r>
        <w:rPr>
          <w:rFonts w:ascii="仿宋" w:hAnsi="仿宋" w:eastAsia="仿宋" w:cs="仿宋"/>
          <w:color w:val="000000" w:themeColor="text1"/>
          <w:spacing w:val="4"/>
          <w:sz w:val="32"/>
          <w:szCs w:val="32"/>
          <w14:textFill>
            <w14:solidFill>
              <w14:schemeClr w14:val="tx1"/>
            </w14:solidFill>
          </w14:textFill>
        </w:rPr>
        <w:t>批乡镇级片区规划成果并提交至省厅。于2022年12月底完成第</w:t>
      </w:r>
      <w:r>
        <w:rPr>
          <w:rFonts w:ascii="仿宋" w:hAnsi="仿宋" w:eastAsia="仿宋" w:cs="仿宋"/>
          <w:color w:val="000000" w:themeColor="text1"/>
          <w:spacing w:val="-7"/>
          <w:sz w:val="32"/>
          <w:szCs w:val="32"/>
          <w14:textFill>
            <w14:solidFill>
              <w14:schemeClr w14:val="tx1"/>
            </w14:solidFill>
          </w14:textFill>
        </w:rPr>
        <w:t>二批次乡镇级国土空间规划编制并将成果上报至市局。第三批次</w:t>
      </w:r>
      <w:r>
        <w:rPr>
          <w:rFonts w:ascii="仿宋" w:hAnsi="仿宋" w:eastAsia="仿宋" w:cs="仿宋"/>
          <w:color w:val="000000" w:themeColor="text1"/>
          <w:spacing w:val="2"/>
          <w:sz w:val="32"/>
          <w:szCs w:val="32"/>
          <w14:textFill>
            <w14:solidFill>
              <w14:schemeClr w14:val="tx1"/>
            </w14:solidFill>
          </w14:textFill>
        </w:rPr>
        <w:t>乡镇级国土空间规划编制工作正在编制中，于2022年第二批次</w:t>
      </w:r>
      <w:r>
        <w:rPr>
          <w:rFonts w:ascii="仿宋" w:hAnsi="仿宋" w:eastAsia="仿宋" w:cs="仿宋"/>
          <w:color w:val="000000" w:themeColor="text1"/>
          <w:spacing w:val="-8"/>
          <w:sz w:val="32"/>
          <w:szCs w:val="32"/>
          <w14:textFill>
            <w14:solidFill>
              <w14:schemeClr w14:val="tx1"/>
            </w14:solidFill>
          </w14:textFill>
        </w:rPr>
        <w:t>编制同期形成初步成果并已征集一轮乡镇意见，</w:t>
      </w:r>
      <w:r>
        <w:rPr>
          <w:rFonts w:ascii="仿宋" w:hAnsi="仿宋" w:eastAsia="仿宋" w:cs="仿宋"/>
          <w:color w:val="000000" w:themeColor="text1"/>
          <w:spacing w:val="-9"/>
          <w:sz w:val="32"/>
          <w:szCs w:val="32"/>
          <w14:textFill>
            <w14:solidFill>
              <w14:schemeClr w14:val="tx1"/>
            </w14:solidFill>
          </w14:textFill>
        </w:rPr>
        <w:t>之后编制技术人</w:t>
      </w:r>
      <w:r>
        <w:rPr>
          <w:rFonts w:ascii="仿宋" w:hAnsi="仿宋" w:eastAsia="仿宋" w:cs="仿宋"/>
          <w:color w:val="000000" w:themeColor="text1"/>
          <w:spacing w:val="9"/>
          <w:sz w:val="32"/>
          <w:szCs w:val="32"/>
          <w14:textFill>
            <w14:solidFill>
              <w14:schemeClr w14:val="tx1"/>
            </w14:solidFill>
          </w14:textFill>
        </w:rPr>
        <w:t>员对初步成果深入分析与修改。2023年2月我局派出专人偕同</w:t>
      </w:r>
      <w:r>
        <w:rPr>
          <w:rFonts w:ascii="仿宋" w:hAnsi="仿宋" w:eastAsia="仿宋" w:cs="仿宋"/>
          <w:color w:val="000000" w:themeColor="text1"/>
          <w:spacing w:val="-9"/>
          <w:sz w:val="32"/>
          <w:szCs w:val="32"/>
          <w14:textFill>
            <w14:solidFill>
              <w14:schemeClr w14:val="tx1"/>
            </w14:solidFill>
          </w14:textFill>
        </w:rPr>
        <w:t>作业单位技术人员赴鹤龄农旅融合片区进行补充调研，将初步方</w:t>
      </w:r>
      <w:r>
        <w:rPr>
          <w:rFonts w:ascii="仿宋" w:hAnsi="仿宋" w:eastAsia="仿宋" w:cs="仿宋"/>
          <w:color w:val="000000" w:themeColor="text1"/>
          <w:spacing w:val="-8"/>
          <w:sz w:val="32"/>
          <w:szCs w:val="32"/>
          <w14:textFill>
            <w14:solidFill>
              <w14:schemeClr w14:val="tx1"/>
            </w14:solidFill>
          </w14:textFill>
        </w:rPr>
        <w:t>案与乡镇村社进行二次对接，进一步完善了第三批次乡镇国土空</w:t>
      </w:r>
      <w:r>
        <w:rPr>
          <w:rFonts w:ascii="仿宋" w:hAnsi="仿宋" w:eastAsia="仿宋" w:cs="仿宋"/>
          <w:color w:val="000000" w:themeColor="text1"/>
          <w:spacing w:val="-11"/>
          <w:sz w:val="32"/>
          <w:szCs w:val="32"/>
          <w14:textFill>
            <w14:solidFill>
              <w14:schemeClr w14:val="tx1"/>
            </w14:solidFill>
          </w14:textFill>
        </w:rPr>
        <w:t>间规划编制方案。</w:t>
      </w:r>
    </w:p>
    <w:p>
      <w:pPr>
        <w:pageBreakBefore w:val="0"/>
        <w:widowControl w:val="0"/>
        <w:kinsoku/>
        <w:wordWrap/>
        <w:overflowPunct/>
        <w:topLinePunct w:val="0"/>
        <w:autoSpaceDE/>
        <w:autoSpaceDN/>
        <w:bidi w:val="0"/>
        <w:adjustRightInd/>
        <w:snapToGrid/>
        <w:spacing w:before="104" w:line="227" w:lineRule="auto"/>
        <w:ind w:left="77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8"/>
          <w:sz w:val="32"/>
          <w:szCs w:val="32"/>
          <w14:textFill>
            <w14:solidFill>
              <w14:schemeClr w14:val="tx1"/>
            </w14:solidFill>
          </w14:textFill>
        </w:rPr>
        <w:t>(二)项目效益情况。</w:t>
      </w:r>
    </w:p>
    <w:p>
      <w:pPr>
        <w:pageBreakBefore w:val="0"/>
        <w:widowControl w:val="0"/>
        <w:kinsoku/>
        <w:wordWrap/>
        <w:overflowPunct/>
        <w:topLinePunct w:val="0"/>
        <w:autoSpaceDE/>
        <w:autoSpaceDN/>
        <w:bidi w:val="0"/>
        <w:adjustRightInd/>
        <w:snapToGrid/>
        <w:spacing w:before="104" w:line="329" w:lineRule="auto"/>
        <w:ind w:firstLine="679"/>
        <w:jc w:val="both"/>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乡镇级国土空间规划与村级国土空间规划编制是建立健全</w:t>
      </w:r>
      <w:r>
        <w:rPr>
          <w:rFonts w:ascii="仿宋" w:hAnsi="仿宋" w:eastAsia="仿宋" w:cs="仿宋"/>
          <w:color w:val="000000" w:themeColor="text1"/>
          <w:spacing w:val="-8"/>
          <w:sz w:val="32"/>
          <w:szCs w:val="32"/>
          <w14:textFill>
            <w14:solidFill>
              <w14:schemeClr w14:val="tx1"/>
            </w14:solidFill>
          </w14:textFill>
        </w:rPr>
        <w:t>我县国土空间规划“五级三类四体系”的重要组成部分，编制成</w:t>
      </w:r>
      <w:r>
        <w:rPr>
          <w:rFonts w:ascii="仿宋" w:hAnsi="仿宋" w:eastAsia="仿宋" w:cs="仿宋"/>
          <w:color w:val="000000" w:themeColor="text1"/>
          <w:spacing w:val="-7"/>
          <w:sz w:val="32"/>
          <w:szCs w:val="32"/>
          <w14:textFill>
            <w14:solidFill>
              <w14:schemeClr w14:val="tx1"/>
            </w14:solidFill>
          </w14:textFill>
        </w:rPr>
        <w:t>果形成将助力我县形成绿色生产方式和生活方式、推进生态文明</w:t>
      </w:r>
      <w:r>
        <w:rPr>
          <w:rFonts w:ascii="仿宋" w:hAnsi="仿宋" w:eastAsia="仿宋" w:cs="仿宋"/>
          <w:color w:val="000000" w:themeColor="text1"/>
          <w:spacing w:val="-9"/>
          <w:sz w:val="32"/>
          <w:szCs w:val="32"/>
          <w14:textFill>
            <w14:solidFill>
              <w14:schemeClr w14:val="tx1"/>
            </w14:solidFill>
          </w14:textFill>
        </w:rPr>
        <w:t>建设，此项工作是坚持以人民为中心、实现高质量发展和高品质生活、建设美好家园的重要手段，是保障国家战略有效实施、促</w:t>
      </w:r>
      <w:r>
        <w:rPr>
          <w:rFonts w:ascii="仿宋" w:hAnsi="仿宋" w:eastAsia="仿宋" w:cs="仿宋"/>
          <w:color w:val="000000" w:themeColor="text1"/>
          <w:spacing w:val="-7"/>
          <w:sz w:val="32"/>
          <w:szCs w:val="32"/>
          <w14:textFill>
            <w14:solidFill>
              <w14:schemeClr w14:val="tx1"/>
            </w14:solidFill>
          </w14:textFill>
        </w:rPr>
        <w:t>进国家治理体系和治理能力现代化、实现“两个一百年”奋斗目</w:t>
      </w:r>
      <w:r>
        <w:rPr>
          <w:rFonts w:ascii="仿宋" w:hAnsi="仿宋" w:eastAsia="仿宋" w:cs="仿宋"/>
          <w:color w:val="000000" w:themeColor="text1"/>
          <w:spacing w:val="-6"/>
          <w:sz w:val="32"/>
          <w:szCs w:val="32"/>
          <w14:textFill>
            <w14:solidFill>
              <w14:schemeClr w14:val="tx1"/>
            </w14:solidFill>
          </w14:textFill>
        </w:rPr>
        <w:t>标和中华民族伟大复兴中国梦的必然要求。</w:t>
      </w:r>
    </w:p>
    <w:p>
      <w:pPr>
        <w:pStyle w:val="8"/>
        <w:pageBreakBefore w:val="0"/>
        <w:widowControl w:val="0"/>
        <w:kinsoku/>
        <w:wordWrap/>
        <w:overflowPunct/>
        <w:topLinePunct w:val="0"/>
        <w:autoSpaceDE/>
        <w:autoSpaceDN/>
        <w:bidi w:val="0"/>
        <w:adjustRightInd/>
        <w:snapToGrid/>
        <w:spacing w:before="104"/>
        <w:ind w:firstLine="590" w:firstLineChars="200"/>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黑体" w:hAnsi="黑体" w:eastAsia="黑体" w:cs="黑体"/>
          <w:b/>
          <w:bCs/>
          <w:color w:val="000000" w:themeColor="text1"/>
          <w:spacing w:val="-13"/>
          <w:sz w:val="32"/>
          <w:szCs w:val="32"/>
          <w14:textFill>
            <w14:solidFill>
              <w14:schemeClr w14:val="tx1"/>
            </w14:solidFill>
          </w14:textFill>
        </w:rPr>
        <w:t>五、</w:t>
      </w:r>
      <w:r>
        <w:rPr>
          <w:rFonts w:ascii="黑体" w:hAnsi="黑体" w:eastAsia="黑体" w:cs="黑体"/>
          <w:color w:val="000000" w:themeColor="text1"/>
          <w:spacing w:val="-70"/>
          <w:sz w:val="32"/>
          <w:szCs w:val="32"/>
          <w14:textFill>
            <w14:solidFill>
              <w14:schemeClr w14:val="tx1"/>
            </w14:solidFill>
          </w14:textFill>
        </w:rPr>
        <w:t xml:space="preserve"> </w:t>
      </w:r>
      <w:r>
        <w:rPr>
          <w:rFonts w:ascii="黑体" w:hAnsi="黑体" w:eastAsia="黑体" w:cs="黑体"/>
          <w:b/>
          <w:bCs/>
          <w:color w:val="000000" w:themeColor="text1"/>
          <w:spacing w:val="-13"/>
          <w:sz w:val="32"/>
          <w:szCs w:val="32"/>
          <w14:textFill>
            <w14:solidFill>
              <w14:schemeClr w14:val="tx1"/>
            </w14:solidFill>
          </w14:textFill>
        </w:rPr>
        <w:t>评价结论及建议</w:t>
      </w:r>
    </w:p>
    <w:p>
      <w:pPr>
        <w:pageBreakBefore w:val="0"/>
        <w:widowControl w:val="0"/>
        <w:kinsoku/>
        <w:wordWrap/>
        <w:overflowPunct/>
        <w:topLinePunct w:val="0"/>
        <w:autoSpaceDE/>
        <w:autoSpaceDN/>
        <w:bidi w:val="0"/>
        <w:adjustRightInd/>
        <w:snapToGrid/>
        <w:spacing w:before="104" w:line="280" w:lineRule="auto"/>
        <w:ind w:left="864" w:right="5179" w:hanging="140"/>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11"/>
          <w:sz w:val="32"/>
          <w:szCs w:val="32"/>
          <w14:textFill>
            <w14:solidFill>
              <w14:schemeClr w14:val="tx1"/>
            </w14:solidFill>
          </w14:textFill>
        </w:rPr>
        <w:t>(一)评价结论。</w:t>
      </w:r>
    </w:p>
    <w:p>
      <w:pPr>
        <w:pageBreakBefore w:val="0"/>
        <w:widowControl w:val="0"/>
        <w:kinsoku/>
        <w:wordWrap/>
        <w:overflowPunct/>
        <w:topLinePunct w:val="0"/>
        <w:autoSpaceDE/>
        <w:autoSpaceDN/>
        <w:bidi w:val="0"/>
        <w:adjustRightInd/>
        <w:snapToGrid/>
        <w:spacing w:before="104" w:line="328" w:lineRule="auto"/>
        <w:ind w:right="6" w:firstLine="640"/>
        <w:jc w:val="both"/>
        <w:textAlignment w:val="auto"/>
        <w:rPr>
          <w:rFonts w:hint="eastAsia" w:ascii="仿宋_GB2312" w:hAnsi="仿宋_GB2312" w:eastAsia="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2022年我县完成第一批次、第二批次乡镇级国土空间规划</w:t>
      </w:r>
      <w:r>
        <w:rPr>
          <w:rFonts w:ascii="仿宋" w:hAnsi="仿宋" w:eastAsia="仿宋" w:cs="仿宋"/>
          <w:color w:val="000000" w:themeColor="text1"/>
          <w:spacing w:val="-8"/>
          <w:sz w:val="32"/>
          <w:szCs w:val="32"/>
          <w14:textFill>
            <w14:solidFill>
              <w14:schemeClr w14:val="tx1"/>
            </w14:solidFill>
          </w14:textFill>
        </w:rPr>
        <w:t>编制，完成了第一批次村级规划编制，为我县国土空间规划体系建立形成了基础格局，形成了先行经验，为三个片区的发展擘画</w:t>
      </w:r>
      <w:r>
        <w:rPr>
          <w:rFonts w:ascii="仿宋" w:hAnsi="仿宋" w:eastAsia="仿宋" w:cs="仿宋"/>
          <w:color w:val="000000" w:themeColor="text1"/>
          <w:spacing w:val="-11"/>
          <w:sz w:val="32"/>
          <w:szCs w:val="32"/>
          <w14:textFill>
            <w14:solidFill>
              <w14:schemeClr w14:val="tx1"/>
            </w14:solidFill>
          </w14:textFill>
        </w:rPr>
        <w:t>了蓝图，形成了较强的指引作用。</w:t>
      </w:r>
    </w:p>
    <w:p>
      <w:pPr>
        <w:pageBreakBefore w:val="0"/>
        <w:widowControl w:val="0"/>
        <w:kinsoku/>
        <w:wordWrap/>
        <w:overflowPunct/>
        <w:topLinePunct w:val="0"/>
        <w:autoSpaceDE/>
        <w:autoSpaceDN/>
        <w:bidi w:val="0"/>
        <w:adjustRightInd/>
        <w:snapToGrid/>
        <w:spacing w:before="104" w:line="227" w:lineRule="auto"/>
        <w:ind w:left="79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11"/>
          <w:sz w:val="32"/>
          <w:szCs w:val="32"/>
          <w14:textFill>
            <w14:solidFill>
              <w14:schemeClr w14:val="tx1"/>
            </w14:solidFill>
          </w14:textFill>
        </w:rPr>
        <w:t>(二)存在的问题。</w:t>
      </w:r>
    </w:p>
    <w:p>
      <w:pPr>
        <w:pageBreakBefore w:val="0"/>
        <w:widowControl w:val="0"/>
        <w:kinsoku/>
        <w:wordWrap/>
        <w:overflowPunct/>
        <w:topLinePunct w:val="0"/>
        <w:autoSpaceDE/>
        <w:autoSpaceDN/>
        <w:bidi w:val="0"/>
        <w:adjustRightInd/>
        <w:snapToGrid/>
        <w:spacing w:before="104" w:line="329" w:lineRule="auto"/>
        <w:ind w:firstLine="63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val="0"/>
          <w:color w:val="000000" w:themeColor="text1"/>
          <w:spacing w:val="-2"/>
          <w:kern w:val="2"/>
          <w:sz w:val="32"/>
          <w:szCs w:val="32"/>
          <w:lang w:val="en-US" w:eastAsia="zh-CN" w:bidi="ar-SA"/>
          <w14:textFill>
            <w14:solidFill>
              <w14:schemeClr w14:val="tx1"/>
            </w14:solidFill>
          </w14:textFill>
        </w:rPr>
        <w:t>在规划编制前期进行摸底调研阶段，充分认识了到我县基础</w:t>
      </w:r>
      <w:r>
        <w:rPr>
          <w:rFonts w:ascii="仿宋" w:hAnsi="仿宋" w:eastAsia="仿宋" w:cs="仿宋"/>
          <w:color w:val="000000" w:themeColor="text1"/>
          <w:spacing w:val="-7"/>
          <w:sz w:val="32"/>
          <w:szCs w:val="32"/>
          <w14:textFill>
            <w14:solidFill>
              <w14:schemeClr w14:val="tx1"/>
            </w14:solidFill>
          </w14:textFill>
        </w:rPr>
        <w:t>数据缺失较多，导致很多行业的规划编制缺少依据，如乡镇的市</w:t>
      </w:r>
      <w:r>
        <w:rPr>
          <w:rFonts w:ascii="仿宋" w:hAnsi="仿宋" w:eastAsia="仿宋" w:cs="仿宋"/>
          <w:color w:val="000000" w:themeColor="text1"/>
          <w:spacing w:val="-14"/>
          <w:sz w:val="32"/>
          <w:szCs w:val="32"/>
          <w14:textFill>
            <w14:solidFill>
              <w14:schemeClr w14:val="tx1"/>
            </w14:solidFill>
          </w14:textFill>
        </w:rPr>
        <w:t>政设施矢量数据、五年内人口流动数据、历年水资源公报等资料。</w:t>
      </w:r>
      <w:r>
        <w:rPr>
          <w:rFonts w:ascii="仿宋" w:hAnsi="仿宋" w:eastAsia="仿宋" w:cs="仿宋"/>
          <w:color w:val="000000" w:themeColor="text1"/>
          <w:spacing w:val="-5"/>
          <w:sz w:val="32"/>
          <w:szCs w:val="32"/>
          <w14:textFill>
            <w14:solidFill>
              <w14:schemeClr w14:val="tx1"/>
            </w14:solidFill>
          </w14:textFill>
        </w:rPr>
        <w:t>这些资料的缺少就需要各行业专项规划来补位，但是综合前面</w:t>
      </w:r>
      <w:r>
        <w:rPr>
          <w:rFonts w:ascii="仿宋" w:hAnsi="仿宋" w:eastAsia="仿宋" w:cs="仿宋"/>
          <w:color w:val="000000" w:themeColor="text1"/>
          <w:spacing w:val="-6"/>
          <w:sz w:val="32"/>
          <w:szCs w:val="32"/>
          <w14:textFill>
            <w14:solidFill>
              <w14:schemeClr w14:val="tx1"/>
            </w14:solidFill>
          </w14:textFill>
        </w:rPr>
        <w:t>汇</w:t>
      </w:r>
      <w:r>
        <w:rPr>
          <w:rFonts w:ascii="仿宋" w:hAnsi="仿宋" w:eastAsia="仿宋" w:cs="仿宋"/>
          <w:color w:val="000000" w:themeColor="text1"/>
          <w:spacing w:val="-4"/>
          <w:sz w:val="32"/>
          <w:szCs w:val="32"/>
          <w14:textFill>
            <w14:solidFill>
              <w14:schemeClr w14:val="tx1"/>
            </w14:solidFill>
          </w14:textFill>
        </w:rPr>
        <w:t>报情况与上级反馈来看，我县专项规划范围、深度都尚</w:t>
      </w:r>
      <w:r>
        <w:rPr>
          <w:rFonts w:ascii="仿宋" w:hAnsi="仿宋" w:eastAsia="仿宋" w:cs="仿宋"/>
          <w:color w:val="000000" w:themeColor="text1"/>
          <w:spacing w:val="-5"/>
          <w:sz w:val="32"/>
          <w:szCs w:val="32"/>
          <w14:textFill>
            <w14:solidFill>
              <w14:schemeClr w14:val="tx1"/>
            </w14:solidFill>
          </w14:textFill>
        </w:rPr>
        <w:t>有不足，</w:t>
      </w:r>
      <w:r>
        <w:rPr>
          <w:rFonts w:ascii="仿宋" w:hAnsi="仿宋" w:eastAsia="仿宋" w:cs="仿宋"/>
          <w:color w:val="000000" w:themeColor="text1"/>
          <w:spacing w:val="-7"/>
          <w:sz w:val="32"/>
          <w:szCs w:val="32"/>
          <w14:textFill>
            <w14:solidFill>
              <w14:schemeClr w14:val="tx1"/>
            </w14:solidFill>
          </w14:textFill>
        </w:rPr>
        <w:t>与总体规划衔接过程中矛盾频出。</w:t>
      </w:r>
    </w:p>
    <w:p>
      <w:pPr>
        <w:pageBreakBefore w:val="0"/>
        <w:widowControl w:val="0"/>
        <w:kinsoku/>
        <w:wordWrap/>
        <w:overflowPunct/>
        <w:topLinePunct w:val="0"/>
        <w:autoSpaceDE/>
        <w:autoSpaceDN/>
        <w:bidi w:val="0"/>
        <w:adjustRightInd/>
        <w:snapToGrid/>
        <w:spacing w:before="104" w:line="232" w:lineRule="auto"/>
        <w:ind w:left="824"/>
        <w:textAlignment w:val="auto"/>
        <w:rPr>
          <w:rFonts w:ascii="楷体" w:hAnsi="楷体" w:eastAsia="楷体" w:cs="楷体"/>
          <w:color w:val="000000" w:themeColor="text1"/>
          <w:sz w:val="32"/>
          <w:szCs w:val="32"/>
          <w14:textFill>
            <w14:solidFill>
              <w14:schemeClr w14:val="tx1"/>
            </w14:solidFill>
          </w14:textFill>
        </w:rPr>
      </w:pPr>
      <w:r>
        <w:rPr>
          <w:rFonts w:ascii="楷体" w:hAnsi="楷体" w:eastAsia="楷体" w:cs="楷体"/>
          <w:b/>
          <w:bCs/>
          <w:color w:val="000000" w:themeColor="text1"/>
          <w:spacing w:val="11"/>
          <w:sz w:val="32"/>
          <w:szCs w:val="32"/>
          <w14:textFill>
            <w14:solidFill>
              <w14:schemeClr w14:val="tx1"/>
            </w14:solidFill>
          </w14:textFill>
        </w:rPr>
        <w:t>(三)相关建议。</w:t>
      </w:r>
    </w:p>
    <w:p>
      <w:pPr>
        <w:pageBreakBefore w:val="0"/>
        <w:widowControl w:val="0"/>
        <w:kinsoku/>
        <w:wordWrap/>
        <w:overflowPunct/>
        <w:topLinePunct w:val="0"/>
        <w:autoSpaceDE/>
        <w:autoSpaceDN/>
        <w:bidi w:val="0"/>
        <w:adjustRightInd/>
        <w:snapToGrid/>
        <w:spacing w:before="104" w:line="329" w:lineRule="auto"/>
        <w:ind w:right="67" w:firstLine="679"/>
        <w:jc w:val="both"/>
        <w:textAlignment w:val="auto"/>
        <w:rPr>
          <w:rFonts w:hint="eastAsia" w:ascii="仿宋" w:hAnsi="仿宋" w:eastAsia="仿宋" w:cs="仿宋"/>
          <w:b w:val="0"/>
          <w:color w:val="000000" w:themeColor="text1"/>
          <w:spacing w:val="-2"/>
          <w:kern w:val="2"/>
          <w:sz w:val="32"/>
          <w:szCs w:val="32"/>
          <w:lang w:val="en-US" w:eastAsia="zh-CN" w:bidi="ar-SA"/>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强化统筹衔接，充分督促协调各县级部门做好专项规划衔</w:t>
      </w:r>
      <w:r>
        <w:rPr>
          <w:rFonts w:ascii="仿宋" w:hAnsi="仿宋" w:eastAsia="仿宋" w:cs="仿宋"/>
          <w:color w:val="000000" w:themeColor="text1"/>
          <w:spacing w:val="-11"/>
          <w:sz w:val="32"/>
          <w:szCs w:val="32"/>
          <w14:textFill>
            <w14:solidFill>
              <w14:schemeClr w14:val="tx1"/>
            </w14:solidFill>
          </w14:textFill>
        </w:rPr>
        <w:t>接。</w:t>
      </w:r>
      <w:r>
        <w:rPr>
          <w:rFonts w:ascii="仿宋" w:hAnsi="仿宋" w:eastAsia="仿宋" w:cs="仿宋"/>
          <w:color w:val="000000" w:themeColor="text1"/>
          <w:spacing w:val="-37"/>
          <w:sz w:val="32"/>
          <w:szCs w:val="32"/>
          <w14:textFill>
            <w14:solidFill>
              <w14:schemeClr w14:val="tx1"/>
            </w14:solidFill>
          </w14:textFill>
        </w:rPr>
        <w:t xml:space="preserve"> </w:t>
      </w:r>
      <w:r>
        <w:rPr>
          <w:rFonts w:ascii="仿宋" w:hAnsi="仿宋" w:eastAsia="仿宋" w:cs="仿宋"/>
          <w:color w:val="000000" w:themeColor="text1"/>
          <w:spacing w:val="-11"/>
          <w:sz w:val="32"/>
          <w:szCs w:val="32"/>
          <w14:textFill>
            <w14:solidFill>
              <w14:schemeClr w14:val="tx1"/>
            </w14:solidFill>
          </w14:textFill>
        </w:rPr>
        <w:t>一是督促各部门加快编制专项规划进度。在国土空间规划委</w:t>
      </w:r>
      <w:r>
        <w:rPr>
          <w:rFonts w:ascii="仿宋" w:hAnsi="仿宋" w:eastAsia="仿宋" w:cs="仿宋"/>
          <w:color w:val="000000" w:themeColor="text1"/>
          <w:spacing w:val="-8"/>
          <w:sz w:val="32"/>
          <w:szCs w:val="32"/>
          <w14:textFill>
            <w14:solidFill>
              <w14:schemeClr w14:val="tx1"/>
            </w14:solidFill>
          </w14:textFill>
        </w:rPr>
        <w:t>员会的工作框架下，指导各部门、乡镇加强工作衔接，召开县级</w:t>
      </w:r>
      <w:r>
        <w:rPr>
          <w:rFonts w:ascii="仿宋" w:hAnsi="仿宋" w:eastAsia="仿宋" w:cs="仿宋"/>
          <w:color w:val="000000" w:themeColor="text1"/>
          <w:spacing w:val="-7"/>
          <w:sz w:val="32"/>
          <w:szCs w:val="32"/>
          <w14:textFill>
            <w14:solidFill>
              <w14:schemeClr w14:val="tx1"/>
            </w14:solidFill>
          </w14:textFill>
        </w:rPr>
        <w:t>国土空间规划专班会议，发挥专班力量，督促相关县级部门加快</w:t>
      </w:r>
      <w:r>
        <w:rPr>
          <w:rFonts w:ascii="仿宋" w:hAnsi="仿宋" w:eastAsia="仿宋" w:cs="仿宋"/>
          <w:color w:val="000000" w:themeColor="text1"/>
          <w:spacing w:val="-8"/>
          <w:sz w:val="32"/>
          <w:szCs w:val="32"/>
          <w14:textFill>
            <w14:solidFill>
              <w14:schemeClr w14:val="tx1"/>
            </w14:solidFill>
          </w14:textFill>
        </w:rPr>
        <w:t>专项规划编制，将各部门已将开展和计划开展的专项规划情况及</w:t>
      </w:r>
      <w:r>
        <w:rPr>
          <w:rFonts w:ascii="仿宋" w:hAnsi="仿宋" w:eastAsia="仿宋" w:cs="仿宋"/>
          <w:color w:val="000000" w:themeColor="text1"/>
          <w:spacing w:val="-6"/>
          <w:sz w:val="32"/>
          <w:szCs w:val="32"/>
          <w14:textFill>
            <w14:solidFill>
              <w14:schemeClr w14:val="tx1"/>
            </w14:solidFill>
          </w14:textFill>
        </w:rPr>
        <w:t>时通报，形成部门合力，促进剑阁县在各片区尽快实</w:t>
      </w:r>
      <w:r>
        <w:rPr>
          <w:rFonts w:ascii="仿宋" w:hAnsi="仿宋" w:eastAsia="仿宋" w:cs="仿宋"/>
          <w:color w:val="000000" w:themeColor="text1"/>
          <w:spacing w:val="-7"/>
          <w:sz w:val="32"/>
          <w:szCs w:val="32"/>
          <w14:textFill>
            <w14:solidFill>
              <w14:schemeClr w14:val="tx1"/>
            </w14:solidFill>
          </w14:textFill>
        </w:rPr>
        <w:t>现“多规合</w:t>
      </w:r>
      <w:r>
        <w:rPr>
          <w:rFonts w:ascii="仿宋" w:hAnsi="仿宋" w:eastAsia="仿宋" w:cs="仿宋"/>
          <w:color w:val="000000" w:themeColor="text1"/>
          <w:spacing w:val="-8"/>
          <w:sz w:val="32"/>
          <w:szCs w:val="32"/>
          <w14:textFill>
            <w14:solidFill>
              <w14:schemeClr w14:val="tx1"/>
            </w14:solidFill>
          </w14:textFill>
        </w:rPr>
        <w:t>一</w:t>
      </w:r>
      <w:r>
        <w:rPr>
          <w:rFonts w:ascii="仿宋" w:hAnsi="仿宋" w:eastAsia="仿宋" w:cs="仿宋"/>
          <w:color w:val="000000" w:themeColor="text1"/>
          <w:spacing w:val="-119"/>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”。二是积极衔接各专项规划成果。督促作业单位</w:t>
      </w:r>
      <w:r>
        <w:rPr>
          <w:rFonts w:ascii="仿宋" w:hAnsi="仿宋" w:eastAsia="仿宋" w:cs="仿宋"/>
          <w:color w:val="000000" w:themeColor="text1"/>
          <w:spacing w:val="-9"/>
          <w:sz w:val="32"/>
          <w:szCs w:val="32"/>
          <w14:textFill>
            <w14:solidFill>
              <w14:schemeClr w14:val="tx1"/>
            </w14:solidFill>
          </w14:textFill>
        </w:rPr>
        <w:t>与相关专项</w:t>
      </w:r>
      <w:r>
        <w:rPr>
          <w:rFonts w:ascii="仿宋" w:hAnsi="仿宋" w:eastAsia="仿宋" w:cs="仿宋"/>
          <w:color w:val="000000" w:themeColor="text1"/>
          <w:spacing w:val="-7"/>
          <w:sz w:val="32"/>
          <w:szCs w:val="32"/>
          <w14:textFill>
            <w14:solidFill>
              <w14:schemeClr w14:val="tx1"/>
            </w14:solidFill>
          </w14:textFill>
        </w:rPr>
        <w:t>规划单位密切联系，交换思路，同步信息，保障总体规划与专项</w:t>
      </w:r>
      <w:r>
        <w:rPr>
          <w:rFonts w:ascii="仿宋" w:hAnsi="仿宋" w:eastAsia="仿宋" w:cs="仿宋"/>
          <w:color w:val="000000" w:themeColor="text1"/>
          <w:spacing w:val="-8"/>
          <w:sz w:val="32"/>
          <w:szCs w:val="32"/>
          <w14:textFill>
            <w14:solidFill>
              <w14:schemeClr w14:val="tx1"/>
            </w14:solidFill>
          </w14:textFill>
        </w:rPr>
        <w:t>规划充分衔接。定时组织好专班联席会议，强化各方联系，并及</w:t>
      </w:r>
      <w:r>
        <w:rPr>
          <w:rFonts w:ascii="仿宋" w:hAnsi="仿宋" w:eastAsia="仿宋" w:cs="仿宋"/>
          <w:color w:val="000000" w:themeColor="text1"/>
          <w:spacing w:val="-6"/>
          <w:sz w:val="32"/>
          <w:szCs w:val="32"/>
          <w14:textFill>
            <w14:solidFill>
              <w14:schemeClr w14:val="tx1"/>
            </w14:solidFill>
          </w14:textFill>
        </w:rPr>
        <w:t>时便民服务设施专项规划、文旅专项规划编制成果纳入国土空间</w:t>
      </w:r>
      <w:r>
        <w:rPr>
          <w:rFonts w:ascii="仿宋" w:hAnsi="仿宋" w:eastAsia="仿宋" w:cs="仿宋"/>
          <w:color w:val="000000" w:themeColor="text1"/>
          <w:spacing w:val="-13"/>
          <w:sz w:val="32"/>
          <w:szCs w:val="32"/>
          <w14:textFill>
            <w14:solidFill>
              <w14:schemeClr w14:val="tx1"/>
            </w14:solidFill>
          </w14:textFill>
        </w:rPr>
        <w:t>总体规划。</w:t>
      </w: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eastAsia="仿宋_GB2312" w:cs="仿宋_GB2312"/>
          <w:color w:val="FF0000"/>
          <w:kern w:val="0"/>
          <w:sz w:val="32"/>
          <w:szCs w:val="32"/>
          <w:highlight w:val="none"/>
          <w:u w:val="none"/>
          <w:shd w:val="clear" w:color="auto" w:fill="FFFFFF"/>
          <w:lang w:val="en-US" w:eastAsia="zh-CN"/>
        </w:rPr>
      </w:pPr>
    </w:p>
    <w:p>
      <w:pPr>
        <w:pStyle w:val="8"/>
        <w:rPr>
          <w:rFonts w:hint="eastAsia" w:ascii="仿宋_GB2312" w:hAnsi="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u w:val="none"/>
          <w:shd w:val="clear" w:color="auto" w:fill="FFFFFF"/>
          <w:lang w:val="en-US" w:eastAsia="zh-CN"/>
          <w14:textFill>
            <w14:solidFill>
              <w14:schemeClr w14:val="tx1"/>
            </w14:solidFill>
          </w14:textFill>
        </w:rPr>
        <w:t>附表</w:t>
      </w:r>
    </w:p>
    <w:tbl>
      <w:tblPr>
        <w:tblStyle w:val="1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86"/>
        <w:gridCol w:w="16"/>
        <w:gridCol w:w="960"/>
        <w:gridCol w:w="1943"/>
        <w:gridCol w:w="592"/>
        <w:gridCol w:w="23"/>
        <w:gridCol w:w="1115"/>
        <w:gridCol w:w="557"/>
        <w:gridCol w:w="898"/>
        <w:gridCol w:w="482"/>
        <w:gridCol w:w="68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trPr>
        <w:tc>
          <w:tcPr>
            <w:tcW w:w="99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exac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项目名称</w:t>
            </w:r>
          </w:p>
        </w:tc>
        <w:tc>
          <w:tcPr>
            <w:tcW w:w="8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剑阁县乡村国土空间规划编制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exac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主管部门</w:t>
            </w:r>
          </w:p>
        </w:tc>
        <w:tc>
          <w:tcPr>
            <w:tcW w:w="5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剑阁县自然资源局部门</w:t>
            </w:r>
          </w:p>
        </w:tc>
        <w:tc>
          <w:tcPr>
            <w:tcW w:w="89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themeColor="text1"/>
                <w:sz w:val="16"/>
                <w:szCs w:val="16"/>
                <w:u w:val="none"/>
                <w14:textFill>
                  <w14:solidFill>
                    <w14:schemeClr w14:val="tx1"/>
                  </w14:solidFill>
                </w14:textFill>
              </w:rPr>
            </w:pPr>
            <w:r>
              <w:rPr>
                <w:rFonts w:hint="eastAsia" w:ascii="黑体" w:hAnsi="黑体" w:eastAsia="黑体" w:cs="黑体"/>
                <w:i w:val="0"/>
                <w:iCs w:val="0"/>
                <w:color w:val="000000" w:themeColor="text1"/>
                <w:kern w:val="0"/>
                <w:sz w:val="16"/>
                <w:szCs w:val="16"/>
                <w:u w:val="none"/>
                <w:lang w:val="en-US" w:eastAsia="zh-CN" w:bidi="ar"/>
                <w14:textFill>
                  <w14:solidFill>
                    <w14:schemeClr w14:val="tx1"/>
                  </w14:solidFill>
                </w14:textFill>
              </w:rPr>
              <w:t>实施单位 （盖章）</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剑阁县自然资源局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项目基本情况</w:t>
            </w: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1.项目年度目标完成情况</w:t>
            </w:r>
          </w:p>
        </w:tc>
        <w:tc>
          <w:tcPr>
            <w:tcW w:w="5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项目年度目标</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16"/>
                <w:szCs w:val="16"/>
                <w:u w:val="none"/>
                <w14:textFill>
                  <w14:solidFill>
                    <w14:schemeClr w14:val="tx1"/>
                  </w14:solidFill>
                </w14:textFill>
              </w:rPr>
            </w:pPr>
            <w:r>
              <w:rPr>
                <w:rFonts w:hint="eastAsia" w:ascii="黑体" w:hAnsi="黑体" w:eastAsia="黑体" w:cs="黑体"/>
                <w:i w:val="0"/>
                <w:iCs w:val="0"/>
                <w:color w:val="000000" w:themeColor="text1"/>
                <w:kern w:val="0"/>
                <w:sz w:val="16"/>
                <w:szCs w:val="16"/>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5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 按照国家、省、市关于国土空间规划编制工作统一安排部署，2022年6月完成第一批乡镇级国土空间片区规划成果，2022年底完成第二批乡镇级国土空间片区规划，2023年6月前完成全县乡镇级片区国土空间规划成果，2024年底完成村级片区国土空间规划按需应编尽编。</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6"/>
                <w:szCs w:val="16"/>
                <w:u w:val="none"/>
                <w14:textFill>
                  <w14:solidFill>
                    <w14:schemeClr w14:val="tx1"/>
                  </w14:solidFill>
                </w14:textFill>
              </w:rPr>
            </w:pPr>
            <w:r>
              <w:rPr>
                <w:rStyle w:val="36"/>
                <w:color w:val="000000" w:themeColor="text1"/>
                <w:sz w:val="16"/>
                <w:szCs w:val="16"/>
                <w:lang w:val="en-US" w:eastAsia="zh-CN" w:bidi="ar"/>
                <w14:textFill>
                  <w14:solidFill>
                    <w14:schemeClr w14:val="tx1"/>
                  </w14:solidFill>
                </w14:textFill>
              </w:rPr>
              <w:t xml:space="preserve"> </w:t>
            </w:r>
            <w:r>
              <w:rPr>
                <w:rStyle w:val="37"/>
                <w:color w:val="000000" w:themeColor="text1"/>
                <w:sz w:val="16"/>
                <w:szCs w:val="16"/>
                <w:lang w:val="en-US" w:eastAsia="zh-CN" w:bidi="ar"/>
                <w14:textFill>
                  <w14:solidFill>
                    <w14:schemeClr w14:val="tx1"/>
                  </w14:solidFill>
                </w14:textFill>
              </w:rPr>
              <w:t>按照国家、省、市关于国土空间规划编制工作统一安排部署，</w:t>
            </w:r>
            <w:r>
              <w:rPr>
                <w:rStyle w:val="36"/>
                <w:color w:val="000000" w:themeColor="text1"/>
                <w:sz w:val="16"/>
                <w:szCs w:val="16"/>
                <w:lang w:val="en-US" w:eastAsia="zh-CN" w:bidi="ar"/>
                <w14:textFill>
                  <w14:solidFill>
                    <w14:schemeClr w14:val="tx1"/>
                  </w14:solidFill>
                </w14:textFill>
              </w:rPr>
              <w:t>2022</w:t>
            </w:r>
            <w:r>
              <w:rPr>
                <w:rStyle w:val="37"/>
                <w:color w:val="000000" w:themeColor="text1"/>
                <w:sz w:val="16"/>
                <w:szCs w:val="16"/>
                <w:lang w:val="en-US" w:eastAsia="zh-CN" w:bidi="ar"/>
                <w14:textFill>
                  <w14:solidFill>
                    <w14:schemeClr w14:val="tx1"/>
                  </w14:solidFill>
                </w14:textFill>
              </w:rPr>
              <w:t>年</w:t>
            </w:r>
            <w:r>
              <w:rPr>
                <w:rStyle w:val="36"/>
                <w:color w:val="000000" w:themeColor="text1"/>
                <w:sz w:val="16"/>
                <w:szCs w:val="16"/>
                <w:lang w:val="en-US" w:eastAsia="zh-CN" w:bidi="ar"/>
                <w14:textFill>
                  <w14:solidFill>
                    <w14:schemeClr w14:val="tx1"/>
                  </w14:solidFill>
                </w14:textFill>
              </w:rPr>
              <w:t>6</w:t>
            </w:r>
            <w:r>
              <w:rPr>
                <w:rStyle w:val="37"/>
                <w:color w:val="000000" w:themeColor="text1"/>
                <w:sz w:val="16"/>
                <w:szCs w:val="16"/>
                <w:lang w:val="en-US" w:eastAsia="zh-CN" w:bidi="ar"/>
                <w14:textFill>
                  <w14:solidFill>
                    <w14:schemeClr w14:val="tx1"/>
                  </w14:solidFill>
                </w14:textFill>
              </w:rPr>
              <w:t>月完成第一批乡镇级国土空间片区规划成果，</w:t>
            </w:r>
            <w:r>
              <w:rPr>
                <w:rStyle w:val="36"/>
                <w:color w:val="000000" w:themeColor="text1"/>
                <w:sz w:val="16"/>
                <w:szCs w:val="16"/>
                <w:lang w:val="en-US" w:eastAsia="zh-CN" w:bidi="ar"/>
                <w14:textFill>
                  <w14:solidFill>
                    <w14:schemeClr w14:val="tx1"/>
                  </w14:solidFill>
                </w14:textFill>
              </w:rPr>
              <w:t>2022</w:t>
            </w:r>
            <w:r>
              <w:rPr>
                <w:rStyle w:val="37"/>
                <w:color w:val="000000" w:themeColor="text1"/>
                <w:sz w:val="16"/>
                <w:szCs w:val="16"/>
                <w:lang w:val="en-US" w:eastAsia="zh-CN" w:bidi="ar"/>
                <w14:textFill>
                  <w14:solidFill>
                    <w14:schemeClr w14:val="tx1"/>
                  </w14:solidFill>
                </w14:textFill>
              </w:rPr>
              <w:t>年底完成第二批乡镇级国土空间片区规划，</w:t>
            </w:r>
            <w:r>
              <w:rPr>
                <w:rStyle w:val="36"/>
                <w:color w:val="000000" w:themeColor="text1"/>
                <w:sz w:val="16"/>
                <w:szCs w:val="16"/>
                <w:lang w:val="en-US" w:eastAsia="zh-CN" w:bidi="ar"/>
                <w14:textFill>
                  <w14:solidFill>
                    <w14:schemeClr w14:val="tx1"/>
                  </w14:solidFill>
                </w14:textFill>
              </w:rPr>
              <w:t>2023</w:t>
            </w:r>
            <w:r>
              <w:rPr>
                <w:rStyle w:val="37"/>
                <w:color w:val="000000" w:themeColor="text1"/>
                <w:sz w:val="16"/>
                <w:szCs w:val="16"/>
                <w:lang w:val="en-US" w:eastAsia="zh-CN" w:bidi="ar"/>
                <w14:textFill>
                  <w14:solidFill>
                    <w14:schemeClr w14:val="tx1"/>
                  </w14:solidFill>
                </w14:textFill>
              </w:rPr>
              <w:t>年</w:t>
            </w:r>
            <w:r>
              <w:rPr>
                <w:rStyle w:val="36"/>
                <w:color w:val="000000" w:themeColor="text1"/>
                <w:sz w:val="16"/>
                <w:szCs w:val="16"/>
                <w:lang w:val="en-US" w:eastAsia="zh-CN" w:bidi="ar"/>
                <w14:textFill>
                  <w14:solidFill>
                    <w14:schemeClr w14:val="tx1"/>
                  </w14:solidFill>
                </w14:textFill>
              </w:rPr>
              <w:t>6</w:t>
            </w:r>
            <w:r>
              <w:rPr>
                <w:rStyle w:val="37"/>
                <w:color w:val="000000" w:themeColor="text1"/>
                <w:sz w:val="16"/>
                <w:szCs w:val="16"/>
                <w:lang w:val="en-US" w:eastAsia="zh-CN" w:bidi="ar"/>
                <w14:textFill>
                  <w14:solidFill>
                    <w14:schemeClr w14:val="tx1"/>
                  </w14:solidFill>
                </w14:textFill>
              </w:rPr>
              <w:t>月前完成全县乡镇级片区国土空间规划成果，</w:t>
            </w:r>
            <w:r>
              <w:rPr>
                <w:rStyle w:val="36"/>
                <w:color w:val="000000" w:themeColor="text1"/>
                <w:sz w:val="16"/>
                <w:szCs w:val="16"/>
                <w:lang w:val="en-US" w:eastAsia="zh-CN" w:bidi="ar"/>
                <w14:textFill>
                  <w14:solidFill>
                    <w14:schemeClr w14:val="tx1"/>
                  </w14:solidFill>
                </w14:textFill>
              </w:rPr>
              <w:t>2024</w:t>
            </w:r>
            <w:r>
              <w:rPr>
                <w:rStyle w:val="37"/>
                <w:color w:val="000000" w:themeColor="text1"/>
                <w:sz w:val="16"/>
                <w:szCs w:val="16"/>
                <w:lang w:val="en-US" w:eastAsia="zh-CN" w:bidi="ar"/>
                <w14:textFill>
                  <w14:solidFill>
                    <w14:schemeClr w14:val="tx1"/>
                  </w14:solidFill>
                </w14:textFill>
              </w:rPr>
              <w:t>年底完成村级片区国土空间规划按需应编尽编。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2.项目实施内容及过程概述</w:t>
            </w:r>
          </w:p>
        </w:tc>
        <w:tc>
          <w:tcPr>
            <w:tcW w:w="8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r>
              <w:rPr>
                <w:rStyle w:val="37"/>
                <w:color w:val="000000" w:themeColor="text1"/>
                <w:sz w:val="16"/>
                <w:szCs w:val="16"/>
                <w:lang w:val="en-US" w:eastAsia="zh-CN" w:bidi="ar"/>
                <w14:textFill>
                  <w14:solidFill>
                    <w14:schemeClr w14:val="tx1"/>
                  </w14:solidFill>
                </w14:textFill>
              </w:rPr>
              <w:t>按照要求完成乡镇级片区规划成果并提交至省厅，建立健全我县国土空间规划“五级三类四体系”。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预算执行情况（10分）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年初预算</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调整后预算数</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预算执行数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得分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600.00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108.00</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6"/>
                <w:szCs w:val="16"/>
                <w:u w:val="none"/>
                <w:lang w:val="en-US"/>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108.00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10</w:t>
            </w: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6"/>
                <w:szCs w:val="16"/>
                <w:u w:val="none"/>
                <w:lang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600.00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108.00</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6"/>
                <w:szCs w:val="16"/>
                <w:u w:val="none"/>
                <w:lang w:val="en-US" w:eastAsia="zh-CN"/>
                <w14:textFill>
                  <w14:solidFill>
                    <w14:schemeClr w14:val="tx1"/>
                  </w14:solidFill>
                </w14:textFill>
              </w:rPr>
            </w:pPr>
            <w:r>
              <w:rPr>
                <w:rFonts w:hint="eastAsia" w:ascii="宋体" w:hAnsi="宋体" w:cs="宋体"/>
                <w:i w:val="0"/>
                <w:iCs w:val="0"/>
                <w:color w:val="000000" w:themeColor="text1"/>
                <w:sz w:val="16"/>
                <w:szCs w:val="16"/>
                <w:u w:val="none"/>
                <w:lang w:val="en-US" w:eastAsia="zh-CN"/>
                <w14:textFill>
                  <w14:solidFill>
                    <w14:schemeClr w14:val="tx1"/>
                  </w14:solidFill>
                </w14:textFill>
              </w:rPr>
              <w:t>108.00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10</w:t>
            </w: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exac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绩效指标（90分）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二级指标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三级指标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指标性质</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指标值</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度量单位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得分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未完成原因</w:t>
            </w:r>
          </w:p>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数量指标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全县5个乡镇级片区总体规划、控制性详细规划、专项规划、村级片区规划</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质量指标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软硬件资料</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定性</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优良中低差</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时效指标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3</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3</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年</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成本指标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3126</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万元</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25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社会效益指标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 自然资源的合理利用</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定性</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优良中低差</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生态效益指标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生态环境保护</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定性</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优良中低差</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可持续影响指标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规划实施年限</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定性</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优良中低差</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服务对象满意度指标</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服务群众满意95%</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95</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已完成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6"/>
                <w:szCs w:val="16"/>
                <w:u w:val="none"/>
                <w14:textFill>
                  <w14:solidFill>
                    <w14:schemeClr w14:val="tx1"/>
                  </w14:solidFill>
                </w14:textFill>
              </w:rPr>
            </w:pPr>
            <w: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6"/>
                <w:szCs w:val="16"/>
                <w:u w:val="none"/>
                <w:lang w:val="en-US"/>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评价结论</w:t>
            </w:r>
          </w:p>
        </w:tc>
        <w:tc>
          <w:tcPr>
            <w:tcW w:w="8368"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lang w:eastAsia="zh-CN"/>
                <w14:textFill>
                  <w14:solidFill>
                    <w14:schemeClr w14:val="tx1"/>
                  </w14:solidFill>
                </w14:textFill>
              </w:rPr>
            </w:pPr>
            <w:r>
              <w:rPr>
                <w:rFonts w:hint="eastAsia" w:ascii="宋体" w:hAnsi="宋体" w:cs="宋体"/>
                <w:i w:val="0"/>
                <w:iCs w:val="0"/>
                <w:color w:val="000000" w:themeColor="text1"/>
                <w:sz w:val="16"/>
                <w:szCs w:val="16"/>
                <w:u w:val="none"/>
                <w:lang w:eastAsia="zh-CN"/>
                <w14:textFill>
                  <w14:solidFill>
                    <w14:schemeClr w14:val="tx1"/>
                  </w14:solidFill>
                </w14:textFill>
              </w:rPr>
              <w:t>自评满分，为三个片区的发展擘画了蓝图，形成了较强的指引作用。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存在问题</w:t>
            </w:r>
          </w:p>
        </w:tc>
        <w:tc>
          <w:tcPr>
            <w:tcW w:w="8368"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lang w:eastAsia="zh-CN"/>
                <w14:textFill>
                  <w14:solidFill>
                    <w14:schemeClr w14:val="tx1"/>
                  </w14:solidFill>
                </w14:textFill>
              </w:rPr>
            </w:pPr>
            <w:r>
              <w:rPr>
                <w:rFonts w:hint="eastAsia" w:ascii="宋体" w:hAnsi="宋体" w:cs="宋体"/>
                <w:i w:val="0"/>
                <w:iCs w:val="0"/>
                <w:color w:val="000000" w:themeColor="text1"/>
                <w:sz w:val="16"/>
                <w:szCs w:val="16"/>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改进措施</w:t>
            </w:r>
          </w:p>
        </w:tc>
        <w:tc>
          <w:tcPr>
            <w:tcW w:w="8368"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lang w:eastAsia="zh-CN"/>
                <w14:textFill>
                  <w14:solidFill>
                    <w14:schemeClr w14:val="tx1"/>
                  </w14:solidFill>
                </w14:textFill>
              </w:rPr>
            </w:pPr>
            <w:r>
              <w:rPr>
                <w:rFonts w:hint="eastAsia" w:ascii="宋体" w:hAnsi="宋体" w:cs="宋体"/>
                <w:i w:val="0"/>
                <w:iCs w:val="0"/>
                <w:color w:val="000000" w:themeColor="text1"/>
                <w:sz w:val="16"/>
                <w:szCs w:val="16"/>
                <w:u w:val="none"/>
                <w:lang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96"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项目负责人：罗雯斗</w:t>
            </w:r>
          </w:p>
        </w:tc>
        <w:tc>
          <w:tcPr>
            <w:tcW w:w="483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6"/>
                <w:szCs w:val="16"/>
                <w:u w:val="none"/>
                <w:lang w:eastAsia="zh-CN"/>
                <w14:textFill>
                  <w14:solidFill>
                    <w14:schemeClr w14:val="tx1"/>
                  </w14:solidFill>
                </w14:textFill>
              </w:rPr>
            </w:pPr>
            <w:r>
              <w:rPr>
                <w:rFonts w:hint="eastAsia" w:ascii="宋体" w:hAnsi="宋体" w:cs="宋体"/>
                <w:i w:val="0"/>
                <w:iCs w:val="0"/>
                <w:color w:val="000000" w:themeColor="text1"/>
                <w:sz w:val="16"/>
                <w:szCs w:val="16"/>
                <w:u w:val="none"/>
                <w:lang w:eastAsia="zh-CN"/>
                <w14:textFill>
                  <w14:solidFill>
                    <w14:schemeClr w14:val="tx1"/>
                  </w14:solidFill>
                </w14:textFill>
              </w:rPr>
              <w:t>财务负责人：王菊</w:t>
            </w:r>
          </w:p>
        </w:tc>
      </w:tr>
    </w:tbl>
    <w:p>
      <w:pPr>
        <w:adjustRightInd w:val="0"/>
        <w:snapToGrid w:val="0"/>
        <w:spacing w:line="560" w:lineRule="exact"/>
        <w:jc w:val="center"/>
        <w:rPr>
          <w:rFonts w:hint="eastAsia" w:ascii="黑体" w:hAnsi="黑体" w:eastAsia="黑体" w:cs="宋体"/>
          <w:b/>
          <w:bCs/>
          <w:color w:val="FF0000"/>
          <w:sz w:val="44"/>
          <w:szCs w:val="44"/>
          <w:lang w:val="zh-CN"/>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center"/>
        <w:rPr>
          <w:rFonts w:hint="eastAsia" w:ascii="黑体" w:hAnsi="黑体" w:eastAsia="黑体" w:cs="宋体"/>
          <w:b/>
          <w:bCs/>
          <w:color w:val="000000" w:themeColor="text1"/>
          <w:sz w:val="44"/>
          <w:szCs w:val="44"/>
          <w:lang w:val="zh-CN"/>
          <w14:textFill>
            <w14:solidFill>
              <w14:schemeClr w14:val="tx1"/>
            </w14:solidFill>
          </w14:textFill>
        </w:rPr>
      </w:pPr>
    </w:p>
    <w:p>
      <w:pPr>
        <w:adjustRightInd w:val="0"/>
        <w:snapToGrid w:val="0"/>
        <w:spacing w:line="560" w:lineRule="exact"/>
        <w:jc w:val="left"/>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zh-CN" w:eastAsia="zh-CN" w:bidi="ar-SA"/>
          <w14:textFill>
            <w14:solidFill>
              <w14:schemeClr w14:val="tx1"/>
            </w14:solidFill>
          </w14:textFill>
        </w:rPr>
        <w:t>附件</w:t>
      </w:r>
      <w:r>
        <w:rPr>
          <w:rFonts w:hint="eastAsia" w:ascii="黑体" w:hAnsi="黑体" w:eastAsia="黑体" w:cs="黑体"/>
          <w:color w:val="000000" w:themeColor="text1"/>
          <w:kern w:val="2"/>
          <w:sz w:val="32"/>
          <w:szCs w:val="32"/>
          <w:lang w:val="en-US" w:eastAsia="zh-CN" w:bidi="ar-SA"/>
          <w14:textFill>
            <w14:solidFill>
              <w14:schemeClr w14:val="tx1"/>
            </w14:solidFill>
          </w14:textFill>
        </w:rPr>
        <w:t>4</w:t>
      </w:r>
    </w:p>
    <w:p>
      <w:pPr>
        <w:adjustRightInd w:val="0"/>
        <w:snapToGrid w:val="0"/>
        <w:spacing w:line="560" w:lineRule="exact"/>
        <w:jc w:val="center"/>
        <w:rPr>
          <w:rFonts w:ascii="黑体" w:hAnsi="黑体" w:eastAsia="黑体" w:cs="宋体"/>
          <w:b/>
          <w:bCs/>
          <w:color w:val="000000" w:themeColor="text1"/>
          <w:sz w:val="44"/>
          <w:szCs w:val="44"/>
          <w:lang w:val="zh-CN"/>
          <w14:textFill>
            <w14:solidFill>
              <w14:schemeClr w14:val="tx1"/>
            </w14:solidFill>
          </w14:textFill>
        </w:rPr>
      </w:pPr>
      <w:r>
        <w:rPr>
          <w:rFonts w:hint="eastAsia" w:ascii="黑体" w:hAnsi="黑体" w:eastAsia="黑体" w:cs="宋体"/>
          <w:b/>
          <w:bCs/>
          <w:color w:val="000000" w:themeColor="text1"/>
          <w:sz w:val="44"/>
          <w:szCs w:val="44"/>
          <w:lang w:val="zh-CN"/>
          <w14:textFill>
            <w14:solidFill>
              <w14:schemeClr w14:val="tx1"/>
            </w14:solidFill>
          </w14:textFill>
        </w:rPr>
        <w:t>剑阁县不动产登记管理中心</w:t>
      </w:r>
    </w:p>
    <w:p>
      <w:pPr>
        <w:adjustRightInd w:val="0"/>
        <w:snapToGrid w:val="0"/>
        <w:spacing w:line="560" w:lineRule="exact"/>
        <w:jc w:val="center"/>
        <w:rPr>
          <w:rFonts w:ascii="黑体" w:hAnsi="黑体" w:eastAsia="黑体" w:cs="宋体"/>
          <w:b/>
          <w:bCs/>
          <w:color w:val="000000" w:themeColor="text1"/>
          <w:sz w:val="48"/>
          <w:szCs w:val="48"/>
          <w:lang w:val="zh-CN"/>
          <w14:textFill>
            <w14:solidFill>
              <w14:schemeClr w14:val="tx1"/>
            </w14:solidFill>
          </w14:textFill>
        </w:rPr>
      </w:pPr>
      <w:r>
        <w:rPr>
          <w:rFonts w:hint="eastAsia" w:ascii="黑体" w:hAnsi="黑体" w:eastAsia="黑体" w:cs="宋体"/>
          <w:b/>
          <w:bCs/>
          <w:color w:val="000000" w:themeColor="text1"/>
          <w:sz w:val="44"/>
          <w:szCs w:val="44"/>
          <w:lang w:val="zh-CN"/>
          <w14:textFill>
            <w14:solidFill>
              <w14:schemeClr w14:val="tx1"/>
            </w14:solidFill>
          </w14:textFill>
        </w:rPr>
        <w:t>关于剑阁县农村房地一体和集镇建设用地确权登记项目支出绩效自评报告</w:t>
      </w:r>
    </w:p>
    <w:p>
      <w:pPr>
        <w:adjustRightInd w:val="0"/>
        <w:snapToGrid w:val="0"/>
        <w:spacing w:line="560" w:lineRule="exact"/>
        <w:ind w:firstLine="720"/>
        <w:rPr>
          <w:rFonts w:ascii="宋体" w:hAnsi="宋体" w:cs="宋体"/>
          <w:color w:val="FF0000"/>
          <w:sz w:val="28"/>
          <w:szCs w:val="28"/>
          <w:lang w:val="zh-CN"/>
        </w:rPr>
      </w:pPr>
    </w:p>
    <w:p>
      <w:pPr>
        <w:pStyle w:val="28"/>
        <w:numPr>
          <w:ilvl w:val="0"/>
          <w:numId w:val="9"/>
        </w:numPr>
        <w:adjustRightInd w:val="0"/>
        <w:snapToGrid w:val="0"/>
        <w:spacing w:line="560" w:lineRule="exact"/>
        <w:ind w:firstLineChars="0"/>
        <w:rPr>
          <w:rFonts w:ascii="黑体" w:hAnsi="黑体" w:eastAsia="黑体" w:cs="宋体"/>
          <w:b/>
          <w:bCs/>
          <w:color w:val="000000" w:themeColor="text1"/>
          <w:sz w:val="32"/>
          <w:szCs w:val="32"/>
          <w:lang w:val="zh-CN"/>
          <w14:textFill>
            <w14:solidFill>
              <w14:schemeClr w14:val="tx1"/>
            </w14:solidFill>
          </w14:textFill>
        </w:rPr>
      </w:pPr>
      <w:r>
        <w:rPr>
          <w:rFonts w:hint="eastAsia" w:ascii="黑体" w:hAnsi="黑体" w:eastAsia="黑体" w:cs="宋体"/>
          <w:b/>
          <w:bCs/>
          <w:color w:val="000000" w:themeColor="text1"/>
          <w:sz w:val="32"/>
          <w:szCs w:val="32"/>
          <w:lang w:val="zh-CN"/>
          <w14:textFill>
            <w14:solidFill>
              <w14:schemeClr w14:val="tx1"/>
            </w14:solidFill>
          </w14:textFill>
        </w:rPr>
        <w:t>项目概况</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（一）项目资金申报及批复情况</w:t>
      </w:r>
    </w:p>
    <w:p>
      <w:pPr>
        <w:pStyle w:val="15"/>
        <w:spacing w:before="93" w:line="560" w:lineRule="exact"/>
        <w:ind w:left="0" w:leftChars="0" w:firstLine="480" w:firstLineChars="150"/>
        <w:rPr>
          <w:rFonts w:ascii="仿宋_GB2312" w:hAnsi="仿宋_GB2312" w:eastAsia="仿宋_GB2312" w:cs="仿宋_GB2312"/>
          <w:color w:val="000000" w:themeColor="text1"/>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根据2020年2月27日《县十八届人民政府第46次常务会议纪要》和2020年3月10日《十二届县委常委会第116次会议纪要》精神，该项目分四个标段同时启动，总预算资金2522.865万元，拟分年度进行拨付。2021年度按照县财政统筹安排，于年初安排该项目资金</w:t>
      </w:r>
      <w:r>
        <w:rPr>
          <w:rFonts w:hint="eastAsia" w:ascii="仿宋" w:hAnsi="仿宋" w:eastAsia="仿宋"/>
          <w:color w:val="000000" w:themeColor="text1"/>
          <w:kern w:val="0"/>
          <w:sz w:val="32"/>
          <w:szCs w:val="32"/>
          <w:lang w:val="en-US" w:eastAsia="zh-CN"/>
          <w14:textFill>
            <w14:solidFill>
              <w14:schemeClr w14:val="tx1"/>
            </w14:solidFill>
          </w14:textFill>
        </w:rPr>
        <w:t>530</w:t>
      </w:r>
      <w:r>
        <w:rPr>
          <w:rFonts w:hint="eastAsia" w:ascii="仿宋" w:hAnsi="仿宋" w:eastAsia="仿宋"/>
          <w:color w:val="000000" w:themeColor="text1"/>
          <w:kern w:val="0"/>
          <w:sz w:val="32"/>
          <w:szCs w:val="32"/>
          <w14:textFill>
            <w14:solidFill>
              <w14:schemeClr w14:val="tx1"/>
            </w14:solidFill>
          </w14:textFill>
        </w:rPr>
        <w:t>万元。</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（二）项目绩效目标</w:t>
      </w:r>
    </w:p>
    <w:p>
      <w:pPr>
        <w:pStyle w:val="15"/>
        <w:spacing w:before="93" w:line="560" w:lineRule="exact"/>
        <w:ind w:left="0" w:leftChars="0" w:firstLine="64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按照上级文件要求，对辖区内农村房地一体和集体建设用地进行确权登记，确保顺利完成全县农村户数166191户、集体建设用地2000宗测绘调查及确权登记工作。并做好对接，尽早建立数据库模板和中间数据库，完成与全国不动产登记数据汇交工作。</w:t>
      </w:r>
    </w:p>
    <w:p>
      <w:pPr>
        <w:pStyle w:val="15"/>
        <w:spacing w:before="93" w:line="560" w:lineRule="exact"/>
        <w:ind w:left="0" w:leftChars="0" w:firstLine="64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按工作部署，该项目四个标段于2020年6月28日同时启动，现全县已完成外业测绘168191宗，完成率100%，权籍调查具备登记条件户数168191户，完成率100%，已启动农户登记信息、测绘数据审查核对、公示，同时建立了房地一体中间数据库，基本完成省级数据汇交工作。</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（三）项目资金申报相符性</w:t>
      </w:r>
    </w:p>
    <w:p>
      <w:pPr>
        <w:pStyle w:val="15"/>
        <w:spacing w:before="93" w:line="560" w:lineRule="exact"/>
        <w:ind w:left="0" w:leftChars="0" w:firstLine="64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剑阁县农村房地一体和集镇建设用地确权登记项目内容与项目实际实施工作内容相符，申报目标合理可行。</w:t>
      </w:r>
    </w:p>
    <w:p>
      <w:pPr>
        <w:adjustRightInd w:val="0"/>
        <w:snapToGrid w:val="0"/>
        <w:spacing w:line="560" w:lineRule="exact"/>
        <w:ind w:firstLine="720"/>
        <w:rPr>
          <w:rFonts w:ascii="黑体" w:hAnsi="黑体" w:eastAsia="黑体" w:cs="宋体"/>
          <w:b/>
          <w:bCs/>
          <w:color w:val="000000" w:themeColor="text1"/>
          <w:sz w:val="32"/>
          <w:szCs w:val="32"/>
          <w:lang w:val="zh-CN"/>
          <w14:textFill>
            <w14:solidFill>
              <w14:schemeClr w14:val="tx1"/>
            </w14:solidFill>
          </w14:textFill>
        </w:rPr>
      </w:pPr>
      <w:r>
        <w:rPr>
          <w:rFonts w:hint="eastAsia" w:ascii="黑体" w:hAnsi="黑体" w:eastAsia="黑体" w:cs="宋体"/>
          <w:b/>
          <w:bCs/>
          <w:color w:val="000000" w:themeColor="text1"/>
          <w:sz w:val="32"/>
          <w:szCs w:val="32"/>
          <w:lang w:val="zh-CN"/>
          <w14:textFill>
            <w14:solidFill>
              <w14:schemeClr w14:val="tx1"/>
            </w14:solidFill>
          </w14:textFill>
        </w:rPr>
        <w:t>二、项目实施及管理情况</w:t>
      </w:r>
    </w:p>
    <w:p>
      <w:pPr>
        <w:pStyle w:val="28"/>
        <w:suppressAutoHyphens/>
        <w:adjustRightInd w:val="0"/>
        <w:snapToGrid w:val="0"/>
        <w:spacing w:line="560" w:lineRule="exact"/>
        <w:ind w:left="161" w:firstLine="321" w:firstLineChars="100"/>
        <w:rPr>
          <w:rFonts w:ascii="宋体" w:hAnsi="宋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ab/>
      </w:r>
      <w:r>
        <w:rPr>
          <w:rFonts w:hint="eastAsia" w:ascii="楷体" w:hAnsi="楷体" w:eastAsia="楷体" w:cs="宋体"/>
          <w:b/>
          <w:bCs/>
          <w:color w:val="000000" w:themeColor="text1"/>
          <w:sz w:val="32"/>
          <w:szCs w:val="28"/>
          <w:lang w:val="zh-CN"/>
          <w14:textFill>
            <w14:solidFill>
              <w14:schemeClr w14:val="tx1"/>
            </w14:solidFill>
          </w14:textFill>
        </w:rPr>
        <w:t>（一）资金计划、到位及使用情况</w:t>
      </w:r>
    </w:p>
    <w:p>
      <w:pPr>
        <w:pStyle w:val="15"/>
        <w:spacing w:before="93" w:line="560" w:lineRule="exact"/>
        <w:ind w:left="0" w:leftChars="0" w:firstLine="64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1、项目资金到位情况分析。项目预计总金额2522.865万元，按照财政相关安排拟分年度拨付。202</w:t>
      </w:r>
      <w:r>
        <w:rPr>
          <w:rFonts w:hint="eastAsia" w:ascii="仿宋" w:hAnsi="仿宋" w:eastAsia="仿宋"/>
          <w:color w:val="000000" w:themeColor="text1"/>
          <w:kern w:val="0"/>
          <w:sz w:val="32"/>
          <w:szCs w:val="32"/>
          <w:lang w:val="en-US" w:eastAsia="zh-CN"/>
          <w14:textFill>
            <w14:solidFill>
              <w14:schemeClr w14:val="tx1"/>
            </w14:solidFill>
          </w14:textFill>
        </w:rPr>
        <w:t>2</w:t>
      </w:r>
      <w:r>
        <w:rPr>
          <w:rFonts w:hint="eastAsia" w:ascii="仿宋" w:hAnsi="仿宋" w:eastAsia="仿宋"/>
          <w:color w:val="000000" w:themeColor="text1"/>
          <w:kern w:val="0"/>
          <w:sz w:val="32"/>
          <w:szCs w:val="32"/>
          <w14:textFill>
            <w14:solidFill>
              <w14:schemeClr w14:val="tx1"/>
            </w14:solidFill>
          </w14:textFill>
        </w:rPr>
        <w:t>年度实际到位资金</w:t>
      </w:r>
      <w:r>
        <w:rPr>
          <w:rFonts w:hint="eastAsia" w:ascii="仿宋" w:hAnsi="仿宋" w:eastAsia="仿宋"/>
          <w:color w:val="000000" w:themeColor="text1"/>
          <w:kern w:val="0"/>
          <w:sz w:val="32"/>
          <w:szCs w:val="32"/>
          <w:lang w:val="en-US" w:eastAsia="zh-CN"/>
          <w14:textFill>
            <w14:solidFill>
              <w14:schemeClr w14:val="tx1"/>
            </w14:solidFill>
          </w14:textFill>
        </w:rPr>
        <w:t>530</w:t>
      </w:r>
      <w:r>
        <w:rPr>
          <w:rFonts w:hint="eastAsia" w:ascii="仿宋" w:hAnsi="仿宋" w:eastAsia="仿宋"/>
          <w:color w:val="000000" w:themeColor="text1"/>
          <w:kern w:val="0"/>
          <w:sz w:val="32"/>
          <w:szCs w:val="32"/>
          <w14:textFill>
            <w14:solidFill>
              <w14:schemeClr w14:val="tx1"/>
            </w14:solidFill>
          </w14:textFill>
        </w:rPr>
        <w:t>万元，资金来源为县财政资金。</w:t>
      </w:r>
    </w:p>
    <w:p>
      <w:pPr>
        <w:pStyle w:val="15"/>
        <w:spacing w:before="93" w:line="560" w:lineRule="exact"/>
        <w:ind w:left="0" w:leftChars="0" w:firstLine="64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2、项目资金使用情况分析。2022年1月30日，根据该项目四个标段的外业测绘户数、权籍调查进度、确权登记进度及权籍数据库建设进度，并经验收合格后，拨付项目进度资金共500万元。2022年1</w:t>
      </w:r>
      <w:r>
        <w:rPr>
          <w:rFonts w:ascii="仿宋" w:hAnsi="仿宋" w:eastAsia="仿宋"/>
          <w:color w:val="000000" w:themeColor="text1"/>
          <w:kern w:val="0"/>
          <w:sz w:val="32"/>
          <w:szCs w:val="32"/>
          <w14:textFill>
            <w14:solidFill>
              <w14:schemeClr w14:val="tx1"/>
            </w14:solidFill>
          </w14:textFill>
        </w:rPr>
        <w:t>2</w:t>
      </w:r>
      <w:r>
        <w:rPr>
          <w:rFonts w:hint="eastAsia" w:ascii="仿宋" w:hAnsi="仿宋" w:eastAsia="仿宋"/>
          <w:color w:val="000000" w:themeColor="text1"/>
          <w:kern w:val="0"/>
          <w:sz w:val="32"/>
          <w:szCs w:val="32"/>
          <w14:textFill>
            <w14:solidFill>
              <w14:schemeClr w14:val="tx1"/>
            </w14:solidFill>
          </w14:textFill>
        </w:rPr>
        <w:t>月，根据该项目四个标段的外业测绘户数、权籍调查进度、确权登记进度及权籍数据库建设进度，并经验收合格后，拨付项目进度资金共</w:t>
      </w:r>
      <w:r>
        <w:rPr>
          <w:rFonts w:ascii="仿宋" w:hAnsi="仿宋" w:eastAsia="仿宋"/>
          <w:color w:val="000000" w:themeColor="text1"/>
          <w:kern w:val="0"/>
          <w:sz w:val="32"/>
          <w:szCs w:val="32"/>
          <w14:textFill>
            <w14:solidFill>
              <w14:schemeClr w14:val="tx1"/>
            </w14:solidFill>
          </w14:textFill>
        </w:rPr>
        <w:t>30</w:t>
      </w:r>
      <w:r>
        <w:rPr>
          <w:rFonts w:hint="eastAsia" w:ascii="仿宋" w:hAnsi="仿宋" w:eastAsia="仿宋"/>
          <w:color w:val="000000" w:themeColor="text1"/>
          <w:kern w:val="0"/>
          <w:sz w:val="32"/>
          <w:szCs w:val="32"/>
          <w14:textFill>
            <w14:solidFill>
              <w14:schemeClr w14:val="tx1"/>
            </w14:solidFill>
          </w14:textFill>
        </w:rPr>
        <w:t>万元。总拨付资金</w:t>
      </w:r>
      <w:r>
        <w:rPr>
          <w:rFonts w:hint="eastAsia" w:ascii="仿宋" w:hAnsi="仿宋" w:eastAsia="仿宋"/>
          <w:color w:val="000000" w:themeColor="text1"/>
          <w:kern w:val="0"/>
          <w:sz w:val="32"/>
          <w:szCs w:val="32"/>
          <w:lang w:val="en-US" w:eastAsia="zh-CN"/>
          <w14:textFill>
            <w14:solidFill>
              <w14:schemeClr w14:val="tx1"/>
            </w14:solidFill>
          </w14:textFill>
        </w:rPr>
        <w:t>530</w:t>
      </w:r>
      <w:r>
        <w:rPr>
          <w:rFonts w:hint="eastAsia" w:ascii="仿宋" w:hAnsi="仿宋" w:eastAsia="仿宋"/>
          <w:color w:val="000000" w:themeColor="text1"/>
          <w:kern w:val="0"/>
          <w:sz w:val="32"/>
          <w:szCs w:val="32"/>
          <w14:textFill>
            <w14:solidFill>
              <w14:schemeClr w14:val="tx1"/>
            </w14:solidFill>
          </w14:textFill>
        </w:rPr>
        <w:t>万元。</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（二）项目财务管理情况</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剑阁县不动产登记管理中心对农村房地一体和集体建设用地确权登记项目按照行政单位会计制度规定进行了会计核算和财务处理，财务处理及时，会计核算基本规范，项目支出费用审批流程规范，支出用途基本清晰。</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（1）建立了财务管理制度。财务人员严格按照规章制度执行。</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（2）实行国库集中支付。所有项目资金的资金支付经单位审批，县财政国库管理局复核后，由国库直接拨付至承建单位或供应商，减少中间环节，避免资金挤占挪用。</w:t>
      </w:r>
    </w:p>
    <w:p>
      <w:pPr>
        <w:pStyle w:val="15"/>
        <w:spacing w:before="93" w:line="560" w:lineRule="exact"/>
        <w:ind w:left="0" w:leftChars="0" w:firstLine="480" w:firstLineChars="1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（3）资金分阶段拨付。按照合同要求规定，根据每个工作阶段进度进行拨付。</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（三）项目组织实施情况</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加强组织领导。依据县委、县政府审定的农村房地一体和集体建设用地确权登记工作方案，县自然资源局完善了《农村房地一体和集体建设用地确权登记工作方案》，明确了工作流程，调整了局长白可任组长、副局长张云、王芝锐任副组长和办公室、财务、调查监测与确权登记、耕保、利用、规划、地籍、不动产及基层所负责人为成员的确权登记工作领导小组，全面负责农村房地一体和集体建设用地确权登记工作。为加强工作督导，县局从基层所、机关抽调8人参与农村房地一体和集体建设用地确权登记工作随机检查督导，保障工作的顺利开展。</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制定细则规范操作。依据上级政策要求，结合我县实际，县局印发的《剑阁县农村房地一体和集体建设用地确权登记工作指导意见》，修订完善了《广元市剑阁县农村房地一体和集体建设用地确权登记项目（农村集体建设用地使用权、宅基地使用权、农村房屋所有权权籍调查）技术设计书》，制定了农村不动产确权登记颁证工作实施方案、验收工作方案，保障了农村房地一体和集体建设用地确权登记工作正常开展。</w:t>
      </w:r>
    </w:p>
    <w:p>
      <w:pPr>
        <w:adjustRightInd w:val="0"/>
        <w:snapToGrid w:val="0"/>
        <w:spacing w:line="560" w:lineRule="exact"/>
        <w:ind w:firstLine="720"/>
        <w:rPr>
          <w:rFonts w:ascii="黑体" w:hAnsi="黑体" w:eastAsia="黑体" w:cs="宋体"/>
          <w:b/>
          <w:bCs/>
          <w:color w:val="000000" w:themeColor="text1"/>
          <w:sz w:val="32"/>
          <w:szCs w:val="32"/>
          <w:lang w:val="zh-CN"/>
          <w14:textFill>
            <w14:solidFill>
              <w14:schemeClr w14:val="tx1"/>
            </w14:solidFill>
          </w14:textFill>
        </w:rPr>
      </w:pPr>
      <w:r>
        <w:rPr>
          <w:rFonts w:hint="eastAsia" w:ascii="黑体" w:hAnsi="黑体" w:eastAsia="黑体" w:cs="宋体"/>
          <w:b/>
          <w:bCs/>
          <w:color w:val="000000" w:themeColor="text1"/>
          <w:sz w:val="32"/>
          <w:szCs w:val="32"/>
          <w:lang w:val="zh-CN"/>
          <w14:textFill>
            <w14:solidFill>
              <w14:schemeClr w14:val="tx1"/>
            </w14:solidFill>
          </w14:textFill>
        </w:rPr>
        <w:t>三、项目绩效情况</w:t>
      </w:r>
      <w:r>
        <w:rPr>
          <w:rFonts w:hint="eastAsia" w:ascii="黑体" w:hAnsi="黑体" w:eastAsia="黑体" w:cs="宋体"/>
          <w:b/>
          <w:bCs/>
          <w:color w:val="000000" w:themeColor="text1"/>
          <w:sz w:val="32"/>
          <w:szCs w:val="32"/>
          <w:lang w:val="zh-CN"/>
          <w14:textFill>
            <w14:solidFill>
              <w14:schemeClr w14:val="tx1"/>
            </w14:solidFill>
          </w14:textFill>
        </w:rPr>
        <w:tab/>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（一）项目完成情况</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工作部署，第一阶段完成易地扶贫搬迁安置住房登记，第二阶段为全县农房确权登记。每个阶段分为三个步骤实施。第一步，各乡镇收集涉及农户基础性资料（身份证、户籍资料、批建资料等）；第二步，农户和各乡镇在申请表、权籍调查表、三级确认表中审核签字或加盖单位公章；第三步，县不动产登记管理中心根据收集的外业、内业资料建立数据库，制作不动产登记证书并造册发放到农户手中。第一阶段完成后，各标段无缝对接乡镇、村组转入第二阶段农房测绘，保障了工作无间隔、进度不滞后。现全县已完成外业测绘168191宗，完成率100%，权籍调查具备登记条件户数168191户，完成率100%，农户信息资料收集139378户，已启动农户登记信息、测绘数据审查核对、公示，同时建立了房地一体中间数据库，基本完成省级数据汇交工作。</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（二）项目效益情况</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该项目是深化农村产权制度改革的重要基础，是提高自然资源管理和利用水平的重要保证，是维护农民权益，促进农村和谐稳定的重要举措。</w:t>
      </w:r>
    </w:p>
    <w:p>
      <w:pPr>
        <w:adjustRightInd w:val="0"/>
        <w:snapToGrid w:val="0"/>
        <w:spacing w:line="560" w:lineRule="exact"/>
        <w:ind w:firstLine="720"/>
        <w:rPr>
          <w:rFonts w:ascii="黑体" w:hAnsi="黑体" w:eastAsia="黑体" w:cs="宋体"/>
          <w:b/>
          <w:bCs/>
          <w:color w:val="000000" w:themeColor="text1"/>
          <w:sz w:val="32"/>
          <w:szCs w:val="32"/>
          <w:lang w:val="zh-CN"/>
          <w14:textFill>
            <w14:solidFill>
              <w14:schemeClr w14:val="tx1"/>
            </w14:solidFill>
          </w14:textFill>
        </w:rPr>
      </w:pPr>
      <w:r>
        <w:rPr>
          <w:rFonts w:hint="eastAsia" w:ascii="黑体" w:hAnsi="黑体" w:eastAsia="黑体" w:cs="宋体"/>
          <w:b/>
          <w:bCs/>
          <w:color w:val="000000" w:themeColor="text1"/>
          <w:sz w:val="32"/>
          <w:szCs w:val="32"/>
          <w:lang w:val="zh-CN"/>
          <w14:textFill>
            <w14:solidFill>
              <w14:schemeClr w14:val="tx1"/>
            </w14:solidFill>
          </w14:textFill>
        </w:rPr>
        <w:t>四、问题及建议</w:t>
      </w:r>
    </w:p>
    <w:p>
      <w:pPr>
        <w:pStyle w:val="28"/>
        <w:suppressAutoHyphens/>
        <w:adjustRightInd w:val="0"/>
        <w:snapToGrid w:val="0"/>
        <w:spacing w:line="560" w:lineRule="exact"/>
        <w:ind w:left="161" w:firstLine="321" w:firstLineChars="1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（一）存在的问题</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该项目剩余应拨付金额共计15</w:t>
      </w:r>
      <w:r>
        <w:rPr>
          <w:rFonts w:ascii="仿宋" w:hAnsi="仿宋" w:eastAsia="仿宋"/>
          <w:color w:val="000000" w:themeColor="text1"/>
          <w:kern w:val="0"/>
          <w:sz w:val="32"/>
          <w:szCs w:val="32"/>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2.865万元，</w:t>
      </w:r>
      <w:r>
        <w:rPr>
          <w:rFonts w:hint="eastAsia" w:ascii="仿宋" w:hAnsi="仿宋" w:eastAsia="仿宋"/>
          <w:color w:val="000000" w:themeColor="text1"/>
          <w:kern w:val="0"/>
          <w:sz w:val="32"/>
          <w:szCs w:val="32"/>
          <w:lang w:eastAsia="zh-CN"/>
          <w14:textFill>
            <w14:solidFill>
              <w14:schemeClr w14:val="tx1"/>
            </w14:solidFill>
          </w14:textFill>
        </w:rPr>
        <w:t>总拨付进度较慢</w:t>
      </w:r>
      <w:r>
        <w:rPr>
          <w:rFonts w:hint="eastAsia" w:ascii="仿宋" w:hAnsi="仿宋" w:eastAsia="仿宋"/>
          <w:color w:val="000000" w:themeColor="text1"/>
          <w:kern w:val="0"/>
          <w:sz w:val="32"/>
          <w:szCs w:val="32"/>
          <w14:textFill>
            <w14:solidFill>
              <w14:schemeClr w14:val="tx1"/>
            </w14:solidFill>
          </w14:textFill>
        </w:rPr>
        <w:t>。</w:t>
      </w:r>
    </w:p>
    <w:p>
      <w:pPr>
        <w:suppressAutoHyphens/>
        <w:adjustRightInd w:val="0"/>
        <w:snapToGrid w:val="0"/>
        <w:spacing w:line="560" w:lineRule="exact"/>
        <w:ind w:firstLine="642" w:firstLineChars="200"/>
        <w:rPr>
          <w:rFonts w:ascii="楷体" w:hAnsi="楷体" w:eastAsia="楷体" w:cs="宋体"/>
          <w:b/>
          <w:bCs/>
          <w:color w:val="000000" w:themeColor="text1"/>
          <w:sz w:val="32"/>
          <w:szCs w:val="28"/>
          <w:lang w:val="zh-CN"/>
          <w14:textFill>
            <w14:solidFill>
              <w14:schemeClr w14:val="tx1"/>
            </w14:solidFill>
          </w14:textFill>
        </w:rPr>
      </w:pPr>
      <w:r>
        <w:rPr>
          <w:rFonts w:hint="eastAsia" w:ascii="楷体" w:hAnsi="楷体" w:eastAsia="楷体" w:cs="宋体"/>
          <w:b/>
          <w:bCs/>
          <w:color w:val="000000" w:themeColor="text1"/>
          <w:sz w:val="32"/>
          <w:szCs w:val="28"/>
          <w:lang w:val="zh-CN"/>
          <w14:textFill>
            <w14:solidFill>
              <w14:schemeClr w14:val="tx1"/>
            </w14:solidFill>
          </w14:textFill>
        </w:rPr>
        <w:t>（二）相关建议</w:t>
      </w:r>
    </w:p>
    <w:p>
      <w:pPr>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建议有关部门加强财政项目资金预算，</w:t>
      </w:r>
      <w:r>
        <w:rPr>
          <w:rFonts w:hint="eastAsia" w:ascii="仿宋" w:hAnsi="仿宋" w:eastAsia="仿宋"/>
          <w:color w:val="000000" w:themeColor="text1"/>
          <w:kern w:val="0"/>
          <w:sz w:val="32"/>
          <w:szCs w:val="32"/>
          <w:lang w:eastAsia="zh-CN"/>
          <w14:textFill>
            <w14:solidFill>
              <w14:schemeClr w14:val="tx1"/>
            </w14:solidFill>
          </w14:textFill>
        </w:rPr>
        <w:t>加大资金保障</w:t>
      </w:r>
      <w:r>
        <w:rPr>
          <w:rFonts w:hint="eastAsia" w:ascii="仿宋" w:hAnsi="仿宋" w:eastAsia="仿宋"/>
          <w:color w:val="000000" w:themeColor="text1"/>
          <w:kern w:val="0"/>
          <w:sz w:val="32"/>
          <w:szCs w:val="32"/>
          <w14:textFill>
            <w14:solidFill>
              <w14:schemeClr w14:val="tx1"/>
            </w14:solidFill>
          </w14:textFill>
        </w:rPr>
        <w:t>，保证项目良好运转。</w:t>
      </w:r>
    </w:p>
    <w:p>
      <w:pPr>
        <w:pStyle w:val="2"/>
        <w:spacing w:before="93"/>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spacing w:before="93"/>
        <w:rPr>
          <w:rFonts w:hint="eastAsia" w:ascii="仿宋_GB2312" w:hAnsi="仿宋_GB2312" w:eastAsia="仿宋_GB2312" w:cs="仿宋_GB2312"/>
          <w:b/>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u w:val="none"/>
          <w:shd w:val="clear" w:color="auto" w:fill="FFFFFF"/>
          <w:lang w:val="en-US" w:eastAsia="zh-CN" w:bidi="ar-SA"/>
          <w14:textFill>
            <w14:solidFill>
              <w14:schemeClr w14:val="tx1"/>
            </w14:solidFill>
          </w14:textFill>
        </w:rPr>
        <w:t>附表：</w:t>
      </w:r>
    </w:p>
    <w:tbl>
      <w:tblPr>
        <w:tblStyle w:val="16"/>
        <w:tblW w:w="10576" w:type="dxa"/>
        <w:jc w:val="center"/>
        <w:tblLayout w:type="fixed"/>
        <w:tblCellMar>
          <w:top w:w="0" w:type="dxa"/>
          <w:left w:w="108" w:type="dxa"/>
          <w:bottom w:w="0" w:type="dxa"/>
          <w:right w:w="108" w:type="dxa"/>
        </w:tblCellMar>
      </w:tblPr>
      <w:tblGrid>
        <w:gridCol w:w="902"/>
        <w:gridCol w:w="486"/>
        <w:gridCol w:w="550"/>
        <w:gridCol w:w="756"/>
        <w:gridCol w:w="2542"/>
        <w:gridCol w:w="52"/>
        <w:gridCol w:w="689"/>
        <w:gridCol w:w="15"/>
        <w:gridCol w:w="745"/>
        <w:gridCol w:w="842"/>
        <w:gridCol w:w="774"/>
        <w:gridCol w:w="593"/>
        <w:gridCol w:w="490"/>
        <w:gridCol w:w="1140"/>
      </w:tblGrid>
      <w:tr>
        <w:tblPrEx>
          <w:tblCellMar>
            <w:top w:w="0" w:type="dxa"/>
            <w:left w:w="108" w:type="dxa"/>
            <w:bottom w:w="0" w:type="dxa"/>
            <w:right w:w="108" w:type="dxa"/>
          </w:tblCellMar>
        </w:tblPrEx>
        <w:trPr>
          <w:trHeight w:val="907" w:hRule="atLeast"/>
          <w:jc w:val="center"/>
        </w:trPr>
        <w:tc>
          <w:tcPr>
            <w:tcW w:w="10576" w:type="dxa"/>
            <w:gridSpan w:val="14"/>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color w:val="000000" w:themeColor="text1"/>
                <w:sz w:val="32"/>
                <w:szCs w:val="32"/>
                <w14:textFill>
                  <w14:solidFill>
                    <w14:schemeClr w14:val="tx1"/>
                  </w14:solidFill>
                </w14:textFill>
              </w:rPr>
            </w:pPr>
            <w:bookmarkStart w:id="61" w:name="_Toc148531743"/>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bookmarkEnd w:id="61"/>
          </w:p>
        </w:tc>
      </w:tr>
      <w:tr>
        <w:tblPrEx>
          <w:tblCellMar>
            <w:top w:w="0" w:type="dxa"/>
            <w:left w:w="108" w:type="dxa"/>
            <w:bottom w:w="0" w:type="dxa"/>
            <w:right w:w="108" w:type="dxa"/>
          </w:tblCellMar>
        </w:tblPrEx>
        <w:trPr>
          <w:trHeight w:val="480" w:hRule="exact"/>
          <w:jc w:val="center"/>
        </w:trPr>
        <w:tc>
          <w:tcPr>
            <w:tcW w:w="19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863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剑阁县农村房地一体和集体建设用地确权登记</w:t>
            </w:r>
          </w:p>
        </w:tc>
      </w:tr>
      <w:tr>
        <w:tblPrEx>
          <w:tblCellMar>
            <w:top w:w="0" w:type="dxa"/>
            <w:left w:w="108" w:type="dxa"/>
            <w:bottom w:w="0" w:type="dxa"/>
            <w:right w:w="108" w:type="dxa"/>
          </w:tblCellMar>
        </w:tblPrEx>
        <w:trPr>
          <w:trHeight w:val="498" w:hRule="atLeast"/>
          <w:jc w:val="center"/>
        </w:trPr>
        <w:tc>
          <w:tcPr>
            <w:tcW w:w="193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主管部门</w:t>
            </w:r>
          </w:p>
        </w:tc>
        <w:tc>
          <w:tcPr>
            <w:tcW w:w="40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剑阁县自然资源局部门</w:t>
            </w:r>
          </w:p>
        </w:tc>
        <w:tc>
          <w:tcPr>
            <w:tcW w:w="1587" w:type="dxa"/>
            <w:gridSpan w:val="2"/>
            <w:tcBorders>
              <w:top w:val="nil"/>
              <w:left w:val="nil"/>
              <w:bottom w:val="nil"/>
              <w:right w:val="nil"/>
            </w:tcBorders>
            <w:shd w:val="clear" w:color="auto" w:fill="auto"/>
            <w:vAlign w:val="center"/>
          </w:tcPr>
          <w:p>
            <w:pPr>
              <w:widowControl/>
              <w:jc w:val="center"/>
              <w:rPr>
                <w:rFonts w:ascii="Courier New" w:hAnsi="Courier New" w:eastAsia="DengXian" w:cs="Courier New"/>
                <w:color w:val="000000" w:themeColor="text1"/>
                <w:kern w:val="0"/>
                <w:sz w:val="18"/>
                <w:szCs w:val="18"/>
                <w14:textFill>
                  <w14:solidFill>
                    <w14:schemeClr w14:val="tx1"/>
                  </w14:solidFill>
                </w14:textFill>
              </w:rPr>
            </w:pPr>
            <w:r>
              <w:rPr>
                <w:rFonts w:ascii="Courier New" w:hAnsi="Courier New" w:eastAsia="DengXian" w:cs="Courier New"/>
                <w:color w:val="000000" w:themeColor="text1"/>
                <w:kern w:val="0"/>
                <w:sz w:val="18"/>
                <w:szCs w:val="18"/>
                <w14:textFill>
                  <w14:solidFill>
                    <w14:schemeClr w14:val="tx1"/>
                  </w14:solidFill>
                </w14:textFill>
              </w:rPr>
              <w:t>实施单位</w:t>
            </w:r>
          </w:p>
        </w:tc>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剑阁县不动产登记管理中心</w:t>
            </w:r>
          </w:p>
        </w:tc>
      </w:tr>
      <w:tr>
        <w:tblPrEx>
          <w:tblCellMar>
            <w:top w:w="0" w:type="dxa"/>
            <w:left w:w="108" w:type="dxa"/>
            <w:bottom w:w="0" w:type="dxa"/>
            <w:right w:w="108" w:type="dxa"/>
          </w:tblCellMar>
        </w:tblPrEx>
        <w:trPr>
          <w:trHeight w:val="505" w:hRule="atLeast"/>
          <w:jc w:val="center"/>
        </w:trPr>
        <w:tc>
          <w:tcPr>
            <w:tcW w:w="90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项目基本情况</w:t>
            </w:r>
          </w:p>
        </w:tc>
        <w:tc>
          <w:tcPr>
            <w:tcW w:w="10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1.项目年度目标完成情况</w:t>
            </w:r>
          </w:p>
        </w:tc>
        <w:tc>
          <w:tcPr>
            <w:tcW w:w="40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项目年度目标</w:t>
            </w:r>
          </w:p>
        </w:tc>
        <w:tc>
          <w:tcPr>
            <w:tcW w:w="458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DengXian" w:cs="Courier New"/>
                <w:color w:val="000000" w:themeColor="text1"/>
                <w:kern w:val="0"/>
                <w:sz w:val="18"/>
                <w:szCs w:val="18"/>
                <w14:textFill>
                  <w14:solidFill>
                    <w14:schemeClr w14:val="tx1"/>
                  </w14:solidFill>
                </w14:textFill>
              </w:rPr>
            </w:pPr>
            <w:r>
              <w:rPr>
                <w:rFonts w:ascii="Courier New" w:hAnsi="Courier New" w:eastAsia="DengXian" w:cs="Courier New"/>
                <w:color w:val="000000" w:themeColor="text1"/>
                <w:kern w:val="0"/>
                <w:sz w:val="18"/>
                <w:szCs w:val="18"/>
                <w14:textFill>
                  <w14:solidFill>
                    <w14:schemeClr w14:val="tx1"/>
                  </w14:solidFill>
                </w14:textFill>
              </w:rPr>
              <w:t>年度目标完成情况</w:t>
            </w:r>
          </w:p>
        </w:tc>
      </w:tr>
      <w:tr>
        <w:tblPrEx>
          <w:tblCellMar>
            <w:top w:w="0" w:type="dxa"/>
            <w:left w:w="108" w:type="dxa"/>
            <w:bottom w:w="0" w:type="dxa"/>
            <w:right w:w="108" w:type="dxa"/>
          </w:tblCellMar>
        </w:tblPrEx>
        <w:trPr>
          <w:trHeight w:val="1821" w:hRule="exac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0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按要求全面完成全县农村户数166191户、集体建设用地2000宗测绘调查及确权登记工作，并与全国不动产登记数据进行汇交。</w:t>
            </w:r>
          </w:p>
        </w:tc>
        <w:tc>
          <w:tcPr>
            <w:tcW w:w="458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一体确权登记工作推进顺利,目前完成外业测绘、收集资料168191户，完成占比100%，地籍图属性挂接、公示及勘误，完成占比100%。确认签字与权籍建库关键时期，可望年低内完成档案整理及扫描归档归件，为下一步迎检将完成市级验收，登记缮证作好准备。</w:t>
            </w:r>
          </w:p>
        </w:tc>
      </w:tr>
      <w:tr>
        <w:tblPrEx>
          <w:tblCellMar>
            <w:top w:w="0" w:type="dxa"/>
            <w:left w:w="108" w:type="dxa"/>
            <w:bottom w:w="0" w:type="dxa"/>
            <w:right w:w="108" w:type="dxa"/>
          </w:tblCellMar>
        </w:tblPrEx>
        <w:trPr>
          <w:trHeight w:val="965" w:hRule="exac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2.项目实施内容及过程概述</w:t>
            </w:r>
          </w:p>
        </w:tc>
        <w:tc>
          <w:tcPr>
            <w:tcW w:w="8638" w:type="dxa"/>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一体”确权登记工作推进顺利,目前完成外业测绘、收集资料168191户，完成占比100%，地籍图属性挂接、公示及勘误，完成占比100%。确认签字与权籍建库关键时期，可望年低内完成档案整理及扫描归档归件，为下一步迎检将完成市级验收，登记缮证作好准备。</w:t>
            </w:r>
          </w:p>
        </w:tc>
      </w:tr>
      <w:tr>
        <w:tblPrEx>
          <w:tblCellMar>
            <w:top w:w="0" w:type="dxa"/>
            <w:left w:w="108" w:type="dxa"/>
            <w:bottom w:w="0" w:type="dxa"/>
            <w:right w:w="108" w:type="dxa"/>
          </w:tblCellMar>
        </w:tblPrEx>
        <w:trPr>
          <w:trHeight w:val="619" w:hRule="exact"/>
          <w:jc w:val="center"/>
        </w:trPr>
        <w:tc>
          <w:tcPr>
            <w:tcW w:w="90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预算执行情况  （10分）</w:t>
            </w: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年度预算数 （万元）</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年初 预算</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调整后预算数</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预算执行数</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预算执行率</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权重</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原因</w:t>
            </w:r>
          </w:p>
        </w:tc>
      </w:tr>
      <w:tr>
        <w:tblPrEx>
          <w:tblCellMar>
            <w:top w:w="0" w:type="dxa"/>
            <w:left w:w="108" w:type="dxa"/>
            <w:bottom w:w="0" w:type="dxa"/>
            <w:right w:w="108" w:type="dxa"/>
          </w:tblCellMar>
        </w:tblPrEx>
        <w:trPr>
          <w:trHeight w:val="341" w:hRule="exac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总额</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569.15</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530.00</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530.00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11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DengXian" w:cs="Courier New"/>
                <w:i/>
                <w:iCs/>
                <w:color w:val="000000" w:themeColor="text1"/>
                <w:kern w:val="0"/>
                <w:sz w:val="18"/>
                <w:szCs w:val="18"/>
                <w14:textFill>
                  <w14:solidFill>
                    <w14:schemeClr w14:val="tx1"/>
                  </w14:solidFill>
                </w14:textFill>
              </w:rPr>
            </w:pPr>
            <w:r>
              <w:rPr>
                <w:rFonts w:ascii="Courier New" w:hAnsi="Courier New" w:eastAsia="DengXian" w:cs="Courier New"/>
                <w:i/>
                <w:iCs/>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604" w:hRule="exac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其中：   财政资金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569.15</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530.00</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530.00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DengXian" w:cs="Courier New"/>
                <w:i/>
                <w:i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597" w:hRule="exac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财政专户管理资金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DengXian" w:cs="Courier New"/>
                <w:i/>
                <w:i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0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单位资金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DengXian" w:cs="Courier New"/>
                <w:i/>
                <w:i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79" w:hRule="atLeast"/>
          <w:jc w:val="center"/>
        </w:trPr>
        <w:tc>
          <w:tcPr>
            <w:tcW w:w="902"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7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DengXian" w:cs="Courier New"/>
                <w:i/>
                <w:i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91" w:hRule="exact"/>
          <w:jc w:val="center"/>
        </w:trPr>
        <w:tc>
          <w:tcPr>
            <w:tcW w:w="90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    (90分）</w:t>
            </w:r>
          </w:p>
        </w:tc>
        <w:tc>
          <w:tcPr>
            <w:tcW w:w="103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一级指标</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 指标</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三级指标</w:t>
            </w:r>
          </w:p>
        </w:tc>
        <w:tc>
          <w:tcPr>
            <w:tcW w:w="74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指标性质</w:t>
            </w:r>
          </w:p>
        </w:tc>
        <w:tc>
          <w:tcPr>
            <w:tcW w:w="7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指标值</w:t>
            </w:r>
          </w:p>
        </w:tc>
        <w:tc>
          <w:tcPr>
            <w:tcW w:w="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度量 单位</w:t>
            </w:r>
          </w:p>
        </w:tc>
        <w:tc>
          <w:tcPr>
            <w:tcW w:w="7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完成值</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权重</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未完成原因分析</w:t>
            </w:r>
          </w:p>
        </w:tc>
      </w:tr>
      <w:tr>
        <w:tblPrEx>
          <w:tblCellMar>
            <w:top w:w="0" w:type="dxa"/>
            <w:left w:w="108" w:type="dxa"/>
            <w:bottom w:w="0" w:type="dxa"/>
            <w:right w:w="108" w:type="dxa"/>
          </w:tblCellMar>
        </w:tblPrEx>
        <w:trPr>
          <w:trHeight w:val="523" w:hRule="exact"/>
          <w:jc w:val="center"/>
        </w:trPr>
        <w:tc>
          <w:tcPr>
            <w:tcW w:w="90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产出指标</w:t>
            </w:r>
          </w:p>
        </w:tc>
        <w:tc>
          <w:tcPr>
            <w:tcW w:w="7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 指标</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完成登记户数</w:t>
            </w:r>
          </w:p>
        </w:tc>
        <w:tc>
          <w:tcPr>
            <w:tcW w:w="74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7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166191</w:t>
            </w:r>
          </w:p>
        </w:tc>
        <w:tc>
          <w:tcPr>
            <w:tcW w:w="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户（套）</w:t>
            </w:r>
          </w:p>
        </w:tc>
        <w:tc>
          <w:tcPr>
            <w:tcW w:w="7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168191</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themeColor="text1"/>
                <w:kern w:val="0"/>
                <w:sz w:val="16"/>
                <w:szCs w:val="16"/>
                <w14:textFill>
                  <w14:solidFill>
                    <w14:schemeClr w14:val="tx1"/>
                  </w14:solidFill>
                </w14:textFill>
              </w:rPr>
            </w:pPr>
            <w:r>
              <w:rPr>
                <w:rFonts w:hint="eastAsia" w:ascii="微软雅黑" w:hAnsi="微软雅黑" w:eastAsia="微软雅黑" w:cs="宋体"/>
                <w:i/>
                <w:iCs/>
                <w:color w:val="000000" w:themeColor="text1"/>
                <w:kern w:val="0"/>
                <w:sz w:val="16"/>
                <w:szCs w:val="16"/>
                <w14:textFill>
                  <w14:solidFill>
                    <w14:schemeClr w14:val="tx1"/>
                  </w14:solidFill>
                </w14:textFill>
              </w:rPr>
              <w:t>　</w:t>
            </w:r>
          </w:p>
        </w:tc>
      </w:tr>
      <w:tr>
        <w:tblPrEx>
          <w:tblCellMar>
            <w:top w:w="0" w:type="dxa"/>
            <w:left w:w="108" w:type="dxa"/>
            <w:bottom w:w="0" w:type="dxa"/>
            <w:right w:w="108" w:type="dxa"/>
          </w:tblCellMar>
        </w:tblPrEx>
        <w:trPr>
          <w:trHeight w:val="595" w:hRule="exact"/>
          <w:jc w:val="center"/>
        </w:trPr>
        <w:tc>
          <w:tcPr>
            <w:tcW w:w="90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vMerge w:val="continue"/>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756"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5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完成测绘调查及确权登记工作</w:t>
            </w:r>
          </w:p>
        </w:tc>
        <w:tc>
          <w:tcPr>
            <w:tcW w:w="74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76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w:t>
            </w:r>
          </w:p>
        </w:tc>
        <w:tc>
          <w:tcPr>
            <w:tcW w:w="8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宗</w:t>
            </w:r>
          </w:p>
        </w:tc>
        <w:tc>
          <w:tcPr>
            <w:tcW w:w="77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w:t>
            </w:r>
          </w:p>
        </w:tc>
        <w:tc>
          <w:tcPr>
            <w:tcW w:w="59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49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1140" w:type="dxa"/>
            <w:tcBorders>
              <w:top w:val="nil"/>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i/>
                <w:iCs/>
                <w:color w:val="000000" w:themeColor="text1"/>
                <w:kern w:val="0"/>
                <w:sz w:val="16"/>
                <w:szCs w:val="16"/>
                <w14:textFill>
                  <w14:solidFill>
                    <w14:schemeClr w14:val="tx1"/>
                  </w14:solidFill>
                </w14:textFill>
              </w:rPr>
            </w:pPr>
            <w:r>
              <w:rPr>
                <w:rFonts w:hint="eastAsia" w:ascii="微软雅黑" w:hAnsi="微软雅黑" w:eastAsia="微软雅黑" w:cs="宋体"/>
                <w:i/>
                <w:iCs/>
                <w:color w:val="000000" w:themeColor="text1"/>
                <w:kern w:val="0"/>
                <w:sz w:val="16"/>
                <w:szCs w:val="16"/>
                <w14:textFill>
                  <w14:solidFill>
                    <w14:schemeClr w14:val="tx1"/>
                  </w14:solidFill>
                </w14:textFill>
              </w:rPr>
              <w:t>　</w:t>
            </w:r>
          </w:p>
        </w:tc>
      </w:tr>
      <w:tr>
        <w:tblPrEx>
          <w:tblCellMar>
            <w:top w:w="0" w:type="dxa"/>
            <w:left w:w="108" w:type="dxa"/>
            <w:bottom w:w="0" w:type="dxa"/>
            <w:right w:w="108" w:type="dxa"/>
          </w:tblCellMar>
        </w:tblPrEx>
        <w:trPr>
          <w:trHeight w:val="1898" w:hRule="atLeast"/>
          <w:jc w:val="center"/>
        </w:trPr>
        <w:tc>
          <w:tcPr>
            <w:tcW w:w="902"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绩效指标    (90分）</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效益指标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可持续影响指标</w:t>
            </w: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1、深化农村产权制度改革的重要基础。 </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 xml:space="preserve">            2、提高自然资源管理和利用水平的重要保证。                         3、维护农民权益，促进农村和谐稳定的重要举措。</w:t>
            </w:r>
          </w:p>
        </w:tc>
        <w:tc>
          <w:tcPr>
            <w:tcW w:w="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定性</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优良中低差</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themeColor="text1"/>
                <w:kern w:val="0"/>
                <w:sz w:val="16"/>
                <w:szCs w:val="16"/>
                <w14:textFill>
                  <w14:solidFill>
                    <w14:schemeClr w14:val="tx1"/>
                  </w14:solidFill>
                </w14:textFill>
              </w:rPr>
            </w:pPr>
            <w:r>
              <w:rPr>
                <w:rFonts w:hint="eastAsia" w:ascii="微软雅黑" w:hAnsi="微软雅黑" w:eastAsia="微软雅黑" w:cs="宋体"/>
                <w:i/>
                <w:iCs/>
                <w:color w:val="000000" w:themeColor="text1"/>
                <w:kern w:val="0"/>
                <w:sz w:val="16"/>
                <w:szCs w:val="16"/>
                <w14:textFill>
                  <w14:solidFill>
                    <w14:schemeClr w14:val="tx1"/>
                  </w14:solidFill>
                </w14:textFill>
              </w:rPr>
              <w:t>　</w:t>
            </w:r>
          </w:p>
        </w:tc>
      </w:tr>
      <w:tr>
        <w:tblPrEx>
          <w:tblCellMar>
            <w:top w:w="0" w:type="dxa"/>
            <w:left w:w="108" w:type="dxa"/>
            <w:bottom w:w="0" w:type="dxa"/>
            <w:right w:w="108" w:type="dxa"/>
          </w:tblCellMar>
        </w:tblPrEx>
        <w:trPr>
          <w:trHeight w:val="1040" w:hRule="atLeast"/>
          <w:jc w:val="center"/>
        </w:trPr>
        <w:tc>
          <w:tcPr>
            <w:tcW w:w="90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36"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满意度指标</w:t>
            </w:r>
          </w:p>
        </w:tc>
        <w:tc>
          <w:tcPr>
            <w:tcW w:w="75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服务对象满意度指标</w:t>
            </w:r>
          </w:p>
        </w:tc>
        <w:tc>
          <w:tcPr>
            <w:tcW w:w="25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群众满意度</w:t>
            </w:r>
          </w:p>
        </w:tc>
        <w:tc>
          <w:tcPr>
            <w:tcW w:w="74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定性</w:t>
            </w:r>
          </w:p>
        </w:tc>
        <w:tc>
          <w:tcPr>
            <w:tcW w:w="76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优良中低差</w:t>
            </w:r>
          </w:p>
        </w:tc>
        <w:tc>
          <w:tcPr>
            <w:tcW w:w="8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77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优</w:t>
            </w:r>
          </w:p>
        </w:tc>
        <w:tc>
          <w:tcPr>
            <w:tcW w:w="59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49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114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i/>
                <w:iCs/>
                <w:color w:val="000000" w:themeColor="text1"/>
                <w:kern w:val="0"/>
                <w:sz w:val="16"/>
                <w:szCs w:val="16"/>
                <w14:textFill>
                  <w14:solidFill>
                    <w14:schemeClr w14:val="tx1"/>
                  </w14:solidFill>
                </w14:textFill>
              </w:rPr>
            </w:pPr>
            <w:r>
              <w:rPr>
                <w:rFonts w:hint="eastAsia" w:ascii="微软雅黑" w:hAnsi="微软雅黑" w:eastAsia="微软雅黑" w:cs="宋体"/>
                <w:i/>
                <w:iCs/>
                <w:color w:val="000000" w:themeColor="text1"/>
                <w:kern w:val="0"/>
                <w:sz w:val="16"/>
                <w:szCs w:val="16"/>
                <w14:textFill>
                  <w14:solidFill>
                    <w14:schemeClr w14:val="tx1"/>
                  </w14:solidFill>
                </w14:textFill>
              </w:rPr>
              <w:t>　</w:t>
            </w:r>
          </w:p>
        </w:tc>
      </w:tr>
      <w:tr>
        <w:tblPrEx>
          <w:tblCellMar>
            <w:top w:w="0" w:type="dxa"/>
            <w:left w:w="108" w:type="dxa"/>
            <w:bottom w:w="0" w:type="dxa"/>
            <w:right w:w="108" w:type="dxa"/>
          </w:tblCellMar>
        </w:tblPrEx>
        <w:trPr>
          <w:trHeight w:val="416" w:hRule="atLeast"/>
          <w:jc w:val="center"/>
        </w:trPr>
        <w:tc>
          <w:tcPr>
            <w:tcW w:w="7579"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416" w:hRule="atLeast"/>
          <w:jc w:val="center"/>
        </w:trPr>
        <w:tc>
          <w:tcPr>
            <w:tcW w:w="138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评价结论</w:t>
            </w:r>
          </w:p>
        </w:tc>
        <w:tc>
          <w:tcPr>
            <w:tcW w:w="9188" w:type="dxa"/>
            <w:gridSpan w:val="1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仿宋"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自评满分，深化了农村产权制度改革，促进农村和谐稳定。</w:t>
            </w:r>
          </w:p>
        </w:tc>
      </w:tr>
      <w:tr>
        <w:tblPrEx>
          <w:tblCellMar>
            <w:top w:w="0" w:type="dxa"/>
            <w:left w:w="108" w:type="dxa"/>
            <w:bottom w:w="0" w:type="dxa"/>
            <w:right w:w="108" w:type="dxa"/>
          </w:tblCellMar>
        </w:tblPrEx>
        <w:trPr>
          <w:trHeight w:val="416" w:hRule="atLeast"/>
          <w:jc w:val="center"/>
        </w:trPr>
        <w:tc>
          <w:tcPr>
            <w:tcW w:w="138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存在问题</w:t>
            </w:r>
          </w:p>
        </w:tc>
        <w:tc>
          <w:tcPr>
            <w:tcW w:w="9188" w:type="dxa"/>
            <w:gridSpan w:val="1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无</w:t>
            </w:r>
          </w:p>
        </w:tc>
      </w:tr>
      <w:tr>
        <w:tblPrEx>
          <w:tblCellMar>
            <w:top w:w="0" w:type="dxa"/>
            <w:left w:w="108" w:type="dxa"/>
            <w:bottom w:w="0" w:type="dxa"/>
            <w:right w:w="108" w:type="dxa"/>
          </w:tblCellMar>
        </w:tblPrEx>
        <w:trPr>
          <w:trHeight w:val="416" w:hRule="atLeast"/>
          <w:jc w:val="center"/>
        </w:trPr>
        <w:tc>
          <w:tcPr>
            <w:tcW w:w="138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改进措施</w:t>
            </w:r>
          </w:p>
        </w:tc>
        <w:tc>
          <w:tcPr>
            <w:tcW w:w="9188" w:type="dxa"/>
            <w:gridSpan w:val="1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无</w:t>
            </w:r>
          </w:p>
        </w:tc>
      </w:tr>
      <w:tr>
        <w:tblPrEx>
          <w:tblCellMar>
            <w:top w:w="0" w:type="dxa"/>
            <w:left w:w="108" w:type="dxa"/>
            <w:bottom w:w="0" w:type="dxa"/>
            <w:right w:w="108" w:type="dxa"/>
          </w:tblCellMar>
        </w:tblPrEx>
        <w:trPr>
          <w:trHeight w:val="416" w:hRule="atLeast"/>
          <w:jc w:val="center"/>
        </w:trPr>
        <w:tc>
          <w:tcPr>
            <w:tcW w:w="5288"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项目负责人：杨晓明</w:t>
            </w:r>
          </w:p>
        </w:tc>
        <w:tc>
          <w:tcPr>
            <w:tcW w:w="5288" w:type="dxa"/>
            <w:gridSpan w:val="8"/>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财务负责人：王菊</w:t>
            </w:r>
          </w:p>
        </w:tc>
      </w:tr>
    </w:tbl>
    <w:p>
      <w:pPr>
        <w:spacing w:line="580" w:lineRule="exact"/>
        <w:rPr>
          <w:rStyle w:val="29"/>
          <w:rFonts w:ascii="黑体" w:hAnsi="黑体" w:eastAsia="黑体"/>
          <w:b w:val="0"/>
          <w:color w:val="000000" w:themeColor="text1"/>
          <w14:textFill>
            <w14:solidFill>
              <w14:schemeClr w14:val="tx1"/>
            </w14:solidFill>
          </w14:textFill>
        </w:rPr>
      </w:pPr>
    </w:p>
    <w:p>
      <w:pPr>
        <w:widowControl/>
        <w:jc w:val="left"/>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pStyle w:val="2"/>
        <w:rPr>
          <w:rStyle w:val="29"/>
          <w:rFonts w:ascii="黑体" w:hAnsi="黑体" w:eastAsia="黑体"/>
          <w:b w:val="0"/>
          <w:color w:val="FF0000"/>
        </w:rPr>
      </w:pPr>
    </w:p>
    <w:p>
      <w:pPr>
        <w:spacing w:line="600" w:lineRule="exact"/>
        <w:jc w:val="center"/>
        <w:outlineLvl w:val="0"/>
        <w:rPr>
          <w:rFonts w:ascii="仿宋" w:hAnsi="仿宋" w:eastAsia="仿宋"/>
          <w:color w:val="000000" w:themeColor="text1"/>
          <w14:textFill>
            <w14:solidFill>
              <w14:schemeClr w14:val="tx1"/>
            </w14:solidFill>
          </w14:textFill>
        </w:rPr>
      </w:pPr>
      <w:bookmarkStart w:id="62" w:name="_Toc15396618"/>
      <w:r>
        <w:rPr>
          <w:rFonts w:hint="eastAsia" w:ascii="黑体" w:hAnsi="黑体" w:eastAsia="黑体"/>
          <w:color w:val="000000" w:themeColor="text1"/>
          <w:sz w:val="44"/>
          <w:szCs w:val="44"/>
          <w14:textFill>
            <w14:solidFill>
              <w14:schemeClr w14:val="tx1"/>
            </w14:solidFill>
          </w14:textFill>
        </w:rPr>
        <w:t>第</w:t>
      </w:r>
      <w:r>
        <w:rPr>
          <w:rStyle w:val="29"/>
          <w:rFonts w:hint="eastAsia" w:ascii="黑体" w:hAnsi="黑体" w:eastAsia="黑体"/>
          <w:b w:val="0"/>
          <w:color w:val="000000" w:themeColor="text1"/>
          <w14:textFill>
            <w14:solidFill>
              <w14:schemeClr w14:val="tx1"/>
            </w14:solidFill>
          </w14:textFill>
        </w:rPr>
        <w:t>五部分 附表</w:t>
      </w:r>
      <w:bookmarkEnd w:id="59"/>
      <w:bookmarkEnd w:id="62"/>
      <w:bookmarkStart w:id="63" w:name="_Toc15396619"/>
    </w:p>
    <w:p>
      <w:pPr>
        <w:pStyle w:val="4"/>
        <w:rPr>
          <w:rFonts w:ascii="仿宋" w:hAnsi="仿宋" w:eastAsia="仿宋"/>
          <w:color w:val="000000" w:themeColor="text1"/>
          <w14:textFill>
            <w14:solidFill>
              <w14:schemeClr w14:val="tx1"/>
            </w14:solidFill>
          </w14:textFill>
        </w:rPr>
      </w:pPr>
      <w:r>
        <w:rPr>
          <w:rFonts w:hint="eastAsia" w:ascii="仿宋" w:hAnsi="仿宋" w:eastAsia="仿宋"/>
          <w:b w:val="0"/>
          <w:color w:val="000000" w:themeColor="text1"/>
          <w14:textFill>
            <w14:solidFill>
              <w14:schemeClr w14:val="tx1"/>
            </w14:solidFill>
          </w14:textFill>
        </w:rPr>
        <w:t>一、收</w:t>
      </w:r>
      <w:r>
        <w:rPr>
          <w:rStyle w:val="30"/>
          <w:rFonts w:hint="eastAsia" w:ascii="仿宋" w:hAnsi="仿宋" w:eastAsia="仿宋"/>
          <w:b w:val="0"/>
          <w:bCs w:val="0"/>
          <w:color w:val="000000" w:themeColor="text1"/>
          <w14:textFill>
            <w14:solidFill>
              <w14:schemeClr w14:val="tx1"/>
            </w14:solidFill>
          </w14:textFill>
        </w:rPr>
        <w:t>入支出决算总表</w:t>
      </w:r>
      <w:bookmarkEnd w:id="63"/>
    </w:p>
    <w:p>
      <w:pPr>
        <w:pStyle w:val="4"/>
        <w:rPr>
          <w:rFonts w:ascii="仿宋" w:hAnsi="仿宋" w:eastAsia="仿宋"/>
          <w:color w:val="000000" w:themeColor="text1"/>
          <w14:textFill>
            <w14:solidFill>
              <w14:schemeClr w14:val="tx1"/>
            </w14:solidFill>
          </w14:textFill>
        </w:rPr>
      </w:pPr>
      <w:bookmarkStart w:id="64" w:name="_Toc15396620"/>
      <w:r>
        <w:rPr>
          <w:rFonts w:hint="eastAsia" w:ascii="仿宋" w:hAnsi="仿宋" w:eastAsia="仿宋"/>
          <w:b w:val="0"/>
          <w:color w:val="000000" w:themeColor="text1"/>
          <w14:textFill>
            <w14:solidFill>
              <w14:schemeClr w14:val="tx1"/>
            </w14:solidFill>
          </w14:textFill>
        </w:rPr>
        <w:t>二、收</w:t>
      </w:r>
      <w:r>
        <w:rPr>
          <w:rStyle w:val="30"/>
          <w:rFonts w:hint="eastAsia" w:ascii="仿宋" w:hAnsi="仿宋" w:eastAsia="仿宋"/>
          <w:b w:val="0"/>
          <w:bCs w:val="0"/>
          <w:color w:val="000000" w:themeColor="text1"/>
          <w14:textFill>
            <w14:solidFill>
              <w14:schemeClr w14:val="tx1"/>
            </w14:solidFill>
          </w14:textFill>
        </w:rPr>
        <w:t>入决算表</w:t>
      </w:r>
      <w:bookmarkEnd w:id="64"/>
    </w:p>
    <w:p>
      <w:pPr>
        <w:pStyle w:val="4"/>
        <w:rPr>
          <w:rFonts w:ascii="仿宋" w:hAnsi="仿宋" w:eastAsia="仿宋"/>
          <w:color w:val="000000" w:themeColor="text1"/>
          <w14:textFill>
            <w14:solidFill>
              <w14:schemeClr w14:val="tx1"/>
            </w14:solidFill>
          </w14:textFill>
        </w:rPr>
      </w:pPr>
      <w:bookmarkStart w:id="65" w:name="_Toc15396621"/>
      <w:r>
        <w:rPr>
          <w:rStyle w:val="30"/>
          <w:rFonts w:hint="eastAsia" w:ascii="仿宋" w:hAnsi="仿宋" w:eastAsia="仿宋"/>
          <w:b w:val="0"/>
          <w:bCs w:val="0"/>
          <w:color w:val="000000" w:themeColor="text1"/>
          <w14:textFill>
            <w14:solidFill>
              <w14:schemeClr w14:val="tx1"/>
            </w14:solidFill>
          </w14:textFill>
        </w:rPr>
        <w:t>三、</w:t>
      </w:r>
      <w:r>
        <w:rPr>
          <w:rFonts w:hint="eastAsia" w:ascii="仿宋" w:hAnsi="仿宋" w:eastAsia="仿宋"/>
          <w:b w:val="0"/>
          <w:color w:val="000000" w:themeColor="text1"/>
          <w14:textFill>
            <w14:solidFill>
              <w14:schemeClr w14:val="tx1"/>
            </w14:solidFill>
          </w14:textFill>
        </w:rPr>
        <w:t>支</w:t>
      </w:r>
      <w:r>
        <w:rPr>
          <w:rStyle w:val="30"/>
          <w:rFonts w:hint="eastAsia" w:ascii="仿宋" w:hAnsi="仿宋" w:eastAsia="仿宋"/>
          <w:b w:val="0"/>
          <w:bCs w:val="0"/>
          <w:color w:val="000000" w:themeColor="text1"/>
          <w14:textFill>
            <w14:solidFill>
              <w14:schemeClr w14:val="tx1"/>
            </w14:solidFill>
          </w14:textFill>
        </w:rPr>
        <w:t>出决算表</w:t>
      </w:r>
      <w:bookmarkEnd w:id="65"/>
    </w:p>
    <w:p>
      <w:pPr>
        <w:pStyle w:val="4"/>
        <w:rPr>
          <w:rFonts w:ascii="仿宋" w:hAnsi="仿宋" w:eastAsia="仿宋"/>
          <w:b w:val="0"/>
          <w:color w:val="000000" w:themeColor="text1"/>
          <w14:textFill>
            <w14:solidFill>
              <w14:schemeClr w14:val="tx1"/>
            </w14:solidFill>
          </w14:textFill>
        </w:rPr>
      </w:pPr>
      <w:bookmarkStart w:id="66" w:name="_Toc15396622"/>
      <w:r>
        <w:rPr>
          <w:rStyle w:val="30"/>
          <w:rFonts w:hint="eastAsia" w:ascii="仿宋" w:hAnsi="仿宋" w:eastAsia="仿宋"/>
          <w:b w:val="0"/>
          <w:bCs w:val="0"/>
          <w:color w:val="000000" w:themeColor="text1"/>
          <w14:textFill>
            <w14:solidFill>
              <w14:schemeClr w14:val="tx1"/>
            </w14:solidFill>
          </w14:textFill>
        </w:rPr>
        <w:t>四、</w:t>
      </w:r>
      <w:r>
        <w:rPr>
          <w:rFonts w:hint="eastAsia" w:ascii="仿宋" w:hAnsi="仿宋" w:eastAsia="仿宋"/>
          <w:b w:val="0"/>
          <w:color w:val="000000" w:themeColor="text1"/>
          <w14:textFill>
            <w14:solidFill>
              <w14:schemeClr w14:val="tx1"/>
            </w14:solidFill>
          </w14:textFill>
        </w:rPr>
        <w:t>财</w:t>
      </w:r>
      <w:r>
        <w:rPr>
          <w:rStyle w:val="30"/>
          <w:rFonts w:hint="eastAsia" w:ascii="仿宋" w:hAnsi="仿宋" w:eastAsia="仿宋"/>
          <w:b w:val="0"/>
          <w:bCs w:val="0"/>
          <w:color w:val="000000" w:themeColor="text1"/>
          <w14:textFill>
            <w14:solidFill>
              <w14:schemeClr w14:val="tx1"/>
            </w14:solidFill>
          </w14:textFill>
        </w:rPr>
        <w:t>政拨款收入支出决算总表</w:t>
      </w:r>
      <w:bookmarkEnd w:id="66"/>
    </w:p>
    <w:p>
      <w:pPr>
        <w:pStyle w:val="4"/>
        <w:rPr>
          <w:rStyle w:val="30"/>
          <w:rFonts w:ascii="仿宋" w:hAnsi="仿宋" w:eastAsia="仿宋"/>
          <w:b w:val="0"/>
          <w:bCs w:val="0"/>
          <w:color w:val="000000" w:themeColor="text1"/>
          <w14:textFill>
            <w14:solidFill>
              <w14:schemeClr w14:val="tx1"/>
            </w14:solidFill>
          </w14:textFill>
        </w:rPr>
      </w:pPr>
      <w:bookmarkStart w:id="67" w:name="_Toc15396623"/>
      <w:r>
        <w:rPr>
          <w:rStyle w:val="30"/>
          <w:rFonts w:hint="eastAsia" w:ascii="仿宋" w:hAnsi="仿宋" w:eastAsia="仿宋"/>
          <w:b w:val="0"/>
          <w:bCs w:val="0"/>
          <w:color w:val="000000" w:themeColor="text1"/>
          <w14:textFill>
            <w14:solidFill>
              <w14:schemeClr w14:val="tx1"/>
            </w14:solidFill>
          </w14:textFill>
        </w:rPr>
        <w:t>五、</w:t>
      </w:r>
      <w:r>
        <w:rPr>
          <w:rFonts w:hint="eastAsia" w:ascii="仿宋" w:hAnsi="仿宋" w:eastAsia="仿宋"/>
          <w:b w:val="0"/>
          <w:color w:val="000000" w:themeColor="text1"/>
          <w14:textFill>
            <w14:solidFill>
              <w14:schemeClr w14:val="tx1"/>
            </w14:solidFill>
          </w14:textFill>
        </w:rPr>
        <w:t>财</w:t>
      </w:r>
      <w:r>
        <w:rPr>
          <w:rStyle w:val="30"/>
          <w:rFonts w:hint="eastAsia" w:ascii="仿宋" w:hAnsi="仿宋" w:eastAsia="仿宋"/>
          <w:b w:val="0"/>
          <w:bCs w:val="0"/>
          <w:color w:val="000000" w:themeColor="text1"/>
          <w14:textFill>
            <w14:solidFill>
              <w14:schemeClr w14:val="tx1"/>
            </w14:solidFill>
          </w14:textFill>
        </w:rPr>
        <w:t>政拨款支出决算明细表</w:t>
      </w:r>
      <w:bookmarkEnd w:id="67"/>
      <w:bookmarkStart w:id="68" w:name="_Toc15396624"/>
    </w:p>
    <w:p>
      <w:pPr>
        <w:pStyle w:val="4"/>
        <w:rPr>
          <w:rFonts w:ascii="仿宋" w:hAnsi="仿宋" w:eastAsia="仿宋"/>
          <w:color w:val="000000" w:themeColor="text1"/>
          <w14:textFill>
            <w14:solidFill>
              <w14:schemeClr w14:val="tx1"/>
            </w14:solidFill>
          </w14:textFill>
        </w:rPr>
      </w:pPr>
      <w:r>
        <w:rPr>
          <w:rStyle w:val="30"/>
          <w:rFonts w:hint="eastAsia" w:ascii="仿宋" w:hAnsi="仿宋" w:eastAsia="仿宋"/>
          <w:b w:val="0"/>
          <w:bCs w:val="0"/>
          <w:color w:val="000000" w:themeColor="text1"/>
          <w14:textFill>
            <w14:solidFill>
              <w14:schemeClr w14:val="tx1"/>
            </w14:solidFill>
          </w14:textFill>
        </w:rPr>
        <w:t>六、</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般公共预算财政拨款支出决算表</w:t>
      </w:r>
      <w:bookmarkEnd w:id="68"/>
    </w:p>
    <w:p>
      <w:pPr>
        <w:pStyle w:val="4"/>
        <w:rPr>
          <w:rFonts w:ascii="仿宋" w:hAnsi="仿宋" w:eastAsia="仿宋"/>
          <w:color w:val="000000" w:themeColor="text1"/>
          <w14:textFill>
            <w14:solidFill>
              <w14:schemeClr w14:val="tx1"/>
            </w14:solidFill>
          </w14:textFill>
        </w:rPr>
      </w:pPr>
      <w:bookmarkStart w:id="69" w:name="_Toc15396625"/>
      <w:r>
        <w:rPr>
          <w:rStyle w:val="30"/>
          <w:rFonts w:hint="eastAsia" w:ascii="仿宋" w:hAnsi="仿宋" w:eastAsia="仿宋"/>
          <w:b w:val="0"/>
          <w:bCs w:val="0"/>
          <w:color w:val="000000" w:themeColor="text1"/>
          <w14:textFill>
            <w14:solidFill>
              <w14:schemeClr w14:val="tx1"/>
            </w14:solidFill>
          </w14:textFill>
        </w:rPr>
        <w:t>七、</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般公共预算财政拨款支出决算明细表</w:t>
      </w:r>
      <w:bookmarkEnd w:id="69"/>
    </w:p>
    <w:p>
      <w:pPr>
        <w:pStyle w:val="4"/>
        <w:rPr>
          <w:rFonts w:ascii="仿宋" w:hAnsi="仿宋" w:eastAsia="仿宋"/>
          <w:color w:val="000000" w:themeColor="text1"/>
          <w14:textFill>
            <w14:solidFill>
              <w14:schemeClr w14:val="tx1"/>
            </w14:solidFill>
          </w14:textFill>
        </w:rPr>
      </w:pPr>
      <w:bookmarkStart w:id="70" w:name="_Toc15396626"/>
      <w:r>
        <w:rPr>
          <w:rStyle w:val="30"/>
          <w:rFonts w:hint="eastAsia" w:ascii="仿宋" w:hAnsi="仿宋" w:eastAsia="仿宋"/>
          <w:b w:val="0"/>
          <w:bCs w:val="0"/>
          <w:color w:val="000000" w:themeColor="text1"/>
          <w14:textFill>
            <w14:solidFill>
              <w14:schemeClr w14:val="tx1"/>
            </w14:solidFill>
          </w14:textFill>
        </w:rPr>
        <w:t>八、</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般公共预算财政拨款基本支出决算表</w:t>
      </w:r>
      <w:bookmarkEnd w:id="70"/>
    </w:p>
    <w:p>
      <w:pPr>
        <w:pStyle w:val="4"/>
        <w:rPr>
          <w:rFonts w:ascii="仿宋" w:hAnsi="仿宋" w:eastAsia="仿宋"/>
          <w:color w:val="000000" w:themeColor="text1"/>
          <w14:textFill>
            <w14:solidFill>
              <w14:schemeClr w14:val="tx1"/>
            </w14:solidFill>
          </w14:textFill>
        </w:rPr>
      </w:pPr>
      <w:bookmarkStart w:id="71" w:name="_Toc15396627"/>
      <w:r>
        <w:rPr>
          <w:rStyle w:val="30"/>
          <w:rFonts w:hint="eastAsia" w:ascii="仿宋" w:hAnsi="仿宋" w:eastAsia="仿宋"/>
          <w:b w:val="0"/>
          <w:bCs w:val="0"/>
          <w:color w:val="000000" w:themeColor="text1"/>
          <w14:textFill>
            <w14:solidFill>
              <w14:schemeClr w14:val="tx1"/>
            </w14:solidFill>
          </w14:textFill>
        </w:rPr>
        <w:t>九、</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般公共预算财政拨款项目支出决算表</w:t>
      </w:r>
      <w:bookmarkEnd w:id="71"/>
    </w:p>
    <w:p>
      <w:pPr>
        <w:pStyle w:val="4"/>
        <w:rPr>
          <w:rFonts w:ascii="仿宋" w:hAnsi="仿宋" w:eastAsia="仿宋"/>
          <w:color w:val="000000" w:themeColor="text1"/>
          <w14:textFill>
            <w14:solidFill>
              <w14:schemeClr w14:val="tx1"/>
            </w14:solidFill>
          </w14:textFill>
        </w:rPr>
      </w:pPr>
      <w:bookmarkStart w:id="72" w:name="_Toc15396628"/>
      <w:r>
        <w:rPr>
          <w:rStyle w:val="30"/>
          <w:rFonts w:hint="eastAsia" w:ascii="仿宋" w:hAnsi="仿宋" w:eastAsia="仿宋"/>
          <w:b w:val="0"/>
          <w:bCs w:val="0"/>
          <w:color w:val="000000" w:themeColor="text1"/>
          <w14:textFill>
            <w14:solidFill>
              <w14:schemeClr w14:val="tx1"/>
            </w14:solidFill>
          </w14:textFill>
        </w:rPr>
        <w:t>十、</w:t>
      </w:r>
      <w:bookmarkEnd w:id="72"/>
      <w:r>
        <w:rPr>
          <w:rFonts w:hint="eastAsia" w:ascii="仿宋" w:hAnsi="仿宋" w:eastAsia="仿宋"/>
          <w:b w:val="0"/>
          <w:color w:val="000000" w:themeColor="text1"/>
          <w14:textFill>
            <w14:solidFill>
              <w14:schemeClr w14:val="tx1"/>
            </w14:solidFill>
          </w14:textFill>
        </w:rPr>
        <w:t>政</w:t>
      </w:r>
      <w:r>
        <w:rPr>
          <w:rStyle w:val="30"/>
          <w:rFonts w:hint="eastAsia" w:ascii="仿宋" w:hAnsi="仿宋" w:eastAsia="仿宋"/>
          <w:b w:val="0"/>
          <w:bCs w:val="0"/>
          <w:color w:val="000000" w:themeColor="text1"/>
          <w14:textFill>
            <w14:solidFill>
              <w14:schemeClr w14:val="tx1"/>
            </w14:solidFill>
          </w14:textFill>
        </w:rPr>
        <w:t>府性基金预算财政拨款收入支出决算表</w:t>
      </w:r>
    </w:p>
    <w:p>
      <w:pPr>
        <w:pStyle w:val="4"/>
        <w:rPr>
          <w:rFonts w:ascii="仿宋" w:hAnsi="仿宋" w:eastAsia="仿宋"/>
          <w:color w:val="000000" w:themeColor="text1"/>
          <w14:textFill>
            <w14:solidFill>
              <w14:schemeClr w14:val="tx1"/>
            </w14:solidFill>
          </w14:textFill>
        </w:rPr>
      </w:pPr>
      <w:bookmarkStart w:id="73" w:name="_Toc15396629"/>
      <w:r>
        <w:rPr>
          <w:rStyle w:val="30"/>
          <w:rFonts w:hint="eastAsia" w:ascii="仿宋" w:hAnsi="仿宋" w:eastAsia="仿宋"/>
          <w:b w:val="0"/>
          <w:bCs w:val="0"/>
          <w:color w:val="000000" w:themeColor="text1"/>
          <w14:textFill>
            <w14:solidFill>
              <w14:schemeClr w14:val="tx1"/>
            </w14:solidFill>
          </w14:textFill>
        </w:rPr>
        <w:t>十一、</w:t>
      </w:r>
      <w:bookmarkEnd w:id="73"/>
      <w:r>
        <w:rPr>
          <w:rFonts w:hint="eastAsia" w:ascii="仿宋" w:hAnsi="仿宋" w:eastAsia="仿宋"/>
          <w:b w:val="0"/>
          <w:color w:val="000000" w:themeColor="text1"/>
          <w14:textFill>
            <w14:solidFill>
              <w14:schemeClr w14:val="tx1"/>
            </w14:solidFill>
          </w14:textFill>
        </w:rPr>
        <w:t>国</w:t>
      </w:r>
      <w:r>
        <w:rPr>
          <w:rStyle w:val="30"/>
          <w:rFonts w:hint="eastAsia" w:ascii="仿宋" w:hAnsi="仿宋" w:eastAsia="仿宋"/>
          <w:b w:val="0"/>
          <w:bCs w:val="0"/>
          <w:color w:val="000000" w:themeColor="text1"/>
          <w14:textFill>
            <w14:solidFill>
              <w14:schemeClr w14:val="tx1"/>
            </w14:solidFill>
          </w14:textFill>
        </w:rPr>
        <w:t>有资本经营预算财政拨款收入支出决算表</w:t>
      </w:r>
    </w:p>
    <w:p>
      <w:pPr>
        <w:pStyle w:val="4"/>
        <w:rPr>
          <w:rFonts w:ascii="仿宋" w:hAnsi="仿宋" w:eastAsia="仿宋"/>
          <w:color w:val="000000" w:themeColor="text1"/>
          <w14:textFill>
            <w14:solidFill>
              <w14:schemeClr w14:val="tx1"/>
            </w14:solidFill>
          </w14:textFill>
        </w:rPr>
      </w:pPr>
      <w:bookmarkStart w:id="74" w:name="_Toc15396630"/>
      <w:r>
        <w:rPr>
          <w:rStyle w:val="30"/>
          <w:rFonts w:hint="eastAsia" w:ascii="仿宋" w:hAnsi="仿宋" w:eastAsia="仿宋"/>
          <w:b w:val="0"/>
          <w:bCs w:val="0"/>
          <w:color w:val="000000" w:themeColor="text1"/>
          <w14:textFill>
            <w14:solidFill>
              <w14:schemeClr w14:val="tx1"/>
            </w14:solidFill>
          </w14:textFill>
        </w:rPr>
        <w:t>十二、</w:t>
      </w:r>
      <w:bookmarkEnd w:id="74"/>
      <w:r>
        <w:rPr>
          <w:rStyle w:val="30"/>
          <w:rFonts w:hint="eastAsia" w:ascii="仿宋" w:hAnsi="仿宋" w:eastAsia="仿宋"/>
          <w:b w:val="0"/>
          <w:bCs w:val="0"/>
          <w:color w:val="000000" w:themeColor="text1"/>
          <w14:textFill>
            <w14:solidFill>
              <w14:schemeClr w14:val="tx1"/>
            </w14:solidFill>
          </w14:textFill>
        </w:rPr>
        <w:t>国有资本经营预算财政拨款支出决算表</w:t>
      </w:r>
    </w:p>
    <w:p>
      <w:pPr>
        <w:pStyle w:val="4"/>
        <w:rPr>
          <w:rFonts w:eastAsia="仿宋"/>
          <w:color w:val="000000" w:themeColor="text1"/>
          <w14:textFill>
            <w14:solidFill>
              <w14:schemeClr w14:val="tx1"/>
            </w14:solidFill>
          </w14:textFill>
        </w:rPr>
      </w:pPr>
      <w:bookmarkStart w:id="75" w:name="_Toc15396631"/>
      <w:r>
        <w:rPr>
          <w:rStyle w:val="30"/>
          <w:rFonts w:hint="eastAsia" w:ascii="仿宋" w:hAnsi="仿宋" w:eastAsia="仿宋"/>
          <w:b w:val="0"/>
          <w:bCs w:val="0"/>
          <w:color w:val="000000" w:themeColor="text1"/>
          <w14:textFill>
            <w14:solidFill>
              <w14:schemeClr w14:val="tx1"/>
            </w14:solidFill>
          </w14:textFill>
        </w:rPr>
        <w:t>十三、</w:t>
      </w:r>
      <w:bookmarkEnd w:id="75"/>
      <w:r>
        <w:rPr>
          <w:rStyle w:val="30"/>
          <w:rFonts w:hint="eastAsia" w:ascii="仿宋" w:hAnsi="仿宋" w:eastAsia="仿宋"/>
          <w:b w:val="0"/>
          <w:bCs w:val="0"/>
          <w:color w:val="000000" w:themeColor="text1"/>
          <w14:textFill>
            <w14:solidFill>
              <w14:schemeClr w14:val="tx1"/>
            </w14:solidFill>
          </w14:textFill>
        </w:rPr>
        <w:t>财政拨款“三公”经费支出决算表</w:t>
      </w:r>
    </w:p>
    <w:sectPr>
      <w:footerReference r:id="rId14" w:type="first"/>
      <w:footerReference r:id="rId13" w:type="default"/>
      <w:pgSz w:w="11906" w:h="16838"/>
      <w:pgMar w:top="1440" w:right="1800" w:bottom="1440" w:left="1800" w:header="851" w:footer="992" w:gutter="0"/>
      <w:pgNumType w:fmt="decimal" w:start="36"/>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DengXian">
    <w:altName w:val="宋体"/>
    <w:panose1 w:val="02010600030101010101"/>
    <w:charset w:val="86"/>
    <w:family w:val="modern"/>
    <w:pitch w:val="default"/>
    <w:sig w:usb0="00000000" w:usb1="00000000" w:usb2="0000001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rFonts w:hint="eastAsia"/>
        <w:lang w:val="en-US" w:eastAsia="zh-CN"/>
      </w:rPr>
      <w:t>33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rFonts w:hint="eastAsia"/>
        <w:lang w:val="en-US" w:eastAsia="zh-CN"/>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rFonts w:hint="eastAsia"/>
        <w:lang w:val="en-US" w:eastAsia="zh-CN"/>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r>
      <w:rPr>
        <w:rFonts w:hint="eastAsia"/>
        <w:lang w:val="en-US" w:eastAsia="zh-CN"/>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rFonts w:hint="eastAsia"/>
        <w:lang w:val="en-US" w:eastAsia="zh-CN"/>
      </w:rPr>
      <w:t>35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C6838"/>
    <w:multiLevelType w:val="singleLevel"/>
    <w:tmpl w:val="8C8C6838"/>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44807ED"/>
    <w:multiLevelType w:val="singleLevel"/>
    <w:tmpl w:val="E44807ED"/>
    <w:lvl w:ilvl="0" w:tentative="0">
      <w:start w:val="2"/>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556E74D"/>
    <w:multiLevelType w:val="singleLevel"/>
    <w:tmpl w:val="3556E74D"/>
    <w:lvl w:ilvl="0" w:tentative="0">
      <w:start w:val="1"/>
      <w:numFmt w:val="chineseCounting"/>
      <w:suff w:val="nothing"/>
      <w:lvlText w:val="%1、"/>
      <w:lvlJc w:val="left"/>
      <w:rPr>
        <w:rFonts w:hint="eastAsia"/>
      </w:rPr>
    </w:lvl>
  </w:abstractNum>
  <w:abstractNum w:abstractNumId="7">
    <w:nsid w:val="5931D9D7"/>
    <w:multiLevelType w:val="singleLevel"/>
    <w:tmpl w:val="5931D9D7"/>
    <w:lvl w:ilvl="0" w:tentative="0">
      <w:start w:val="2"/>
      <w:numFmt w:val="chineseCounting"/>
      <w:suff w:val="nothing"/>
      <w:lvlText w:val="（%1）"/>
      <w:lvlJc w:val="left"/>
      <w:rPr>
        <w:rFonts w:hint="eastAsia"/>
      </w:rPr>
    </w:lvl>
  </w:abstractNum>
  <w:abstractNum w:abstractNumId="8">
    <w:nsid w:val="62F22BA3"/>
    <w:multiLevelType w:val="multilevel"/>
    <w:tmpl w:val="62F22BA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ZDI1YTNiODFmMTJmMGNkNDFiNDM5MDNkYjA0Y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B4F24"/>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E6A41"/>
    <w:rsid w:val="002F1818"/>
    <w:rsid w:val="002F567B"/>
    <w:rsid w:val="003216A9"/>
    <w:rsid w:val="00334410"/>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146"/>
    <w:rsid w:val="004223DE"/>
    <w:rsid w:val="00434489"/>
    <w:rsid w:val="00437085"/>
    <w:rsid w:val="00443880"/>
    <w:rsid w:val="004464F4"/>
    <w:rsid w:val="0046550B"/>
    <w:rsid w:val="004703EA"/>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77A4"/>
    <w:rsid w:val="006C1937"/>
    <w:rsid w:val="006F020C"/>
    <w:rsid w:val="007127B7"/>
    <w:rsid w:val="0071798E"/>
    <w:rsid w:val="007416B6"/>
    <w:rsid w:val="00746F48"/>
    <w:rsid w:val="0075404D"/>
    <w:rsid w:val="0076182A"/>
    <w:rsid w:val="00767B7E"/>
    <w:rsid w:val="00773096"/>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C2A"/>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5E2279"/>
    <w:rsid w:val="01A17E1F"/>
    <w:rsid w:val="01E5315A"/>
    <w:rsid w:val="01E90844"/>
    <w:rsid w:val="01F63F6E"/>
    <w:rsid w:val="01FE5971"/>
    <w:rsid w:val="02143E91"/>
    <w:rsid w:val="025F4662"/>
    <w:rsid w:val="02693733"/>
    <w:rsid w:val="02A52D67"/>
    <w:rsid w:val="03086AA8"/>
    <w:rsid w:val="03213F6C"/>
    <w:rsid w:val="03672D7E"/>
    <w:rsid w:val="03673E4D"/>
    <w:rsid w:val="03784123"/>
    <w:rsid w:val="037979A5"/>
    <w:rsid w:val="0389734A"/>
    <w:rsid w:val="043342FB"/>
    <w:rsid w:val="043F0BEF"/>
    <w:rsid w:val="04722D72"/>
    <w:rsid w:val="04FE4606"/>
    <w:rsid w:val="05410419"/>
    <w:rsid w:val="054F5218"/>
    <w:rsid w:val="05654685"/>
    <w:rsid w:val="05850883"/>
    <w:rsid w:val="05CE7CA6"/>
    <w:rsid w:val="06071298"/>
    <w:rsid w:val="060A7835"/>
    <w:rsid w:val="06112117"/>
    <w:rsid w:val="066E0107"/>
    <w:rsid w:val="068648B3"/>
    <w:rsid w:val="06C929F2"/>
    <w:rsid w:val="06DB44D3"/>
    <w:rsid w:val="071C08E4"/>
    <w:rsid w:val="07261BF2"/>
    <w:rsid w:val="07454116"/>
    <w:rsid w:val="075E138C"/>
    <w:rsid w:val="07745B43"/>
    <w:rsid w:val="07996F6E"/>
    <w:rsid w:val="07CD4764"/>
    <w:rsid w:val="07DC3BA1"/>
    <w:rsid w:val="08055CAB"/>
    <w:rsid w:val="081128A2"/>
    <w:rsid w:val="081C4DA3"/>
    <w:rsid w:val="08337FE2"/>
    <w:rsid w:val="083B708F"/>
    <w:rsid w:val="089679D9"/>
    <w:rsid w:val="08C9372F"/>
    <w:rsid w:val="08FA3336"/>
    <w:rsid w:val="091323B6"/>
    <w:rsid w:val="092A3A4F"/>
    <w:rsid w:val="097A6225"/>
    <w:rsid w:val="09AC2B27"/>
    <w:rsid w:val="09E87633"/>
    <w:rsid w:val="0A0E7914"/>
    <w:rsid w:val="0A2032A3"/>
    <w:rsid w:val="0A2543E3"/>
    <w:rsid w:val="0A480722"/>
    <w:rsid w:val="0A49045B"/>
    <w:rsid w:val="0A5B7E05"/>
    <w:rsid w:val="0A5F5B47"/>
    <w:rsid w:val="0A64315D"/>
    <w:rsid w:val="0A941E7B"/>
    <w:rsid w:val="0B097DC8"/>
    <w:rsid w:val="0B0C10FF"/>
    <w:rsid w:val="0B5A6248"/>
    <w:rsid w:val="0B6D733B"/>
    <w:rsid w:val="0C0F7D7E"/>
    <w:rsid w:val="0C38538B"/>
    <w:rsid w:val="0C7C0632"/>
    <w:rsid w:val="0C801DA5"/>
    <w:rsid w:val="0CDD0B98"/>
    <w:rsid w:val="0CF77642"/>
    <w:rsid w:val="0D0371EE"/>
    <w:rsid w:val="0D1D0185"/>
    <w:rsid w:val="0D350DE1"/>
    <w:rsid w:val="0D4A53DE"/>
    <w:rsid w:val="0D694826"/>
    <w:rsid w:val="0D7763FA"/>
    <w:rsid w:val="0D841421"/>
    <w:rsid w:val="0DFA5B87"/>
    <w:rsid w:val="0EF418D3"/>
    <w:rsid w:val="0F98263C"/>
    <w:rsid w:val="0FA535D4"/>
    <w:rsid w:val="101860EC"/>
    <w:rsid w:val="104222A1"/>
    <w:rsid w:val="106A6FF4"/>
    <w:rsid w:val="106B4B1A"/>
    <w:rsid w:val="10982E1F"/>
    <w:rsid w:val="10AD4672"/>
    <w:rsid w:val="10C055FF"/>
    <w:rsid w:val="10CC1334"/>
    <w:rsid w:val="10DD5A17"/>
    <w:rsid w:val="10F20D97"/>
    <w:rsid w:val="113151B7"/>
    <w:rsid w:val="113A211D"/>
    <w:rsid w:val="113D67D6"/>
    <w:rsid w:val="116E041E"/>
    <w:rsid w:val="118107EC"/>
    <w:rsid w:val="11D0732A"/>
    <w:rsid w:val="11FC3E71"/>
    <w:rsid w:val="124964F8"/>
    <w:rsid w:val="12863E9C"/>
    <w:rsid w:val="131F458F"/>
    <w:rsid w:val="137B1518"/>
    <w:rsid w:val="13886C35"/>
    <w:rsid w:val="13912AE9"/>
    <w:rsid w:val="139A77D8"/>
    <w:rsid w:val="13AE5F5F"/>
    <w:rsid w:val="13BF1404"/>
    <w:rsid w:val="13CA4FBE"/>
    <w:rsid w:val="13D50BC4"/>
    <w:rsid w:val="13D546E2"/>
    <w:rsid w:val="14065285"/>
    <w:rsid w:val="140A39B3"/>
    <w:rsid w:val="14300853"/>
    <w:rsid w:val="14333BA0"/>
    <w:rsid w:val="14AB3737"/>
    <w:rsid w:val="150115A9"/>
    <w:rsid w:val="154537CD"/>
    <w:rsid w:val="154F4A0A"/>
    <w:rsid w:val="15913019"/>
    <w:rsid w:val="15A83D91"/>
    <w:rsid w:val="15B14D7D"/>
    <w:rsid w:val="15B90EDC"/>
    <w:rsid w:val="15D13671"/>
    <w:rsid w:val="15D469FE"/>
    <w:rsid w:val="15E40A1B"/>
    <w:rsid w:val="16B97F0B"/>
    <w:rsid w:val="16BB723D"/>
    <w:rsid w:val="16D94D75"/>
    <w:rsid w:val="16EB0762"/>
    <w:rsid w:val="17233A58"/>
    <w:rsid w:val="1723614E"/>
    <w:rsid w:val="17367C2F"/>
    <w:rsid w:val="174F6496"/>
    <w:rsid w:val="175B488E"/>
    <w:rsid w:val="17EA0A1A"/>
    <w:rsid w:val="17F30690"/>
    <w:rsid w:val="17F821C9"/>
    <w:rsid w:val="180D5436"/>
    <w:rsid w:val="18644328"/>
    <w:rsid w:val="1881137E"/>
    <w:rsid w:val="18AE7432"/>
    <w:rsid w:val="18D55226"/>
    <w:rsid w:val="19610C1E"/>
    <w:rsid w:val="19771B7E"/>
    <w:rsid w:val="197E63D5"/>
    <w:rsid w:val="19A90B8D"/>
    <w:rsid w:val="19BB08C0"/>
    <w:rsid w:val="19E25E4D"/>
    <w:rsid w:val="19EE2A43"/>
    <w:rsid w:val="1A0F4768"/>
    <w:rsid w:val="1A3674DF"/>
    <w:rsid w:val="1AED2CFB"/>
    <w:rsid w:val="1AF44089"/>
    <w:rsid w:val="1B245FF1"/>
    <w:rsid w:val="1B2B6E86"/>
    <w:rsid w:val="1B346557"/>
    <w:rsid w:val="1B590390"/>
    <w:rsid w:val="1B7B0307"/>
    <w:rsid w:val="1BE22134"/>
    <w:rsid w:val="1BE8440E"/>
    <w:rsid w:val="1BEF0BF4"/>
    <w:rsid w:val="1C07780C"/>
    <w:rsid w:val="1C1F660B"/>
    <w:rsid w:val="1C2D7127"/>
    <w:rsid w:val="1C580648"/>
    <w:rsid w:val="1C5E01AD"/>
    <w:rsid w:val="1C7447EB"/>
    <w:rsid w:val="1C9F1474"/>
    <w:rsid w:val="1CD477DC"/>
    <w:rsid w:val="1D15249A"/>
    <w:rsid w:val="1D155CEE"/>
    <w:rsid w:val="1D386382"/>
    <w:rsid w:val="1D951428"/>
    <w:rsid w:val="1DB21FDA"/>
    <w:rsid w:val="1E0B495C"/>
    <w:rsid w:val="1E1B7B7F"/>
    <w:rsid w:val="1E2F1E0C"/>
    <w:rsid w:val="1E396257"/>
    <w:rsid w:val="1E4E3AB1"/>
    <w:rsid w:val="1E65704C"/>
    <w:rsid w:val="1E685AAC"/>
    <w:rsid w:val="1E727F88"/>
    <w:rsid w:val="1EAF2075"/>
    <w:rsid w:val="1ED55F80"/>
    <w:rsid w:val="1EF17E03"/>
    <w:rsid w:val="1F1F12D9"/>
    <w:rsid w:val="1F372797"/>
    <w:rsid w:val="1F4F43E9"/>
    <w:rsid w:val="1F60475F"/>
    <w:rsid w:val="1F727414"/>
    <w:rsid w:val="1F8E6190"/>
    <w:rsid w:val="1FD47FE6"/>
    <w:rsid w:val="1FEA5A5B"/>
    <w:rsid w:val="1FF35744"/>
    <w:rsid w:val="1FFA4EF4"/>
    <w:rsid w:val="202257EE"/>
    <w:rsid w:val="204038CD"/>
    <w:rsid w:val="2042106D"/>
    <w:rsid w:val="20F80E85"/>
    <w:rsid w:val="211C119B"/>
    <w:rsid w:val="214B2529"/>
    <w:rsid w:val="21CC6E70"/>
    <w:rsid w:val="2212741B"/>
    <w:rsid w:val="22592A24"/>
    <w:rsid w:val="225A7263"/>
    <w:rsid w:val="228869A3"/>
    <w:rsid w:val="22A31EF1"/>
    <w:rsid w:val="22DE3797"/>
    <w:rsid w:val="22EA5D72"/>
    <w:rsid w:val="22F15352"/>
    <w:rsid w:val="23121476"/>
    <w:rsid w:val="23264FFC"/>
    <w:rsid w:val="233C2F6A"/>
    <w:rsid w:val="237B69CA"/>
    <w:rsid w:val="237D0994"/>
    <w:rsid w:val="23860B96"/>
    <w:rsid w:val="239C30EC"/>
    <w:rsid w:val="23D52A7A"/>
    <w:rsid w:val="240371BF"/>
    <w:rsid w:val="241412F8"/>
    <w:rsid w:val="242157C3"/>
    <w:rsid w:val="242F38B6"/>
    <w:rsid w:val="24856BAB"/>
    <w:rsid w:val="25210BCA"/>
    <w:rsid w:val="25646816"/>
    <w:rsid w:val="25AC730F"/>
    <w:rsid w:val="25BA1A2C"/>
    <w:rsid w:val="25CA3B83"/>
    <w:rsid w:val="25D56DC0"/>
    <w:rsid w:val="25F969F8"/>
    <w:rsid w:val="263A491A"/>
    <w:rsid w:val="265E343F"/>
    <w:rsid w:val="266351BE"/>
    <w:rsid w:val="2670658E"/>
    <w:rsid w:val="26773DC1"/>
    <w:rsid w:val="26B47F5C"/>
    <w:rsid w:val="26C647D1"/>
    <w:rsid w:val="27343028"/>
    <w:rsid w:val="27407BA2"/>
    <w:rsid w:val="27694F1D"/>
    <w:rsid w:val="277771ED"/>
    <w:rsid w:val="27B64475"/>
    <w:rsid w:val="27C222B8"/>
    <w:rsid w:val="27EA6A39"/>
    <w:rsid w:val="2811520C"/>
    <w:rsid w:val="28305FD5"/>
    <w:rsid w:val="28A22E4E"/>
    <w:rsid w:val="29303854"/>
    <w:rsid w:val="294C69D3"/>
    <w:rsid w:val="297D16EE"/>
    <w:rsid w:val="29FD04D3"/>
    <w:rsid w:val="2A251596"/>
    <w:rsid w:val="2A4346E5"/>
    <w:rsid w:val="2A455983"/>
    <w:rsid w:val="2A5C08DB"/>
    <w:rsid w:val="2A666EC7"/>
    <w:rsid w:val="2A842484"/>
    <w:rsid w:val="2B02634F"/>
    <w:rsid w:val="2B393F0C"/>
    <w:rsid w:val="2B397896"/>
    <w:rsid w:val="2B47025C"/>
    <w:rsid w:val="2B762899"/>
    <w:rsid w:val="2B9B1539"/>
    <w:rsid w:val="2C161986"/>
    <w:rsid w:val="2C3C160C"/>
    <w:rsid w:val="2C8A61B5"/>
    <w:rsid w:val="2CB73169"/>
    <w:rsid w:val="2CCD4E38"/>
    <w:rsid w:val="2D376058"/>
    <w:rsid w:val="2D536F43"/>
    <w:rsid w:val="2D9B0395"/>
    <w:rsid w:val="2DE05941"/>
    <w:rsid w:val="2DE27D71"/>
    <w:rsid w:val="2DE76039"/>
    <w:rsid w:val="2DF04E50"/>
    <w:rsid w:val="2E106A2C"/>
    <w:rsid w:val="2E227001"/>
    <w:rsid w:val="2E3614D3"/>
    <w:rsid w:val="2E9008AE"/>
    <w:rsid w:val="2EAF4C8C"/>
    <w:rsid w:val="2EE962FC"/>
    <w:rsid w:val="2EF038BC"/>
    <w:rsid w:val="2F040D46"/>
    <w:rsid w:val="2F0D5D93"/>
    <w:rsid w:val="2F106B60"/>
    <w:rsid w:val="2F2B1BEC"/>
    <w:rsid w:val="2F436F36"/>
    <w:rsid w:val="2F48454C"/>
    <w:rsid w:val="2F8512FC"/>
    <w:rsid w:val="2F8530AA"/>
    <w:rsid w:val="2F9652B7"/>
    <w:rsid w:val="2FC11140"/>
    <w:rsid w:val="30014FDE"/>
    <w:rsid w:val="30354AD0"/>
    <w:rsid w:val="30873D16"/>
    <w:rsid w:val="308817FA"/>
    <w:rsid w:val="30DA7426"/>
    <w:rsid w:val="30E91417"/>
    <w:rsid w:val="30FA1876"/>
    <w:rsid w:val="31091AB9"/>
    <w:rsid w:val="316433D0"/>
    <w:rsid w:val="319E0EF8"/>
    <w:rsid w:val="319F7F4E"/>
    <w:rsid w:val="32051A0F"/>
    <w:rsid w:val="32222419"/>
    <w:rsid w:val="32494863"/>
    <w:rsid w:val="324A32C3"/>
    <w:rsid w:val="32851613"/>
    <w:rsid w:val="32922593"/>
    <w:rsid w:val="32A001FB"/>
    <w:rsid w:val="32AA2DA3"/>
    <w:rsid w:val="32D700C1"/>
    <w:rsid w:val="32DD144F"/>
    <w:rsid w:val="32DE7E48"/>
    <w:rsid w:val="32E427DE"/>
    <w:rsid w:val="3304709D"/>
    <w:rsid w:val="33242BDA"/>
    <w:rsid w:val="33DB773D"/>
    <w:rsid w:val="33DE383D"/>
    <w:rsid w:val="344F3C87"/>
    <w:rsid w:val="34B34216"/>
    <w:rsid w:val="34B61F58"/>
    <w:rsid w:val="34C208FD"/>
    <w:rsid w:val="35044A71"/>
    <w:rsid w:val="350466DA"/>
    <w:rsid w:val="352660B5"/>
    <w:rsid w:val="35C6441D"/>
    <w:rsid w:val="36057ED9"/>
    <w:rsid w:val="360B1E2F"/>
    <w:rsid w:val="361A4AD3"/>
    <w:rsid w:val="368D6CE8"/>
    <w:rsid w:val="36AA5135"/>
    <w:rsid w:val="36B35051"/>
    <w:rsid w:val="376D39B2"/>
    <w:rsid w:val="376F1EAB"/>
    <w:rsid w:val="377A44B8"/>
    <w:rsid w:val="378974B0"/>
    <w:rsid w:val="37B229CC"/>
    <w:rsid w:val="37E16F03"/>
    <w:rsid w:val="38417D8A"/>
    <w:rsid w:val="38593326"/>
    <w:rsid w:val="3869605F"/>
    <w:rsid w:val="388166EA"/>
    <w:rsid w:val="38B16CBE"/>
    <w:rsid w:val="38C033A5"/>
    <w:rsid w:val="38D469F0"/>
    <w:rsid w:val="39061A23"/>
    <w:rsid w:val="391060DB"/>
    <w:rsid w:val="39311BAD"/>
    <w:rsid w:val="394E6C03"/>
    <w:rsid w:val="396E1053"/>
    <w:rsid w:val="396F0283"/>
    <w:rsid w:val="39BB3678"/>
    <w:rsid w:val="39C465A7"/>
    <w:rsid w:val="39C95D90"/>
    <w:rsid w:val="39E430C3"/>
    <w:rsid w:val="39EF3F42"/>
    <w:rsid w:val="3A6366DE"/>
    <w:rsid w:val="3AC54CA3"/>
    <w:rsid w:val="3AD969A0"/>
    <w:rsid w:val="3AE3337B"/>
    <w:rsid w:val="3AF64E5C"/>
    <w:rsid w:val="3AFC3538"/>
    <w:rsid w:val="3B561D9F"/>
    <w:rsid w:val="3B892174"/>
    <w:rsid w:val="3BF5780A"/>
    <w:rsid w:val="3C1B6FEC"/>
    <w:rsid w:val="3C7D7AB1"/>
    <w:rsid w:val="3C961075"/>
    <w:rsid w:val="3CB13731"/>
    <w:rsid w:val="3CDB50AA"/>
    <w:rsid w:val="3D193084"/>
    <w:rsid w:val="3D42082D"/>
    <w:rsid w:val="3D605157"/>
    <w:rsid w:val="3D81408C"/>
    <w:rsid w:val="3D976E93"/>
    <w:rsid w:val="3D98207C"/>
    <w:rsid w:val="3D9848F1"/>
    <w:rsid w:val="3DB80AEF"/>
    <w:rsid w:val="3DEF55FF"/>
    <w:rsid w:val="3E0C488D"/>
    <w:rsid w:val="3E7756FF"/>
    <w:rsid w:val="3E78745D"/>
    <w:rsid w:val="3E897B14"/>
    <w:rsid w:val="3F5C79A7"/>
    <w:rsid w:val="3F8205BE"/>
    <w:rsid w:val="3F9220E0"/>
    <w:rsid w:val="3F9645AD"/>
    <w:rsid w:val="400B13AA"/>
    <w:rsid w:val="4010041D"/>
    <w:rsid w:val="402204A1"/>
    <w:rsid w:val="404C2CAF"/>
    <w:rsid w:val="40896772"/>
    <w:rsid w:val="40F315A4"/>
    <w:rsid w:val="41022FFD"/>
    <w:rsid w:val="411249BA"/>
    <w:rsid w:val="412D2AD6"/>
    <w:rsid w:val="41662610"/>
    <w:rsid w:val="41930821"/>
    <w:rsid w:val="41B41E59"/>
    <w:rsid w:val="41BF069E"/>
    <w:rsid w:val="41CE08E1"/>
    <w:rsid w:val="41EA64BA"/>
    <w:rsid w:val="41EE0F83"/>
    <w:rsid w:val="41FB544E"/>
    <w:rsid w:val="421A3B26"/>
    <w:rsid w:val="42462B6D"/>
    <w:rsid w:val="424C2044"/>
    <w:rsid w:val="426D634C"/>
    <w:rsid w:val="42723962"/>
    <w:rsid w:val="42876CE2"/>
    <w:rsid w:val="42E3216A"/>
    <w:rsid w:val="43684215"/>
    <w:rsid w:val="43866312"/>
    <w:rsid w:val="43A42156"/>
    <w:rsid w:val="43E261F7"/>
    <w:rsid w:val="44224F14"/>
    <w:rsid w:val="4427077C"/>
    <w:rsid w:val="443A225E"/>
    <w:rsid w:val="444906F3"/>
    <w:rsid w:val="445D7CFA"/>
    <w:rsid w:val="44E268DA"/>
    <w:rsid w:val="45012D7B"/>
    <w:rsid w:val="45034D45"/>
    <w:rsid w:val="4521278F"/>
    <w:rsid w:val="452C5A63"/>
    <w:rsid w:val="45551DD1"/>
    <w:rsid w:val="45C67B21"/>
    <w:rsid w:val="45ED1CC5"/>
    <w:rsid w:val="45EF7078"/>
    <w:rsid w:val="45FB573C"/>
    <w:rsid w:val="46160AA8"/>
    <w:rsid w:val="46464D58"/>
    <w:rsid w:val="465F41FD"/>
    <w:rsid w:val="468974CC"/>
    <w:rsid w:val="469B4ADA"/>
    <w:rsid w:val="46FF778E"/>
    <w:rsid w:val="472F5914"/>
    <w:rsid w:val="474D10FD"/>
    <w:rsid w:val="47655843"/>
    <w:rsid w:val="47EF7803"/>
    <w:rsid w:val="47F65B16"/>
    <w:rsid w:val="487B1097"/>
    <w:rsid w:val="487E4584"/>
    <w:rsid w:val="4885117F"/>
    <w:rsid w:val="48A01DC5"/>
    <w:rsid w:val="48C7608A"/>
    <w:rsid w:val="49B900C8"/>
    <w:rsid w:val="49D767A1"/>
    <w:rsid w:val="4A233794"/>
    <w:rsid w:val="4A5E47CC"/>
    <w:rsid w:val="4A600544"/>
    <w:rsid w:val="4A627F82"/>
    <w:rsid w:val="4A7B647E"/>
    <w:rsid w:val="4A7E5E83"/>
    <w:rsid w:val="4A83308A"/>
    <w:rsid w:val="4B0B6702"/>
    <w:rsid w:val="4B0E749A"/>
    <w:rsid w:val="4B2C2193"/>
    <w:rsid w:val="4B4F25DA"/>
    <w:rsid w:val="4BAD1567"/>
    <w:rsid w:val="4BE068DB"/>
    <w:rsid w:val="4C43601E"/>
    <w:rsid w:val="4C5058AE"/>
    <w:rsid w:val="4C6D6F48"/>
    <w:rsid w:val="4C8C5620"/>
    <w:rsid w:val="4C94244E"/>
    <w:rsid w:val="4C9D782D"/>
    <w:rsid w:val="4CB91BB2"/>
    <w:rsid w:val="4D0F5EC5"/>
    <w:rsid w:val="4D3006A2"/>
    <w:rsid w:val="4D36558C"/>
    <w:rsid w:val="4D3B064B"/>
    <w:rsid w:val="4D51599E"/>
    <w:rsid w:val="4D577224"/>
    <w:rsid w:val="4D5F4AE3"/>
    <w:rsid w:val="4D682A44"/>
    <w:rsid w:val="4D9549A9"/>
    <w:rsid w:val="4DC42B98"/>
    <w:rsid w:val="4DCD5EF0"/>
    <w:rsid w:val="4DF032E3"/>
    <w:rsid w:val="4DFB2997"/>
    <w:rsid w:val="4EAB630A"/>
    <w:rsid w:val="4EBD1BFC"/>
    <w:rsid w:val="4ECE2238"/>
    <w:rsid w:val="4EDE2BD4"/>
    <w:rsid w:val="4F1A3377"/>
    <w:rsid w:val="4F3A3A3A"/>
    <w:rsid w:val="4F786EFC"/>
    <w:rsid w:val="4F8C3B89"/>
    <w:rsid w:val="4FAC734A"/>
    <w:rsid w:val="4FBF5D0D"/>
    <w:rsid w:val="4FC7696F"/>
    <w:rsid w:val="4FD25A40"/>
    <w:rsid w:val="4FF57980"/>
    <w:rsid w:val="50100316"/>
    <w:rsid w:val="50792360"/>
    <w:rsid w:val="50854860"/>
    <w:rsid w:val="50A62A29"/>
    <w:rsid w:val="50BD019B"/>
    <w:rsid w:val="50BD049E"/>
    <w:rsid w:val="512B66F0"/>
    <w:rsid w:val="51312C3A"/>
    <w:rsid w:val="51B15B29"/>
    <w:rsid w:val="51FA302C"/>
    <w:rsid w:val="52132340"/>
    <w:rsid w:val="522B768A"/>
    <w:rsid w:val="529671F9"/>
    <w:rsid w:val="52B53057"/>
    <w:rsid w:val="52C27FEE"/>
    <w:rsid w:val="53057EDB"/>
    <w:rsid w:val="532760A3"/>
    <w:rsid w:val="537E6D0A"/>
    <w:rsid w:val="537F6E33"/>
    <w:rsid w:val="539179C0"/>
    <w:rsid w:val="5395352A"/>
    <w:rsid w:val="53BE05FD"/>
    <w:rsid w:val="53E2646E"/>
    <w:rsid w:val="53FC752F"/>
    <w:rsid w:val="54465C9E"/>
    <w:rsid w:val="545A4256"/>
    <w:rsid w:val="545C33A7"/>
    <w:rsid w:val="549D54DB"/>
    <w:rsid w:val="54A27CAD"/>
    <w:rsid w:val="54C36822"/>
    <w:rsid w:val="54CC5154"/>
    <w:rsid w:val="54D45DB6"/>
    <w:rsid w:val="54FF095A"/>
    <w:rsid w:val="55782471"/>
    <w:rsid w:val="55AA6B17"/>
    <w:rsid w:val="55B51257"/>
    <w:rsid w:val="55F3226C"/>
    <w:rsid w:val="55F83D27"/>
    <w:rsid w:val="561769D4"/>
    <w:rsid w:val="56823355"/>
    <w:rsid w:val="56975054"/>
    <w:rsid w:val="56DC1BB9"/>
    <w:rsid w:val="56E23D3A"/>
    <w:rsid w:val="56F664B8"/>
    <w:rsid w:val="570C5CDB"/>
    <w:rsid w:val="576176AA"/>
    <w:rsid w:val="578007A0"/>
    <w:rsid w:val="57831D81"/>
    <w:rsid w:val="5796374D"/>
    <w:rsid w:val="57DE0564"/>
    <w:rsid w:val="57FB4891"/>
    <w:rsid w:val="580938C5"/>
    <w:rsid w:val="587F6039"/>
    <w:rsid w:val="58DC782D"/>
    <w:rsid w:val="58F5064F"/>
    <w:rsid w:val="59011144"/>
    <w:rsid w:val="59156368"/>
    <w:rsid w:val="59BB7545"/>
    <w:rsid w:val="59DB7BE7"/>
    <w:rsid w:val="59FF6690"/>
    <w:rsid w:val="5A060B49"/>
    <w:rsid w:val="5A1964CF"/>
    <w:rsid w:val="5A6831D8"/>
    <w:rsid w:val="5AA93841"/>
    <w:rsid w:val="5ABE76DC"/>
    <w:rsid w:val="5AF92295"/>
    <w:rsid w:val="5AFC1BC3"/>
    <w:rsid w:val="5B1C5151"/>
    <w:rsid w:val="5B486566"/>
    <w:rsid w:val="5B4E6197"/>
    <w:rsid w:val="5B571307"/>
    <w:rsid w:val="5B7025B1"/>
    <w:rsid w:val="5B73752C"/>
    <w:rsid w:val="5B9D6A33"/>
    <w:rsid w:val="5C0A69D0"/>
    <w:rsid w:val="5C1631F6"/>
    <w:rsid w:val="5C2E2250"/>
    <w:rsid w:val="5C2F5FC8"/>
    <w:rsid w:val="5C533A65"/>
    <w:rsid w:val="5C875E04"/>
    <w:rsid w:val="5C9A5B38"/>
    <w:rsid w:val="5CBC3D00"/>
    <w:rsid w:val="5CD71FC4"/>
    <w:rsid w:val="5D187B8B"/>
    <w:rsid w:val="5D616655"/>
    <w:rsid w:val="5D636D72"/>
    <w:rsid w:val="5D8A6B61"/>
    <w:rsid w:val="5D8C5C0D"/>
    <w:rsid w:val="5DB61DF4"/>
    <w:rsid w:val="5DCC20E0"/>
    <w:rsid w:val="5E0A19F8"/>
    <w:rsid w:val="5E0D2339"/>
    <w:rsid w:val="5E0E058B"/>
    <w:rsid w:val="5E115985"/>
    <w:rsid w:val="5E494A25"/>
    <w:rsid w:val="5E895E64"/>
    <w:rsid w:val="5E8F2D4E"/>
    <w:rsid w:val="5E912F55"/>
    <w:rsid w:val="5EA902B4"/>
    <w:rsid w:val="5F090D52"/>
    <w:rsid w:val="5F0B6879"/>
    <w:rsid w:val="5F131BD1"/>
    <w:rsid w:val="5F42525F"/>
    <w:rsid w:val="5F4C0C3F"/>
    <w:rsid w:val="5F505DEE"/>
    <w:rsid w:val="5F6C522A"/>
    <w:rsid w:val="5F7F7267"/>
    <w:rsid w:val="5FA316F9"/>
    <w:rsid w:val="5FB70F49"/>
    <w:rsid w:val="5FB962D5"/>
    <w:rsid w:val="5FBF1110"/>
    <w:rsid w:val="5FC353A5"/>
    <w:rsid w:val="60157FF9"/>
    <w:rsid w:val="603B318E"/>
    <w:rsid w:val="60BA162A"/>
    <w:rsid w:val="60DB1566"/>
    <w:rsid w:val="60F56FDE"/>
    <w:rsid w:val="61030EC7"/>
    <w:rsid w:val="6155027F"/>
    <w:rsid w:val="615C1D02"/>
    <w:rsid w:val="61805C80"/>
    <w:rsid w:val="61880654"/>
    <w:rsid w:val="624E2C86"/>
    <w:rsid w:val="62607CF0"/>
    <w:rsid w:val="62B90E98"/>
    <w:rsid w:val="62C64ADC"/>
    <w:rsid w:val="62D37E72"/>
    <w:rsid w:val="62E27A92"/>
    <w:rsid w:val="62ED06F3"/>
    <w:rsid w:val="6308383A"/>
    <w:rsid w:val="631A2C76"/>
    <w:rsid w:val="632443AD"/>
    <w:rsid w:val="63AD5DD7"/>
    <w:rsid w:val="63C24D92"/>
    <w:rsid w:val="64104655"/>
    <w:rsid w:val="642359FB"/>
    <w:rsid w:val="644F48B8"/>
    <w:rsid w:val="64A32697"/>
    <w:rsid w:val="64CF558C"/>
    <w:rsid w:val="64E06C6E"/>
    <w:rsid w:val="64E57B6C"/>
    <w:rsid w:val="64EA33D4"/>
    <w:rsid w:val="65387C9C"/>
    <w:rsid w:val="655462BA"/>
    <w:rsid w:val="655D3BA6"/>
    <w:rsid w:val="656E24E3"/>
    <w:rsid w:val="65A229E6"/>
    <w:rsid w:val="65AE7A2C"/>
    <w:rsid w:val="65C362F9"/>
    <w:rsid w:val="663568D1"/>
    <w:rsid w:val="664C4FF7"/>
    <w:rsid w:val="66794A10"/>
    <w:rsid w:val="66AB26EF"/>
    <w:rsid w:val="671250CD"/>
    <w:rsid w:val="672D1356"/>
    <w:rsid w:val="67430B7A"/>
    <w:rsid w:val="678A7B88"/>
    <w:rsid w:val="679A2E90"/>
    <w:rsid w:val="67FD341E"/>
    <w:rsid w:val="67FE5DF2"/>
    <w:rsid w:val="6841330B"/>
    <w:rsid w:val="6943781E"/>
    <w:rsid w:val="69DC0DD0"/>
    <w:rsid w:val="6A633A0D"/>
    <w:rsid w:val="6A682DD1"/>
    <w:rsid w:val="6AC80B60"/>
    <w:rsid w:val="6B00125C"/>
    <w:rsid w:val="6B405351"/>
    <w:rsid w:val="6B5B7F68"/>
    <w:rsid w:val="6B6D42FF"/>
    <w:rsid w:val="6B981494"/>
    <w:rsid w:val="6BE648F5"/>
    <w:rsid w:val="6C212939"/>
    <w:rsid w:val="6C4A05C8"/>
    <w:rsid w:val="6CD81D64"/>
    <w:rsid w:val="6CE715F3"/>
    <w:rsid w:val="6D7A7986"/>
    <w:rsid w:val="6D9A32D4"/>
    <w:rsid w:val="6DA005C6"/>
    <w:rsid w:val="6DE625FB"/>
    <w:rsid w:val="6DF42579"/>
    <w:rsid w:val="6E571373"/>
    <w:rsid w:val="6E7E3605"/>
    <w:rsid w:val="6E955409"/>
    <w:rsid w:val="6EB365E5"/>
    <w:rsid w:val="6EE70791"/>
    <w:rsid w:val="6EF518AC"/>
    <w:rsid w:val="6F0C330D"/>
    <w:rsid w:val="6F582E84"/>
    <w:rsid w:val="6F906926"/>
    <w:rsid w:val="6FEA019C"/>
    <w:rsid w:val="6FF5CC65"/>
    <w:rsid w:val="705362D1"/>
    <w:rsid w:val="70754723"/>
    <w:rsid w:val="707D38E5"/>
    <w:rsid w:val="70871AD7"/>
    <w:rsid w:val="70C42D2B"/>
    <w:rsid w:val="715C0E4B"/>
    <w:rsid w:val="716255CA"/>
    <w:rsid w:val="717C1858"/>
    <w:rsid w:val="71900E5F"/>
    <w:rsid w:val="719F1A09"/>
    <w:rsid w:val="71ED1E0E"/>
    <w:rsid w:val="72181581"/>
    <w:rsid w:val="72734D90"/>
    <w:rsid w:val="728F1117"/>
    <w:rsid w:val="729D3834"/>
    <w:rsid w:val="73035DD8"/>
    <w:rsid w:val="73150018"/>
    <w:rsid w:val="7328666C"/>
    <w:rsid w:val="73840550"/>
    <w:rsid w:val="73AD73D5"/>
    <w:rsid w:val="73B11580"/>
    <w:rsid w:val="73B6EB34"/>
    <w:rsid w:val="73CB617F"/>
    <w:rsid w:val="73CD639B"/>
    <w:rsid w:val="73E87ADA"/>
    <w:rsid w:val="73F61544"/>
    <w:rsid w:val="73F751C6"/>
    <w:rsid w:val="74100036"/>
    <w:rsid w:val="7420296E"/>
    <w:rsid w:val="74277859"/>
    <w:rsid w:val="74441817"/>
    <w:rsid w:val="744731E5"/>
    <w:rsid w:val="745213E3"/>
    <w:rsid w:val="748A5624"/>
    <w:rsid w:val="74A40EAA"/>
    <w:rsid w:val="74E2039A"/>
    <w:rsid w:val="74E6763A"/>
    <w:rsid w:val="750000AA"/>
    <w:rsid w:val="751D0C5C"/>
    <w:rsid w:val="755F3C1D"/>
    <w:rsid w:val="75700FCE"/>
    <w:rsid w:val="75834F63"/>
    <w:rsid w:val="759D32B6"/>
    <w:rsid w:val="75D407EF"/>
    <w:rsid w:val="761A344F"/>
    <w:rsid w:val="7631611E"/>
    <w:rsid w:val="764346F2"/>
    <w:rsid w:val="76547281"/>
    <w:rsid w:val="76676633"/>
    <w:rsid w:val="76950BB7"/>
    <w:rsid w:val="76B31878"/>
    <w:rsid w:val="76E3355F"/>
    <w:rsid w:val="773D0907"/>
    <w:rsid w:val="773D2E18"/>
    <w:rsid w:val="775546DD"/>
    <w:rsid w:val="77640DC4"/>
    <w:rsid w:val="776A7994"/>
    <w:rsid w:val="777803CC"/>
    <w:rsid w:val="778769C8"/>
    <w:rsid w:val="7794492F"/>
    <w:rsid w:val="77974CF6"/>
    <w:rsid w:val="77D00208"/>
    <w:rsid w:val="77D23813"/>
    <w:rsid w:val="77D61E90"/>
    <w:rsid w:val="78366D5B"/>
    <w:rsid w:val="78405DB6"/>
    <w:rsid w:val="7867441F"/>
    <w:rsid w:val="7898493E"/>
    <w:rsid w:val="78B33DB1"/>
    <w:rsid w:val="79220EE9"/>
    <w:rsid w:val="79627585"/>
    <w:rsid w:val="7999330D"/>
    <w:rsid w:val="79D6057E"/>
    <w:rsid w:val="79DF7C6D"/>
    <w:rsid w:val="79EE5BA4"/>
    <w:rsid w:val="7A2368B9"/>
    <w:rsid w:val="7A266805"/>
    <w:rsid w:val="7A70182E"/>
    <w:rsid w:val="7A894339"/>
    <w:rsid w:val="7A923E9A"/>
    <w:rsid w:val="7A9B68AB"/>
    <w:rsid w:val="7AB756AF"/>
    <w:rsid w:val="7AC73B44"/>
    <w:rsid w:val="7AE06072"/>
    <w:rsid w:val="7AEE78F0"/>
    <w:rsid w:val="7AFC477A"/>
    <w:rsid w:val="7B09415C"/>
    <w:rsid w:val="7B0F5716"/>
    <w:rsid w:val="7B276391"/>
    <w:rsid w:val="7B914152"/>
    <w:rsid w:val="7BDF310F"/>
    <w:rsid w:val="7BE0677D"/>
    <w:rsid w:val="7C6671B7"/>
    <w:rsid w:val="7C7C5D4B"/>
    <w:rsid w:val="7CE00EED"/>
    <w:rsid w:val="7CFE6CF9"/>
    <w:rsid w:val="7D40373A"/>
    <w:rsid w:val="7DF32EA2"/>
    <w:rsid w:val="7DF74740"/>
    <w:rsid w:val="7E373865"/>
    <w:rsid w:val="7E467CE8"/>
    <w:rsid w:val="7E56437B"/>
    <w:rsid w:val="7EEF11D3"/>
    <w:rsid w:val="7F525008"/>
    <w:rsid w:val="7F641AF7"/>
    <w:rsid w:val="7F6C2F0C"/>
    <w:rsid w:val="7F766F3D"/>
    <w:rsid w:val="7F8749BC"/>
    <w:rsid w:val="7FA30C79"/>
    <w:rsid w:val="7FA6399B"/>
    <w:rsid w:val="7FB7269E"/>
    <w:rsid w:val="7FBB79EF"/>
    <w:rsid w:val="7FC96657"/>
    <w:rsid w:val="B36E410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next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01"/>
    <w:basedOn w:val="17"/>
    <w:qFormat/>
    <w:uiPriority w:val="0"/>
    <w:rPr>
      <w:rFonts w:hint="eastAsia" w:ascii="黑体" w:hAnsi="黑体" w:eastAsia="黑体" w:cs="黑体"/>
      <w:color w:val="000000"/>
      <w:sz w:val="18"/>
      <w:szCs w:val="18"/>
      <w:u w:val="none"/>
    </w:rPr>
  </w:style>
  <w:style w:type="character" w:customStyle="1" w:styleId="37">
    <w:name w:val="font5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1073;&#38401;&#21439;&#33258;&#28982;&#36164;&#28304;&#23616;\2023\2022&#24180;&#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收、支决算总计变动情况图</a:t>
            </a:r>
          </a:p>
        </c:rich>
      </c:tx>
      <c:layout/>
      <c:overlay val="false"/>
    </c:title>
    <c:autoTitleDeleted val="fals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45254.92</c:v>
                </c:pt>
                <c:pt idx="1">
                  <c:v>32893.16</c:v>
                </c:pt>
              </c:numCache>
            </c:numRef>
          </c:val>
        </c:ser>
        <c:dLbls>
          <c:showLegendKey val="false"/>
          <c:showVal val="true"/>
          <c:showCatName val="false"/>
          <c:showSerName val="false"/>
          <c:showPercent val="false"/>
          <c:showBubbleSize val="false"/>
        </c:dLbls>
        <c:gapWidth val="75"/>
        <c:overlap val="4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Lbls>
            <c:dLbl>
              <c:idx val="0"/>
              <c:layout/>
              <c:tx>
                <c:rich>
                  <a:bodyPr rot="0" spcFirstLastPara="0" vertOverflow="ellipsis" vert="horz" wrap="square" lIns="38100" tIns="19050" rIns="38100" bIns="19050" anchor="ctr" anchorCtr="true"/>
                  <a:lstStyle/>
                  <a:p>
                    <a:pPr defTabSz="914400">
                      <a:defRPr lang="zh-CN" sz="900" b="1" i="0" u="none" strike="noStrike" kern="1200" baseline="0">
                        <a:solidFill>
                          <a:schemeClr val="lt1"/>
                        </a:solidFill>
                        <a:latin typeface="+mn-lt"/>
                        <a:ea typeface="+mn-ea"/>
                        <a:cs typeface="+mn-cs"/>
                      </a:defRPr>
                    </a:pPr>
                    <a:r>
                      <a:t>11</a:t>
                    </a:r>
                    <a:r>
                      <a:rPr lang="en-US" altLang="zh-CN"/>
                      <a:t>.04</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1" i="0" u="none" strike="noStrike" kern="1200" baseline="0">
                        <a:solidFill>
                          <a:schemeClr val="lt1"/>
                        </a:solidFill>
                        <a:latin typeface="+mn-lt"/>
                        <a:ea typeface="+mn-ea"/>
                        <a:cs typeface="+mn-cs"/>
                      </a:defRPr>
                    </a:pPr>
                    <a:r>
                      <a:t>8</a:t>
                    </a:r>
                    <a:r>
                      <a:rPr lang="en-US" altLang="zh-CN"/>
                      <a:t>8.96</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[决算公开插图制作示例.xlsx]图二!$B$1:$B$2</c:f>
              <c:numCache>
                <c:formatCode>General</c:formatCode>
                <c:ptCount val="2"/>
                <c:pt idx="0">
                  <c:v>3631.83</c:v>
                </c:pt>
                <c:pt idx="1">
                  <c:v>29261.33</c:v>
                </c:pt>
              </c:numCache>
            </c:numRef>
          </c:val>
        </c:ser>
        <c:ser>
          <c:idx val="1"/>
          <c:order val="1"/>
          <c:spPr/>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[决算公开插图制作示例.xlsx]图二!$C$1:$C$2</c:f>
              <c:numCache>
                <c:formatCode>0.00%</c:formatCode>
                <c:ptCount val="2"/>
                <c:pt idx="0">
                  <c:v>0.110412924753961</c:v>
                </c:pt>
                <c:pt idx="1">
                  <c:v>0.889587075246039</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solidFill>
          <a:schemeClr val="lt1">
            <a:alpha val="78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支出决算结构图</a:t>
            </a:r>
          </a:p>
        </c:rich>
      </c:tx>
      <c:layout/>
      <c:overlay val="false"/>
    </c:title>
    <c:autoTitleDeleted val="false"/>
    <c:plotArea>
      <c:layout/>
      <c:pieChart>
        <c:varyColors val="true"/>
        <c:ser>
          <c:idx val="0"/>
          <c:order val="0"/>
          <c:explosion val="0"/>
          <c:dPt>
            <c:idx val="0"/>
            <c:bubble3D val="false"/>
          </c:dPt>
          <c:dPt>
            <c:idx val="1"/>
            <c:bubble3D val="false"/>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5</a:t>
                    </a:r>
                    <a:r>
                      <a:rPr lang="en-US" altLang="zh-CN"/>
                      <a:t>.16</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9</a:t>
                    </a:r>
                    <a:r>
                      <a:rPr lang="en-US" altLang="zh-CN"/>
                      <a:t>4.84</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0.0516</c:v>
                </c:pt>
                <c:pt idx="1">
                  <c:v>0.9484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600"/>
              <a:t>财政拨款收、支决算总计变动情况图</a:t>
            </a:r>
            <a:endParaRPr sz="1600"/>
          </a:p>
        </c:rich>
      </c:tx>
      <c:layout>
        <c:manualLayout>
          <c:xMode val="edge"/>
          <c:yMode val="edge"/>
          <c:x val="0.113055555555556"/>
          <c:y val="0.0381944444444444"/>
        </c:manualLayout>
      </c:layout>
      <c:overlay val="false"/>
    </c:title>
    <c:autoTitleDeleted val="false"/>
    <c:plotArea>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45254.92</c:v>
                </c:pt>
                <c:pt idx="1">
                  <c:v>32893.16</c:v>
                </c:pt>
              </c:numCache>
            </c:numRef>
          </c:val>
        </c:ser>
        <c:dLbls>
          <c:showLegendKey val="false"/>
          <c:showVal val="true"/>
          <c:showCatName val="false"/>
          <c:showSerName val="false"/>
          <c:showPercent val="false"/>
          <c:showBubbleSize val="false"/>
        </c:dLbls>
        <c:gapWidth val="75"/>
        <c:overlap val="4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400"/>
              <a:t>一般公共预算财政拨款支出决算变动情况图</a:t>
            </a:r>
            <a:endParaRPr sz="1400"/>
          </a:p>
        </c:rich>
      </c:tx>
      <c:layout/>
      <c:overlay val="false"/>
    </c:title>
    <c:autoTitleDeleted val="false"/>
    <c:plotArea>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4850.67</c:v>
                </c:pt>
                <c:pt idx="1">
                  <c:v>3631.83</c:v>
                </c:pt>
              </c:numCache>
            </c:numRef>
          </c:val>
        </c:ser>
        <c:dLbls>
          <c:showLegendKey val="false"/>
          <c:showVal val="true"/>
          <c:showCatName val="false"/>
          <c:showSerName val="false"/>
          <c:showPercent val="false"/>
          <c:showBubbleSize val="false"/>
        </c:dLbls>
        <c:gapWidth val="75"/>
        <c:overlap val="4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600"/>
              <a:t>一般公共预算财政拨款支出决算结构图</a:t>
            </a:r>
            <a:endParaRPr sz="1600"/>
          </a:p>
        </c:rich>
      </c:tx>
      <c:layout/>
      <c:overlay val="false"/>
    </c:title>
    <c:autoTitleDeleted val="fals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Pt>
            <c:idx val="4"/>
            <c:bubble3D val="false"/>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1696.37</a:t>
                    </a:r>
                    <a:endParaRPr lang="en-US" altLang="zh-CN"/>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261451743913185"/>
                  <c:y val="-0.095030765144162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135.08</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0544856910660763"/>
                  <c:y val="-0.033163672693994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66.64</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480322636687668"/>
                  <c:y val="-0.155499307303824"/>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99.96</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1633.78</a:t>
                    </a:r>
                    <a:endParaRPr lang="en-US" altLang="zh-CN"/>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[决算公开插图制作示例.xlsx]图6!$A$2:$A$6</c:f>
              <c:strCache>
                <c:ptCount val="5"/>
                <c:pt idx="0">
                  <c:v>自然资源海洋气象（类）支出</c:v>
                </c:pt>
                <c:pt idx="1">
                  <c:v>社会保障和就业（类）支出</c:v>
                </c:pt>
                <c:pt idx="2">
                  <c:v>卫生健康(类)支出</c:v>
                </c:pt>
                <c:pt idx="3">
                  <c:v>住房保障（类）支出</c:v>
                </c:pt>
                <c:pt idx="4">
                  <c:v>灾害防治及应急管理（类）支出</c:v>
                </c:pt>
              </c:strCache>
            </c:strRef>
          </c:cat>
          <c:val>
            <c:numRef>
              <c:f>[决算公开插图制作示例.xlsx]图6!$B$2:$B$6</c:f>
              <c:numCache>
                <c:formatCode>General</c:formatCode>
                <c:ptCount val="5"/>
                <c:pt idx="0">
                  <c:v>1696.37</c:v>
                </c:pt>
                <c:pt idx="1">
                  <c:v>135.08</c:v>
                </c:pt>
                <c:pt idx="2">
                  <c:v>66.64</c:v>
                </c:pt>
                <c:pt idx="3">
                  <c:v>99.96</c:v>
                </c:pt>
                <c:pt idx="4">
                  <c:v>1633.78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600"/>
              <a:t>“三公”经费财政拨款支出结构图</a:t>
            </a:r>
            <a:endParaRPr sz="1600"/>
          </a:p>
        </c:rich>
      </c:tx>
      <c:layout/>
      <c:overlay val="false"/>
    </c:title>
    <c:autoTitleDeleted val="false"/>
    <c:plotArea>
      <c:layout/>
      <c:pieChart>
        <c:varyColors val="true"/>
        <c:ser>
          <c:idx val="0"/>
          <c:order val="0"/>
          <c:explosion val="0"/>
          <c:dPt>
            <c:idx val="0"/>
            <c:bubble3D val="false"/>
          </c:dPt>
          <c:dPt>
            <c:idx val="1"/>
            <c:bubble3D val="false"/>
          </c:dPt>
          <c:dPt>
            <c:idx val="2"/>
            <c:bubble3D val="false"/>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0</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694530145014146"/>
                  <c:y val="0.0504663734378742"/>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3</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rPr lang="en-US" altLang="zh-CN"/>
                      <a:t>8.56</a:t>
                    </a:r>
                    <a:endParaRPr lang="en-US" altLang="zh-CN"/>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3</c:v>
                </c:pt>
                <c:pt idx="2">
                  <c:v>8.56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55</Pages>
  <Words>20104</Words>
  <Characters>23461</Characters>
  <Lines>58</Lines>
  <Paragraphs>16</Paragraphs>
  <TotalTime>6</TotalTime>
  <ScaleCrop>false</ScaleCrop>
  <LinksUpToDate>false</LinksUpToDate>
  <CharactersWithSpaces>23594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2023-11-30T09:11:41Z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625A1EF97C0E4042B8FC654EB38F6033_12</vt:lpwstr>
  </property>
</Properties>
</file>