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68" w:name="_GoBack"/>
      <w:bookmarkEnd w:id="68"/>
      <w:bookmarkStart w:id="0" w:name="_Toc15377425"/>
      <w:bookmarkStart w:id="1" w:name="_Toc15396475"/>
      <w:bookmarkStart w:id="2" w:name="_Toc15378441"/>
      <w:bookmarkStart w:id="3" w:name="_Toc15396597"/>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77194"/>
      <w:bookmarkStart w:id="9" w:name="_Toc15306268"/>
      <w:bookmarkStart w:id="10" w:name="_Toc15396476"/>
      <w:bookmarkStart w:id="11" w:name="_Toc15396598"/>
      <w:r>
        <w:rPr>
          <w:rFonts w:hint="eastAsia" w:ascii="方正小标宋简体" w:hAnsi="方正小标宋简体" w:eastAsia="方正小标宋简体" w:cs="方正小标宋简体"/>
          <w:sz w:val="72"/>
          <w:szCs w:val="72"/>
        </w:rPr>
        <w:t>中共剑阁县委群众工作局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sectPr>
          <w:headerReference r:id="rId3" w:type="default"/>
          <w:pgSz w:w="11900" w:h="16820"/>
          <w:pgMar w:top="1984" w:right="1531" w:bottom="1871" w:left="1531" w:header="720" w:footer="1701" w:gutter="0"/>
          <w:pgNumType w:start="1" w:chapStyle="1" w:chapSep="colon"/>
          <w:cols w:space="720" w:num="1"/>
        </w:sectPr>
      </w:pPr>
    </w:p>
    <w:p>
      <w:pPr>
        <w:widowControl/>
        <w:jc w:val="center"/>
        <w:rPr>
          <w:rFonts w:ascii="黑体" w:hAnsi="黑体" w:eastAsia="黑体"/>
          <w:sz w:val="48"/>
          <w:szCs w:val="48"/>
        </w:rPr>
      </w:pPr>
      <w:r>
        <w:rPr>
          <w:rFonts w:hint="eastAsia" w:ascii="黑体" w:hAnsi="黑体" w:eastAsia="黑体"/>
          <w:sz w:val="48"/>
          <w:szCs w:val="48"/>
        </w:rPr>
        <w:t>目   录</w:t>
      </w:r>
    </w:p>
    <w:p>
      <w:pPr>
        <w:widowControl/>
        <w:jc w:val="center"/>
        <w:rPr>
          <w:rFonts w:ascii="黑体" w:hAnsi="黑体" w:eastAsia="黑体" w:cstheme="minorBidi"/>
          <w:sz w:val="28"/>
          <w:szCs w:val="28"/>
        </w:rPr>
      </w:pPr>
    </w:p>
    <w:p>
      <w:pPr>
        <w:pStyle w:val="13"/>
        <w:adjustRightInd w:val="0"/>
        <w:snapToGrid w:val="0"/>
        <w:spacing w:line="440" w:lineRule="exact"/>
        <w:ind w:firstLine="2160" w:firstLineChars="900"/>
        <w:jc w:val="left"/>
        <w:rPr>
          <w:sz w:val="24"/>
        </w:rPr>
      </w:pPr>
      <w:r>
        <w:rPr>
          <w:rFonts w:hint="eastAsia"/>
          <w:sz w:val="24"/>
        </w:rPr>
        <w:t>公开时间：2023年10月</w:t>
      </w:r>
      <w:r>
        <w:rPr>
          <w:rFonts w:hint="eastAsia"/>
          <w:sz w:val="24"/>
          <w:lang w:val="en-US" w:eastAsia="zh-CN"/>
        </w:rPr>
        <w:t>16</w:t>
      </w:r>
      <w:r>
        <w:rPr>
          <w:rFonts w:hint="eastAsia"/>
          <w:sz w:val="24"/>
        </w:rPr>
        <w:t>日</w:t>
      </w:r>
    </w:p>
    <w:p/>
    <w:p>
      <w:pPr>
        <w:pStyle w:val="13"/>
        <w:adjustRightInd w:val="0"/>
        <w:snapToGrid w:val="0"/>
        <w:spacing w:line="440" w:lineRule="exact"/>
        <w:jc w:val="left"/>
        <w:rPr>
          <w:b/>
          <w:bCs/>
          <w:sz w:val="24"/>
        </w:rPr>
      </w:pPr>
      <w:r>
        <w:rPr>
          <w:rFonts w:hint="eastAsia"/>
          <w:b/>
          <w:bCs/>
          <w:sz w:val="24"/>
        </w:rPr>
        <w:t>第一部分 部门概况</w:t>
      </w:r>
      <w:r>
        <w:rPr>
          <w:rFonts w:hint="eastAsia"/>
          <w:sz w:val="24"/>
        </w:rPr>
        <w:tab/>
      </w:r>
      <w:r>
        <w:rPr>
          <w:rFonts w:hint="eastAsia"/>
          <w:sz w:val="24"/>
        </w:rPr>
        <w:t>3</w:t>
      </w:r>
    </w:p>
    <w:p>
      <w:pPr>
        <w:pStyle w:val="13"/>
        <w:adjustRightInd w:val="0"/>
        <w:snapToGrid w:val="0"/>
        <w:spacing w:line="440" w:lineRule="exact"/>
        <w:jc w:val="left"/>
        <w:rPr>
          <w:sz w:val="24"/>
        </w:rPr>
      </w:pPr>
      <w:r>
        <w:rPr>
          <w:rFonts w:hint="eastAsia"/>
          <w:sz w:val="24"/>
        </w:rPr>
        <w:t>一、部门职责及重点工作</w:t>
      </w:r>
      <w:r>
        <w:rPr>
          <w:rFonts w:hint="eastAsia"/>
          <w:sz w:val="24"/>
        </w:rPr>
        <w:tab/>
      </w:r>
      <w:r>
        <w:rPr>
          <w:rFonts w:hint="eastAsia"/>
          <w:sz w:val="24"/>
        </w:rPr>
        <w:t>3</w:t>
      </w:r>
    </w:p>
    <w:p>
      <w:pPr>
        <w:pStyle w:val="13"/>
        <w:adjustRightInd w:val="0"/>
        <w:snapToGrid w:val="0"/>
        <w:spacing w:line="440" w:lineRule="exact"/>
        <w:jc w:val="left"/>
        <w:rPr>
          <w:sz w:val="24"/>
        </w:rPr>
      </w:pPr>
      <w:r>
        <w:rPr>
          <w:rFonts w:hint="eastAsia"/>
          <w:sz w:val="24"/>
        </w:rPr>
        <w:t>(一)部门职责</w:t>
      </w:r>
      <w:r>
        <w:rPr>
          <w:rFonts w:hint="eastAsia"/>
          <w:sz w:val="24"/>
        </w:rPr>
        <w:tab/>
      </w:r>
      <w:r>
        <w:rPr>
          <w:rFonts w:hint="eastAsia"/>
          <w:sz w:val="24"/>
        </w:rPr>
        <w:t>3</w:t>
      </w:r>
    </w:p>
    <w:p>
      <w:pPr>
        <w:pStyle w:val="13"/>
        <w:adjustRightInd w:val="0"/>
        <w:snapToGrid w:val="0"/>
        <w:spacing w:line="440" w:lineRule="exact"/>
        <w:ind w:left="0" w:leftChars="0" w:firstLine="240" w:firstLineChars="100"/>
        <w:jc w:val="left"/>
        <w:rPr>
          <w:sz w:val="24"/>
        </w:rPr>
      </w:pPr>
      <w:r>
        <w:rPr>
          <w:rFonts w:hint="eastAsia"/>
          <w:sz w:val="24"/>
        </w:rPr>
        <w:t>（二）2022年重点工作完成情况</w:t>
      </w:r>
      <w:r>
        <w:rPr>
          <w:rFonts w:hint="eastAsia"/>
          <w:sz w:val="24"/>
        </w:rPr>
        <w:tab/>
      </w:r>
      <w:r>
        <w:rPr>
          <w:rFonts w:hint="eastAsia"/>
          <w:sz w:val="24"/>
        </w:rPr>
        <w:t>4</w:t>
      </w:r>
    </w:p>
    <w:p>
      <w:pPr>
        <w:pStyle w:val="13"/>
        <w:adjustRightInd w:val="0"/>
        <w:snapToGrid w:val="0"/>
        <w:spacing w:line="440" w:lineRule="exact"/>
        <w:jc w:val="left"/>
        <w:rPr>
          <w:sz w:val="24"/>
        </w:rPr>
      </w:pPr>
      <w:r>
        <w:rPr>
          <w:rFonts w:hint="eastAsia"/>
          <w:sz w:val="24"/>
        </w:rPr>
        <w:t>二、机构设置</w:t>
      </w:r>
      <w:r>
        <w:rPr>
          <w:rFonts w:hint="eastAsia"/>
          <w:sz w:val="24"/>
        </w:rPr>
        <w:tab/>
      </w:r>
      <w:r>
        <w:rPr>
          <w:rFonts w:hint="eastAsia"/>
          <w:sz w:val="24"/>
        </w:rPr>
        <w:t xml:space="preserve"> 5</w:t>
      </w:r>
    </w:p>
    <w:p>
      <w:pPr>
        <w:pStyle w:val="13"/>
        <w:adjustRightInd w:val="0"/>
        <w:snapToGrid w:val="0"/>
        <w:spacing w:line="440" w:lineRule="exact"/>
        <w:jc w:val="left"/>
        <w:rPr>
          <w:b/>
          <w:bCs/>
          <w:sz w:val="24"/>
        </w:rPr>
      </w:pPr>
      <w:r>
        <w:rPr>
          <w:rFonts w:hint="eastAsia"/>
          <w:b/>
          <w:bCs/>
          <w:sz w:val="24"/>
        </w:rPr>
        <w:t>第二部分 2022年度部门决算情况说明</w:t>
      </w:r>
      <w:r>
        <w:rPr>
          <w:rFonts w:hint="eastAsia"/>
          <w:sz w:val="24"/>
        </w:rPr>
        <w:tab/>
      </w:r>
      <w:r>
        <w:rPr>
          <w:rFonts w:hint="eastAsia"/>
          <w:sz w:val="24"/>
        </w:rPr>
        <w:t>6</w:t>
      </w:r>
    </w:p>
    <w:p>
      <w:pPr>
        <w:pStyle w:val="13"/>
        <w:adjustRightInd w:val="0"/>
        <w:snapToGrid w:val="0"/>
        <w:spacing w:line="440" w:lineRule="exact"/>
        <w:jc w:val="left"/>
        <w:rPr>
          <w:sz w:val="24"/>
        </w:rPr>
      </w:pPr>
      <w:r>
        <w:rPr>
          <w:rFonts w:hint="eastAsia"/>
          <w:sz w:val="24"/>
        </w:rPr>
        <w:t>一、收入支出决算总体情况说明</w:t>
      </w:r>
      <w:r>
        <w:rPr>
          <w:rFonts w:hint="eastAsia"/>
          <w:sz w:val="24"/>
        </w:rPr>
        <w:tab/>
      </w:r>
      <w:r>
        <w:rPr>
          <w:rFonts w:hint="eastAsia"/>
          <w:sz w:val="24"/>
        </w:rPr>
        <w:t>6</w:t>
      </w:r>
    </w:p>
    <w:p>
      <w:pPr>
        <w:pStyle w:val="13"/>
        <w:adjustRightInd w:val="0"/>
        <w:snapToGrid w:val="0"/>
        <w:spacing w:line="440" w:lineRule="exact"/>
        <w:jc w:val="left"/>
        <w:rPr>
          <w:sz w:val="24"/>
        </w:rPr>
      </w:pPr>
      <w:r>
        <w:rPr>
          <w:rFonts w:hint="eastAsia"/>
          <w:sz w:val="24"/>
        </w:rPr>
        <w:t>二、收入决算情况说明</w:t>
      </w:r>
      <w:r>
        <w:rPr>
          <w:rFonts w:hint="eastAsia"/>
          <w:sz w:val="24"/>
        </w:rPr>
        <w:tab/>
      </w:r>
      <w:r>
        <w:rPr>
          <w:rFonts w:hint="eastAsia"/>
          <w:sz w:val="24"/>
        </w:rPr>
        <w:t>6</w:t>
      </w:r>
    </w:p>
    <w:p>
      <w:pPr>
        <w:pStyle w:val="13"/>
        <w:adjustRightInd w:val="0"/>
        <w:snapToGrid w:val="0"/>
        <w:spacing w:line="440" w:lineRule="exact"/>
        <w:jc w:val="left"/>
        <w:rPr>
          <w:sz w:val="24"/>
        </w:rPr>
      </w:pPr>
      <w:r>
        <w:rPr>
          <w:rFonts w:hint="eastAsia"/>
          <w:sz w:val="24"/>
        </w:rPr>
        <w:t>三、支出决算情况说明</w:t>
      </w:r>
      <w:r>
        <w:rPr>
          <w:rFonts w:hint="eastAsia"/>
          <w:sz w:val="24"/>
        </w:rPr>
        <w:tab/>
      </w:r>
      <w:r>
        <w:rPr>
          <w:rFonts w:hint="eastAsia"/>
          <w:sz w:val="24"/>
        </w:rPr>
        <w:t>7</w:t>
      </w:r>
    </w:p>
    <w:p>
      <w:pPr>
        <w:pStyle w:val="13"/>
        <w:adjustRightInd w:val="0"/>
        <w:snapToGrid w:val="0"/>
        <w:spacing w:line="440" w:lineRule="exact"/>
        <w:jc w:val="left"/>
        <w:rPr>
          <w:sz w:val="24"/>
        </w:rPr>
      </w:pPr>
      <w:r>
        <w:rPr>
          <w:rFonts w:hint="eastAsia"/>
          <w:sz w:val="24"/>
        </w:rPr>
        <w:t>四、财政拨款收入支出决算总体情况说明</w:t>
      </w:r>
      <w:r>
        <w:rPr>
          <w:rFonts w:hint="eastAsia"/>
          <w:sz w:val="24"/>
        </w:rPr>
        <w:tab/>
      </w:r>
      <w:r>
        <w:rPr>
          <w:rFonts w:hint="eastAsia"/>
          <w:sz w:val="24"/>
        </w:rPr>
        <w:t>8</w:t>
      </w:r>
    </w:p>
    <w:p>
      <w:pPr>
        <w:pStyle w:val="13"/>
        <w:adjustRightInd w:val="0"/>
        <w:snapToGrid w:val="0"/>
        <w:spacing w:line="440" w:lineRule="exact"/>
        <w:jc w:val="left"/>
        <w:rPr>
          <w:sz w:val="24"/>
        </w:rPr>
      </w:pPr>
      <w:r>
        <w:rPr>
          <w:rFonts w:hint="eastAsia"/>
          <w:sz w:val="24"/>
        </w:rPr>
        <w:t>五、一般公共预算财政拨款支出决算情况说明</w:t>
      </w:r>
      <w:r>
        <w:rPr>
          <w:rFonts w:hint="eastAsia"/>
          <w:sz w:val="24"/>
        </w:rPr>
        <w:tab/>
      </w:r>
      <w:r>
        <w:rPr>
          <w:rFonts w:hint="eastAsia"/>
          <w:sz w:val="24"/>
        </w:rPr>
        <w:t>8</w:t>
      </w:r>
    </w:p>
    <w:p>
      <w:pPr>
        <w:pStyle w:val="13"/>
        <w:adjustRightInd w:val="0"/>
        <w:snapToGrid w:val="0"/>
        <w:spacing w:line="440" w:lineRule="exact"/>
        <w:jc w:val="left"/>
        <w:rPr>
          <w:sz w:val="24"/>
        </w:rPr>
      </w:pPr>
      <w:r>
        <w:rPr>
          <w:rFonts w:hint="eastAsia"/>
          <w:sz w:val="24"/>
        </w:rPr>
        <w:t>六、一般公共预算财政拨款基本支出决算情况说明</w:t>
      </w:r>
      <w:r>
        <w:rPr>
          <w:rFonts w:hint="eastAsia"/>
          <w:sz w:val="24"/>
        </w:rPr>
        <w:tab/>
      </w:r>
      <w:r>
        <w:rPr>
          <w:rFonts w:hint="eastAsia"/>
          <w:sz w:val="24"/>
        </w:rPr>
        <w:t>10</w:t>
      </w:r>
    </w:p>
    <w:p>
      <w:pPr>
        <w:pStyle w:val="13"/>
        <w:adjustRightInd w:val="0"/>
        <w:snapToGrid w:val="0"/>
        <w:spacing w:line="440" w:lineRule="exact"/>
        <w:jc w:val="left"/>
        <w:rPr>
          <w:sz w:val="24"/>
        </w:rPr>
      </w:pPr>
      <w:r>
        <w:rPr>
          <w:rFonts w:hint="eastAsia"/>
          <w:sz w:val="24"/>
        </w:rPr>
        <w:t>七、财政拨款“三公”经费支出决算情况说明</w:t>
      </w:r>
      <w:r>
        <w:rPr>
          <w:rFonts w:hint="eastAsia"/>
          <w:sz w:val="24"/>
        </w:rPr>
        <w:tab/>
      </w:r>
      <w:r>
        <w:rPr>
          <w:rFonts w:hint="eastAsia"/>
          <w:sz w:val="24"/>
        </w:rPr>
        <w:t>11</w:t>
      </w:r>
    </w:p>
    <w:p>
      <w:pPr>
        <w:pStyle w:val="13"/>
        <w:adjustRightInd w:val="0"/>
        <w:snapToGrid w:val="0"/>
        <w:spacing w:line="440" w:lineRule="exact"/>
        <w:jc w:val="left"/>
        <w:rPr>
          <w:sz w:val="24"/>
        </w:rPr>
      </w:pPr>
      <w:r>
        <w:rPr>
          <w:rFonts w:hint="eastAsia"/>
          <w:sz w:val="24"/>
        </w:rPr>
        <w:t>八、政府性基金预算支出决算情况说明</w:t>
      </w:r>
      <w:r>
        <w:rPr>
          <w:rFonts w:hint="eastAsia"/>
          <w:sz w:val="24"/>
        </w:rPr>
        <w:tab/>
      </w:r>
      <w:r>
        <w:rPr>
          <w:rFonts w:hint="eastAsia"/>
          <w:sz w:val="24"/>
        </w:rPr>
        <w:t>12</w:t>
      </w:r>
    </w:p>
    <w:p>
      <w:pPr>
        <w:pStyle w:val="13"/>
        <w:adjustRightInd w:val="0"/>
        <w:snapToGrid w:val="0"/>
        <w:spacing w:line="440" w:lineRule="exact"/>
        <w:jc w:val="left"/>
        <w:rPr>
          <w:sz w:val="24"/>
        </w:rPr>
      </w:pPr>
      <w:r>
        <w:rPr>
          <w:rFonts w:hint="eastAsia"/>
          <w:sz w:val="24"/>
        </w:rPr>
        <w:t>九、国有资本经营预算支出决算情况说明</w:t>
      </w:r>
      <w:r>
        <w:rPr>
          <w:rFonts w:hint="eastAsia"/>
          <w:sz w:val="24"/>
        </w:rPr>
        <w:tab/>
      </w:r>
      <w:r>
        <w:rPr>
          <w:rFonts w:hint="eastAsia"/>
          <w:sz w:val="24"/>
        </w:rPr>
        <w:t>12</w:t>
      </w:r>
    </w:p>
    <w:p>
      <w:pPr>
        <w:pStyle w:val="13"/>
        <w:adjustRightInd w:val="0"/>
        <w:snapToGrid w:val="0"/>
        <w:spacing w:line="440" w:lineRule="exact"/>
        <w:jc w:val="left"/>
        <w:rPr>
          <w:sz w:val="24"/>
        </w:rPr>
      </w:pPr>
      <w:r>
        <w:rPr>
          <w:rFonts w:hint="eastAsia"/>
          <w:sz w:val="24"/>
        </w:rPr>
        <w:t>十、其他重要事项的情况说明</w:t>
      </w:r>
      <w:r>
        <w:rPr>
          <w:rFonts w:hint="eastAsia"/>
          <w:sz w:val="24"/>
        </w:rPr>
        <w:tab/>
      </w:r>
      <w:r>
        <w:rPr>
          <w:rFonts w:hint="eastAsia"/>
          <w:sz w:val="24"/>
        </w:rPr>
        <w:t>12</w:t>
      </w:r>
    </w:p>
    <w:p>
      <w:pPr>
        <w:pStyle w:val="13"/>
        <w:adjustRightInd w:val="0"/>
        <w:snapToGrid w:val="0"/>
        <w:spacing w:line="440" w:lineRule="exact"/>
        <w:jc w:val="left"/>
        <w:rPr>
          <w:b/>
          <w:bCs/>
          <w:sz w:val="24"/>
        </w:rPr>
      </w:pPr>
      <w:r>
        <w:rPr>
          <w:rFonts w:hint="eastAsia"/>
          <w:b/>
          <w:bCs/>
          <w:sz w:val="24"/>
        </w:rPr>
        <w:t>第三部分 名词解释</w:t>
      </w:r>
      <w:r>
        <w:rPr>
          <w:rFonts w:hint="eastAsia"/>
          <w:sz w:val="24"/>
        </w:rPr>
        <w:tab/>
      </w:r>
      <w:r>
        <w:rPr>
          <w:rFonts w:hint="eastAsia"/>
          <w:sz w:val="24"/>
        </w:rPr>
        <w:t>14</w:t>
      </w:r>
    </w:p>
    <w:p>
      <w:pPr>
        <w:pStyle w:val="13"/>
        <w:adjustRightInd w:val="0"/>
        <w:snapToGrid w:val="0"/>
        <w:spacing w:line="440" w:lineRule="exact"/>
        <w:jc w:val="left"/>
        <w:rPr>
          <w:b/>
          <w:bCs/>
          <w:sz w:val="24"/>
        </w:rPr>
      </w:pPr>
      <w:r>
        <w:rPr>
          <w:rFonts w:hint="eastAsia"/>
          <w:b/>
          <w:bCs/>
          <w:sz w:val="24"/>
        </w:rPr>
        <w:t>第四部分 附件</w:t>
      </w:r>
      <w:r>
        <w:rPr>
          <w:rFonts w:hint="eastAsia"/>
          <w:sz w:val="24"/>
        </w:rPr>
        <w:tab/>
      </w:r>
      <w:r>
        <w:rPr>
          <w:rFonts w:hint="eastAsia"/>
          <w:sz w:val="24"/>
        </w:rPr>
        <w:t>16</w:t>
      </w:r>
    </w:p>
    <w:p>
      <w:pPr>
        <w:pStyle w:val="13"/>
        <w:adjustRightInd w:val="0"/>
        <w:snapToGrid w:val="0"/>
        <w:spacing w:line="440" w:lineRule="exact"/>
        <w:jc w:val="left"/>
        <w:rPr>
          <w:b/>
          <w:bCs/>
          <w:sz w:val="24"/>
        </w:rPr>
      </w:pPr>
      <w:r>
        <w:rPr>
          <w:rFonts w:hint="eastAsia"/>
          <w:b/>
          <w:bCs/>
          <w:sz w:val="24"/>
        </w:rPr>
        <w:t>第五部分 附表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一、收入支出决算总表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二、收入决算表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三、支出决算表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四、财政拨款收入支出决算总表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五、财政拨款支出决算明细表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六、一般公共预算财政拨款支出决算表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七、一般公共预算财政拨款支出决算明细表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八、一般公共预算财政拨款基本支出决算明细表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九、一般公共预算财政拨款项目支出决算表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十、政府性基金预算财政拨款收入支出决算表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十一、国有资本经营预算财政拨款收入支出决算表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十二、国有资本经营预算财政拨款支出决算表</w:t>
      </w:r>
      <w:r>
        <w:rPr>
          <w:rFonts w:hint="eastAsia"/>
          <w:sz w:val="24"/>
        </w:rPr>
        <w:tab/>
      </w:r>
      <w:r>
        <w:rPr>
          <w:rFonts w:hint="eastAsia"/>
          <w:sz w:val="24"/>
        </w:rPr>
        <w:t>20</w:t>
      </w:r>
    </w:p>
    <w:p>
      <w:pPr>
        <w:pStyle w:val="13"/>
        <w:adjustRightInd w:val="0"/>
        <w:snapToGrid w:val="0"/>
        <w:spacing w:line="440" w:lineRule="exact"/>
        <w:jc w:val="left"/>
        <w:rPr>
          <w:sz w:val="24"/>
        </w:rPr>
      </w:pPr>
      <w:r>
        <w:rPr>
          <w:rFonts w:hint="eastAsia"/>
          <w:sz w:val="24"/>
        </w:rPr>
        <w:t>十三、财政拨款“三公”经费支出决算表</w:t>
      </w:r>
      <w:r>
        <w:rPr>
          <w:rFonts w:hint="eastAsia"/>
          <w:sz w:val="24"/>
        </w:rPr>
        <w:tab/>
      </w:r>
      <w:r>
        <w:rPr>
          <w:rFonts w:hint="eastAsia"/>
          <w:sz w:val="24"/>
        </w:rPr>
        <w:t>20</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spacing w:before="0" w:after="0" w:line="240" w:lineRule="auto"/>
        <w:jc w:val="center"/>
        <w:rPr>
          <w:rFonts w:ascii="黑体" w:hAnsi="黑体" w:eastAsia="黑体"/>
          <w:b w:val="0"/>
        </w:rPr>
      </w:pPr>
      <w:r>
        <w:rPr>
          <w:rFonts w:hint="eastAsia" w:ascii="黑体" w:hAnsi="黑体" w:eastAsia="黑体"/>
          <w:b w:val="0"/>
        </w:rPr>
        <w:t>第一部分 部门概况</w:t>
      </w:r>
      <w:bookmarkEnd w:id="12"/>
      <w:bookmarkEnd w:id="13"/>
    </w:p>
    <w:p>
      <w:pPr>
        <w:pStyle w:val="3"/>
        <w:spacing w:before="0" w:after="0" w:line="560" w:lineRule="exact"/>
        <w:ind w:firstLine="640" w:firstLineChars="200"/>
        <w:rPr>
          <w:rFonts w:ascii="黑体" w:hAnsi="黑体" w:eastAsia="黑体"/>
          <w:b w:val="0"/>
        </w:rPr>
      </w:pPr>
      <w:r>
        <w:rPr>
          <w:rFonts w:hint="eastAsia" w:ascii="黑体" w:hAnsi="黑体" w:eastAsia="黑体"/>
          <w:b w:val="0"/>
        </w:rPr>
        <w:t>一、部门职责及重点工作</w:t>
      </w:r>
    </w:p>
    <w:p>
      <w:pPr>
        <w:pStyle w:val="3"/>
        <w:spacing w:before="0" w:after="0" w:line="560" w:lineRule="exact"/>
        <w:ind w:firstLine="321" w:firstLineChars="100"/>
      </w:pPr>
      <w:r>
        <w:rPr>
          <w:rFonts w:hint="eastAsia"/>
        </w:rPr>
        <w:t>（一）部门职责</w:t>
      </w:r>
      <w:bookmarkStart w:id="14" w:name="_Toc24683"/>
    </w:p>
    <w:bookmarkEnd w:id="14"/>
    <w:p>
      <w:pPr>
        <w:pStyle w:val="14"/>
        <w:spacing w:beforeAutospacing="0" w:afterAutospacing="0" w:line="500" w:lineRule="exact"/>
        <w:ind w:firstLine="560" w:firstLineChars="200"/>
        <w:rPr>
          <w:kern w:val="2"/>
          <w:sz w:val="28"/>
          <w:szCs w:val="28"/>
        </w:rPr>
      </w:pPr>
      <w:r>
        <w:rPr>
          <w:rFonts w:hint="eastAsia"/>
          <w:kern w:val="2"/>
          <w:sz w:val="28"/>
          <w:szCs w:val="28"/>
        </w:rPr>
        <w:t>1.贯彻执行《信访工作条例》，负责受理、处理人民群众通过来信、来访、电话、电子邮件、网上信箱等渠道反映的信访问题。</w:t>
      </w:r>
    </w:p>
    <w:p>
      <w:pPr>
        <w:pStyle w:val="14"/>
        <w:spacing w:beforeAutospacing="0" w:afterAutospacing="0" w:line="500" w:lineRule="exact"/>
        <w:ind w:firstLine="555"/>
        <w:rPr>
          <w:kern w:val="2"/>
          <w:sz w:val="28"/>
          <w:szCs w:val="28"/>
        </w:rPr>
      </w:pPr>
      <w:r>
        <w:rPr>
          <w:rFonts w:hint="eastAsia"/>
          <w:kern w:val="2"/>
          <w:sz w:val="28"/>
          <w:szCs w:val="28"/>
        </w:rPr>
        <w:t>2.承办上级转县委、县政府处理的重大信访和群众工作案件，并在规定期限内结案上报。</w:t>
      </w:r>
    </w:p>
    <w:p>
      <w:pPr>
        <w:pStyle w:val="14"/>
        <w:spacing w:beforeAutospacing="0" w:afterAutospacing="0" w:line="500" w:lineRule="exact"/>
        <w:ind w:firstLine="555"/>
        <w:rPr>
          <w:kern w:val="2"/>
          <w:sz w:val="28"/>
          <w:szCs w:val="28"/>
        </w:rPr>
      </w:pPr>
      <w:r>
        <w:rPr>
          <w:rFonts w:hint="eastAsia"/>
          <w:kern w:val="2"/>
          <w:sz w:val="28"/>
          <w:szCs w:val="28"/>
        </w:rPr>
        <w:t>3.向各级各部门交办县委、县政府领导批示的信访和群众工作事项，并督促检查办理落实情况。</w:t>
      </w:r>
    </w:p>
    <w:p>
      <w:pPr>
        <w:pStyle w:val="14"/>
        <w:spacing w:beforeAutospacing="0" w:afterAutospacing="0" w:line="500" w:lineRule="exact"/>
        <w:ind w:firstLine="555"/>
        <w:rPr>
          <w:kern w:val="2"/>
          <w:sz w:val="28"/>
          <w:szCs w:val="28"/>
        </w:rPr>
      </w:pPr>
      <w:r>
        <w:rPr>
          <w:rFonts w:hint="eastAsia"/>
          <w:kern w:val="2"/>
          <w:sz w:val="28"/>
          <w:szCs w:val="28"/>
        </w:rPr>
        <w:t>4.指导乡镇、部门对信访工作人员进行业务培训，协调处理跨乡镇、跨部门的交叉型、综合型重要信访问题，协调指导责任单位处理集访、越级上访事项。</w:t>
      </w:r>
    </w:p>
    <w:p>
      <w:pPr>
        <w:pStyle w:val="14"/>
        <w:spacing w:beforeAutospacing="0" w:afterAutospacing="0" w:line="500" w:lineRule="exact"/>
        <w:ind w:firstLine="555"/>
        <w:rPr>
          <w:kern w:val="2"/>
          <w:sz w:val="28"/>
          <w:szCs w:val="28"/>
        </w:rPr>
      </w:pPr>
      <w:r>
        <w:rPr>
          <w:rFonts w:hint="eastAsia"/>
          <w:kern w:val="2"/>
          <w:sz w:val="28"/>
          <w:szCs w:val="28"/>
        </w:rPr>
        <w:t>5.督促检查各乡镇、各部门贯彻执行党的群众路线，落实事关信访群众利益政策、维护信访群众合法权益。</w:t>
      </w:r>
    </w:p>
    <w:p>
      <w:pPr>
        <w:pStyle w:val="14"/>
        <w:spacing w:beforeAutospacing="0" w:afterAutospacing="0" w:line="500" w:lineRule="exact"/>
        <w:ind w:firstLine="555"/>
        <w:rPr>
          <w:kern w:val="2"/>
          <w:sz w:val="28"/>
          <w:szCs w:val="28"/>
        </w:rPr>
      </w:pPr>
      <w:r>
        <w:rPr>
          <w:rFonts w:hint="eastAsia"/>
          <w:kern w:val="2"/>
          <w:sz w:val="28"/>
          <w:szCs w:val="28"/>
        </w:rPr>
        <w:t>6.了解全县社情民意，对全县不稳定信访进行排查，及时掌握情况和动态，提出加强和改进信访工作的意见和建议。</w:t>
      </w:r>
    </w:p>
    <w:p>
      <w:pPr>
        <w:pStyle w:val="14"/>
        <w:spacing w:beforeAutospacing="0" w:afterAutospacing="0" w:line="500" w:lineRule="exact"/>
        <w:ind w:firstLine="555"/>
        <w:rPr>
          <w:kern w:val="2"/>
          <w:sz w:val="28"/>
          <w:szCs w:val="28"/>
        </w:rPr>
      </w:pPr>
      <w:r>
        <w:rPr>
          <w:rFonts w:hint="eastAsia"/>
          <w:kern w:val="2"/>
          <w:sz w:val="28"/>
          <w:szCs w:val="28"/>
        </w:rPr>
        <w:t>7.及时传达上级和县委、县政府关于信访工作的指示和意见。</w:t>
      </w:r>
    </w:p>
    <w:p>
      <w:pPr>
        <w:pStyle w:val="14"/>
        <w:spacing w:beforeAutospacing="0" w:afterAutospacing="0" w:line="500" w:lineRule="exact"/>
        <w:ind w:firstLine="555"/>
        <w:rPr>
          <w:kern w:val="2"/>
          <w:sz w:val="28"/>
          <w:szCs w:val="28"/>
        </w:rPr>
      </w:pPr>
      <w:r>
        <w:rPr>
          <w:rFonts w:hint="eastAsia"/>
          <w:kern w:val="2"/>
          <w:sz w:val="28"/>
          <w:szCs w:val="28"/>
        </w:rPr>
        <w:t>8.主持信访复查工作，并作出复查意见。</w:t>
      </w:r>
    </w:p>
    <w:p>
      <w:pPr>
        <w:pStyle w:val="14"/>
        <w:spacing w:beforeAutospacing="0" w:afterAutospacing="0" w:line="500" w:lineRule="exact"/>
        <w:ind w:firstLine="555"/>
        <w:rPr>
          <w:kern w:val="2"/>
          <w:sz w:val="28"/>
          <w:szCs w:val="28"/>
        </w:rPr>
      </w:pPr>
      <w:r>
        <w:rPr>
          <w:rFonts w:hint="eastAsia"/>
          <w:kern w:val="2"/>
          <w:sz w:val="28"/>
          <w:szCs w:val="28"/>
        </w:rPr>
        <w:t>9.运用《信访工作条例》赋予的“三项建议权”对信访工作中的不作为、乱作为的有关单位和工作人员提出问责建议。</w:t>
      </w:r>
    </w:p>
    <w:p>
      <w:pPr>
        <w:pStyle w:val="14"/>
        <w:spacing w:beforeAutospacing="0" w:afterAutospacing="0" w:line="500" w:lineRule="exact"/>
        <w:ind w:firstLine="555"/>
        <w:rPr>
          <w:kern w:val="2"/>
          <w:sz w:val="28"/>
          <w:szCs w:val="28"/>
        </w:rPr>
      </w:pPr>
      <w:r>
        <w:rPr>
          <w:rFonts w:hint="eastAsia"/>
          <w:kern w:val="2"/>
          <w:sz w:val="28"/>
          <w:szCs w:val="28"/>
        </w:rPr>
        <w:t>10. 承办县委、县政府交办的其他事项。</w:t>
      </w:r>
    </w:p>
    <w:p>
      <w:pPr>
        <w:ind w:firstLine="420" w:firstLineChars="200"/>
      </w:pPr>
    </w:p>
    <w:p>
      <w:pPr>
        <w:pStyle w:val="13"/>
        <w:adjustRightInd w:val="0"/>
        <w:snapToGrid w:val="0"/>
        <w:spacing w:line="440" w:lineRule="exact"/>
        <w:jc w:val="left"/>
        <w:rPr>
          <w:rFonts w:ascii="黑体" w:hAnsi="黑体" w:eastAsia="黑体"/>
          <w:sz w:val="32"/>
          <w:szCs w:val="32"/>
        </w:rPr>
      </w:pPr>
      <w:bookmarkStart w:id="15" w:name="_Toc15396601"/>
      <w:bookmarkStart w:id="16" w:name="_Toc15377200"/>
      <w:r>
        <w:rPr>
          <w:rFonts w:hint="eastAsia" w:ascii="黑体" w:hAnsi="黑体" w:eastAsia="黑体"/>
          <w:sz w:val="32"/>
          <w:szCs w:val="32"/>
        </w:rPr>
        <w:t>（二）2022年重点工作完成情况</w:t>
      </w:r>
    </w:p>
    <w:p>
      <w:pPr>
        <w:pStyle w:val="14"/>
        <w:spacing w:beforeAutospacing="0" w:afterAutospacing="0" w:line="500" w:lineRule="exact"/>
        <w:ind w:firstLine="555"/>
        <w:rPr>
          <w:kern w:val="2"/>
          <w:sz w:val="28"/>
          <w:szCs w:val="28"/>
        </w:rPr>
      </w:pPr>
      <w:r>
        <w:rPr>
          <w:rFonts w:hint="eastAsia"/>
          <w:kern w:val="2"/>
          <w:sz w:val="28"/>
          <w:szCs w:val="28"/>
        </w:rPr>
        <w:t>深入学习贯彻习近平总书记关于加强和改进人民信访工作的重要思想，紧紧围绕党和国家工作大局，坚持人民至上，学习贯彻信访工作党内法规，推进信访积案化解，深化信访制度改革、信访问题源头治理、信访服务保障、信访干部队伍建设五项重点任务，服务经济发展和社会稳定。</w:t>
      </w:r>
    </w:p>
    <w:p>
      <w:pPr>
        <w:pStyle w:val="14"/>
        <w:spacing w:beforeAutospacing="0" w:afterAutospacing="0" w:line="500" w:lineRule="exact"/>
        <w:ind w:firstLine="555"/>
        <w:rPr>
          <w:kern w:val="2"/>
          <w:sz w:val="28"/>
          <w:szCs w:val="28"/>
        </w:rPr>
      </w:pPr>
      <w:r>
        <w:rPr>
          <w:rFonts w:hint="eastAsia"/>
          <w:kern w:val="2"/>
          <w:sz w:val="28"/>
          <w:szCs w:val="28"/>
        </w:rPr>
        <w:t>（一）加强党的建设</w:t>
      </w:r>
    </w:p>
    <w:p>
      <w:pPr>
        <w:pStyle w:val="14"/>
        <w:spacing w:beforeAutospacing="0" w:afterAutospacing="0" w:line="500" w:lineRule="exact"/>
        <w:ind w:firstLine="555"/>
        <w:rPr>
          <w:kern w:val="2"/>
          <w:sz w:val="28"/>
          <w:szCs w:val="28"/>
        </w:rPr>
      </w:pPr>
      <w:r>
        <w:rPr>
          <w:rFonts w:hint="eastAsia"/>
          <w:kern w:val="2"/>
          <w:sz w:val="28"/>
          <w:szCs w:val="28"/>
        </w:rPr>
        <w:t>1.政治建设。以“三会一课”、“主题党日”为抓手，开展交流学习、举办知识讲座、支部书记讲党课等形式开展,提高干部的理论水平和法治思维。召开组织生活会，征求意见建议，深入谈心交心，开展批评和自我批评，积极查摆问题，深刻剖析根源，逐一整改落实。</w:t>
      </w:r>
    </w:p>
    <w:p>
      <w:pPr>
        <w:pStyle w:val="14"/>
        <w:spacing w:beforeAutospacing="0" w:afterAutospacing="0" w:line="500" w:lineRule="exact"/>
        <w:ind w:firstLine="555"/>
        <w:rPr>
          <w:kern w:val="2"/>
          <w:sz w:val="28"/>
          <w:szCs w:val="28"/>
        </w:rPr>
      </w:pPr>
      <w:r>
        <w:rPr>
          <w:rFonts w:hint="eastAsia"/>
          <w:kern w:val="2"/>
          <w:sz w:val="28"/>
          <w:szCs w:val="28"/>
        </w:rPr>
        <w:t>2.思想建设。加强领导干部思想理论武装，落实意识形态主体责任，纳入党支部学习内容，开展党员干部党纪党规教育，强化组织意识和纪律意识。</w:t>
      </w:r>
    </w:p>
    <w:p>
      <w:pPr>
        <w:pStyle w:val="14"/>
        <w:spacing w:beforeAutospacing="0" w:afterAutospacing="0" w:line="500" w:lineRule="exact"/>
        <w:ind w:firstLine="555"/>
        <w:rPr>
          <w:kern w:val="2"/>
          <w:sz w:val="28"/>
          <w:szCs w:val="28"/>
        </w:rPr>
      </w:pPr>
      <w:r>
        <w:rPr>
          <w:rFonts w:hint="eastAsia"/>
          <w:kern w:val="2"/>
          <w:sz w:val="28"/>
          <w:szCs w:val="28"/>
        </w:rPr>
        <w:t>3.组织建设。召开党支部会议，开展支部书记讲党课，对党员谈心谈话，组织党员接受警示学习教育；排查县乡村换届干部、机关拉票贿选信访问题。</w:t>
      </w:r>
    </w:p>
    <w:p>
      <w:pPr>
        <w:pStyle w:val="14"/>
        <w:spacing w:beforeAutospacing="0" w:afterAutospacing="0" w:line="500" w:lineRule="exact"/>
        <w:ind w:firstLine="555"/>
        <w:rPr>
          <w:kern w:val="2"/>
          <w:sz w:val="28"/>
          <w:szCs w:val="28"/>
        </w:rPr>
      </w:pPr>
      <w:r>
        <w:rPr>
          <w:rFonts w:hint="eastAsia"/>
          <w:kern w:val="2"/>
          <w:sz w:val="28"/>
          <w:szCs w:val="28"/>
        </w:rPr>
        <w:t xml:space="preserve"> 4.纪律建设。开展问题自查，对标职能职责，迅速整改落实，推动信访事业，组织党员学习</w:t>
      </w:r>
      <w:r>
        <w:rPr>
          <w:rFonts w:hint="eastAsia"/>
          <w:kern w:val="2"/>
          <w:sz w:val="28"/>
          <w:szCs w:val="28"/>
          <w:lang w:eastAsia="zh-CN"/>
        </w:rPr>
        <w:t>《中国共产党章程》</w:t>
      </w:r>
      <w:r>
        <w:rPr>
          <w:rFonts w:hint="eastAsia"/>
          <w:kern w:val="2"/>
          <w:sz w:val="28"/>
          <w:szCs w:val="28"/>
        </w:rPr>
        <w:t>、《中华人民共和国监察法》、《廉政准则》、《党内监督条例》等党内法规，开展反面典型教育，加强党性修养。</w:t>
      </w:r>
    </w:p>
    <w:p>
      <w:pPr>
        <w:pStyle w:val="14"/>
        <w:spacing w:before="0" w:beforeAutospacing="0" w:after="0" w:afterAutospacing="0"/>
        <w:ind w:firstLine="560" w:firstLineChars="200"/>
        <w:rPr>
          <w:kern w:val="2"/>
          <w:sz w:val="28"/>
          <w:szCs w:val="28"/>
        </w:rPr>
      </w:pPr>
      <w:r>
        <w:rPr>
          <w:rFonts w:hint="eastAsia"/>
          <w:kern w:val="2"/>
          <w:sz w:val="28"/>
          <w:szCs w:val="28"/>
        </w:rPr>
        <w:t>（二）推进信访工作</w:t>
      </w:r>
    </w:p>
    <w:p>
      <w:pPr>
        <w:pStyle w:val="14"/>
        <w:spacing w:beforeAutospacing="0" w:afterAutospacing="0" w:line="500" w:lineRule="exact"/>
        <w:ind w:firstLine="555"/>
        <w:rPr>
          <w:kern w:val="2"/>
          <w:sz w:val="28"/>
          <w:szCs w:val="28"/>
        </w:rPr>
      </w:pPr>
      <w:r>
        <w:rPr>
          <w:rFonts w:hint="eastAsia"/>
          <w:kern w:val="2"/>
          <w:sz w:val="28"/>
          <w:szCs w:val="28"/>
        </w:rPr>
        <w:t>1.畅通信访渠道。坚持领导干部接访下访、党委书记乡镇长局长接待日机制，指导乡镇部门做好群众信访来访接待。健全和完善网上信访工作机制，从源头上减少信访事项发生率，解决群众合理诉求，做好思想疏导。</w:t>
      </w:r>
    </w:p>
    <w:p>
      <w:pPr>
        <w:pStyle w:val="14"/>
        <w:spacing w:beforeAutospacing="0" w:afterAutospacing="0" w:line="500" w:lineRule="exact"/>
        <w:ind w:firstLine="555"/>
        <w:rPr>
          <w:kern w:val="2"/>
          <w:sz w:val="28"/>
          <w:szCs w:val="28"/>
        </w:rPr>
      </w:pPr>
      <w:r>
        <w:rPr>
          <w:rFonts w:hint="eastAsia"/>
          <w:kern w:val="2"/>
          <w:sz w:val="28"/>
          <w:szCs w:val="28"/>
        </w:rPr>
        <w:t>2.完善工作机制。健全与完善信访联席会议机制，落实领导机制、办理机制，建立乡镇信访工作联席会议机制。</w:t>
      </w:r>
    </w:p>
    <w:p>
      <w:pPr>
        <w:pStyle w:val="14"/>
        <w:spacing w:beforeAutospacing="0" w:afterAutospacing="0" w:line="500" w:lineRule="exact"/>
        <w:ind w:firstLine="555"/>
        <w:rPr>
          <w:kern w:val="2"/>
          <w:sz w:val="28"/>
          <w:szCs w:val="28"/>
        </w:rPr>
      </w:pPr>
      <w:r>
        <w:rPr>
          <w:rFonts w:hint="eastAsia"/>
          <w:kern w:val="2"/>
          <w:sz w:val="28"/>
          <w:szCs w:val="28"/>
        </w:rPr>
        <w:t>3.化解突出矛盾。加强矛盾排查，着力问题化解，压实包案化解责任，推动信访事项“三到位一处理”，开展“大督查、大接访、大调研”，开展“治重化积”。</w:t>
      </w:r>
    </w:p>
    <w:p>
      <w:pPr>
        <w:pStyle w:val="14"/>
        <w:spacing w:beforeAutospacing="0" w:afterAutospacing="0" w:line="500" w:lineRule="exact"/>
        <w:ind w:firstLine="555"/>
        <w:rPr>
          <w:kern w:val="2"/>
          <w:sz w:val="28"/>
          <w:szCs w:val="28"/>
        </w:rPr>
      </w:pPr>
      <w:r>
        <w:rPr>
          <w:rFonts w:hint="eastAsia"/>
          <w:kern w:val="2"/>
          <w:sz w:val="28"/>
          <w:szCs w:val="28"/>
        </w:rPr>
        <w:t>4.加强信访治理。推动诉访分离，引导理性维权，对无理缠访闹访、违法聚众滋事行为依法治理，树立“无理不能取闹、有理也不能取闹”的正确导向，营造良好的信访秩序。</w:t>
      </w:r>
    </w:p>
    <w:p>
      <w:pPr>
        <w:pStyle w:val="14"/>
        <w:spacing w:beforeAutospacing="0" w:afterAutospacing="0" w:line="500" w:lineRule="exact"/>
        <w:ind w:firstLine="555"/>
        <w:rPr>
          <w:kern w:val="2"/>
          <w:sz w:val="28"/>
          <w:szCs w:val="28"/>
        </w:rPr>
      </w:pPr>
      <w:r>
        <w:rPr>
          <w:rFonts w:hint="eastAsia"/>
          <w:kern w:val="2"/>
          <w:sz w:val="28"/>
          <w:szCs w:val="28"/>
        </w:rPr>
        <w:t>5.加强干部培训。开展信访工作总结，借鉴经验，制定规范的操作流程，对信访业务工作人员进行专项培训和日常指导。</w:t>
      </w:r>
    </w:p>
    <w:p>
      <w:pPr>
        <w:pStyle w:val="14"/>
        <w:spacing w:beforeAutospacing="0" w:afterAutospacing="0" w:line="500" w:lineRule="exact"/>
        <w:ind w:firstLine="555"/>
        <w:rPr>
          <w:kern w:val="2"/>
          <w:sz w:val="28"/>
          <w:szCs w:val="28"/>
        </w:rPr>
      </w:pPr>
      <w:r>
        <w:rPr>
          <w:rFonts w:hint="eastAsia"/>
          <w:kern w:val="2"/>
          <w:sz w:val="28"/>
          <w:szCs w:val="28"/>
        </w:rPr>
        <w:t>（三）加强疫情防控</w:t>
      </w:r>
    </w:p>
    <w:p>
      <w:pPr>
        <w:pStyle w:val="14"/>
        <w:spacing w:beforeAutospacing="0" w:afterAutospacing="0" w:line="500" w:lineRule="exact"/>
        <w:ind w:firstLine="555"/>
        <w:rPr>
          <w:kern w:val="2"/>
          <w:sz w:val="28"/>
          <w:szCs w:val="28"/>
        </w:rPr>
      </w:pPr>
      <w:r>
        <w:rPr>
          <w:rFonts w:hint="eastAsia"/>
          <w:kern w:val="2"/>
          <w:sz w:val="28"/>
          <w:szCs w:val="28"/>
        </w:rPr>
        <w:t>加强健康监测登记，做好外来人员的体温检测，做好来访人员行程码、健康码登记；严格落实全员登记报备制度。</w:t>
      </w:r>
    </w:p>
    <w:p>
      <w:pPr>
        <w:pStyle w:val="14"/>
        <w:spacing w:beforeAutospacing="0" w:afterAutospacing="0" w:line="500" w:lineRule="exact"/>
        <w:ind w:firstLine="555"/>
        <w:rPr>
          <w:kern w:val="2"/>
          <w:sz w:val="28"/>
          <w:szCs w:val="28"/>
        </w:rPr>
      </w:pPr>
      <w:r>
        <w:rPr>
          <w:rFonts w:hint="eastAsia"/>
          <w:kern w:val="2"/>
          <w:sz w:val="28"/>
          <w:szCs w:val="28"/>
        </w:rPr>
        <w:t xml:space="preserve"> (五)向上争取资金</w:t>
      </w:r>
    </w:p>
    <w:p>
      <w:pPr>
        <w:pStyle w:val="14"/>
        <w:spacing w:beforeAutospacing="0" w:afterAutospacing="0" w:line="500" w:lineRule="exact"/>
        <w:ind w:firstLine="555"/>
        <w:rPr>
          <w:kern w:val="2"/>
          <w:sz w:val="28"/>
          <w:szCs w:val="28"/>
        </w:rPr>
      </w:pPr>
      <w:r>
        <w:rPr>
          <w:rFonts w:hint="eastAsia"/>
          <w:kern w:val="2"/>
          <w:sz w:val="28"/>
          <w:szCs w:val="28"/>
        </w:rPr>
        <w:t>结合重复信访治理工作，积极向上争取专项资金，推进信访事项化解到位。</w:t>
      </w:r>
    </w:p>
    <w:p/>
    <w:bookmarkEnd w:id="15"/>
    <w:bookmarkEnd w:id="16"/>
    <w:p>
      <w:pPr>
        <w:pStyle w:val="3"/>
        <w:spacing w:before="0" w:after="0" w:line="240" w:lineRule="auto"/>
        <w:ind w:firstLine="642" w:firstLineChars="200"/>
      </w:pPr>
      <w:r>
        <w:rPr>
          <w:rFonts w:hint="eastAsia"/>
        </w:rPr>
        <w:t>二、机构设置</w:t>
      </w:r>
    </w:p>
    <w:p>
      <w:pPr>
        <w:pStyle w:val="14"/>
        <w:spacing w:beforeAutospacing="0" w:afterAutospacing="0" w:line="500" w:lineRule="exact"/>
        <w:ind w:firstLine="560" w:firstLineChars="200"/>
        <w:rPr>
          <w:kern w:val="2"/>
          <w:sz w:val="28"/>
          <w:szCs w:val="28"/>
        </w:rPr>
      </w:pPr>
      <w:r>
        <w:rPr>
          <w:rFonts w:hint="eastAsia"/>
          <w:kern w:val="2"/>
          <w:sz w:val="28"/>
          <w:szCs w:val="28"/>
        </w:rPr>
        <w:t>中共剑阁县委群众工作局无下属二级单位，其中行政单位1个，事业单位1个（副科级）</w:t>
      </w:r>
    </w:p>
    <w:p>
      <w:pPr>
        <w:pStyle w:val="14"/>
        <w:spacing w:beforeAutospacing="0" w:afterAutospacing="0" w:line="500" w:lineRule="exact"/>
        <w:ind w:firstLine="560" w:firstLineChars="200"/>
        <w:rPr>
          <w:kern w:val="2"/>
          <w:sz w:val="28"/>
          <w:szCs w:val="28"/>
        </w:rPr>
      </w:pPr>
      <w:r>
        <w:rPr>
          <w:rFonts w:hint="eastAsia"/>
          <w:kern w:val="2"/>
          <w:sz w:val="28"/>
          <w:szCs w:val="28"/>
        </w:rPr>
        <w:t>1、中共剑阁县委群众工作局</w:t>
      </w:r>
    </w:p>
    <w:p>
      <w:pPr>
        <w:pStyle w:val="14"/>
        <w:spacing w:beforeAutospacing="0" w:afterAutospacing="0" w:line="500" w:lineRule="exact"/>
        <w:ind w:firstLine="560" w:firstLineChars="200"/>
        <w:rPr>
          <w:kern w:val="2"/>
          <w:sz w:val="28"/>
          <w:szCs w:val="28"/>
        </w:rPr>
      </w:pPr>
      <w:r>
        <w:rPr>
          <w:rFonts w:hint="eastAsia"/>
          <w:kern w:val="2"/>
          <w:sz w:val="28"/>
          <w:szCs w:val="28"/>
        </w:rPr>
        <w:t>2、县委书记县长信箱事务中心</w:t>
      </w:r>
    </w:p>
    <w:p>
      <w:pPr>
        <w:widowControl/>
        <w:jc w:val="left"/>
        <w:rPr>
          <w:rFonts w:ascii="仿宋" w:hAnsi="仿宋" w:eastAsia="仿宋"/>
          <w:kern w:val="0"/>
          <w:sz w:val="32"/>
          <w:szCs w:val="32"/>
        </w:rPr>
      </w:pPr>
      <w:r>
        <w:rPr>
          <w:rFonts w:ascii="仿宋" w:hAnsi="仿宋" w:eastAsia="仿宋"/>
          <w:sz w:val="32"/>
          <w:szCs w:val="32"/>
        </w:rPr>
        <w:br w:type="page"/>
      </w:r>
    </w:p>
    <w:p>
      <w:pPr>
        <w:pStyle w:val="2"/>
        <w:numPr>
          <w:ilvl w:val="0"/>
          <w:numId w:val="1"/>
        </w:numPr>
        <w:spacing w:before="0" w:after="0" w:line="240" w:lineRule="auto"/>
        <w:jc w:val="center"/>
        <w:rPr>
          <w:rStyle w:val="32"/>
          <w:rFonts w:ascii="黑体" w:hAnsi="黑体" w:eastAsia="黑体"/>
          <w:b w:val="0"/>
          <w:bCs/>
        </w:rPr>
      </w:pPr>
      <w:bookmarkStart w:id="17" w:name="_Toc15377204"/>
      <w:bookmarkStart w:id="18" w:name="_Toc15396602"/>
      <w:r>
        <w:rPr>
          <w:rFonts w:hint="eastAsia" w:ascii="黑体" w:hAnsi="黑体" w:eastAsia="黑体"/>
          <w:b w:val="0"/>
        </w:rPr>
        <w:t>2022年度</w:t>
      </w:r>
      <w:r>
        <w:rPr>
          <w:rStyle w:val="31"/>
          <w:rFonts w:hint="eastAsia" w:ascii="黑体" w:hAnsi="黑体" w:eastAsia="黑体"/>
          <w:b w:val="0"/>
          <w:bCs/>
        </w:rPr>
        <w:t>部门决算情况说明</w:t>
      </w:r>
      <w:bookmarkEnd w:id="17"/>
      <w:bookmarkEnd w:id="18"/>
      <w:bookmarkStart w:id="19" w:name="_Toc15377205"/>
      <w:bookmarkStart w:id="20" w:name="_Toc15396603"/>
    </w:p>
    <w:p>
      <w:pPr>
        <w:pStyle w:val="3"/>
        <w:spacing w:before="0" w:after="0" w:line="560" w:lineRule="exact"/>
        <w:ind w:firstLine="640" w:firstLineChars="200"/>
        <w:rPr>
          <w:rFonts w:ascii="黑体" w:hAnsi="黑体" w:eastAsia="黑体"/>
          <w:b w:val="0"/>
        </w:rPr>
      </w:pPr>
      <w:r>
        <w:rPr>
          <w:rFonts w:hint="eastAsia" w:ascii="黑体" w:hAnsi="黑体" w:eastAsia="黑体"/>
          <w:b w:val="0"/>
        </w:rPr>
        <w:t>一、收入支出决算总体情况说明</w:t>
      </w:r>
      <w:bookmarkEnd w:id="19"/>
      <w:bookmarkEnd w:id="20"/>
    </w:p>
    <w:p>
      <w:pPr>
        <w:overflowPunct w:val="0"/>
        <w:autoSpaceDE w:val="0"/>
        <w:autoSpaceDN w:val="0"/>
        <w:adjustRightInd w:val="0"/>
        <w:snapToGrid w:val="0"/>
        <w:spacing w:line="560" w:lineRule="exact"/>
        <w:ind w:firstLine="652" w:firstLineChars="200"/>
        <w:textAlignment w:val="baseline"/>
        <w:rPr>
          <w:rFonts w:ascii="仿宋_GB2312" w:hAnsi="仿宋_GB2312" w:eastAsia="仿宋_GB2312" w:cs="仿宋_GB2312"/>
          <w:snapToGrid w:val="0"/>
          <w:color w:val="000000"/>
          <w:spacing w:val="3"/>
          <w:kern w:val="0"/>
          <w:sz w:val="32"/>
          <w:szCs w:val="32"/>
        </w:rPr>
      </w:pPr>
      <w:r>
        <w:rPr>
          <w:rFonts w:hint="eastAsia" w:ascii="仿宋_GB2312" w:hAnsi="仿宋_GB2312" w:eastAsia="仿宋_GB2312" w:cs="仿宋_GB2312"/>
          <w:snapToGrid w:val="0"/>
          <w:color w:val="000000"/>
          <w:spacing w:val="3"/>
          <w:kern w:val="0"/>
          <w:sz w:val="32"/>
          <w:szCs w:val="32"/>
        </w:rPr>
        <w:t>2022年度收、支总计为276.33万元。与2021年相比，收、支总计减少60.51万元，下降17.96%。主要变动原因是2022年项目经费减少，收支总额减少。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5"/>
        <w:spacing w:before="72"/>
      </w:pPr>
      <w:r>
        <w:drawing>
          <wp:anchor distT="0" distB="0" distL="114300" distR="114300" simplePos="0" relativeHeight="251659264" behindDoc="0" locked="0" layoutInCell="1" allowOverlap="1">
            <wp:simplePos x="0" y="0"/>
            <wp:positionH relativeFrom="column">
              <wp:posOffset>410845</wp:posOffset>
            </wp:positionH>
            <wp:positionV relativeFrom="paragraph">
              <wp:posOffset>146685</wp:posOffset>
            </wp:positionV>
            <wp:extent cx="4572000" cy="3266440"/>
            <wp:effectExtent l="4445" t="4445" r="14605" b="571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rPr>
        <w:t xml:space="preserve">   </w:t>
      </w:r>
    </w:p>
    <w:p>
      <w:pPr>
        <w:spacing w:line="600" w:lineRule="exact"/>
        <w:ind w:firstLine="640" w:firstLineChars="200"/>
        <w:jc w:val="left"/>
        <w:rPr>
          <w:rFonts w:ascii="仿宋_GB2312" w:eastAsia="仿宋_GB2312"/>
          <w:sz w:val="32"/>
          <w:szCs w:val="32"/>
        </w:rPr>
      </w:pPr>
    </w:p>
    <w:p>
      <w:pPr>
        <w:pStyle w:val="30"/>
        <w:spacing w:line="600" w:lineRule="exact"/>
        <w:ind w:left="640" w:firstLine="0" w:firstLineChars="0"/>
        <w:outlineLvl w:val="1"/>
        <w:rPr>
          <w:rFonts w:ascii="黑体" w:hAnsi="黑体" w:eastAsia="黑体"/>
          <w:sz w:val="32"/>
          <w:szCs w:val="32"/>
        </w:rPr>
      </w:pPr>
      <w:bookmarkStart w:id="21" w:name="_Toc15396604"/>
      <w:bookmarkStart w:id="22" w:name="_Toc15377206"/>
    </w:p>
    <w:p>
      <w:pPr>
        <w:pStyle w:val="30"/>
        <w:spacing w:line="600" w:lineRule="exact"/>
        <w:ind w:left="640" w:firstLine="0" w:firstLineChars="0"/>
        <w:outlineLvl w:val="1"/>
        <w:rPr>
          <w:rFonts w:ascii="黑体" w:hAnsi="黑体" w:eastAsia="黑体"/>
          <w:sz w:val="32"/>
          <w:szCs w:val="32"/>
        </w:rPr>
      </w:pPr>
    </w:p>
    <w:p>
      <w:pPr>
        <w:pStyle w:val="30"/>
        <w:spacing w:line="600" w:lineRule="exact"/>
        <w:ind w:left="640" w:firstLine="0" w:firstLineChars="0"/>
        <w:outlineLvl w:val="1"/>
        <w:rPr>
          <w:rFonts w:ascii="黑体" w:hAnsi="黑体" w:eastAsia="黑体"/>
          <w:sz w:val="32"/>
          <w:szCs w:val="32"/>
        </w:rPr>
      </w:pPr>
    </w:p>
    <w:p>
      <w:pPr>
        <w:pStyle w:val="30"/>
        <w:spacing w:line="600" w:lineRule="exact"/>
        <w:ind w:left="640" w:firstLine="0" w:firstLineChars="0"/>
        <w:outlineLvl w:val="1"/>
        <w:rPr>
          <w:rFonts w:ascii="黑体" w:hAnsi="黑体" w:eastAsia="黑体"/>
          <w:sz w:val="32"/>
          <w:szCs w:val="32"/>
        </w:rPr>
      </w:pPr>
    </w:p>
    <w:p>
      <w:pPr>
        <w:pStyle w:val="30"/>
        <w:spacing w:line="600" w:lineRule="exact"/>
        <w:ind w:left="640" w:firstLine="0" w:firstLineChars="0"/>
        <w:outlineLvl w:val="1"/>
        <w:rPr>
          <w:rFonts w:ascii="黑体" w:hAnsi="黑体" w:eastAsia="黑体"/>
          <w:sz w:val="32"/>
          <w:szCs w:val="32"/>
        </w:rPr>
      </w:pPr>
    </w:p>
    <w:p>
      <w:pPr>
        <w:pStyle w:val="30"/>
        <w:spacing w:line="600" w:lineRule="exact"/>
        <w:ind w:left="640" w:firstLine="0" w:firstLineChars="0"/>
        <w:outlineLvl w:val="1"/>
        <w:rPr>
          <w:rFonts w:ascii="黑体" w:hAnsi="黑体" w:eastAsia="黑体"/>
          <w:sz w:val="32"/>
          <w:szCs w:val="32"/>
        </w:rPr>
      </w:pPr>
    </w:p>
    <w:p>
      <w:pPr>
        <w:pStyle w:val="30"/>
        <w:spacing w:line="600" w:lineRule="exact"/>
        <w:ind w:left="640" w:firstLine="0" w:firstLineChars="0"/>
        <w:outlineLvl w:val="1"/>
        <w:rPr>
          <w:rFonts w:ascii="黑体" w:hAnsi="黑体" w:eastAsia="黑体"/>
          <w:sz w:val="32"/>
          <w:szCs w:val="32"/>
        </w:rPr>
      </w:pPr>
    </w:p>
    <w:p>
      <w:pPr>
        <w:pStyle w:val="30"/>
        <w:spacing w:line="600" w:lineRule="exact"/>
        <w:ind w:left="640" w:firstLine="0" w:firstLineChars="0"/>
        <w:outlineLvl w:val="1"/>
        <w:rPr>
          <w:rStyle w:val="32"/>
          <w:rFonts w:ascii="黑体" w:hAnsi="黑体" w:eastAsia="黑体"/>
          <w:b w:val="0"/>
        </w:rPr>
      </w:pPr>
      <w:r>
        <w:rPr>
          <w:rFonts w:hint="eastAsia" w:ascii="黑体" w:hAnsi="黑体" w:eastAsia="黑体"/>
          <w:sz w:val="32"/>
          <w:szCs w:val="32"/>
        </w:rPr>
        <w:t>二、二、收</w:t>
      </w:r>
      <w:r>
        <w:rPr>
          <w:rStyle w:val="32"/>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22年本年收入合计276.33万元，其中：一般公共预算财政拨款收入276.33万元，占100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5"/>
        <w:spacing w:before="72"/>
        <w:rPr>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0"/>
        <w:spacing w:line="600" w:lineRule="exact"/>
        <w:ind w:left="640" w:firstLine="0" w:firstLineChars="0"/>
        <w:outlineLvl w:val="1"/>
        <w:rPr>
          <w:rStyle w:val="32"/>
          <w:rFonts w:ascii="黑体" w:hAnsi="黑体" w:eastAsia="黑体"/>
          <w:b w:val="0"/>
        </w:rPr>
      </w:pPr>
      <w:bookmarkStart w:id="23" w:name="_Toc15396605"/>
      <w:bookmarkStart w:id="24" w:name="_Toc15377207"/>
      <w:r>
        <w:rPr>
          <w:rFonts w:hint="eastAsia" w:ascii="黑体" w:hAnsi="黑体" w:eastAsia="黑体"/>
          <w:sz w:val="32"/>
          <w:szCs w:val="32"/>
        </w:rPr>
        <w:t>三、支</w:t>
      </w:r>
      <w:r>
        <w:rPr>
          <w:rStyle w:val="32"/>
          <w:rFonts w:hint="eastAsia" w:ascii="黑体" w:hAnsi="黑体" w:eastAsia="黑体"/>
          <w:b w:val="0"/>
        </w:rPr>
        <w:t>出决算情况说明</w:t>
      </w:r>
      <w:bookmarkEnd w:id="23"/>
      <w:bookmarkEnd w:id="24"/>
    </w:p>
    <w:p>
      <w:pPr>
        <w:spacing w:line="600" w:lineRule="exact"/>
        <w:ind w:firstLine="640" w:firstLineChars="200"/>
        <w:outlineLvl w:val="1"/>
        <w:rPr>
          <w:sz w:val="32"/>
          <w:szCs w:val="32"/>
        </w:rPr>
      </w:pPr>
      <w:r>
        <w:rPr>
          <w:rFonts w:ascii="仿宋" w:hAnsi="仿宋" w:eastAsia="仿宋"/>
          <w:sz w:val="32"/>
          <w:szCs w:val="32"/>
        </w:rPr>
        <w:t>20</w:t>
      </w:r>
      <w:r>
        <w:rPr>
          <w:rFonts w:hint="eastAsia" w:ascii="仿宋" w:hAnsi="仿宋" w:eastAsia="仿宋"/>
          <w:sz w:val="32"/>
          <w:szCs w:val="32"/>
        </w:rPr>
        <w:t>22年本年支出合计276.33万元，其中：基本支出276.33万元，占100</w:t>
      </w:r>
      <w:r>
        <w:rPr>
          <w:rFonts w:ascii="仿宋" w:hAnsi="仿宋" w:eastAsia="仿宋"/>
          <w:sz w:val="32"/>
          <w:szCs w:val="32"/>
        </w:rPr>
        <w:t>%</w:t>
      </w:r>
      <w:r>
        <w:rPr>
          <w:rFonts w:hint="eastAsia" w:ascii="仿宋" w:hAnsi="仿宋" w:eastAsia="仿宋"/>
          <w:sz w:val="32"/>
          <w:szCs w:val="32"/>
        </w:rPr>
        <w:t>；项目支出0万元，占0</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。（图3：支出决算结构图）（饼状图）</w:t>
      </w:r>
      <w:r>
        <w:rPr>
          <w:rFonts w:hint="eastAsia"/>
          <w:sz w:val="32"/>
          <w:szCs w:val="32"/>
        </w:rPr>
        <w:t xml:space="preserve">       </w:t>
      </w:r>
    </w:p>
    <w:p>
      <w:pPr>
        <w:spacing w:line="600" w:lineRule="exact"/>
        <w:ind w:firstLine="640" w:firstLineChars="200"/>
        <w:outlineLvl w:val="1"/>
        <w:rPr>
          <w:rFonts w:ascii="黑体" w:hAnsi="黑体" w:eastAsia="黑体"/>
          <w:sz w:val="32"/>
          <w:szCs w:val="32"/>
        </w:rPr>
      </w:pPr>
      <w:bookmarkStart w:id="25" w:name="_Toc15396606"/>
      <w:bookmarkStart w:id="26" w:name="_Toc15377208"/>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420" w:firstLineChars="200"/>
        <w:outlineLvl w:val="1"/>
        <w:rPr>
          <w:rFonts w:ascii="黑体" w:hAnsi="黑体" w:eastAsia="黑体"/>
          <w:sz w:val="32"/>
          <w:szCs w:val="32"/>
        </w:rPr>
      </w:pPr>
      <w:r>
        <w:drawing>
          <wp:anchor distT="0" distB="0" distL="114300" distR="114300" simplePos="0" relativeHeight="251662336" behindDoc="0" locked="0" layoutInCell="1" allowOverlap="1">
            <wp:simplePos x="0" y="0"/>
            <wp:positionH relativeFrom="column">
              <wp:posOffset>271145</wp:posOffset>
            </wp:positionH>
            <wp:positionV relativeFrom="paragraph">
              <wp:posOffset>-2224405</wp:posOffset>
            </wp:positionV>
            <wp:extent cx="4524375" cy="2514600"/>
            <wp:effectExtent l="4445" t="4445" r="5080"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Style w:val="32"/>
          <w:rFonts w:ascii="黑体" w:hAnsi="黑体" w:eastAsia="黑体"/>
          <w:b w:val="0"/>
        </w:rPr>
      </w:pPr>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5"/>
      <w:bookmarkEnd w:id="26"/>
    </w:p>
    <w:p>
      <w:pPr>
        <w:overflowPunct w:val="0"/>
        <w:autoSpaceDE w:val="0"/>
        <w:autoSpaceDN w:val="0"/>
        <w:adjustRightInd w:val="0"/>
        <w:snapToGrid w:val="0"/>
        <w:spacing w:line="560" w:lineRule="exact"/>
        <w:ind w:firstLine="640" w:firstLineChars="200"/>
        <w:textAlignment w:val="baseline"/>
        <w:rPr>
          <w:rFonts w:ascii="仿宋_GB2312" w:hAnsi="仿宋_GB2312" w:eastAsia="仿宋_GB2312" w:cs="仿宋_GB2312"/>
          <w:snapToGrid w:val="0"/>
          <w:color w:val="000000"/>
          <w:spacing w:val="3"/>
          <w:kern w:val="0"/>
          <w:sz w:val="32"/>
          <w:szCs w:val="32"/>
        </w:rPr>
      </w:pPr>
      <w:r>
        <w:rPr>
          <w:rFonts w:ascii="仿宋" w:hAnsi="仿宋" w:eastAsia="仿宋"/>
          <w:sz w:val="32"/>
          <w:szCs w:val="32"/>
        </w:rPr>
        <w:t>20</w:t>
      </w:r>
      <w:r>
        <w:rPr>
          <w:rFonts w:hint="eastAsia" w:ascii="仿宋" w:hAnsi="仿宋" w:eastAsia="仿宋"/>
          <w:sz w:val="32"/>
          <w:szCs w:val="32"/>
        </w:rPr>
        <w:t>22年财政拨款收、支总计276.33万元。</w:t>
      </w:r>
      <w:r>
        <w:rPr>
          <w:rFonts w:hint="eastAsia" w:ascii="仿宋_GB2312" w:hAnsi="仿宋_GB2312" w:eastAsia="仿宋_GB2312" w:cs="仿宋_GB2312"/>
          <w:snapToGrid w:val="0"/>
          <w:color w:val="000000"/>
          <w:spacing w:val="3"/>
          <w:kern w:val="0"/>
          <w:sz w:val="32"/>
          <w:szCs w:val="32"/>
        </w:rPr>
        <w:t>与2021年相比，收、支总计减少60.51万元，下降17.96%。主要变动原因是2022年项目经费减少，收支总额减少。</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（图4：财政拨款收、支决算总计变动情况）（柱状图）</w:t>
      </w:r>
    </w:p>
    <w:p>
      <w:pPr>
        <w:pStyle w:val="5"/>
        <w:spacing w:before="72"/>
        <w:rPr>
          <w:rFonts w:ascii="仿宋" w:hAnsi="仿宋" w:eastAsia="仿宋"/>
          <w:sz w:val="32"/>
          <w:szCs w:val="32"/>
        </w:rPr>
      </w:pPr>
      <w:r>
        <w:rPr>
          <w:rFonts w:hint="eastAsia" w:ascii="仿宋" w:hAnsi="仿宋" w:eastAsia="仿宋"/>
          <w:sz w:val="32"/>
          <w:szCs w:val="32"/>
        </w:rPr>
        <w:t xml:space="preserve">    </w:t>
      </w:r>
    </w:p>
    <w:p>
      <w:pPr>
        <w:pStyle w:val="5"/>
        <w:spacing w:before="72"/>
        <w:rPr>
          <w:rFonts w:ascii="仿宋" w:hAnsi="仿宋" w:eastAsia="仿宋"/>
          <w:sz w:val="32"/>
          <w:szCs w:val="32"/>
        </w:rPr>
      </w:pPr>
      <w:r>
        <w:rPr>
          <w:rFonts w:hint="eastAsia" w:ascii="仿宋" w:hAnsi="仿宋" w:eastAsia="仿宋"/>
          <w:sz w:val="32"/>
          <w:szCs w:val="32"/>
        </w:rPr>
        <w:t xml:space="preserve">     </w:t>
      </w: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spacing w:before="72"/>
        <w:rPr>
          <w:rFonts w:ascii="仿宋" w:hAnsi="仿宋" w:eastAsia="仿宋"/>
          <w:sz w:val="32"/>
          <w:szCs w:val="32"/>
        </w:rPr>
      </w:pPr>
      <w:r>
        <w:rPr>
          <w:rFonts w:hint="eastAsia" w:ascii="仿宋" w:hAnsi="仿宋" w:eastAsia="仿宋"/>
          <w:sz w:val="32"/>
          <w:szCs w:val="32"/>
        </w:rPr>
        <w:t xml:space="preserve">  </w:t>
      </w:r>
    </w:p>
    <w:p>
      <w:pPr>
        <w:spacing w:line="600" w:lineRule="exact"/>
        <w:ind w:firstLine="640" w:firstLineChars="200"/>
        <w:outlineLvl w:val="1"/>
        <w:rPr>
          <w:rStyle w:val="32"/>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7"/>
      <w:bookmarkEnd w:id="28"/>
    </w:p>
    <w:p>
      <w:pPr>
        <w:spacing w:line="600" w:lineRule="exact"/>
        <w:ind w:firstLine="642"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overflowPunct w:val="0"/>
        <w:autoSpaceDE w:val="0"/>
        <w:autoSpaceDN w:val="0"/>
        <w:adjustRightInd w:val="0"/>
        <w:snapToGrid w:val="0"/>
        <w:spacing w:line="560" w:lineRule="exact"/>
        <w:ind w:firstLine="640" w:firstLineChars="200"/>
        <w:textAlignment w:val="baseline"/>
        <w:rPr>
          <w:rFonts w:ascii="仿宋_GB2312" w:hAnsi="仿宋_GB2312" w:eastAsia="仿宋_GB2312" w:cs="仿宋_GB2312"/>
          <w:snapToGrid w:val="0"/>
          <w:color w:val="000000"/>
          <w:spacing w:val="3"/>
          <w:kern w:val="0"/>
          <w:sz w:val="32"/>
          <w:szCs w:val="32"/>
        </w:rPr>
      </w:pPr>
      <w:r>
        <w:rPr>
          <w:rFonts w:ascii="仿宋" w:hAnsi="仿宋" w:eastAsia="仿宋"/>
          <w:sz w:val="32"/>
          <w:szCs w:val="32"/>
        </w:rPr>
        <w:t>20</w:t>
      </w:r>
      <w:r>
        <w:rPr>
          <w:rFonts w:hint="eastAsia" w:ascii="仿宋" w:hAnsi="仿宋" w:eastAsia="仿宋"/>
          <w:sz w:val="32"/>
          <w:szCs w:val="32"/>
        </w:rPr>
        <w:t>22年一般公共预算财政拨款支出276.33万元，占本年支出合计的100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21年相比，一般公共预算财政拨款支出减少60.51万元，下降17.96</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napToGrid w:val="0"/>
          <w:color w:val="000000"/>
          <w:spacing w:val="3"/>
          <w:kern w:val="0"/>
          <w:sz w:val="32"/>
          <w:szCs w:val="32"/>
        </w:rPr>
        <w:t>2022年项目经费减少，收支总额减少。</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5"/>
        <w:spacing w:before="72"/>
        <w:rPr>
          <w:rFonts w:ascii="仿宋" w:hAnsi="仿宋" w:eastAsia="仿宋"/>
          <w:sz w:val="32"/>
          <w:szCs w:val="32"/>
        </w:rPr>
      </w:pPr>
      <w:r>
        <w:rPr>
          <w:rFonts w:hint="eastAsia" w:ascii="仿宋" w:hAnsi="仿宋" w:eastAsia="仿宋"/>
          <w:sz w:val="32"/>
          <w:szCs w:val="32"/>
        </w:rPr>
        <w:t xml:space="preserve">        </w:t>
      </w:r>
      <w:r>
        <w:drawing>
          <wp:inline distT="0" distB="0" distL="114300" distR="114300">
            <wp:extent cx="4058285" cy="2609850"/>
            <wp:effectExtent l="4445" t="5080" r="13970" b="1397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5"/>
        <w:spacing w:before="72"/>
        <w:rPr>
          <w:rFonts w:ascii="仿宋" w:hAnsi="仿宋" w:eastAsia="仿宋"/>
          <w:b/>
          <w:sz w:val="32"/>
          <w:szCs w:val="32"/>
        </w:rPr>
      </w:pPr>
      <w:r>
        <w:rPr>
          <w:rFonts w:hint="eastAsia" w:ascii="仿宋" w:hAnsi="仿宋" w:eastAsia="仿宋"/>
          <w:sz w:val="32"/>
          <w:szCs w:val="32"/>
        </w:rPr>
        <w:t xml:space="preserve">    </w:t>
      </w: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22年一般公共预算财政拨款支出276.33万元，主要用于以下方面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231.94万元，占83.94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19.73万元，占7.14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9.86万元，占3.57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14.8万元，占5.35</w:t>
      </w:r>
      <w:r>
        <w:rPr>
          <w:rFonts w:ascii="仿宋" w:hAnsi="仿宋" w:eastAsia="仿宋"/>
          <w:sz w:val="32"/>
          <w:szCs w:val="32"/>
        </w:rPr>
        <w:t>%</w:t>
      </w:r>
      <w:r>
        <w:rPr>
          <w:rFonts w:hint="eastAsia" w:ascii="仿宋" w:hAnsi="仿宋" w:eastAsia="仿宋"/>
          <w:sz w:val="32"/>
          <w:szCs w:val="32"/>
        </w:rPr>
        <w:t>。</w:t>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5"/>
        <w:spacing w:before="72"/>
        <w:rPr>
          <w:rFonts w:ascii="仿宋" w:hAnsi="仿宋" w:eastAsia="仿宋"/>
          <w:sz w:val="32"/>
          <w:szCs w:val="32"/>
        </w:rPr>
      </w:pPr>
      <w:r>
        <w:rPr>
          <w:rFonts w:hint="eastAsia" w:ascii="仿宋" w:hAnsi="仿宋" w:eastAsia="仿宋"/>
          <w:sz w:val="32"/>
          <w:szCs w:val="32"/>
        </w:rPr>
        <w:t xml:space="preserve">       </w:t>
      </w: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2" w:firstLineChars="200"/>
        <w:outlineLvl w:val="2"/>
        <w:rPr>
          <w:rFonts w:ascii="仿宋" w:hAnsi="仿宋" w:eastAsia="仿宋"/>
          <w:sz w:val="32"/>
          <w:szCs w:val="32"/>
        </w:rPr>
      </w:pPr>
      <w:bookmarkStart w:id="32" w:name="_Toc15378460"/>
      <w:bookmarkStart w:id="33" w:name="_Toc15377213"/>
      <w:bookmarkStart w:id="34" w:name="_Toc15377444"/>
      <w:r>
        <w:rPr>
          <w:rFonts w:hint="eastAsia" w:ascii="仿宋" w:hAnsi="仿宋" w:eastAsia="仿宋"/>
          <w:b/>
          <w:sz w:val="32"/>
          <w:szCs w:val="32"/>
        </w:rPr>
        <w:t>2022年一般公共预算支出决算数为231.94</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9"/>
          <w:rFonts w:hint="eastAsia" w:ascii="仿宋" w:hAnsi="仿宋" w:eastAsia="仿宋"/>
          <w:bCs/>
          <w:sz w:val="32"/>
          <w:szCs w:val="32"/>
        </w:rPr>
        <w:t>完成预算100</w:t>
      </w:r>
      <w:r>
        <w:rPr>
          <w:rStyle w:val="19"/>
          <w:rFonts w:ascii="仿宋" w:hAnsi="仿宋" w:eastAsia="仿宋"/>
          <w:bCs/>
          <w:sz w:val="32"/>
          <w:szCs w:val="32"/>
        </w:rPr>
        <w:t>%</w:t>
      </w:r>
      <w:r>
        <w:rPr>
          <w:rStyle w:val="19"/>
          <w:rFonts w:hint="eastAsia" w:ascii="仿宋" w:hAnsi="仿宋" w:eastAsia="仿宋"/>
          <w:bCs/>
          <w:sz w:val="32"/>
          <w:szCs w:val="32"/>
        </w:rPr>
        <w:t>。其中：</w:t>
      </w:r>
      <w:bookmarkEnd w:id="32"/>
      <w:bookmarkEnd w:id="33"/>
      <w:bookmarkEnd w:id="34"/>
    </w:p>
    <w:p>
      <w:pPr>
        <w:spacing w:line="600" w:lineRule="exact"/>
        <w:ind w:firstLine="642"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一般公共服务支出（类）党委办公厅（室）及相关机构事务（款）行政运行（项）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支出决算为167.73万元，完成预算100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Style w:val="19"/>
          <w:rFonts w:ascii="仿宋" w:hAnsi="仿宋" w:eastAsia="仿宋"/>
          <w:bCs/>
          <w:sz w:val="32"/>
          <w:szCs w:val="32"/>
        </w:rPr>
      </w:pPr>
      <w:r>
        <w:rPr>
          <w:rStyle w:val="19"/>
          <w:rFonts w:hint="eastAsia" w:ascii="仿宋" w:hAnsi="仿宋" w:eastAsia="仿宋"/>
          <w:bCs/>
          <w:sz w:val="32"/>
          <w:szCs w:val="32"/>
        </w:rPr>
        <w:t>2</w:t>
      </w:r>
      <w:r>
        <w:rPr>
          <w:rStyle w:val="19"/>
          <w:rFonts w:ascii="仿宋" w:hAnsi="仿宋" w:eastAsia="仿宋"/>
          <w:bCs/>
          <w:sz w:val="32"/>
          <w:szCs w:val="32"/>
        </w:rPr>
        <w:t>.</w:t>
      </w:r>
      <w:r>
        <w:rPr>
          <w:rStyle w:val="19"/>
          <w:rFonts w:hint="eastAsia" w:ascii="仿宋" w:hAnsi="仿宋" w:eastAsia="仿宋"/>
          <w:bCs/>
          <w:sz w:val="32"/>
          <w:szCs w:val="32"/>
        </w:rPr>
        <w:t>一般公共服务支出（类）党委办公厅（室）及相关机构事务（款）事业运行（项）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支出决算为64.21万元，完成预算100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9"/>
          <w:rFonts w:hint="eastAsia" w:ascii="仿宋" w:hAnsi="仿宋" w:eastAsia="仿宋"/>
          <w:bCs/>
          <w:sz w:val="32"/>
          <w:szCs w:val="32"/>
        </w:rPr>
        <w:t>3</w:t>
      </w:r>
      <w:r>
        <w:rPr>
          <w:rStyle w:val="19"/>
          <w:rFonts w:ascii="仿宋" w:hAnsi="仿宋" w:eastAsia="仿宋"/>
          <w:bCs/>
          <w:sz w:val="32"/>
          <w:szCs w:val="32"/>
        </w:rPr>
        <w:t>.</w:t>
      </w:r>
      <w:r>
        <w:rPr>
          <w:rStyle w:val="19"/>
          <w:rFonts w:hint="eastAsia" w:ascii="仿宋" w:hAnsi="仿宋" w:eastAsia="仿宋"/>
          <w:bCs/>
          <w:sz w:val="32"/>
          <w:szCs w:val="32"/>
        </w:rPr>
        <w:t>社会保障和就业支出（类）行政事业单位养老支出（款）机关事业单位基本养老保险缴费支出（项）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支出决算为19.73万元，完成预算100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9"/>
          <w:rFonts w:hint="eastAsia" w:ascii="仿宋" w:hAnsi="仿宋" w:eastAsia="仿宋"/>
          <w:bCs/>
          <w:sz w:val="32"/>
          <w:szCs w:val="32"/>
        </w:rPr>
        <w:t>4</w:t>
      </w:r>
      <w:r>
        <w:rPr>
          <w:rStyle w:val="19"/>
          <w:rFonts w:ascii="仿宋" w:hAnsi="仿宋" w:eastAsia="仿宋"/>
          <w:bCs/>
          <w:sz w:val="32"/>
          <w:szCs w:val="32"/>
        </w:rPr>
        <w:t>.</w:t>
      </w:r>
      <w:r>
        <w:rPr>
          <w:rFonts w:hint="eastAsia" w:ascii="仿宋" w:hAnsi="仿宋" w:eastAsia="仿宋"/>
          <w:b/>
          <w:bCs/>
          <w:sz w:val="32"/>
          <w:szCs w:val="32"/>
        </w:rPr>
        <w:t>卫生健康支出</w:t>
      </w:r>
      <w:r>
        <w:rPr>
          <w:rStyle w:val="19"/>
          <w:rFonts w:hint="eastAsia" w:ascii="仿宋" w:hAnsi="仿宋" w:eastAsia="仿宋"/>
          <w:bCs/>
          <w:sz w:val="32"/>
          <w:szCs w:val="32"/>
        </w:rPr>
        <w:t>（类）行政事业单位医疗（款）行政单位医疗（项）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支出决算为6.98万元，完成预算100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9"/>
          <w:rFonts w:hint="eastAsia" w:ascii="仿宋" w:hAnsi="仿宋" w:eastAsia="仿宋"/>
          <w:bCs/>
          <w:sz w:val="32"/>
          <w:szCs w:val="32"/>
        </w:rPr>
        <w:t>5</w:t>
      </w:r>
      <w:r>
        <w:rPr>
          <w:rStyle w:val="19"/>
          <w:rFonts w:ascii="仿宋" w:hAnsi="仿宋" w:eastAsia="仿宋"/>
          <w:bCs/>
          <w:sz w:val="32"/>
          <w:szCs w:val="32"/>
        </w:rPr>
        <w:t>.</w:t>
      </w:r>
      <w:r>
        <w:rPr>
          <w:rFonts w:hint="eastAsia" w:ascii="仿宋" w:hAnsi="仿宋" w:eastAsia="仿宋"/>
          <w:b/>
          <w:bCs/>
          <w:sz w:val="32"/>
          <w:szCs w:val="32"/>
        </w:rPr>
        <w:t>卫生健康支出</w:t>
      </w:r>
      <w:r>
        <w:rPr>
          <w:rStyle w:val="19"/>
          <w:rFonts w:hint="eastAsia" w:ascii="仿宋" w:hAnsi="仿宋" w:eastAsia="仿宋"/>
          <w:bCs/>
          <w:sz w:val="32"/>
          <w:szCs w:val="32"/>
        </w:rPr>
        <w:t>（类）行政事业单位医疗（款）事业单位医疗（项）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支出决算为2.89万元，完成预算100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9"/>
          <w:rFonts w:hint="eastAsia" w:ascii="仿宋" w:hAnsi="仿宋" w:eastAsia="仿宋"/>
          <w:bCs/>
          <w:sz w:val="32"/>
          <w:szCs w:val="32"/>
        </w:rPr>
        <w:t>6</w:t>
      </w:r>
      <w:r>
        <w:rPr>
          <w:rStyle w:val="19"/>
          <w:rFonts w:ascii="仿宋" w:hAnsi="仿宋" w:eastAsia="仿宋"/>
          <w:bCs/>
          <w:sz w:val="32"/>
          <w:szCs w:val="32"/>
        </w:rPr>
        <w:t>.</w:t>
      </w:r>
      <w:r>
        <w:rPr>
          <w:rFonts w:hint="eastAsia" w:ascii="仿宋" w:hAnsi="仿宋" w:eastAsia="仿宋"/>
          <w:b/>
          <w:bCs/>
          <w:sz w:val="32"/>
          <w:szCs w:val="32"/>
        </w:rPr>
        <w:t>住房保障支出</w:t>
      </w:r>
      <w:r>
        <w:rPr>
          <w:rStyle w:val="19"/>
          <w:rFonts w:hint="eastAsia" w:ascii="仿宋" w:hAnsi="仿宋" w:eastAsia="仿宋"/>
          <w:bCs/>
          <w:sz w:val="32"/>
          <w:szCs w:val="32"/>
        </w:rPr>
        <w:t>（类）住房改革支出（款）住房公积金（项）</w:t>
      </w:r>
      <w:r>
        <w:rPr>
          <w:rStyle w:val="19"/>
          <w:rFonts w:ascii="仿宋" w:hAnsi="仿宋" w:eastAsia="仿宋"/>
          <w:bCs/>
          <w:sz w:val="32"/>
          <w:szCs w:val="32"/>
        </w:rPr>
        <w:t>:</w:t>
      </w:r>
      <w:r>
        <w:rPr>
          <w:rStyle w:val="19"/>
          <w:rFonts w:hint="eastAsia" w:ascii="仿宋" w:hAnsi="仿宋" w:eastAsia="仿宋"/>
          <w:b w:val="0"/>
          <w:bCs/>
          <w:sz w:val="32"/>
          <w:szCs w:val="32"/>
        </w:rPr>
        <w:t>支出决算为14.8万元，完成预算100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pPr>
        <w:tabs>
          <w:tab w:val="right" w:pos="8306"/>
        </w:tabs>
        <w:spacing w:line="600" w:lineRule="exact"/>
        <w:ind w:firstLine="640"/>
        <w:outlineLvl w:val="1"/>
        <w:rPr>
          <w:rStyle w:val="32"/>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35"/>
      <w:bookmarkEnd w:id="36"/>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22年一般公共预算财政拨款基本支出276.33万元，其中：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人员经费248.99万元，主要包括：基本工资、津贴补贴、奖金、绩效工资、机关事业单位基本养老保险缴费、职工基工医疗保险缴费、其他社会保障缴费、住房公积金、其他对个人和家庭的补助支出等。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公用经费27.34万元，主要包括：办公费、印刷费、水费、电费、邮电费、差旅费、维修（护）费、会议费、公务接待费、劳务费、工会经费、福利费、其他交通费、其他商品和服务支出。</w:t>
      </w:r>
    </w:p>
    <w:p>
      <w:pPr>
        <w:spacing w:line="600" w:lineRule="exact"/>
        <w:ind w:firstLine="640"/>
        <w:outlineLvl w:val="1"/>
        <w:rPr>
          <w:rStyle w:val="32"/>
          <w:rFonts w:ascii="黑体" w:hAnsi="黑体" w:eastAsia="黑体"/>
          <w:b w:val="0"/>
        </w:rPr>
      </w:pPr>
      <w:bookmarkStart w:id="37" w:name="_Toc15396609"/>
      <w:bookmarkStart w:id="38"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22年“三公”经费财政拨款支出决算为1.52万元，完成预算100</w:t>
      </w:r>
      <w:r>
        <w:rPr>
          <w:rFonts w:ascii="仿宋" w:hAnsi="仿宋" w:eastAsia="仿宋"/>
          <w:sz w:val="32"/>
          <w:szCs w:val="32"/>
        </w:rPr>
        <w:t>%</w:t>
      </w:r>
      <w:r>
        <w:rPr>
          <w:rFonts w:hint="eastAsia" w:ascii="仿宋" w:hAnsi="仿宋" w:eastAsia="仿宋"/>
          <w:sz w:val="32"/>
          <w:szCs w:val="32"/>
        </w:rPr>
        <w:t>，较上年减少0.38万元，增长20%。决算数与预算数持平。</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_GB2312" w:eastAsia="仿宋_GB2312"/>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；公务接待费支出决算1.52万元，占100</w:t>
      </w:r>
      <w:r>
        <w:rPr>
          <w:rFonts w:ascii="仿宋" w:hAnsi="仿宋" w:eastAsia="仿宋"/>
          <w:sz w:val="32"/>
          <w:szCs w:val="32"/>
        </w:rPr>
        <w:t>%</w:t>
      </w:r>
      <w:r>
        <w:rPr>
          <w:rFonts w:hint="eastAsia" w:ascii="仿宋" w:hAnsi="仿宋" w:eastAsia="仿宋"/>
          <w:sz w:val="32"/>
          <w:szCs w:val="32"/>
        </w:rPr>
        <w:t>。具体情况如下：（图7：“三公”经费财政拨款支出结构）（饼状图）</w:t>
      </w:r>
      <w:r>
        <w:rPr>
          <w:rFonts w:hint="eastAsia"/>
          <w:b/>
          <w:sz w:val="32"/>
          <w:szCs w:val="32"/>
        </w:rPr>
        <w:t xml:space="preserve">    </w:t>
      </w:r>
    </w:p>
    <w:p>
      <w:pPr>
        <w:spacing w:line="600" w:lineRule="exact"/>
        <w:ind w:firstLine="640"/>
        <w:rPr>
          <w:rFonts w:ascii="仿宋_GB2312" w:eastAsia="仿宋_GB2312"/>
          <w:b/>
          <w:sz w:val="32"/>
          <w:szCs w:val="32"/>
        </w:rPr>
      </w:pPr>
      <w:r>
        <w:drawing>
          <wp:anchor distT="0" distB="0" distL="114300" distR="114300" simplePos="0" relativeHeight="251660288" behindDoc="0" locked="0" layoutInCell="1" allowOverlap="1">
            <wp:simplePos x="0" y="0"/>
            <wp:positionH relativeFrom="column">
              <wp:posOffset>515620</wp:posOffset>
            </wp:positionH>
            <wp:positionV relativeFrom="paragraph">
              <wp:posOffset>172085</wp:posOffset>
            </wp:positionV>
            <wp:extent cx="4561840" cy="2524125"/>
            <wp:effectExtent l="4445" t="5080" r="5715" b="4445"/>
            <wp:wrapSquare wrapText="bothSides"/>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_GB2312" w:eastAsia="仿宋_GB2312"/>
          <w:b/>
          <w:sz w:val="32"/>
          <w:szCs w:val="32"/>
        </w:rPr>
      </w:pPr>
    </w:p>
    <w:p>
      <w:pPr>
        <w:spacing w:line="600" w:lineRule="exact"/>
        <w:ind w:firstLine="64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 w:hAnsi="仿宋" w:eastAsia="仿宋"/>
          <w:sz w:val="32"/>
          <w:szCs w:val="32"/>
        </w:rPr>
        <w:t>完成预算0</w:t>
      </w:r>
      <w:r>
        <w:rPr>
          <w:rFonts w:ascii="仿宋" w:hAnsi="仿宋" w:eastAsia="仿宋"/>
          <w:sz w:val="32"/>
          <w:szCs w:val="32"/>
        </w:rPr>
        <w:t>%</w:t>
      </w:r>
      <w:r>
        <w:rPr>
          <w:rFonts w:hint="eastAsia" w:ascii="仿宋" w:hAnsi="仿宋" w:eastAsia="仿宋"/>
          <w:sz w:val="32"/>
          <w:szCs w:val="32"/>
        </w:rPr>
        <w:t>。2022年未安排国公出国(境)经费预算，无相应支出，较上年无变化。</w:t>
      </w:r>
    </w:p>
    <w:p>
      <w:pPr>
        <w:overflowPunct w:val="0"/>
        <w:autoSpaceDE w:val="0"/>
        <w:autoSpaceDN w:val="0"/>
        <w:adjustRightInd w:val="0"/>
        <w:snapToGrid w:val="0"/>
        <w:spacing w:line="560" w:lineRule="exact"/>
        <w:ind w:firstLine="642" w:firstLineChars="200"/>
        <w:textAlignment w:val="baseline"/>
        <w:rPr>
          <w:rFonts w:ascii="仿宋" w:hAnsi="仿宋" w:eastAsia="仿宋"/>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9"/>
          <w:rFonts w:hint="eastAsia" w:ascii="仿宋" w:hAnsi="仿宋" w:eastAsia="仿宋"/>
          <w:b w:val="0"/>
          <w:bCs/>
          <w:sz w:val="32"/>
          <w:szCs w:val="32"/>
        </w:rPr>
        <w:t>完成预算0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 w:hAnsi="仿宋" w:eastAsia="仿宋"/>
          <w:sz w:val="32"/>
          <w:szCs w:val="32"/>
        </w:rPr>
        <w:t>2022年本单位无公务用车，未安排公务用车购置及运行维护费预算，无相应支出，较上年无变化；</w:t>
      </w:r>
    </w:p>
    <w:p>
      <w:pPr>
        <w:overflowPunct w:val="0"/>
        <w:autoSpaceDE w:val="0"/>
        <w:autoSpaceDN w:val="0"/>
        <w:adjustRightInd w:val="0"/>
        <w:snapToGrid w:val="0"/>
        <w:spacing w:line="560" w:lineRule="exact"/>
        <w:ind w:firstLine="642" w:firstLineChars="200"/>
        <w:textAlignment w:val="baseline"/>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1.52万元，</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21年减少0.38万元，减少20</w:t>
      </w:r>
      <w:r>
        <w:rPr>
          <w:rFonts w:ascii="仿宋_GB2312" w:eastAsia="仿宋_GB2312"/>
          <w:sz w:val="32"/>
          <w:szCs w:val="32"/>
        </w:rPr>
        <w:t>%</w:t>
      </w:r>
      <w:r>
        <w:rPr>
          <w:rFonts w:hint="eastAsia" w:ascii="仿宋_GB2312" w:eastAsia="仿宋_GB2312"/>
          <w:sz w:val="32"/>
          <w:szCs w:val="32"/>
        </w:rPr>
        <w:t>。</w:t>
      </w:r>
      <w:r>
        <w:rPr>
          <w:rFonts w:hint="eastAsia" w:ascii="仿宋_GB2312" w:hAnsi="仿宋_GB2312" w:eastAsia="仿宋_GB2312" w:cs="仿宋_GB2312"/>
          <w:spacing w:val="2"/>
          <w:sz w:val="32"/>
          <w:szCs w:val="32"/>
        </w:rPr>
        <w:t>是认真贯彻落实"党政机关</w:t>
      </w:r>
      <w:r>
        <w:rPr>
          <w:rFonts w:hint="eastAsia" w:ascii="仿宋_GB2312" w:hAnsi="仿宋_GB2312" w:eastAsia="仿宋_GB2312" w:cs="仿宋_GB2312"/>
          <w:spacing w:val="-15"/>
          <w:sz w:val="32"/>
          <w:szCs w:val="32"/>
        </w:rPr>
        <w:t>要坚持过紧日子”的要求，厉行节约，从严控</w:t>
      </w:r>
      <w:r>
        <w:rPr>
          <w:rFonts w:hint="eastAsia" w:ascii="仿宋_GB2312" w:hAnsi="仿宋_GB2312" w:eastAsia="仿宋_GB2312" w:cs="仿宋_GB2312"/>
          <w:spacing w:val="-16"/>
          <w:sz w:val="32"/>
          <w:szCs w:val="32"/>
        </w:rPr>
        <w:t>制“三公”经费开支。</w:t>
      </w:r>
      <w:r>
        <w:rPr>
          <w:rFonts w:hint="eastAsia" w:ascii="仿宋_GB2312" w:eastAsia="仿宋_GB2312"/>
          <w:sz w:val="32"/>
          <w:szCs w:val="32"/>
        </w:rPr>
        <w:t>其中：</w:t>
      </w:r>
    </w:p>
    <w:p>
      <w:pPr>
        <w:overflowPunct w:val="0"/>
        <w:autoSpaceDE w:val="0"/>
        <w:autoSpaceDN w:val="0"/>
        <w:adjustRightInd w:val="0"/>
        <w:snapToGrid w:val="0"/>
        <w:spacing w:line="560" w:lineRule="exact"/>
        <w:ind w:firstLine="642" w:firstLineChars="200"/>
        <w:textAlignment w:val="baseline"/>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1.52</w:t>
      </w:r>
      <w:r>
        <w:rPr>
          <w:rFonts w:hint="eastAsia" w:ascii="仿宋_GB2312" w:eastAsia="仿宋_GB2312"/>
          <w:sz w:val="32"/>
          <w:szCs w:val="32"/>
        </w:rPr>
        <w:t>万元，主要用于执行公务、开展业务活动开支的用餐费等。国内公务接待24批次，168人次。无外事接待支出。</w:t>
      </w:r>
    </w:p>
    <w:p>
      <w:pPr>
        <w:spacing w:line="600" w:lineRule="exact"/>
        <w:ind w:firstLine="640"/>
        <w:outlineLvl w:val="1"/>
        <w:rPr>
          <w:rStyle w:val="32"/>
          <w:rFonts w:ascii="黑体" w:hAnsi="黑体" w:eastAsia="黑体"/>
        </w:rPr>
      </w:pPr>
      <w:bookmarkStart w:id="41" w:name="_Toc15396610"/>
      <w:bookmarkStart w:id="42" w:name="_Toc15377218"/>
      <w:r>
        <w:rPr>
          <w:rFonts w:hint="eastAsia" w:ascii="黑体" w:eastAsia="黑体"/>
          <w:sz w:val="32"/>
          <w:szCs w:val="32"/>
        </w:rPr>
        <w:t>八、</w:t>
      </w:r>
      <w:r>
        <w:rPr>
          <w:rStyle w:val="32"/>
          <w:rFonts w:hint="eastAsia" w:ascii="黑体" w:hAnsi="黑体" w:eastAsia="黑体"/>
          <w:b w:val="0"/>
        </w:rPr>
        <w:t>政府性基金预算支出决算情况说明</w:t>
      </w:r>
      <w:bookmarkEnd w:id="41"/>
      <w:bookmarkEnd w:id="42"/>
    </w:p>
    <w:p>
      <w:pPr>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pacing w:val="-5"/>
          <w:sz w:val="32"/>
          <w:szCs w:val="32"/>
        </w:rPr>
        <w:t>县委群工局2022年无政府性基金预算财政拨款支出。</w:t>
      </w:r>
    </w:p>
    <w:p>
      <w:pPr>
        <w:numPr>
          <w:ilvl w:val="0"/>
          <w:numId w:val="2"/>
        </w:numPr>
        <w:spacing w:line="600" w:lineRule="exact"/>
        <w:ind w:firstLine="640"/>
        <w:outlineLvl w:val="1"/>
        <w:rPr>
          <w:rStyle w:val="32"/>
          <w:rFonts w:ascii="黑体" w:hAnsi="黑体" w:eastAsia="黑体"/>
          <w:b w:val="0"/>
        </w:rPr>
      </w:pPr>
      <w:bookmarkStart w:id="43" w:name="_Toc15396611"/>
      <w:bookmarkStart w:id="44" w:name="_Toc15377219"/>
      <w:r>
        <w:rPr>
          <w:rStyle w:val="32"/>
          <w:rFonts w:hint="eastAsia" w:ascii="黑体" w:hAnsi="黑体" w:eastAsia="黑体"/>
          <w:b w:val="0"/>
        </w:rPr>
        <w:t>国有资本经营预算支出决算情况说明</w:t>
      </w:r>
      <w:bookmarkEnd w:id="43"/>
      <w:bookmarkEnd w:id="44"/>
    </w:p>
    <w:p>
      <w:pPr>
        <w:overflowPunct w:val="0"/>
        <w:autoSpaceDE w:val="0"/>
        <w:autoSpaceDN w:val="0"/>
        <w:adjustRightInd w:val="0"/>
        <w:snapToGrid w:val="0"/>
        <w:spacing w:line="560" w:lineRule="exact"/>
        <w:ind w:firstLine="624"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pacing w:val="-4"/>
          <w:sz w:val="32"/>
          <w:szCs w:val="32"/>
        </w:rPr>
        <w:t>县委群工局2022年无国有资本经营预算财政拨款支出</w:t>
      </w:r>
      <w:r>
        <w:rPr>
          <w:rFonts w:hint="eastAsia" w:ascii="仿宋_GB2312" w:hAnsi="仿宋_GB2312" w:eastAsia="仿宋_GB2312" w:cs="仿宋_GB2312"/>
          <w:spacing w:val="-5"/>
          <w:sz w:val="32"/>
          <w:szCs w:val="32"/>
        </w:rPr>
        <w:t>。</w:t>
      </w:r>
    </w:p>
    <w:p>
      <w:pPr>
        <w:numPr>
          <w:ilvl w:val="0"/>
          <w:numId w:val="2"/>
        </w:numPr>
        <w:spacing w:line="600" w:lineRule="exact"/>
        <w:ind w:firstLine="640"/>
        <w:outlineLvl w:val="1"/>
        <w:rPr>
          <w:rStyle w:val="32"/>
          <w:rFonts w:ascii="黑体" w:hAnsi="黑体" w:eastAsia="黑体"/>
          <w:b w:val="0"/>
        </w:rPr>
      </w:pPr>
      <w:bookmarkStart w:id="45" w:name="_Toc15377221"/>
      <w:bookmarkStart w:id="46" w:name="_Toc15396612"/>
      <w:r>
        <w:rPr>
          <w:rStyle w:val="32"/>
          <w:rFonts w:hint="eastAsia" w:ascii="黑体" w:hAnsi="黑体" w:eastAsia="黑体"/>
          <w:b w:val="0"/>
        </w:rPr>
        <w:t>其他重要事项的情况说明</w:t>
      </w:r>
      <w:bookmarkEnd w:id="45"/>
      <w:bookmarkEnd w:id="46"/>
    </w:p>
    <w:p>
      <w:pPr>
        <w:spacing w:line="600" w:lineRule="exact"/>
        <w:ind w:firstLine="642"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22年，县委群工局机关运行经费支出27.34万元，比</w:t>
      </w:r>
      <w:r>
        <w:rPr>
          <w:rFonts w:ascii="仿宋_GB2312" w:eastAsia="仿宋_GB2312"/>
          <w:sz w:val="32"/>
          <w:szCs w:val="32"/>
        </w:rPr>
        <w:t>20</w:t>
      </w:r>
      <w:r>
        <w:rPr>
          <w:rFonts w:hint="eastAsia" w:ascii="仿宋_GB2312" w:eastAsia="仿宋_GB2312"/>
          <w:sz w:val="32"/>
          <w:szCs w:val="32"/>
        </w:rPr>
        <w:t>21年减少6.3万元，下降18.73</w:t>
      </w:r>
      <w:r>
        <w:rPr>
          <w:rFonts w:ascii="仿宋_GB2312" w:eastAsia="仿宋_GB2312"/>
          <w:sz w:val="32"/>
          <w:szCs w:val="32"/>
        </w:rPr>
        <w:t>%</w:t>
      </w:r>
      <w:r>
        <w:rPr>
          <w:rFonts w:hint="eastAsia" w:ascii="仿宋_GB2312" w:eastAsia="仿宋_GB2312"/>
          <w:sz w:val="32"/>
          <w:szCs w:val="32"/>
        </w:rPr>
        <w:t>。</w:t>
      </w:r>
      <w:r>
        <w:rPr>
          <w:rFonts w:hint="eastAsia" w:ascii="仿宋_GB2312" w:hAnsi="仿宋_GB2312" w:eastAsia="仿宋_GB2312" w:cs="仿宋_GB2312"/>
          <w:spacing w:val="-7"/>
          <w:sz w:val="32"/>
          <w:szCs w:val="32"/>
        </w:rPr>
        <w:t>主要原因是认真贯彻落</w:t>
      </w:r>
      <w:r>
        <w:rPr>
          <w:rFonts w:hint="eastAsia" w:ascii="仿宋_GB2312" w:hAnsi="仿宋_GB2312" w:eastAsia="仿宋_GB2312" w:cs="仿宋_GB2312"/>
          <w:spacing w:val="-8"/>
          <w:sz w:val="32"/>
          <w:szCs w:val="32"/>
        </w:rPr>
        <w:t>实“党政机关要</w:t>
      </w:r>
      <w:r>
        <w:rPr>
          <w:rFonts w:hint="eastAsia" w:ascii="仿宋_GB2312" w:hAnsi="仿宋_GB2312" w:eastAsia="仿宋_GB2312" w:cs="仿宋_GB2312"/>
          <w:spacing w:val="-13"/>
          <w:sz w:val="32"/>
          <w:szCs w:val="32"/>
        </w:rPr>
        <w:t>坚持过紧日子”的要求，厉行节约。</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22年，县委群工局政府采购支出总额0万元，其中：政府采购货物支出0万元、政府采购工程支出0万元、政府采购服务支出0万元。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日，县委群工局共有车辆0辆。</w:t>
      </w:r>
    </w:p>
    <w:p>
      <w:pPr>
        <w:autoSpaceDE w:val="0"/>
        <w:autoSpaceDN w:val="0"/>
        <w:adjustRightInd w:val="0"/>
        <w:spacing w:line="600" w:lineRule="exact"/>
        <w:ind w:firstLine="642" w:firstLineChars="200"/>
        <w:jc w:val="left"/>
        <w:outlineLvl w:val="2"/>
        <w:rPr>
          <w:rFonts w:ascii="仿宋" w:hAnsi="仿宋" w:eastAsia="仿宋"/>
          <w:b/>
          <w:sz w:val="32"/>
          <w:szCs w:val="32"/>
        </w:rPr>
      </w:pPr>
    </w:p>
    <w:p>
      <w:pPr>
        <w:widowControl/>
        <w:ind w:firstLine="642" w:firstLineChars="200"/>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31"/>
          <w:rFonts w:ascii="黑体" w:hAnsi="黑体" w:eastAsia="黑体"/>
          <w:b w:val="0"/>
        </w:rPr>
      </w:pPr>
      <w:bookmarkStart w:id="50" w:name="_Toc15396613"/>
      <w:bookmarkStart w:id="51" w:name="_Toc15377225"/>
      <w:r>
        <w:rPr>
          <w:rFonts w:hint="eastAsia" w:ascii="黑体" w:hAnsi="黑体" w:eastAsia="黑体"/>
          <w:sz w:val="44"/>
          <w:szCs w:val="44"/>
        </w:rPr>
        <w:t>第三</w:t>
      </w:r>
      <w:r>
        <w:rPr>
          <w:rFonts w:hint="eastAsia" w:ascii="黑体" w:hAnsi="黑体" w:eastAsia="黑体"/>
          <w:sz w:val="44"/>
          <w:szCs w:val="44"/>
          <w:lang w:eastAsia="zh-CN"/>
        </w:rPr>
        <w:t>部分</w:t>
      </w:r>
      <w:r>
        <w:rPr>
          <w:rFonts w:hint="eastAsia" w:ascii="黑体" w:hAnsi="黑体" w:eastAsia="黑体"/>
          <w:sz w:val="44"/>
          <w:szCs w:val="44"/>
        </w:rPr>
        <w:t xml:space="preserve">  名</w:t>
      </w:r>
      <w:r>
        <w:rPr>
          <w:rStyle w:val="31"/>
          <w:rFonts w:hint="eastAsia" w:ascii="黑体" w:hAnsi="黑体" w:eastAsia="黑体"/>
          <w:b w:val="0"/>
        </w:rPr>
        <w:t>词解释</w:t>
      </w:r>
      <w:bookmarkEnd w:id="50"/>
      <w:bookmarkEnd w:id="51"/>
    </w:p>
    <w:p>
      <w:pPr>
        <w:autoSpaceDE w:val="0"/>
        <w:autoSpaceDN w:val="0"/>
        <w:spacing w:line="480" w:lineRule="exact"/>
        <w:ind w:firstLine="900" w:firstLineChars="300"/>
        <w:rPr>
          <w:rFonts w:ascii="仿宋" w:hAnsi="仿宋" w:eastAsia="仿宋" w:cs="仿宋"/>
          <w:sz w:val="30"/>
        </w:rPr>
      </w:pP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 xml:space="preserve"> 1.财政拨款收入：指单位从同级财政部门取得的财政预算资金。</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2.一般公共服务支出（类）党委办公厅(室)及相关机构事务（款）行政运行（项）：指反映行政单位（包括实行公务员管理的事业单位）的基本支出。</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3. 一般公共服务支出（类）党委办公厅(室)及相关机构事务（款）事业运行（项）: 反映事业单位的基本支出，不包括行政单位（包括实行公务员管理的事业单位）后勤服务中心、医务室等附属事业单位。</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 xml:space="preserve">4. 社会保障和就业支出（类）行政事业单位养老支出（款）机关事业单位基本养老保险缴费支出（项）: 指反映机关事业单位实施养老保险制度由单位缴纳的基本养老保险费支出。 </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5. 卫生健康支出（类）行政事业单位医疗（款）行政单位医疗（项）：指行政单位用于缴纳单位基本医疗保险支出。</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6. 卫生健康支出（类）行政事业单位医疗（款）事业单位医疗（项）：指事业单位用于缴纳单位基本医疗保险支出。</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7.住房保障支出（类）住房改革支出（款）住房公积金（项）：指反映行政事业单位按人力资源和社会保障部、财政部规定的基本工资和津贴补贴以及规定比例为职工缴纳的住房公积金。</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8.基本支出：指为保障机构正常运转、完成日常工作任务而发生的人员支出和公用支出。</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9.项目支出：指在基本支出之外为完成特定行政任务和事业发展目标所发生的支出。</w:t>
      </w:r>
    </w:p>
    <w:p>
      <w:pPr>
        <w:autoSpaceDE w:val="0"/>
        <w:autoSpaceDN w:val="0"/>
        <w:spacing w:line="480" w:lineRule="exact"/>
        <w:ind w:firstLine="900" w:firstLineChars="300"/>
        <w:rPr>
          <w:rFonts w:ascii="仿宋" w:hAnsi="仿宋" w:eastAsia="仿宋" w:cs="仿宋"/>
          <w:sz w:val="30"/>
        </w:rPr>
      </w:pPr>
      <w:r>
        <w:rPr>
          <w:rFonts w:hint="eastAsia" w:ascii="仿宋" w:hAnsi="仿宋" w:eastAsia="仿宋" w:cs="仿宋"/>
          <w:sz w:val="30"/>
        </w:rPr>
        <w:t>10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spacing w:line="480" w:lineRule="exact"/>
        <w:ind w:firstLine="900" w:firstLineChars="300"/>
        <w:rPr>
          <w:rFonts w:ascii="仿宋" w:hAnsi="仿宋" w:eastAsia="仿宋" w:cs="仿宋"/>
          <w:sz w:val="30"/>
        </w:rPr>
        <w:sectPr>
          <w:footerReference r:id="rId4" w:type="default"/>
          <w:pgSz w:w="11900" w:h="16820"/>
          <w:pgMar w:top="1984" w:right="1531" w:bottom="1871" w:left="1531" w:header="720" w:footer="1701" w:gutter="0"/>
          <w:pgNumType w:start="1" w:chapStyle="1" w:chapSep="colon"/>
          <w:cols w:space="720" w:num="1"/>
        </w:sectPr>
      </w:pPr>
      <w:r>
        <w:rPr>
          <w:rFonts w:hint="eastAsia" w:ascii="仿宋" w:hAnsi="仿宋" w:eastAsia="仿宋" w:cs="仿宋"/>
          <w:sz w:val="30"/>
        </w:rPr>
        <w:t>11.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r>
        <w:rPr>
          <w:rFonts w:hint="eastAsia" w:ascii="仿宋" w:hAnsi="仿宋" w:eastAsia="仿宋" w:cs="仿宋"/>
          <w:sz w:val="30"/>
        </w:rPr>
        <mc:AlternateContent>
          <mc:Choice Requires="wps">
            <w:drawing>
              <wp:anchor distT="0" distB="0" distL="114300" distR="114300" simplePos="0" relativeHeight="251661312" behindDoc="0" locked="0" layoutInCell="1" allowOverlap="1">
                <wp:simplePos x="0" y="0"/>
                <wp:positionH relativeFrom="column">
                  <wp:posOffset>2755900</wp:posOffset>
                </wp:positionH>
                <wp:positionV relativeFrom="line">
                  <wp:posOffset>3594100</wp:posOffset>
                </wp:positionV>
                <wp:extent cx="228600" cy="88900"/>
                <wp:effectExtent l="0" t="0" r="0" b="0"/>
                <wp:wrapNone/>
                <wp:docPr id="214" name="矩形 214"/>
                <wp:cNvGraphicFramePr/>
                <a:graphic xmlns:a="http://schemas.openxmlformats.org/drawingml/2006/main">
                  <a:graphicData uri="http://schemas.microsoft.com/office/word/2010/wordprocessingShape">
                    <wps:wsp>
                      <wps:cNvSpPr/>
                      <wps:spPr>
                        <a:xfrm>
                          <a:off x="0" y="0"/>
                          <a:ext cx="228600" cy="139700"/>
                        </a:xfrm>
                        <a:prstGeom prst="rect">
                          <a:avLst/>
                        </a:prstGeom>
                        <a:noFill/>
                        <a:ln>
                          <a:noFill/>
                        </a:ln>
                        <a:effectLst/>
                      </wps:spPr>
                      <wps:txbx>
                        <w:txbxContent>
                          <w:p>
                            <w:pPr>
                              <w:spacing w:line="140" w:lineRule="exact"/>
                            </w:pP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rect id="_x0000_s1026" o:spid="_x0000_s1026" o:spt="1" style="position:absolute;left:0pt;margin-left:217pt;margin-top:283pt;height:7pt;width:18pt;mso-position-vertical-relative:line;z-index:251661312;mso-width-relative:page;mso-height-relative:page;" filled="f" stroked="f" coordsize="21600,21600" o:gfxdata="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SI8+I2AAAAAsBAAAPAAAAAAAAAAEAIAAAADgAAABkcnMvZG93bnJldi54bWxQSwECFAAUAAAA&#10;CACHTuJAsSCONRECAAASBAAADgAAAAAAAAABACAAAAA9AQAAZHJzL2Uyb0RvYy54bWxQSwUGAAAA&#10;AAYABgBZAQAAwAUAAAAA&#10;">
                <v:fill on="f" focussize="0,0"/>
                <v:stroke on="f"/>
                <v:imagedata o:title=""/>
                <o:lock v:ext="edit" aspectratio="f"/>
                <v:textbox inset="0mm,0mm,0mm,0mm" style="mso-fit-shape-to-text:t;">
                  <w:txbxContent>
                    <w:p>
                      <w:pPr>
                        <w:spacing w:line="140" w:lineRule="exact"/>
                      </w:pPr>
                    </w:p>
                  </w:txbxContent>
                </v:textbox>
              </v:rect>
            </w:pict>
          </mc:Fallback>
        </mc:AlternateContent>
      </w:r>
    </w:p>
    <w:p>
      <w:pPr>
        <w:jc w:val="center"/>
        <w:outlineLvl w:val="0"/>
        <w:rPr>
          <w:rFonts w:ascii="黑体" w:hAnsi="黑体" w:eastAsia="黑体"/>
          <w:sz w:val="44"/>
          <w:szCs w:val="44"/>
        </w:rPr>
      </w:pPr>
      <w:bookmarkStart w:id="52" w:name="_Toc15396614"/>
      <w:bookmarkStart w:id="53" w:name="_Toc15377226"/>
      <w:r>
        <w:rPr>
          <w:rFonts w:hint="eastAsia" w:ascii="黑体" w:hAnsi="黑体" w:eastAsia="黑体"/>
          <w:sz w:val="44"/>
          <w:szCs w:val="44"/>
        </w:rPr>
        <w:t>第四部分 附件</w:t>
      </w:r>
      <w:bookmarkEnd w:id="52"/>
    </w:p>
    <w:p>
      <w:pPr>
        <w:spacing w:line="572" w:lineRule="exact"/>
        <w:outlineLvl w:val="0"/>
        <w:rPr>
          <w:rFonts w:ascii="仿宋" w:hAnsi="仿宋" w:eastAsia="仿宋" w:cs="仿宋"/>
          <w:sz w:val="44"/>
          <w:szCs w:val="44"/>
        </w:rPr>
      </w:pPr>
    </w:p>
    <w:p>
      <w:pPr>
        <w:spacing w:line="600" w:lineRule="exact"/>
        <w:jc w:val="center"/>
        <w:outlineLvl w:val="0"/>
        <w:rPr>
          <w:rFonts w:ascii="黑体" w:hAnsi="黑体" w:eastAsia="黑体"/>
          <w:sz w:val="36"/>
          <w:szCs w:val="36"/>
        </w:rPr>
      </w:pPr>
      <w:r>
        <w:rPr>
          <w:rFonts w:hint="eastAsia" w:ascii="黑体" w:hAnsi="黑体" w:eastAsia="黑体"/>
          <w:sz w:val="36"/>
          <w:szCs w:val="36"/>
        </w:rPr>
        <w:t>2022年中共剑阁县委群众工作局</w:t>
      </w:r>
    </w:p>
    <w:p>
      <w:pPr>
        <w:spacing w:line="600" w:lineRule="exact"/>
        <w:jc w:val="center"/>
        <w:outlineLvl w:val="0"/>
        <w:rPr>
          <w:rFonts w:ascii="黑体" w:hAnsi="黑体" w:eastAsia="黑体"/>
          <w:sz w:val="36"/>
          <w:szCs w:val="36"/>
          <w:lang w:val="zh-CN"/>
        </w:rPr>
      </w:pPr>
      <w:r>
        <w:rPr>
          <w:rFonts w:hint="eastAsia" w:ascii="黑体" w:hAnsi="黑体" w:eastAsia="黑体"/>
          <w:sz w:val="36"/>
          <w:szCs w:val="36"/>
        </w:rPr>
        <w:t>整体支出绩效评价报告</w:t>
      </w:r>
    </w:p>
    <w:p>
      <w:pPr>
        <w:pStyle w:val="14"/>
        <w:spacing w:beforeAutospacing="0" w:afterAutospacing="0" w:line="500" w:lineRule="exact"/>
        <w:ind w:firstLine="560" w:firstLineChars="200"/>
        <w:rPr>
          <w:kern w:val="2"/>
          <w:sz w:val="28"/>
          <w:szCs w:val="28"/>
          <w:lang w:val="zh-CN"/>
        </w:rPr>
      </w:pPr>
      <w:r>
        <w:rPr>
          <w:rFonts w:hint="eastAsia"/>
          <w:kern w:val="2"/>
          <w:sz w:val="28"/>
          <w:szCs w:val="28"/>
          <w:lang w:val="zh-CN"/>
        </w:rPr>
        <w:t>一、部门概况</w:t>
      </w:r>
    </w:p>
    <w:p>
      <w:pPr>
        <w:pStyle w:val="14"/>
        <w:spacing w:beforeAutospacing="0" w:afterAutospacing="0" w:line="500" w:lineRule="exact"/>
        <w:ind w:firstLine="560" w:firstLineChars="200"/>
        <w:rPr>
          <w:kern w:val="2"/>
          <w:sz w:val="28"/>
          <w:szCs w:val="28"/>
          <w:lang w:val="zh-CN"/>
        </w:rPr>
      </w:pPr>
      <w:r>
        <w:rPr>
          <w:rFonts w:hint="eastAsia"/>
          <w:kern w:val="2"/>
          <w:sz w:val="28"/>
          <w:szCs w:val="28"/>
          <w:lang w:val="zh-CN"/>
        </w:rPr>
        <w:t>（一）机构组成。</w:t>
      </w:r>
    </w:p>
    <w:p>
      <w:pPr>
        <w:pStyle w:val="14"/>
        <w:spacing w:beforeAutospacing="0" w:afterAutospacing="0" w:line="500" w:lineRule="exact"/>
        <w:ind w:firstLine="560" w:firstLineChars="200"/>
        <w:rPr>
          <w:kern w:val="2"/>
          <w:sz w:val="28"/>
          <w:szCs w:val="28"/>
        </w:rPr>
      </w:pPr>
      <w:r>
        <w:rPr>
          <w:rFonts w:hint="eastAsia" w:ascii="仿宋" w:hAnsi="仿宋" w:eastAsia="仿宋" w:cs="仿宋"/>
          <w:color w:val="000000"/>
          <w:sz w:val="28"/>
          <w:szCs w:val="28"/>
        </w:rPr>
        <w:t xml:space="preserve">  </w:t>
      </w:r>
      <w:r>
        <w:rPr>
          <w:rFonts w:hint="eastAsia"/>
          <w:kern w:val="2"/>
          <w:sz w:val="28"/>
          <w:szCs w:val="28"/>
        </w:rPr>
        <w:t>中共剑阁县委群众工作局无下属二级单位，其中行政单位1个，事业单位1个（副科级）</w:t>
      </w:r>
    </w:p>
    <w:p>
      <w:pPr>
        <w:pStyle w:val="14"/>
        <w:spacing w:beforeAutospacing="0" w:afterAutospacing="0" w:line="500" w:lineRule="exact"/>
        <w:ind w:firstLine="560" w:firstLineChars="200"/>
        <w:rPr>
          <w:kern w:val="2"/>
          <w:sz w:val="28"/>
          <w:szCs w:val="28"/>
        </w:rPr>
      </w:pPr>
      <w:r>
        <w:rPr>
          <w:rFonts w:hint="eastAsia"/>
          <w:kern w:val="2"/>
          <w:sz w:val="28"/>
          <w:szCs w:val="28"/>
        </w:rPr>
        <w:t>1、中共剑阁县委群众工作局</w:t>
      </w:r>
    </w:p>
    <w:p>
      <w:pPr>
        <w:pStyle w:val="14"/>
        <w:spacing w:beforeAutospacing="0" w:afterAutospacing="0" w:line="500" w:lineRule="exact"/>
        <w:ind w:firstLine="560" w:firstLineChars="200"/>
        <w:rPr>
          <w:kern w:val="2"/>
          <w:sz w:val="28"/>
          <w:szCs w:val="28"/>
        </w:rPr>
      </w:pPr>
      <w:r>
        <w:rPr>
          <w:rFonts w:hint="eastAsia"/>
          <w:kern w:val="2"/>
          <w:sz w:val="28"/>
          <w:szCs w:val="28"/>
        </w:rPr>
        <w:t>2、县书记县长信箱事务中心</w:t>
      </w:r>
    </w:p>
    <w:p>
      <w:pPr>
        <w:pStyle w:val="14"/>
        <w:spacing w:beforeAutospacing="0" w:afterAutospacing="0" w:line="500" w:lineRule="exact"/>
        <w:ind w:firstLine="560" w:firstLineChars="200"/>
        <w:rPr>
          <w:rFonts w:hint="eastAsia"/>
          <w:kern w:val="2"/>
          <w:sz w:val="28"/>
          <w:szCs w:val="28"/>
          <w:lang w:val="zh-CN"/>
        </w:rPr>
      </w:pPr>
      <w:r>
        <w:rPr>
          <w:rFonts w:hint="eastAsia"/>
          <w:kern w:val="2"/>
          <w:sz w:val="28"/>
          <w:szCs w:val="28"/>
          <w:lang w:val="zh-CN"/>
        </w:rPr>
        <w:t>（二）机构职能</w:t>
      </w:r>
    </w:p>
    <w:p>
      <w:pPr>
        <w:pStyle w:val="14"/>
        <w:spacing w:beforeAutospacing="0" w:afterAutospacing="0" w:line="500" w:lineRule="exact"/>
        <w:ind w:firstLine="560" w:firstLineChars="200"/>
        <w:rPr>
          <w:kern w:val="2"/>
          <w:sz w:val="28"/>
          <w:szCs w:val="28"/>
        </w:rPr>
      </w:pPr>
      <w:r>
        <w:rPr>
          <w:rFonts w:hint="eastAsia"/>
          <w:kern w:val="2"/>
          <w:sz w:val="28"/>
          <w:szCs w:val="28"/>
        </w:rPr>
        <w:t>1.贯彻执行《信访工作条例》，负责受理、处理人民群众通过来信、来访、电话、电子邮件、网上信箱等渠道反映的信访问题。</w:t>
      </w:r>
    </w:p>
    <w:p>
      <w:pPr>
        <w:pStyle w:val="14"/>
        <w:spacing w:beforeAutospacing="0" w:afterAutospacing="0" w:line="500" w:lineRule="exact"/>
        <w:ind w:firstLine="555"/>
        <w:rPr>
          <w:kern w:val="2"/>
          <w:sz w:val="28"/>
          <w:szCs w:val="28"/>
        </w:rPr>
      </w:pPr>
      <w:r>
        <w:rPr>
          <w:rFonts w:hint="eastAsia"/>
          <w:kern w:val="2"/>
          <w:sz w:val="28"/>
          <w:szCs w:val="28"/>
        </w:rPr>
        <w:t>2.承办上级转县委、县政府处理的重大信访和群众工作案件，并在规定期限内结案上报。</w:t>
      </w:r>
    </w:p>
    <w:p>
      <w:pPr>
        <w:pStyle w:val="14"/>
        <w:spacing w:beforeAutospacing="0" w:afterAutospacing="0" w:line="500" w:lineRule="exact"/>
        <w:ind w:firstLine="555"/>
        <w:rPr>
          <w:kern w:val="2"/>
          <w:sz w:val="28"/>
          <w:szCs w:val="28"/>
        </w:rPr>
      </w:pPr>
      <w:r>
        <w:rPr>
          <w:rFonts w:hint="eastAsia"/>
          <w:kern w:val="2"/>
          <w:sz w:val="28"/>
          <w:szCs w:val="28"/>
        </w:rPr>
        <w:t>3.向各级各部门交办县委、县政府领导批示的信访和群众工作事项，并督促检查办理落实情况。</w:t>
      </w:r>
    </w:p>
    <w:p>
      <w:pPr>
        <w:pStyle w:val="14"/>
        <w:spacing w:beforeAutospacing="0" w:afterAutospacing="0" w:line="500" w:lineRule="exact"/>
        <w:ind w:firstLine="555"/>
        <w:rPr>
          <w:kern w:val="2"/>
          <w:sz w:val="28"/>
          <w:szCs w:val="28"/>
        </w:rPr>
      </w:pPr>
      <w:r>
        <w:rPr>
          <w:rFonts w:hint="eastAsia"/>
          <w:kern w:val="2"/>
          <w:sz w:val="28"/>
          <w:szCs w:val="28"/>
        </w:rPr>
        <w:t>4.指导乡镇、部门对信访工作人员进行业务培训，协调处理跨乡镇、跨部门的交叉型、综合型重要信访问题，协调指导责任单位处理集访、越级上访事项。</w:t>
      </w:r>
    </w:p>
    <w:p>
      <w:pPr>
        <w:pStyle w:val="14"/>
        <w:spacing w:beforeAutospacing="0" w:afterAutospacing="0" w:line="500" w:lineRule="exact"/>
        <w:ind w:firstLine="555"/>
        <w:rPr>
          <w:kern w:val="2"/>
          <w:sz w:val="28"/>
          <w:szCs w:val="28"/>
        </w:rPr>
      </w:pPr>
      <w:r>
        <w:rPr>
          <w:rFonts w:hint="eastAsia"/>
          <w:kern w:val="2"/>
          <w:sz w:val="28"/>
          <w:szCs w:val="28"/>
        </w:rPr>
        <w:t>5.督促检查各乡镇、各部门贯彻执行党的群众路线，落实事关信访群众利益政策、维护信访群众合法权益。</w:t>
      </w:r>
    </w:p>
    <w:p>
      <w:pPr>
        <w:pStyle w:val="14"/>
        <w:spacing w:beforeAutospacing="0" w:afterAutospacing="0" w:line="500" w:lineRule="exact"/>
        <w:ind w:firstLine="555"/>
        <w:rPr>
          <w:kern w:val="2"/>
          <w:sz w:val="28"/>
          <w:szCs w:val="28"/>
        </w:rPr>
      </w:pPr>
      <w:r>
        <w:rPr>
          <w:rFonts w:hint="eastAsia"/>
          <w:kern w:val="2"/>
          <w:sz w:val="28"/>
          <w:szCs w:val="28"/>
        </w:rPr>
        <w:t>6.了解全县社情民意，对全县不稳定信访进行排查，及时掌握情况和动态，提出加强和改进信访工作的意见和建议。</w:t>
      </w:r>
    </w:p>
    <w:p>
      <w:pPr>
        <w:pStyle w:val="14"/>
        <w:spacing w:beforeAutospacing="0" w:afterAutospacing="0" w:line="500" w:lineRule="exact"/>
        <w:ind w:firstLine="555"/>
        <w:rPr>
          <w:kern w:val="2"/>
          <w:sz w:val="28"/>
          <w:szCs w:val="28"/>
        </w:rPr>
      </w:pPr>
      <w:r>
        <w:rPr>
          <w:rFonts w:hint="eastAsia"/>
          <w:kern w:val="2"/>
          <w:sz w:val="28"/>
          <w:szCs w:val="28"/>
        </w:rPr>
        <w:t>7.及时传达上级和县委、县政府关于信访工作的指示和意见。</w:t>
      </w:r>
    </w:p>
    <w:p>
      <w:pPr>
        <w:pStyle w:val="14"/>
        <w:spacing w:beforeAutospacing="0" w:afterAutospacing="0" w:line="500" w:lineRule="exact"/>
        <w:ind w:firstLine="555"/>
        <w:rPr>
          <w:kern w:val="2"/>
          <w:sz w:val="28"/>
          <w:szCs w:val="28"/>
        </w:rPr>
      </w:pPr>
      <w:r>
        <w:rPr>
          <w:rFonts w:hint="eastAsia"/>
          <w:kern w:val="2"/>
          <w:sz w:val="28"/>
          <w:szCs w:val="28"/>
        </w:rPr>
        <w:t>8.主持信访复查工作，并作出复查意见。</w:t>
      </w:r>
    </w:p>
    <w:p>
      <w:pPr>
        <w:pStyle w:val="14"/>
        <w:spacing w:beforeAutospacing="0" w:afterAutospacing="0" w:line="500" w:lineRule="exact"/>
        <w:ind w:firstLine="555"/>
        <w:rPr>
          <w:kern w:val="2"/>
          <w:sz w:val="28"/>
          <w:szCs w:val="28"/>
        </w:rPr>
      </w:pPr>
      <w:r>
        <w:rPr>
          <w:rFonts w:hint="eastAsia"/>
          <w:kern w:val="2"/>
          <w:sz w:val="28"/>
          <w:szCs w:val="28"/>
        </w:rPr>
        <w:t>9.运用《信访工作条例》赋予的“三项建议权”对信访工作中的不作为、乱作为的有关单位和工作人员提出问责建议。</w:t>
      </w:r>
    </w:p>
    <w:p>
      <w:pPr>
        <w:pStyle w:val="14"/>
        <w:spacing w:beforeAutospacing="0" w:afterAutospacing="0" w:line="500" w:lineRule="exact"/>
        <w:ind w:firstLine="560" w:firstLineChars="200"/>
        <w:rPr>
          <w:rFonts w:hint="eastAsia"/>
          <w:kern w:val="2"/>
          <w:sz w:val="28"/>
          <w:szCs w:val="28"/>
          <w:lang w:val="zh-CN"/>
        </w:rPr>
      </w:pPr>
      <w:r>
        <w:rPr>
          <w:rFonts w:hint="eastAsia"/>
          <w:kern w:val="2"/>
          <w:sz w:val="28"/>
          <w:szCs w:val="28"/>
        </w:rPr>
        <w:t>10. 承办县委、县政府交办的其他事</w:t>
      </w:r>
    </w:p>
    <w:p>
      <w:pPr>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（三）人员概况。</w:t>
      </w:r>
    </w:p>
    <w:p>
      <w:pPr>
        <w:spacing w:line="520" w:lineRule="exact"/>
        <w:ind w:firstLine="560" w:firstLineChars="200"/>
        <w:rPr>
          <w:rFonts w:ascii="宋体" w:hAnsi="宋体" w:cs="宋体"/>
          <w:sz w:val="28"/>
          <w:szCs w:val="28"/>
        </w:rPr>
      </w:pPr>
      <w:r>
        <w:rPr>
          <w:rFonts w:hint="eastAsia" w:ascii="宋体" w:hAnsi="宋体" w:cs="宋体"/>
          <w:sz w:val="28"/>
          <w:szCs w:val="28"/>
        </w:rPr>
        <w:t xml:space="preserve">   截止2022年12月31日，中共剑阁县委群众工作局总编制20名。其中行政编制 11名，事业编制 8 名，工勤编制1名。在职人员总数18人，其中行政人员 10人员，事业人员 7人员， 工勤人员1人，退休人员3人。</w:t>
      </w:r>
    </w:p>
    <w:p>
      <w:pPr>
        <w:adjustRightInd w:val="0"/>
        <w:snapToGrid w:val="0"/>
        <w:spacing w:line="572" w:lineRule="exact"/>
        <w:ind w:firstLine="560" w:firstLineChars="200"/>
        <w:contextualSpacing/>
        <w:rPr>
          <w:rFonts w:ascii="宋体" w:hAnsi="宋体" w:cs="宋体"/>
          <w:sz w:val="28"/>
          <w:szCs w:val="28"/>
        </w:rPr>
      </w:pPr>
      <w:r>
        <w:rPr>
          <w:rFonts w:hint="eastAsia" w:ascii="宋体" w:hAnsi="宋体" w:cs="宋体"/>
          <w:sz w:val="28"/>
          <w:szCs w:val="28"/>
        </w:rPr>
        <w:t>二、部门财政资金收支情况</w:t>
      </w:r>
    </w:p>
    <w:p>
      <w:pPr>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（一）部门财政资金收入情况。</w:t>
      </w:r>
    </w:p>
    <w:p>
      <w:pPr>
        <w:spacing w:line="520" w:lineRule="exact"/>
        <w:ind w:firstLine="560" w:firstLineChars="200"/>
        <w:rPr>
          <w:rFonts w:ascii="宋体" w:hAnsi="宋体" w:cs="宋体"/>
          <w:sz w:val="28"/>
          <w:szCs w:val="28"/>
        </w:rPr>
      </w:pPr>
      <w:r>
        <w:rPr>
          <w:rFonts w:hint="eastAsia" w:ascii="宋体" w:hAnsi="宋体" w:cs="宋体"/>
          <w:sz w:val="28"/>
          <w:szCs w:val="28"/>
        </w:rPr>
        <w:t>2022年县群工局本年收入合计276.33万元，其中：一般公共预算财政拨款收入276.33万元，占100%；无其他收入。</w:t>
      </w:r>
    </w:p>
    <w:p>
      <w:pPr>
        <w:spacing w:line="540" w:lineRule="exact"/>
        <w:ind w:firstLine="420"/>
        <w:rPr>
          <w:rFonts w:ascii="宋体" w:hAnsi="宋体" w:cs="宋体"/>
          <w:sz w:val="28"/>
          <w:szCs w:val="28"/>
        </w:rPr>
      </w:pPr>
      <w:r>
        <w:rPr>
          <w:rFonts w:hint="eastAsia" w:ascii="宋体" w:hAnsi="宋体" w:cs="宋体"/>
          <w:sz w:val="28"/>
          <w:szCs w:val="28"/>
          <w:lang w:val="zh-CN"/>
        </w:rPr>
        <w:t>（二）部门财政资金支出情况。</w:t>
      </w:r>
    </w:p>
    <w:p>
      <w:pPr>
        <w:spacing w:line="540" w:lineRule="exact"/>
        <w:ind w:firstLine="420"/>
        <w:rPr>
          <w:rFonts w:ascii="宋体" w:hAnsi="宋体" w:cs="宋体"/>
          <w:sz w:val="28"/>
          <w:szCs w:val="28"/>
        </w:rPr>
      </w:pPr>
      <w:r>
        <w:rPr>
          <w:rFonts w:hint="eastAsia" w:ascii="宋体" w:hAnsi="宋体" w:cs="宋体"/>
          <w:sz w:val="28"/>
          <w:szCs w:val="28"/>
        </w:rPr>
        <w:t>2022年县群工局本年支出合计276.33万元，其中：基本支出276.33万元，占100%；项目支出0万元，占0%。</w:t>
      </w:r>
    </w:p>
    <w:p>
      <w:pPr>
        <w:numPr>
          <w:ilvl w:val="0"/>
          <w:numId w:val="3"/>
        </w:numPr>
        <w:adjustRightInd w:val="0"/>
        <w:snapToGrid w:val="0"/>
        <w:spacing w:line="572" w:lineRule="exact"/>
        <w:ind w:firstLine="560" w:firstLineChars="200"/>
        <w:contextualSpacing/>
        <w:rPr>
          <w:rFonts w:ascii="宋体" w:hAnsi="宋体" w:cs="宋体"/>
          <w:sz w:val="28"/>
          <w:szCs w:val="28"/>
        </w:rPr>
      </w:pPr>
      <w:r>
        <w:rPr>
          <w:rFonts w:hint="eastAsia" w:ascii="宋体" w:hAnsi="宋体" w:cs="宋体"/>
          <w:sz w:val="28"/>
          <w:szCs w:val="28"/>
        </w:rPr>
        <w:t>部门整体预算绩效管理情况</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（一）预决算编制情况。</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中共剑阁县委群众工作局及时组织财务人员进行预决算的编制，对本年度相应用款进行及时清理和处理，做到账账相符、账实相符、账证相符,按先预算再支出的原则，及时处理相关事务；对年度绩效目标进行季度梳理和年度分析，及时上报相关报表；对专项预算经费提前细化，分科目上报，做到收支平衡。</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（二）预算执行情况。</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中共剑阁县委群众工作局按照县财政局的要求，及时上报相应计划，待县财政局审核通过后，严格按计划执行，各季度执行情况良好。基本支出202</w:t>
      </w:r>
      <w:r>
        <w:rPr>
          <w:rFonts w:hint="eastAsia" w:ascii="宋体" w:hAnsi="宋体" w:cs="宋体"/>
          <w:sz w:val="28"/>
          <w:szCs w:val="28"/>
        </w:rPr>
        <w:t>2</w:t>
      </w:r>
      <w:r>
        <w:rPr>
          <w:rFonts w:hint="eastAsia" w:ascii="宋体" w:hAnsi="宋体" w:cs="宋体"/>
          <w:sz w:val="28"/>
          <w:szCs w:val="28"/>
          <w:lang w:val="zh-CN"/>
        </w:rPr>
        <w:t>年按月进行申报，其中人员工资按月申报并直接支付，日常公用经费按月进行申报并支付，全年执行进度100%。项目支出按月申报并直接支付， 1-12月执行进度100%。</w:t>
      </w:r>
    </w:p>
    <w:p>
      <w:pPr>
        <w:spacing w:line="540" w:lineRule="exact"/>
        <w:ind w:firstLine="42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202</w:t>
      </w:r>
      <w:r>
        <w:rPr>
          <w:rFonts w:hint="eastAsia" w:ascii="宋体" w:hAnsi="宋体" w:cs="宋体"/>
          <w:sz w:val="28"/>
          <w:szCs w:val="28"/>
        </w:rPr>
        <w:t>2</w:t>
      </w:r>
      <w:r>
        <w:rPr>
          <w:rFonts w:hint="eastAsia" w:ascii="宋体" w:hAnsi="宋体" w:cs="宋体"/>
          <w:sz w:val="28"/>
          <w:szCs w:val="28"/>
          <w:lang w:val="zh-CN"/>
        </w:rPr>
        <w:t>年县群工局本年支出合计</w:t>
      </w:r>
      <w:r>
        <w:rPr>
          <w:rFonts w:hint="eastAsia" w:ascii="宋体" w:hAnsi="宋体" w:cs="宋体"/>
          <w:sz w:val="28"/>
          <w:szCs w:val="28"/>
        </w:rPr>
        <w:t>276.33</w:t>
      </w:r>
      <w:r>
        <w:rPr>
          <w:rFonts w:hint="eastAsia" w:ascii="宋体" w:hAnsi="宋体" w:cs="宋体"/>
          <w:sz w:val="28"/>
          <w:szCs w:val="28"/>
          <w:lang w:val="zh-CN"/>
        </w:rPr>
        <w:t xml:space="preserve"> 万元，其中：基本支出 </w:t>
      </w:r>
      <w:r>
        <w:rPr>
          <w:rFonts w:hint="eastAsia" w:ascii="宋体" w:hAnsi="宋体" w:cs="宋体"/>
          <w:sz w:val="28"/>
          <w:szCs w:val="28"/>
        </w:rPr>
        <w:t>276.33</w:t>
      </w:r>
      <w:r>
        <w:rPr>
          <w:rFonts w:hint="eastAsia" w:ascii="宋体" w:hAnsi="宋体" w:cs="宋体"/>
          <w:sz w:val="28"/>
          <w:szCs w:val="28"/>
          <w:lang w:val="zh-CN"/>
        </w:rPr>
        <w:t xml:space="preserve">万元，占 </w:t>
      </w:r>
      <w:r>
        <w:rPr>
          <w:rFonts w:hint="eastAsia" w:ascii="宋体" w:hAnsi="宋体" w:cs="宋体"/>
          <w:sz w:val="28"/>
          <w:szCs w:val="28"/>
        </w:rPr>
        <w:t>100</w:t>
      </w:r>
      <w:r>
        <w:rPr>
          <w:rFonts w:hint="eastAsia" w:ascii="宋体" w:hAnsi="宋体" w:cs="宋体"/>
          <w:sz w:val="28"/>
          <w:szCs w:val="28"/>
          <w:lang w:val="zh-CN"/>
        </w:rPr>
        <w:t>%；项目支出</w:t>
      </w:r>
      <w:r>
        <w:rPr>
          <w:rFonts w:hint="eastAsia" w:ascii="宋体" w:hAnsi="宋体" w:cs="宋体"/>
          <w:sz w:val="28"/>
          <w:szCs w:val="28"/>
        </w:rPr>
        <w:t>0</w:t>
      </w:r>
      <w:r>
        <w:rPr>
          <w:rFonts w:hint="eastAsia" w:ascii="宋体" w:hAnsi="宋体" w:cs="宋体"/>
          <w:sz w:val="28"/>
          <w:szCs w:val="28"/>
          <w:lang w:val="zh-CN"/>
        </w:rPr>
        <w:t xml:space="preserve"> 万元，占 </w:t>
      </w:r>
      <w:r>
        <w:rPr>
          <w:rFonts w:hint="eastAsia" w:ascii="宋体" w:hAnsi="宋体" w:cs="宋体"/>
          <w:sz w:val="28"/>
          <w:szCs w:val="28"/>
        </w:rPr>
        <w:t>0</w:t>
      </w:r>
      <w:r>
        <w:rPr>
          <w:rFonts w:hint="eastAsia" w:ascii="宋体" w:hAnsi="宋体" w:cs="宋体"/>
          <w:sz w:val="28"/>
          <w:szCs w:val="28"/>
          <w:lang w:val="zh-CN"/>
        </w:rPr>
        <w:t>%。</w:t>
      </w:r>
    </w:p>
    <w:p>
      <w:pPr>
        <w:spacing w:line="540" w:lineRule="exact"/>
        <w:ind w:firstLine="420"/>
        <w:rPr>
          <w:rFonts w:ascii="宋体" w:hAnsi="宋体" w:cs="宋体"/>
          <w:sz w:val="28"/>
          <w:szCs w:val="28"/>
          <w:lang w:val="zh-CN"/>
        </w:rPr>
      </w:pPr>
      <w:r>
        <w:rPr>
          <w:rFonts w:hint="eastAsia" w:ascii="宋体" w:hAnsi="宋体" w:cs="宋体"/>
          <w:sz w:val="28"/>
          <w:szCs w:val="28"/>
          <w:lang w:val="zh-CN"/>
        </w:rPr>
        <w:t>2、机关厉行节约</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中共剑阁县委群众工作局认真执行中央八项规定，秉承开源节流的宗旨，严格管控三公经费支出，三公经费支出情况如下：“三公”经费支出情况： 202</w:t>
      </w:r>
      <w:r>
        <w:rPr>
          <w:rFonts w:hint="eastAsia" w:ascii="宋体" w:hAnsi="宋体" w:cs="宋体"/>
          <w:sz w:val="28"/>
          <w:szCs w:val="28"/>
        </w:rPr>
        <w:t>2</w:t>
      </w:r>
      <w:r>
        <w:rPr>
          <w:rFonts w:hint="eastAsia" w:ascii="宋体" w:hAnsi="宋体" w:cs="宋体"/>
          <w:sz w:val="28"/>
          <w:szCs w:val="28"/>
          <w:lang w:val="zh-CN"/>
        </w:rPr>
        <w:t>年公务接待费</w:t>
      </w:r>
      <w:r>
        <w:rPr>
          <w:rFonts w:hint="eastAsia" w:ascii="宋体" w:hAnsi="宋体" w:cs="宋体"/>
          <w:sz w:val="28"/>
          <w:szCs w:val="28"/>
        </w:rPr>
        <w:t>1.52万</w:t>
      </w:r>
      <w:r>
        <w:rPr>
          <w:rFonts w:hint="eastAsia" w:ascii="宋体" w:hAnsi="宋体" w:cs="宋体"/>
          <w:sz w:val="28"/>
          <w:szCs w:val="28"/>
          <w:lang w:val="zh-CN"/>
        </w:rPr>
        <w:t>元， 202</w:t>
      </w:r>
      <w:r>
        <w:rPr>
          <w:rFonts w:hint="eastAsia" w:ascii="宋体" w:hAnsi="宋体" w:cs="宋体"/>
          <w:sz w:val="28"/>
          <w:szCs w:val="28"/>
        </w:rPr>
        <w:t>2</w:t>
      </w:r>
      <w:r>
        <w:rPr>
          <w:rFonts w:hint="eastAsia" w:ascii="宋体" w:hAnsi="宋体" w:cs="宋体"/>
          <w:sz w:val="28"/>
          <w:szCs w:val="28"/>
          <w:lang w:val="zh-CN"/>
        </w:rPr>
        <w:t>年公务用车运行费</w:t>
      </w:r>
      <w:r>
        <w:rPr>
          <w:rFonts w:hint="eastAsia" w:ascii="宋体" w:hAnsi="宋体" w:cs="宋体"/>
          <w:sz w:val="28"/>
          <w:szCs w:val="28"/>
        </w:rPr>
        <w:t>0</w:t>
      </w:r>
      <w:r>
        <w:rPr>
          <w:rFonts w:hint="eastAsia" w:ascii="宋体" w:hAnsi="宋体" w:cs="宋体"/>
          <w:sz w:val="28"/>
          <w:szCs w:val="28"/>
          <w:lang w:val="zh-CN"/>
        </w:rPr>
        <w:t>元，无因公出国（境）费预算及支出。</w:t>
      </w:r>
    </w:p>
    <w:p>
      <w:pPr>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3.项目预算支出绩效</w:t>
      </w:r>
    </w:p>
    <w:p>
      <w:pPr>
        <w:spacing w:line="540" w:lineRule="exact"/>
        <w:ind w:firstLine="420"/>
        <w:rPr>
          <w:rFonts w:ascii="宋体" w:hAnsi="宋体" w:cs="宋体"/>
          <w:sz w:val="28"/>
          <w:szCs w:val="28"/>
          <w:lang w:val="zh-CN"/>
        </w:rPr>
      </w:pPr>
      <w:r>
        <w:rPr>
          <w:rFonts w:hint="eastAsia" w:ascii="宋体" w:hAnsi="宋体" w:cs="宋体"/>
          <w:sz w:val="28"/>
          <w:szCs w:val="28"/>
          <w:lang w:val="zh-CN"/>
        </w:rPr>
        <w:t>（1）项目资金管理情况</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中共剑阁县委群众工作局项目资金管理严格按照用款计划执行，按照项目资金管理办法实行专款专用。</w:t>
      </w:r>
    </w:p>
    <w:p>
      <w:pPr>
        <w:spacing w:line="540" w:lineRule="exact"/>
        <w:ind w:firstLine="420"/>
        <w:rPr>
          <w:rFonts w:ascii="宋体" w:hAnsi="宋体" w:cs="宋体"/>
          <w:sz w:val="28"/>
          <w:szCs w:val="28"/>
          <w:lang w:val="zh-CN"/>
        </w:rPr>
      </w:pPr>
      <w:r>
        <w:rPr>
          <w:rFonts w:hint="eastAsia" w:ascii="宋体" w:hAnsi="宋体" w:cs="宋体"/>
          <w:sz w:val="28"/>
          <w:szCs w:val="28"/>
          <w:lang w:val="zh-CN"/>
        </w:rPr>
        <w:t>（2）绩效目标完成情况</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中共剑阁县委群众工作局在资金的管理和使用上，按照年初预算，严守法律底线、纪律底线，无违反财务管理规定、财经纪律情况发生。会计核算真实完整，项目资金支出和原定用途、预算批复用途相符，财政资金使用效率进一步提高。特别是在各类项目资金的管理使用上，严格按照及时拨付，全面完成了各项目标任务。</w:t>
      </w:r>
    </w:p>
    <w:p>
      <w:pPr>
        <w:spacing w:line="540" w:lineRule="exact"/>
        <w:ind w:firstLine="420"/>
        <w:rPr>
          <w:rFonts w:ascii="宋体" w:hAnsi="宋体" w:cs="宋体"/>
          <w:sz w:val="28"/>
          <w:szCs w:val="28"/>
          <w:lang w:val="zh-CN"/>
        </w:rPr>
      </w:pPr>
      <w:r>
        <w:rPr>
          <w:rFonts w:hint="eastAsia" w:ascii="宋体" w:hAnsi="宋体" w:cs="宋体"/>
          <w:sz w:val="28"/>
          <w:szCs w:val="28"/>
          <w:lang w:val="zh-CN"/>
        </w:rPr>
        <w:t>四、评价结论及建议</w:t>
      </w:r>
    </w:p>
    <w:p>
      <w:pPr>
        <w:spacing w:line="540" w:lineRule="exact"/>
        <w:ind w:firstLine="420"/>
        <w:rPr>
          <w:rFonts w:ascii="宋体" w:hAnsi="宋体" w:cs="宋体"/>
          <w:sz w:val="28"/>
          <w:szCs w:val="28"/>
          <w:lang w:val="zh-CN"/>
        </w:rPr>
      </w:pPr>
      <w:r>
        <w:rPr>
          <w:rFonts w:hint="eastAsia" w:ascii="宋体" w:hAnsi="宋体" w:cs="宋体"/>
          <w:sz w:val="28"/>
          <w:szCs w:val="28"/>
          <w:lang w:val="zh-CN"/>
        </w:rPr>
        <w:t>中共剑阁县委群众工作局按照《预算法》按时完成预、决算编制。在执行过程中有计划地进行资金申报、使用，完善资金管理及内部控制制度，确保资金安全，做到账款、账账、账实相符。在今后工作中，进一步提高工作效率，把有限的资金用在刀刃上，扎实充分发挥资金使用效率，有力推进我县信访工作的高效开展，切实履行好信访工作的职责。</w:t>
      </w:r>
    </w:p>
    <w:p>
      <w:pPr>
        <w:spacing w:line="540" w:lineRule="exact"/>
        <w:ind w:firstLine="420"/>
        <w:rPr>
          <w:rFonts w:ascii="仿宋" w:hAnsi="仿宋" w:eastAsia="仿宋" w:cs="仿宋"/>
          <w:color w:val="000000"/>
          <w:kern w:val="0"/>
          <w:sz w:val="28"/>
          <w:szCs w:val="28"/>
          <w:lang w:val="zh-CN" w:bidi="ar"/>
        </w:rPr>
      </w:pPr>
    </w:p>
    <w:p>
      <w:pPr>
        <w:overflowPunct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pacing w:val="-8"/>
          <w:sz w:val="40"/>
          <w:szCs w:val="40"/>
        </w:rPr>
      </w:pPr>
    </w:p>
    <w:p>
      <w:pPr>
        <w:overflowPunct w:val="0"/>
        <w:autoSpaceDE w:val="0"/>
        <w:autoSpaceDN w:val="0"/>
        <w:adjustRightInd w:val="0"/>
        <w:snapToGrid w:val="0"/>
        <w:spacing w:line="560" w:lineRule="exact"/>
        <w:jc w:val="center"/>
        <w:textAlignment w:val="baseline"/>
        <w:rPr>
          <w:rFonts w:ascii="方正小标宋简体" w:hAnsi="方正小标宋简体" w:eastAsia="方正小标宋简体" w:cs="方正小标宋简体"/>
          <w:spacing w:val="-8"/>
          <w:sz w:val="40"/>
          <w:szCs w:val="40"/>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spacing w:line="576" w:lineRule="exact"/>
        <w:jc w:val="center"/>
        <w:rPr>
          <w:rFonts w:ascii="黑体" w:hAnsi="黑体" w:eastAsia="黑体" w:cs="宋体"/>
          <w:color w:val="000000"/>
          <w:sz w:val="36"/>
          <w:szCs w:val="36"/>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p>
      <w:pPr>
        <w:spacing w:line="600" w:lineRule="exact"/>
        <w:jc w:val="center"/>
        <w:outlineLvl w:val="0"/>
        <w:rPr>
          <w:rFonts w:ascii="仿宋" w:hAnsi="仿宋" w:eastAsia="仿宋"/>
        </w:rPr>
      </w:pPr>
      <w:bookmarkStart w:id="54" w:name="_Toc15396618"/>
      <w:r>
        <w:rPr>
          <w:rFonts w:hint="eastAsia" w:ascii="黑体" w:hAnsi="黑体" w:eastAsia="黑体"/>
          <w:sz w:val="44"/>
          <w:szCs w:val="44"/>
        </w:rPr>
        <w:t>第</w:t>
      </w:r>
      <w:r>
        <w:rPr>
          <w:rStyle w:val="31"/>
          <w:rFonts w:hint="eastAsia" w:ascii="黑体" w:hAnsi="黑体" w:eastAsia="黑体"/>
          <w:b w:val="0"/>
        </w:rPr>
        <w:t>五部分 附表</w:t>
      </w:r>
      <w:bookmarkEnd w:id="53"/>
      <w:bookmarkEnd w:id="54"/>
      <w:bookmarkStart w:id="55" w:name="_Toc15396619"/>
    </w:p>
    <w:p>
      <w:pPr>
        <w:spacing w:line="540" w:lineRule="exact"/>
        <w:ind w:firstLine="420"/>
        <w:rPr>
          <w:rFonts w:ascii="宋体" w:hAnsi="宋体" w:cs="宋体"/>
          <w:sz w:val="28"/>
          <w:szCs w:val="28"/>
        </w:rPr>
      </w:pPr>
    </w:p>
    <w:p>
      <w:pPr>
        <w:spacing w:line="540" w:lineRule="exact"/>
        <w:ind w:firstLine="420"/>
        <w:rPr>
          <w:rFonts w:ascii="宋体" w:hAnsi="宋体" w:cs="宋体"/>
          <w:sz w:val="28"/>
          <w:szCs w:val="28"/>
        </w:rPr>
      </w:pPr>
      <w:r>
        <w:rPr>
          <w:rFonts w:hint="eastAsia" w:ascii="宋体" w:hAnsi="宋体" w:cs="宋体"/>
          <w:sz w:val="28"/>
          <w:szCs w:val="28"/>
        </w:rPr>
        <w:t>一、收入支出决算总表</w:t>
      </w:r>
      <w:bookmarkEnd w:id="55"/>
    </w:p>
    <w:p>
      <w:pPr>
        <w:spacing w:line="540" w:lineRule="exact"/>
        <w:ind w:firstLine="420"/>
        <w:rPr>
          <w:rFonts w:ascii="宋体" w:hAnsi="宋体" w:cs="宋体"/>
          <w:sz w:val="28"/>
          <w:szCs w:val="28"/>
        </w:rPr>
      </w:pPr>
      <w:bookmarkStart w:id="56" w:name="_Toc15396620"/>
      <w:r>
        <w:rPr>
          <w:rFonts w:hint="eastAsia" w:ascii="宋体" w:hAnsi="宋体" w:cs="宋体"/>
          <w:sz w:val="28"/>
          <w:szCs w:val="28"/>
        </w:rPr>
        <w:t>二、收入决算表</w:t>
      </w:r>
      <w:bookmarkEnd w:id="56"/>
    </w:p>
    <w:p>
      <w:pPr>
        <w:spacing w:line="540" w:lineRule="exact"/>
        <w:ind w:firstLine="420"/>
        <w:rPr>
          <w:rFonts w:ascii="宋体" w:hAnsi="宋体" w:cs="宋体"/>
          <w:sz w:val="28"/>
          <w:szCs w:val="28"/>
        </w:rPr>
      </w:pPr>
      <w:bookmarkStart w:id="57" w:name="_Toc15396621"/>
      <w:r>
        <w:rPr>
          <w:rFonts w:hint="eastAsia" w:ascii="宋体" w:hAnsi="宋体" w:cs="宋体"/>
          <w:sz w:val="28"/>
          <w:szCs w:val="28"/>
        </w:rPr>
        <w:t>三、支出决算表</w:t>
      </w:r>
      <w:bookmarkEnd w:id="57"/>
    </w:p>
    <w:p>
      <w:pPr>
        <w:spacing w:line="540" w:lineRule="exact"/>
        <w:ind w:firstLine="420"/>
        <w:rPr>
          <w:rFonts w:ascii="宋体" w:hAnsi="宋体" w:cs="宋体"/>
          <w:sz w:val="28"/>
          <w:szCs w:val="28"/>
        </w:rPr>
      </w:pPr>
      <w:bookmarkStart w:id="58" w:name="_Toc15396622"/>
      <w:r>
        <w:rPr>
          <w:rFonts w:hint="eastAsia" w:ascii="宋体" w:hAnsi="宋体" w:cs="宋体"/>
          <w:sz w:val="28"/>
          <w:szCs w:val="28"/>
        </w:rPr>
        <w:t>四、财政拨款收入支出决算总表</w:t>
      </w:r>
      <w:bookmarkEnd w:id="58"/>
    </w:p>
    <w:p>
      <w:pPr>
        <w:spacing w:line="540" w:lineRule="exact"/>
        <w:ind w:firstLine="420"/>
        <w:rPr>
          <w:rFonts w:ascii="宋体" w:hAnsi="宋体" w:cs="宋体"/>
          <w:sz w:val="28"/>
          <w:szCs w:val="28"/>
        </w:rPr>
      </w:pPr>
      <w:bookmarkStart w:id="59" w:name="_Toc15396623"/>
      <w:r>
        <w:rPr>
          <w:rFonts w:hint="eastAsia" w:ascii="宋体" w:hAnsi="宋体" w:cs="宋体"/>
          <w:sz w:val="28"/>
          <w:szCs w:val="28"/>
        </w:rPr>
        <w:t>五、财政拨款支出决算明细表</w:t>
      </w:r>
      <w:bookmarkEnd w:id="59"/>
      <w:bookmarkStart w:id="60" w:name="_Toc15396624"/>
    </w:p>
    <w:p>
      <w:pPr>
        <w:spacing w:line="540" w:lineRule="exact"/>
        <w:ind w:firstLine="420"/>
        <w:rPr>
          <w:rFonts w:ascii="宋体" w:hAnsi="宋体" w:cs="宋体"/>
          <w:sz w:val="28"/>
          <w:szCs w:val="28"/>
        </w:rPr>
      </w:pPr>
      <w:r>
        <w:rPr>
          <w:rFonts w:hint="eastAsia" w:ascii="宋体" w:hAnsi="宋体" w:cs="宋体"/>
          <w:sz w:val="28"/>
          <w:szCs w:val="28"/>
        </w:rPr>
        <w:t>六、一般公共预算财政拨款支出决算表</w:t>
      </w:r>
      <w:bookmarkEnd w:id="60"/>
    </w:p>
    <w:p>
      <w:pPr>
        <w:spacing w:line="540" w:lineRule="exact"/>
        <w:ind w:firstLine="420"/>
        <w:rPr>
          <w:rFonts w:ascii="宋体" w:hAnsi="宋体" w:cs="宋体"/>
          <w:sz w:val="28"/>
          <w:szCs w:val="28"/>
        </w:rPr>
      </w:pPr>
      <w:bookmarkStart w:id="61" w:name="_Toc15396625"/>
      <w:r>
        <w:rPr>
          <w:rFonts w:hint="eastAsia" w:ascii="宋体" w:hAnsi="宋体" w:cs="宋体"/>
          <w:sz w:val="28"/>
          <w:szCs w:val="28"/>
        </w:rPr>
        <w:t>七、一般公共预算财政拨款支出决算明细表</w:t>
      </w:r>
      <w:bookmarkEnd w:id="61"/>
    </w:p>
    <w:p>
      <w:pPr>
        <w:spacing w:line="540" w:lineRule="exact"/>
        <w:ind w:firstLine="420"/>
        <w:rPr>
          <w:rFonts w:ascii="宋体" w:hAnsi="宋体" w:cs="宋体"/>
          <w:sz w:val="28"/>
          <w:szCs w:val="28"/>
        </w:rPr>
      </w:pPr>
      <w:bookmarkStart w:id="62" w:name="_Toc15396626"/>
      <w:r>
        <w:rPr>
          <w:rFonts w:hint="eastAsia" w:ascii="宋体" w:hAnsi="宋体" w:cs="宋体"/>
          <w:sz w:val="28"/>
          <w:szCs w:val="28"/>
        </w:rPr>
        <w:t>八、一般公共预算财政拨款基本支出决算表</w:t>
      </w:r>
      <w:bookmarkEnd w:id="62"/>
    </w:p>
    <w:p>
      <w:pPr>
        <w:spacing w:line="540" w:lineRule="exact"/>
        <w:ind w:firstLine="420"/>
        <w:rPr>
          <w:rFonts w:ascii="宋体" w:hAnsi="宋体" w:cs="宋体"/>
          <w:sz w:val="28"/>
          <w:szCs w:val="28"/>
        </w:rPr>
      </w:pPr>
      <w:bookmarkStart w:id="63" w:name="_Toc15396627"/>
      <w:r>
        <w:rPr>
          <w:rFonts w:hint="eastAsia" w:ascii="宋体" w:hAnsi="宋体" w:cs="宋体"/>
          <w:sz w:val="28"/>
          <w:szCs w:val="28"/>
        </w:rPr>
        <w:t>九、一般公共预算财政拨款项目支出决算表</w:t>
      </w:r>
      <w:bookmarkEnd w:id="63"/>
    </w:p>
    <w:p>
      <w:pPr>
        <w:spacing w:line="540" w:lineRule="exact"/>
        <w:ind w:firstLine="420"/>
        <w:rPr>
          <w:rFonts w:ascii="宋体" w:hAnsi="宋体" w:cs="宋体"/>
          <w:sz w:val="28"/>
          <w:szCs w:val="28"/>
        </w:rPr>
      </w:pPr>
      <w:bookmarkStart w:id="64" w:name="_Toc15396628"/>
      <w:r>
        <w:rPr>
          <w:rFonts w:hint="eastAsia" w:ascii="宋体" w:hAnsi="宋体" w:cs="宋体"/>
          <w:sz w:val="28"/>
          <w:szCs w:val="28"/>
        </w:rPr>
        <w:t>十、</w:t>
      </w:r>
      <w:bookmarkEnd w:id="64"/>
      <w:r>
        <w:rPr>
          <w:rFonts w:hint="eastAsia" w:ascii="宋体" w:hAnsi="宋体" w:cs="宋体"/>
          <w:sz w:val="28"/>
          <w:szCs w:val="28"/>
        </w:rPr>
        <w:t>政府性基金预算财政拨款收入支出决算表</w:t>
      </w:r>
    </w:p>
    <w:p>
      <w:pPr>
        <w:spacing w:line="540" w:lineRule="exact"/>
        <w:ind w:firstLine="420"/>
        <w:rPr>
          <w:rFonts w:ascii="宋体" w:hAnsi="宋体" w:cs="宋体"/>
          <w:sz w:val="28"/>
          <w:szCs w:val="28"/>
        </w:rPr>
      </w:pPr>
      <w:bookmarkStart w:id="65" w:name="_Toc15396629"/>
      <w:r>
        <w:rPr>
          <w:rFonts w:hint="eastAsia" w:ascii="宋体" w:hAnsi="宋体" w:cs="宋体"/>
          <w:sz w:val="28"/>
          <w:szCs w:val="28"/>
        </w:rPr>
        <w:t>十一、</w:t>
      </w:r>
      <w:bookmarkEnd w:id="65"/>
      <w:r>
        <w:rPr>
          <w:rFonts w:hint="eastAsia" w:ascii="宋体" w:hAnsi="宋体" w:cs="宋体"/>
          <w:sz w:val="28"/>
          <w:szCs w:val="28"/>
        </w:rPr>
        <w:t>国有资本经营预算财政拨款收入支出决算表</w:t>
      </w:r>
    </w:p>
    <w:p>
      <w:pPr>
        <w:spacing w:line="540" w:lineRule="exact"/>
        <w:ind w:firstLine="420"/>
        <w:rPr>
          <w:rFonts w:ascii="宋体" w:hAnsi="宋体" w:cs="宋体"/>
          <w:sz w:val="28"/>
          <w:szCs w:val="28"/>
        </w:rPr>
      </w:pPr>
      <w:bookmarkStart w:id="66" w:name="_Toc15396630"/>
      <w:r>
        <w:rPr>
          <w:rFonts w:hint="eastAsia" w:ascii="宋体" w:hAnsi="宋体" w:cs="宋体"/>
          <w:sz w:val="28"/>
          <w:szCs w:val="28"/>
        </w:rPr>
        <w:t>十二、</w:t>
      </w:r>
      <w:bookmarkEnd w:id="66"/>
      <w:r>
        <w:rPr>
          <w:rFonts w:hint="eastAsia" w:ascii="宋体" w:hAnsi="宋体" w:cs="宋体"/>
          <w:sz w:val="28"/>
          <w:szCs w:val="28"/>
        </w:rPr>
        <w:t>国有资本经营预算财政拨款支出决算表</w:t>
      </w:r>
    </w:p>
    <w:p>
      <w:pPr>
        <w:spacing w:line="540" w:lineRule="exact"/>
        <w:ind w:firstLine="420"/>
        <w:rPr>
          <w:rFonts w:ascii="宋体" w:hAnsi="宋体" w:cs="宋体"/>
          <w:sz w:val="28"/>
          <w:szCs w:val="28"/>
        </w:rPr>
      </w:pPr>
      <w:bookmarkStart w:id="67" w:name="_Toc15396631"/>
      <w:r>
        <w:rPr>
          <w:rFonts w:hint="eastAsia" w:ascii="宋体" w:hAnsi="宋体" w:cs="宋体"/>
          <w:sz w:val="28"/>
          <w:szCs w:val="28"/>
        </w:rPr>
        <w:t>十三、</w:t>
      </w:r>
      <w:bookmarkEnd w:id="67"/>
      <w:r>
        <w:rPr>
          <w:rFonts w:hint="eastAsia" w:ascii="宋体" w:hAnsi="宋体" w:cs="宋体"/>
          <w:sz w:val="28"/>
          <w:szCs w:val="28"/>
        </w:rPr>
        <w:t>财政拨款“三公”经费支出决算表</w:t>
      </w:r>
    </w:p>
    <w:sectPr>
      <w:footerReference r:id="rId7" w:type="first"/>
      <w:headerReference r:id="rId5" w:type="default"/>
      <w:footerReference r:id="rId6" w:type="default"/>
      <w:pgSz w:w="11906" w:h="16838"/>
      <w:pgMar w:top="1440" w:right="1689" w:bottom="1440" w:left="1800" w:header="851" w:footer="992" w:gutter="0"/>
      <w:pgNumType w:chapStyle="1" w:chapSep="colon"/>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090C2E7A"/>
    <w:multiLevelType w:val="singleLevel"/>
    <w:tmpl w:val="090C2E7A"/>
    <w:lvl w:ilvl="0" w:tentative="0">
      <w:start w:val="3"/>
      <w:numFmt w:val="chineseCounting"/>
      <w:suff w:val="nothing"/>
      <w:lvlText w:val="%1、"/>
      <w:lvlJc w:val="left"/>
      <w:rPr>
        <w:rFonts w:hint="eastAsia"/>
      </w:rPr>
    </w:lvl>
  </w:abstractNum>
  <w:abstractNum w:abstractNumId="2">
    <w:nsid w:val="7FCF21C1"/>
    <w:multiLevelType w:val="singleLevel"/>
    <w:tmpl w:val="7FCF21C1"/>
    <w:lvl w:ilvl="0" w:tentative="0">
      <w:start w:val="2"/>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86BE8"/>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2F59F3"/>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02CE"/>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2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45FEA"/>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228"/>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29EE"/>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1875899"/>
    <w:rsid w:val="02143E91"/>
    <w:rsid w:val="061A63D0"/>
    <w:rsid w:val="066E0107"/>
    <w:rsid w:val="07996F6E"/>
    <w:rsid w:val="0A2032A3"/>
    <w:rsid w:val="0BB10633"/>
    <w:rsid w:val="0CB60081"/>
    <w:rsid w:val="0D244E26"/>
    <w:rsid w:val="0DE57547"/>
    <w:rsid w:val="0EF509F5"/>
    <w:rsid w:val="0F98263C"/>
    <w:rsid w:val="101860EC"/>
    <w:rsid w:val="10C055FF"/>
    <w:rsid w:val="118107EC"/>
    <w:rsid w:val="13D50BC4"/>
    <w:rsid w:val="14F21366"/>
    <w:rsid w:val="15581DAD"/>
    <w:rsid w:val="16BB723D"/>
    <w:rsid w:val="181635BD"/>
    <w:rsid w:val="18DF60A5"/>
    <w:rsid w:val="1A736693"/>
    <w:rsid w:val="1ABE7AFD"/>
    <w:rsid w:val="1BE8440E"/>
    <w:rsid w:val="1C4407B2"/>
    <w:rsid w:val="1D155CEE"/>
    <w:rsid w:val="1DA24B76"/>
    <w:rsid w:val="1FF35744"/>
    <w:rsid w:val="23860B96"/>
    <w:rsid w:val="240371BF"/>
    <w:rsid w:val="257E6D4E"/>
    <w:rsid w:val="25902C01"/>
    <w:rsid w:val="26404627"/>
    <w:rsid w:val="28352DA4"/>
    <w:rsid w:val="29FD04D3"/>
    <w:rsid w:val="2AB03DA2"/>
    <w:rsid w:val="2B345DDC"/>
    <w:rsid w:val="2C8A61B5"/>
    <w:rsid w:val="2CA23219"/>
    <w:rsid w:val="2D6C7E5A"/>
    <w:rsid w:val="2DF04E50"/>
    <w:rsid w:val="2DF06932"/>
    <w:rsid w:val="2E8A0BB2"/>
    <w:rsid w:val="2F040D46"/>
    <w:rsid w:val="30872E52"/>
    <w:rsid w:val="311C359A"/>
    <w:rsid w:val="319F7F4E"/>
    <w:rsid w:val="321E5BFA"/>
    <w:rsid w:val="3304709D"/>
    <w:rsid w:val="342A4220"/>
    <w:rsid w:val="356D4E7A"/>
    <w:rsid w:val="35EE31CF"/>
    <w:rsid w:val="36AA5135"/>
    <w:rsid w:val="376D39B2"/>
    <w:rsid w:val="37E16F03"/>
    <w:rsid w:val="383E029A"/>
    <w:rsid w:val="38455ACD"/>
    <w:rsid w:val="38D469F0"/>
    <w:rsid w:val="3CE05DC4"/>
    <w:rsid w:val="3D98207C"/>
    <w:rsid w:val="3E78745D"/>
    <w:rsid w:val="3EE66BEB"/>
    <w:rsid w:val="3FC705BA"/>
    <w:rsid w:val="3FF84B7E"/>
    <w:rsid w:val="403378F8"/>
    <w:rsid w:val="406003EE"/>
    <w:rsid w:val="416903E2"/>
    <w:rsid w:val="41D978EA"/>
    <w:rsid w:val="430A0BB2"/>
    <w:rsid w:val="449D65EC"/>
    <w:rsid w:val="44E268DA"/>
    <w:rsid w:val="4A627F82"/>
    <w:rsid w:val="4A9C641A"/>
    <w:rsid w:val="4B045373"/>
    <w:rsid w:val="4B0E749A"/>
    <w:rsid w:val="4B1650A7"/>
    <w:rsid w:val="4B344263"/>
    <w:rsid w:val="4B4F25DA"/>
    <w:rsid w:val="4BE068DB"/>
    <w:rsid w:val="4BFA7E4F"/>
    <w:rsid w:val="4D577224"/>
    <w:rsid w:val="4DC1754C"/>
    <w:rsid w:val="4E6525CD"/>
    <w:rsid w:val="4EAB630A"/>
    <w:rsid w:val="4ECE2238"/>
    <w:rsid w:val="506A727A"/>
    <w:rsid w:val="50950CB1"/>
    <w:rsid w:val="513955E1"/>
    <w:rsid w:val="52846D9A"/>
    <w:rsid w:val="537E6D0A"/>
    <w:rsid w:val="545F31EA"/>
    <w:rsid w:val="58F845EC"/>
    <w:rsid w:val="5AF92295"/>
    <w:rsid w:val="5C7D5F8B"/>
    <w:rsid w:val="5CD71FC4"/>
    <w:rsid w:val="5D410AF8"/>
    <w:rsid w:val="5DE352BC"/>
    <w:rsid w:val="5FA42F83"/>
    <w:rsid w:val="607B45AB"/>
    <w:rsid w:val="61847BFA"/>
    <w:rsid w:val="61FC06FB"/>
    <w:rsid w:val="63387199"/>
    <w:rsid w:val="63990EC8"/>
    <w:rsid w:val="664A412A"/>
    <w:rsid w:val="66B71094"/>
    <w:rsid w:val="67A84228"/>
    <w:rsid w:val="67B71A07"/>
    <w:rsid w:val="68774F7F"/>
    <w:rsid w:val="68A8338A"/>
    <w:rsid w:val="6AE54422"/>
    <w:rsid w:val="6B780B60"/>
    <w:rsid w:val="6C2065E1"/>
    <w:rsid w:val="6C215E63"/>
    <w:rsid w:val="6C4A05C8"/>
    <w:rsid w:val="6C814479"/>
    <w:rsid w:val="6E7E3605"/>
    <w:rsid w:val="6ED722D3"/>
    <w:rsid w:val="6FF5CC65"/>
    <w:rsid w:val="70932B72"/>
    <w:rsid w:val="715C0E4B"/>
    <w:rsid w:val="71A32941"/>
    <w:rsid w:val="72734D90"/>
    <w:rsid w:val="729609C1"/>
    <w:rsid w:val="72FA2A34"/>
    <w:rsid w:val="73AD73D5"/>
    <w:rsid w:val="73B6EB34"/>
    <w:rsid w:val="744731E5"/>
    <w:rsid w:val="76E3355F"/>
    <w:rsid w:val="771D4F43"/>
    <w:rsid w:val="7772528F"/>
    <w:rsid w:val="778769C8"/>
    <w:rsid w:val="790F04E3"/>
    <w:rsid w:val="79BF4C6D"/>
    <w:rsid w:val="79EE5BA4"/>
    <w:rsid w:val="7A894339"/>
    <w:rsid w:val="7B0A205A"/>
    <w:rsid w:val="7B0F7299"/>
    <w:rsid w:val="7EE67043"/>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4"/>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99"/>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5"/>
    <w:qFormat/>
    <w:uiPriority w:val="0"/>
    <w:pPr>
      <w:ind w:firstLine="420" w:firstLineChars="100"/>
    </w:pPr>
  </w:style>
  <w:style w:type="paragraph" w:styleId="16">
    <w:name w:val="Body Text First Indent 2"/>
    <w:basedOn w:val="6"/>
    <w:next w:val="15"/>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引用1"/>
    <w:basedOn w:val="1"/>
    <w:next w:val="1"/>
    <w:qFormat/>
    <w:uiPriority w:val="29"/>
    <w:pPr>
      <w:spacing w:line="500" w:lineRule="exact"/>
      <w:ind w:firstLine="200" w:firstLineChars="200"/>
    </w:pPr>
    <w:rPr>
      <w:i/>
      <w:sz w:val="28"/>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qFormat/>
    <w:uiPriority w:val="9"/>
    <w:rPr>
      <w:rFonts w:ascii="Times New Roman" w:hAnsi="Times New Roman"/>
      <w:b/>
      <w:bCs/>
      <w:kern w:val="44"/>
      <w:sz w:val="44"/>
      <w:szCs w:val="44"/>
    </w:rPr>
  </w:style>
  <w:style w:type="character" w:customStyle="1" w:styleId="32">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8"/>
    <w:semiHidden/>
    <w:qFormat/>
    <w:uiPriority w:val="99"/>
    <w:rPr>
      <w:rFonts w:ascii="Times New Roman" w:hAnsi="Times New Roman"/>
      <w:kern w:val="2"/>
      <w:sz w:val="18"/>
      <w:szCs w:val="18"/>
    </w:rPr>
  </w:style>
  <w:style w:type="character" w:customStyle="1" w:styleId="35">
    <w:name w:val="标题 3 Char"/>
    <w:basedOn w:val="18"/>
    <w:link w:val="4"/>
    <w:qFormat/>
    <w:uiPriority w:val="9"/>
    <w:rPr>
      <w:rFonts w:ascii="Times New Roman" w:hAnsi="Times New Roman"/>
      <w:b/>
      <w:bCs/>
      <w:kern w:val="2"/>
      <w:sz w:val="32"/>
      <w:szCs w:val="32"/>
    </w:rPr>
  </w:style>
  <w:style w:type="paragraph" w:customStyle="1" w:styleId="3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NormalCharacter"/>
    <w:qFormat/>
    <w:uiPriority w:val="0"/>
  </w:style>
  <w:style w:type="table" w:customStyle="1" w:styleId="39">
    <w:name w:val="Table Normal"/>
    <w:semiHidden/>
    <w:unhideWhenUsed/>
    <w:qFormat/>
    <w:uiPriority w:val="0"/>
    <w:tblPr>
      <w:tblCellMar>
        <w:top w:w="0" w:type="dxa"/>
        <w:left w:w="0" w:type="dxa"/>
        <w:bottom w:w="0" w:type="dxa"/>
        <w:right w:w="0" w:type="dxa"/>
      </w:tblCellMar>
    </w:tblPr>
  </w:style>
  <w:style w:type="paragraph" w:styleId="40">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1">
    <w:name w:val="标题 1 Char"/>
    <w:link w:val="2"/>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2&#24180;&#20915;&#31639;&#20844;&#31034;&#21450;&#35828;&#26126;\&#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94444444444444"/>
          <c:y val="0.0905909797822706"/>
          <c:w val="0.741805555555556"/>
          <c:h val="0.765940902021773"/>
        </c:manualLayout>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336.84</c:v>
                </c:pt>
                <c:pt idx="1">
                  <c:v>276.33</c:v>
                </c:pt>
              </c:numCache>
            </c:numRef>
          </c:val>
        </c:ser>
        <c:dLbls>
          <c:showLegendKey val="false"/>
          <c:showVal val="true"/>
          <c:showCatName val="false"/>
          <c:showSerName val="false"/>
          <c:showPercent val="false"/>
          <c:showBubbleSize val="false"/>
        </c:dLbls>
        <c:gapWidth val="150"/>
        <c:axId val="148548992"/>
        <c:axId val="185138176"/>
      </c:barChart>
      <c:catAx>
        <c:axId val="14854899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5138176"/>
        <c:crosses val="autoZero"/>
        <c:auto val="true"/>
        <c:lblAlgn val="ctr"/>
        <c:lblOffset val="100"/>
        <c:noMultiLvlLbl val="false"/>
      </c:catAx>
      <c:valAx>
        <c:axId val="18513817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4854899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formatCode="0%">
                  <c:v>0</c:v>
                </c:pt>
                <c:pt idx="2" c:formatCode="0%">
                  <c:v>0</c:v>
                </c:pt>
                <c:pt idx="3" c:formatCode="0%">
                  <c:v>0</c:v>
                </c:pt>
                <c:pt idx="4">
                  <c:v>0</c:v>
                </c:pt>
                <c:pt idx="5" c:formatCode="0%">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336.84</c:v>
                </c:pt>
                <c:pt idx="1">
                  <c:v>276.33</c:v>
                </c:pt>
              </c:numCache>
            </c:numRef>
          </c:val>
        </c:ser>
        <c:dLbls>
          <c:showLegendKey val="false"/>
          <c:showVal val="true"/>
          <c:showCatName val="false"/>
          <c:showSerName val="false"/>
          <c:showPercent val="false"/>
          <c:showBubbleSize val="false"/>
        </c:dLbls>
        <c:gapWidth val="150"/>
        <c:axId val="168786560"/>
        <c:axId val="172541824"/>
      </c:barChart>
      <c:catAx>
        <c:axId val="16878656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72541824"/>
        <c:crosses val="autoZero"/>
        <c:auto val="true"/>
        <c:lblAlgn val="ctr"/>
        <c:lblOffset val="100"/>
        <c:noMultiLvlLbl val="false"/>
      </c:catAx>
      <c:valAx>
        <c:axId val="172541824"/>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68786560"/>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336.84</c:v>
                </c:pt>
                <c:pt idx="1">
                  <c:v>276.33</c:v>
                </c:pt>
              </c:numCache>
            </c:numRef>
          </c:val>
        </c:ser>
        <c:dLbls>
          <c:showLegendKey val="false"/>
          <c:showVal val="true"/>
          <c:showCatName val="false"/>
          <c:showSerName val="false"/>
          <c:showPercent val="false"/>
          <c:showBubbleSize val="false"/>
        </c:dLbls>
        <c:gapWidth val="150"/>
        <c:axId val="181842688"/>
        <c:axId val="181846016"/>
      </c:barChart>
      <c:catAx>
        <c:axId val="181842688"/>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81846016"/>
        <c:crosses val="autoZero"/>
        <c:auto val="true"/>
        <c:lblAlgn val="ctr"/>
        <c:lblOffset val="100"/>
        <c:noMultiLvlLbl val="false"/>
      </c:catAx>
      <c:valAx>
        <c:axId val="18184601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1842688"/>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866388888888889"/>
          <c:y val="0.104814814814815"/>
          <c:w val="0.474222222222222"/>
          <c:h val="0.79037037037037"/>
        </c:manualLayout>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231.94</c:v>
                </c:pt>
                <c:pt idx="1">
                  <c:v>19.73</c:v>
                </c:pt>
                <c:pt idx="2">
                  <c:v>9.86</c:v>
                </c:pt>
                <c:pt idx="3">
                  <c:v>14.8</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3112472160356"/>
          <c:y val="0.112477987421384"/>
          <c:w val="0.433017817371938"/>
          <c:h val="0.782591194968553"/>
        </c:manualLayout>
      </c:layout>
      <c:pieChart>
        <c:varyColors val="true"/>
        <c:ser>
          <c:idx val="0"/>
          <c:order val="0"/>
          <c:explosion val="0"/>
          <c:dPt>
            <c:idx val="0"/>
            <c:bubble3D val="false"/>
          </c:dPt>
          <c:dPt>
            <c:idx val="1"/>
            <c:bubble3D val="false"/>
          </c:dPt>
          <c:dPt>
            <c:idx val="2"/>
            <c:bubble3D val="false"/>
          </c:dPt>
          <c:dLbls>
            <c:dLbl>
              <c:idx val="0"/>
              <c:layout>
                <c:manualLayout>
                  <c:x val="-0.0303979871097459"/>
                  <c:y val="-0.021282296640854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1.52</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1137</Words>
  <Characters>6487</Characters>
  <Lines>54</Lines>
  <Paragraphs>15</Paragraphs>
  <TotalTime>12</TotalTime>
  <ScaleCrop>false</ScaleCrop>
  <LinksUpToDate>false</LinksUpToDate>
  <CharactersWithSpaces>7609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2023-11-01T09:41:00Z</dcterms:created>
  <dc:creator>曹颖</dc:creator>
  <cp:lastModifiedBy>user</cp:lastModifiedBy>
  <cp:lastPrinted>2023-07-31T10:35:00Z</cp:lastPrinted>
  <dcterms:modified xsi:type="dcterms:W3CDTF">2023-11-30T09:33:58Z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8B10668283F94307BEC206C6BBAE8ED3_13</vt:lpwstr>
  </property>
</Properties>
</file>