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67" w:name="_GoBack"/>
      <w:bookmarkEnd w:id="67"/>
      <w:bookmarkStart w:id="0" w:name="_Toc15378441"/>
      <w:bookmarkStart w:id="1" w:name="_Toc15396475"/>
      <w:bookmarkStart w:id="2" w:name="_Toc15396597"/>
      <w:bookmarkStart w:id="3" w:name="_Toc15377425"/>
      <w:bookmarkStart w:id="4" w:name="_Toc15377193"/>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476"/>
      <w:bookmarkStart w:id="7" w:name="_Toc15377194"/>
      <w:bookmarkStart w:id="8" w:name="_Toc15377426"/>
      <w:bookmarkStart w:id="9" w:name="_Toc15396598"/>
      <w:bookmarkStart w:id="10" w:name="_Toc15378442"/>
      <w:r>
        <w:rPr>
          <w:rFonts w:hint="eastAsia" w:ascii="方正小标宋简体" w:hAnsi="方正小标宋简体" w:eastAsia="方正小标宋简体" w:cs="方正小标宋简体"/>
          <w:sz w:val="72"/>
          <w:szCs w:val="72"/>
        </w:rPr>
        <w:t>剑阁县</w:t>
      </w:r>
      <w:bookmarkEnd w:id="5"/>
      <w:bookmarkStart w:id="11" w:name="_Toc15306268"/>
      <w:r>
        <w:rPr>
          <w:rFonts w:hint="eastAsia" w:ascii="方正小标宋简体" w:hAnsi="方正小标宋简体" w:eastAsia="方正小标宋简体" w:cs="方正小标宋简体"/>
          <w:sz w:val="72"/>
          <w:szCs w:val="72"/>
        </w:rPr>
        <w:t>妇联部门决算</w:t>
      </w:r>
      <w:bookmarkEnd w:id="6"/>
      <w:bookmarkEnd w:id="7"/>
      <w:bookmarkEnd w:id="8"/>
      <w:bookmarkEnd w:id="9"/>
      <w:bookmarkEnd w:id="10"/>
      <w:bookmarkEnd w:id="11"/>
    </w:p>
    <w:p>
      <w:pPr>
        <w:widowControl/>
        <w:rPr>
          <w:rFonts w:ascii="方正小标宋简体" w:hAnsi="宋体" w:eastAsia="方正小标宋简体"/>
          <w:sz w:val="36"/>
          <w:szCs w:val="36"/>
        </w:rPr>
      </w:pPr>
    </w:p>
    <w:p>
      <w:pPr>
        <w:widowControl/>
        <w:rPr>
          <w:rFonts w:ascii="方正小标宋简体" w:hAnsi="宋体" w:eastAsia="方正小标宋简体"/>
          <w:sz w:val="36"/>
          <w:szCs w:val="36"/>
        </w:rPr>
      </w:pPr>
    </w:p>
    <w:p>
      <w:pPr>
        <w:widowControl/>
        <w:rPr>
          <w:rFonts w:ascii="方正小标宋简体" w:hAnsi="宋体" w:eastAsia="方正小标宋简体"/>
          <w:sz w:val="36"/>
          <w:szCs w:val="36"/>
        </w:rPr>
      </w:pPr>
    </w:p>
    <w:p>
      <w:pPr>
        <w:widowControl/>
        <w:rPr>
          <w:rFonts w:ascii="方正小标宋简体" w:hAnsi="宋体" w:eastAsia="方正小标宋简体"/>
          <w:sz w:val="36"/>
          <w:szCs w:val="36"/>
        </w:rPr>
      </w:pPr>
    </w:p>
    <w:p>
      <w:pPr>
        <w:widowControl/>
        <w:rPr>
          <w:rFonts w:ascii="方正小标宋简体" w:hAnsi="宋体" w:eastAsia="方正小标宋简体"/>
          <w:sz w:val="36"/>
          <w:szCs w:val="36"/>
        </w:rPr>
      </w:pPr>
    </w:p>
    <w:p>
      <w:pPr>
        <w:widowControl/>
        <w:rPr>
          <w:rFonts w:ascii="方正小标宋简体" w:hAnsi="宋体" w:eastAsia="方正小标宋简体"/>
          <w:sz w:val="36"/>
          <w:szCs w:val="36"/>
        </w:rPr>
      </w:pPr>
    </w:p>
    <w:p>
      <w:pPr>
        <w:widowControl/>
        <w:rPr>
          <w:rFonts w:ascii="方正小标宋简体" w:hAnsi="宋体" w:eastAsia="方正小标宋简体"/>
          <w:sz w:val="36"/>
          <w:szCs w:val="36"/>
        </w:rPr>
      </w:pPr>
    </w:p>
    <w:p>
      <w:pPr>
        <w:widowControl/>
        <w:rPr>
          <w:rFonts w:ascii="方正小标宋简体" w:hAnsi="宋体" w:eastAsia="方正小标宋简体"/>
          <w:sz w:val="36"/>
          <w:szCs w:val="36"/>
        </w:rPr>
      </w:pPr>
    </w:p>
    <w:p>
      <w:pPr>
        <w:widowControl/>
        <w:rPr>
          <w:rFonts w:ascii="方正小标宋简体" w:hAnsi="宋体" w:eastAsia="方正小标宋简体"/>
          <w:sz w:val="36"/>
          <w:szCs w:val="36"/>
        </w:rPr>
      </w:pPr>
    </w:p>
    <w:p>
      <w:pPr>
        <w:widowControl/>
        <w:rPr>
          <w:rFonts w:ascii="方正小标宋简体" w:hAnsi="宋体" w:eastAsia="方正小标宋简体"/>
          <w:sz w:val="36"/>
          <w:szCs w:val="36"/>
        </w:rPr>
      </w:pPr>
    </w:p>
    <w:p>
      <w:pPr>
        <w:widowControl/>
        <w:rPr>
          <w:rFonts w:ascii="方正小标宋简体" w:hAnsi="宋体" w:eastAsia="方正小标宋简体"/>
          <w:sz w:val="36"/>
          <w:szCs w:val="36"/>
        </w:rPr>
      </w:pPr>
    </w:p>
    <w:p>
      <w:pPr>
        <w:widowControl/>
        <w:jc w:val="center"/>
        <w:rPr>
          <w:rFonts w:ascii="黑体" w:hAnsi="黑体" w:eastAsia="黑体"/>
          <w:b/>
          <w:sz w:val="48"/>
          <w:szCs w:val="48"/>
        </w:rPr>
      </w:pPr>
      <w:r>
        <w:rPr>
          <w:rFonts w:hint="eastAsia" w:ascii="黑体" w:hAnsi="黑体" w:eastAsia="黑体"/>
          <w:b/>
          <w:sz w:val="48"/>
          <w:szCs w:val="48"/>
        </w:rPr>
        <w:t>目录</w:t>
      </w:r>
    </w:p>
    <w:p>
      <w:pPr>
        <w:pStyle w:val="11"/>
      </w:pPr>
      <w:r>
        <w:rPr>
          <w:rFonts w:hint="eastAsia"/>
        </w:rPr>
        <w:t>公开时间：2023年10月</w:t>
      </w:r>
      <w:r>
        <w:rPr>
          <w:rFonts w:hint="eastAsia"/>
          <w:lang w:val="en-US" w:eastAsia="zh-CN"/>
        </w:rPr>
        <w:t>16</w:t>
      </w:r>
      <w:r>
        <w:rPr>
          <w:rFonts w:hint="eastAsia"/>
        </w:rPr>
        <w:t>日</w:t>
      </w:r>
    </w:p>
    <w:p/>
    <w:p>
      <w:pPr>
        <w:pStyle w:val="11"/>
        <w:adjustRightInd w:val="0"/>
        <w:snapToGrid w:val="0"/>
        <w:spacing w:before="0" w:line="440" w:lineRule="exact"/>
        <w:jc w:val="left"/>
        <w:rPr>
          <w:rFonts w:cstheme="minorBidi"/>
          <w:sz w:val="24"/>
          <w:szCs w:val="24"/>
        </w:rPr>
      </w:pPr>
      <w:r>
        <w:rPr>
          <w:rFonts w:hint="eastAsia" w:ascii="黑体" w:hAnsi="黑体" w:eastAsia="黑体" w:cs="黑体"/>
          <w:szCs w:val="32"/>
        </w:rPr>
        <w:t>第一部分</w:t>
      </w:r>
      <w:r>
        <w:rPr>
          <w:rFonts w:ascii="黑体" w:hAnsi="黑体" w:eastAsia="黑体" w:cs="黑体"/>
          <w:szCs w:val="32"/>
        </w:rPr>
        <w:t xml:space="preserve"> </w:t>
      </w:r>
      <w:r>
        <w:rPr>
          <w:rFonts w:hint="eastAsia" w:ascii="黑体" w:hAnsi="黑体" w:eastAsia="黑体" w:cs="黑体"/>
          <w:szCs w:val="32"/>
        </w:rPr>
        <w:t>部门概况</w:t>
      </w:r>
      <w:r>
        <w:rPr>
          <w:rFonts w:hint="eastAsia"/>
          <w:sz w:val="24"/>
        </w:rPr>
        <w:t>……………………………………………………………………1</w:t>
      </w:r>
    </w:p>
    <w:p>
      <w:pPr>
        <w:pStyle w:val="11"/>
        <w:adjustRightInd w:val="0"/>
        <w:snapToGrid w:val="0"/>
        <w:spacing w:before="0" w:line="440" w:lineRule="exact"/>
        <w:ind w:firstLine="480" w:firstLineChars="200"/>
        <w:jc w:val="left"/>
        <w:rPr>
          <w:rFonts w:cstheme="minorBidi"/>
          <w:sz w:val="24"/>
          <w:szCs w:val="24"/>
        </w:rPr>
      </w:pPr>
      <w:r>
        <w:rPr>
          <w:rFonts w:hint="eastAsia"/>
          <w:sz w:val="24"/>
        </w:rPr>
        <w:t>一、部门职责及重点</w:t>
      </w:r>
      <w:r>
        <w:rPr>
          <w:sz w:val="24"/>
        </w:rPr>
        <w:t>工作</w:t>
      </w:r>
      <w:r>
        <w:rPr>
          <w:rFonts w:hint="eastAsia"/>
          <w:sz w:val="24"/>
        </w:rPr>
        <w:t>……………………………………………………………1</w:t>
      </w:r>
    </w:p>
    <w:p>
      <w:pPr>
        <w:pStyle w:val="11"/>
        <w:adjustRightInd w:val="0"/>
        <w:snapToGrid w:val="0"/>
        <w:spacing w:before="0" w:line="440" w:lineRule="exact"/>
        <w:ind w:firstLine="480" w:firstLineChars="200"/>
        <w:jc w:val="left"/>
        <w:rPr>
          <w:rFonts w:cstheme="minorBidi"/>
          <w:sz w:val="24"/>
          <w:szCs w:val="24"/>
        </w:rPr>
      </w:pPr>
      <w:r>
        <w:rPr>
          <w:rFonts w:hint="eastAsia"/>
          <w:sz w:val="24"/>
        </w:rPr>
        <w:t>(一)部门</w:t>
      </w:r>
      <w:r>
        <w:rPr>
          <w:sz w:val="24"/>
        </w:rPr>
        <w:t>职责</w:t>
      </w:r>
      <w:r>
        <w:rPr>
          <w:rFonts w:hint="eastAsia"/>
          <w:sz w:val="24"/>
        </w:rPr>
        <w:t>…………………………………………………………………………1</w:t>
      </w:r>
    </w:p>
    <w:p>
      <w:pPr>
        <w:pStyle w:val="11"/>
        <w:adjustRightInd w:val="0"/>
        <w:snapToGrid w:val="0"/>
        <w:spacing w:before="0" w:line="440" w:lineRule="exact"/>
        <w:ind w:firstLine="360" w:firstLineChars="150"/>
        <w:jc w:val="left"/>
        <w:rPr>
          <w:rFonts w:cstheme="minorBidi"/>
          <w:sz w:val="24"/>
          <w:szCs w:val="24"/>
        </w:rPr>
      </w:pPr>
      <w:r>
        <w:rPr>
          <w:rFonts w:hint="eastAsia"/>
          <w:sz w:val="24"/>
        </w:rPr>
        <w:t>（二）2022年重点工作完成情况……………………………………………………2</w:t>
      </w:r>
    </w:p>
    <w:p>
      <w:pPr>
        <w:pStyle w:val="11"/>
        <w:adjustRightInd w:val="0"/>
        <w:snapToGrid w:val="0"/>
        <w:spacing w:before="0" w:line="440" w:lineRule="exact"/>
        <w:ind w:firstLine="480" w:firstLineChars="200"/>
        <w:jc w:val="left"/>
        <w:rPr>
          <w:rFonts w:cstheme="minorBidi"/>
          <w:sz w:val="24"/>
          <w:szCs w:val="24"/>
        </w:rPr>
      </w:pPr>
      <w:r>
        <w:rPr>
          <w:rFonts w:hint="eastAsia"/>
          <w:sz w:val="24"/>
        </w:rPr>
        <w:t>二、机构设置…………………………………………………………………………6</w:t>
      </w:r>
    </w:p>
    <w:p>
      <w:pPr>
        <w:pStyle w:val="11"/>
        <w:adjustRightInd w:val="0"/>
        <w:snapToGrid w:val="0"/>
        <w:spacing w:before="0" w:line="440" w:lineRule="exact"/>
        <w:jc w:val="left"/>
        <w:rPr>
          <w:rFonts w:cstheme="minorBidi"/>
          <w:sz w:val="24"/>
          <w:szCs w:val="24"/>
        </w:rPr>
      </w:pPr>
      <w:r>
        <w:rPr>
          <w:rFonts w:hint="eastAsia" w:ascii="黑体" w:hAnsi="黑体" w:eastAsia="黑体" w:cs="黑体"/>
          <w:szCs w:val="32"/>
        </w:rPr>
        <w:t>第二部分 2022年度部门决算情况说明</w:t>
      </w:r>
      <w:r>
        <w:rPr>
          <w:rFonts w:hint="eastAsia"/>
          <w:sz w:val="24"/>
        </w:rPr>
        <w:t>…………………………………………7</w:t>
      </w:r>
    </w:p>
    <w:p>
      <w:pPr>
        <w:pStyle w:val="12"/>
        <w:adjustRightInd w:val="0"/>
        <w:snapToGrid w:val="0"/>
        <w:spacing w:line="440" w:lineRule="exact"/>
        <w:ind w:firstLine="120" w:firstLineChars="50"/>
        <w:jc w:val="left"/>
        <w:rPr>
          <w:rFonts w:ascii="仿宋" w:hAnsi="仿宋" w:eastAsia="仿宋" w:cstheme="minorBidi"/>
          <w:sz w:val="24"/>
        </w:rPr>
      </w:pPr>
      <w:r>
        <w:rPr>
          <w:rFonts w:hint="eastAsia"/>
          <w:sz w:val="24"/>
        </w:rPr>
        <w:t>一、收入支出决算总体情况说明……………………………………………………7</w:t>
      </w:r>
    </w:p>
    <w:p>
      <w:pPr>
        <w:pStyle w:val="11"/>
        <w:adjustRightInd w:val="0"/>
        <w:snapToGrid w:val="0"/>
        <w:spacing w:before="0" w:line="440" w:lineRule="exact"/>
        <w:ind w:firstLine="480" w:firstLineChars="200"/>
        <w:jc w:val="left"/>
        <w:rPr>
          <w:rFonts w:cstheme="minorBidi"/>
          <w:sz w:val="24"/>
          <w:szCs w:val="24"/>
        </w:rPr>
      </w:pPr>
      <w:r>
        <w:rPr>
          <w:rFonts w:hint="eastAsia"/>
          <w:sz w:val="24"/>
        </w:rPr>
        <w:t>二、收入决算情况说明………………………………………………………………7</w:t>
      </w:r>
    </w:p>
    <w:p>
      <w:pPr>
        <w:pStyle w:val="11"/>
        <w:adjustRightInd w:val="0"/>
        <w:snapToGrid w:val="0"/>
        <w:spacing w:before="0" w:line="440" w:lineRule="exact"/>
        <w:ind w:firstLine="480" w:firstLineChars="200"/>
        <w:jc w:val="left"/>
        <w:rPr>
          <w:rFonts w:cstheme="minorBidi"/>
          <w:sz w:val="24"/>
          <w:szCs w:val="24"/>
        </w:rPr>
      </w:pPr>
      <w:r>
        <w:rPr>
          <w:rFonts w:hint="eastAsia"/>
          <w:sz w:val="24"/>
        </w:rPr>
        <w:t>三、支出决算情况说明………………………………………………………………8</w:t>
      </w:r>
    </w:p>
    <w:p>
      <w:pPr>
        <w:pStyle w:val="12"/>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四、财政拨款收入支出决算总体情况说明……………………………………………9</w:t>
      </w:r>
    </w:p>
    <w:p>
      <w:pPr>
        <w:pStyle w:val="12"/>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五、一般公共预算财政拨款支出决算情况说明………………………………………9</w:t>
      </w:r>
    </w:p>
    <w:p>
      <w:pPr>
        <w:pStyle w:val="12"/>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六、一般公共预算财政拨款基本支出决算情况说明………………………………11</w:t>
      </w:r>
    </w:p>
    <w:p>
      <w:pPr>
        <w:pStyle w:val="12"/>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七、财政拨款“三公”经费支出决算情况说明……………………………………11</w:t>
      </w:r>
    </w:p>
    <w:p>
      <w:pPr>
        <w:pStyle w:val="12"/>
        <w:adjustRightInd w:val="0"/>
        <w:snapToGrid w:val="0"/>
        <w:spacing w:line="440" w:lineRule="exact"/>
        <w:jc w:val="left"/>
        <w:rPr>
          <w:rFonts w:ascii="仿宋" w:hAnsi="仿宋" w:eastAsia="仿宋" w:cstheme="minorBidi"/>
          <w:sz w:val="24"/>
        </w:rPr>
      </w:pPr>
      <w:r>
        <w:rPr>
          <w:rFonts w:hint="eastAsia"/>
          <w:sz w:val="24"/>
        </w:rPr>
        <w:t>八、政府性基金预算支出决算情况说明……………………………………………13</w:t>
      </w:r>
    </w:p>
    <w:p>
      <w:pPr>
        <w:pStyle w:val="12"/>
        <w:adjustRightInd w:val="0"/>
        <w:snapToGrid w:val="0"/>
        <w:spacing w:line="440" w:lineRule="exact"/>
        <w:jc w:val="left"/>
        <w:rPr>
          <w:rFonts w:ascii="仿宋" w:hAnsi="仿宋" w:eastAsia="仿宋" w:cstheme="minorBidi"/>
          <w:sz w:val="24"/>
        </w:rPr>
      </w:pPr>
      <w:r>
        <w:rPr>
          <w:rFonts w:hint="eastAsia" w:asciiTheme="minorEastAsia" w:hAnsiTheme="minorEastAsia" w:eastAsiaTheme="minorEastAsia" w:cstheme="minorEastAsia"/>
          <w:sz w:val="24"/>
        </w:rPr>
        <w:t>九、国有资本经营预算支出决算情况说明</w:t>
      </w:r>
      <w:r>
        <w:rPr>
          <w:rFonts w:hint="eastAsia"/>
          <w:sz w:val="24"/>
        </w:rPr>
        <w:t>…………………………………………13</w:t>
      </w:r>
    </w:p>
    <w:p>
      <w:pPr>
        <w:pStyle w:val="11"/>
        <w:adjustRightInd w:val="0"/>
        <w:snapToGrid w:val="0"/>
        <w:spacing w:before="0" w:line="440" w:lineRule="exact"/>
        <w:ind w:firstLine="360" w:firstLineChars="150"/>
        <w:jc w:val="left"/>
        <w:rPr>
          <w:rFonts w:cstheme="minorBidi"/>
          <w:sz w:val="24"/>
          <w:szCs w:val="24"/>
        </w:rPr>
      </w:pPr>
      <w:r>
        <w:rPr>
          <w:rStyle w:val="17"/>
          <w:rFonts w:hint="eastAsia" w:asciiTheme="minorEastAsia" w:hAnsiTheme="minorEastAsia" w:eastAsiaTheme="minorEastAsia" w:cstheme="minorEastAsia"/>
          <w:color w:val="auto"/>
          <w:sz w:val="24"/>
          <w:u w:val="none"/>
        </w:rPr>
        <w:t>十、</w:t>
      </w:r>
      <w:r>
        <w:rPr>
          <w:rFonts w:hint="eastAsia" w:asciiTheme="minorEastAsia" w:hAnsiTheme="minorEastAsia" w:eastAsiaTheme="minorEastAsia" w:cstheme="minorEastAsia"/>
          <w:sz w:val="24"/>
        </w:rPr>
        <w:t>其他重要事项的情况说明</w:t>
      </w:r>
      <w:r>
        <w:rPr>
          <w:rFonts w:hint="eastAsia"/>
          <w:sz w:val="24"/>
        </w:rPr>
        <w:t>………………………………………………………13</w:t>
      </w:r>
    </w:p>
    <w:p>
      <w:pPr>
        <w:pStyle w:val="11"/>
        <w:adjustRightInd w:val="0"/>
        <w:snapToGrid w:val="0"/>
        <w:spacing w:before="0" w:line="440" w:lineRule="exact"/>
        <w:jc w:val="left"/>
        <w:rPr>
          <w:rFonts w:cstheme="minorBidi"/>
          <w:sz w:val="24"/>
          <w:szCs w:val="24"/>
        </w:rPr>
      </w:pPr>
      <w:r>
        <w:rPr>
          <w:rFonts w:hint="eastAsia" w:ascii="黑体" w:hAnsi="黑体" w:eastAsia="黑体" w:cs="黑体"/>
          <w:szCs w:val="32"/>
        </w:rPr>
        <w:t>第三部分</w:t>
      </w:r>
      <w:r>
        <w:rPr>
          <w:rFonts w:ascii="黑体" w:hAnsi="黑体" w:eastAsia="黑体" w:cs="黑体"/>
          <w:szCs w:val="32"/>
        </w:rPr>
        <w:t xml:space="preserve"> </w:t>
      </w:r>
      <w:r>
        <w:rPr>
          <w:rFonts w:hint="eastAsia" w:ascii="黑体" w:hAnsi="黑体" w:eastAsia="黑体" w:cs="黑体"/>
          <w:szCs w:val="32"/>
        </w:rPr>
        <w:t>名词解释</w:t>
      </w:r>
      <w:r>
        <w:rPr>
          <w:rFonts w:hint="eastAsia"/>
          <w:sz w:val="24"/>
        </w:rPr>
        <w:t>…………………………………………………………………15</w:t>
      </w:r>
    </w:p>
    <w:p>
      <w:pPr>
        <w:pStyle w:val="11"/>
        <w:adjustRightInd w:val="0"/>
        <w:snapToGrid w:val="0"/>
        <w:spacing w:before="0" w:line="440" w:lineRule="exact"/>
        <w:jc w:val="left"/>
        <w:rPr>
          <w:rFonts w:cstheme="minorBidi"/>
          <w:sz w:val="24"/>
          <w:szCs w:val="24"/>
        </w:rPr>
      </w:pPr>
      <w:r>
        <w:rPr>
          <w:rFonts w:hint="eastAsia" w:ascii="黑体" w:hAnsi="黑体" w:eastAsia="黑体" w:cs="黑体"/>
          <w:szCs w:val="32"/>
        </w:rPr>
        <w:t>第四部分</w:t>
      </w:r>
      <w:r>
        <w:rPr>
          <w:rFonts w:ascii="黑体" w:hAnsi="黑体" w:eastAsia="黑体" w:cs="黑体"/>
          <w:szCs w:val="32"/>
        </w:rPr>
        <w:t xml:space="preserve"> </w:t>
      </w:r>
      <w:r>
        <w:rPr>
          <w:rFonts w:hint="eastAsia" w:ascii="黑体" w:hAnsi="黑体" w:eastAsia="黑体" w:cs="黑体"/>
          <w:szCs w:val="32"/>
        </w:rPr>
        <w:t>附件</w:t>
      </w:r>
      <w:r>
        <w:rPr>
          <w:rFonts w:hint="eastAsia"/>
          <w:sz w:val="24"/>
        </w:rPr>
        <w:t>…………………………………………………………………………17</w:t>
      </w:r>
    </w:p>
    <w:p>
      <w:pPr>
        <w:pStyle w:val="11"/>
        <w:adjustRightInd w:val="0"/>
        <w:snapToGrid w:val="0"/>
        <w:spacing w:before="0" w:line="440" w:lineRule="exact"/>
        <w:jc w:val="left"/>
        <w:rPr>
          <w:rFonts w:cstheme="minorBidi"/>
          <w:sz w:val="24"/>
          <w:szCs w:val="24"/>
        </w:rPr>
      </w:pPr>
      <w:r>
        <w:rPr>
          <w:rFonts w:hint="eastAsia" w:ascii="黑体" w:hAnsi="黑体" w:eastAsia="黑体" w:cs="黑体"/>
          <w:szCs w:val="32"/>
        </w:rPr>
        <w:t>第五部分</w:t>
      </w:r>
      <w:r>
        <w:rPr>
          <w:rFonts w:ascii="黑体" w:hAnsi="黑体" w:eastAsia="黑体" w:cs="黑体"/>
          <w:szCs w:val="32"/>
        </w:rPr>
        <w:t xml:space="preserve"> </w:t>
      </w:r>
      <w:r>
        <w:rPr>
          <w:rFonts w:hint="eastAsia" w:ascii="黑体" w:hAnsi="黑体" w:eastAsia="黑体" w:cs="黑体"/>
          <w:szCs w:val="32"/>
        </w:rPr>
        <w:t>附表</w:t>
      </w:r>
      <w:r>
        <w:rPr>
          <w:rFonts w:hint="eastAsia"/>
          <w:sz w:val="24"/>
        </w:rPr>
        <w:t>…………………………………………………………………………31</w:t>
      </w:r>
    </w:p>
    <w:p>
      <w:pPr>
        <w:pStyle w:val="11"/>
        <w:adjustRightInd w:val="0"/>
        <w:snapToGrid w:val="0"/>
        <w:spacing w:before="0" w:line="440" w:lineRule="exact"/>
        <w:ind w:firstLine="480" w:firstLineChars="200"/>
        <w:jc w:val="left"/>
        <w:rPr>
          <w:rFonts w:cstheme="minorBidi"/>
          <w:sz w:val="24"/>
          <w:szCs w:val="24"/>
        </w:rPr>
      </w:pPr>
      <w:r>
        <w:rPr>
          <w:rFonts w:hint="eastAsia"/>
          <w:sz w:val="24"/>
        </w:rPr>
        <w:t>一、收入支出决算总表………………………………………………………………31</w:t>
      </w:r>
    </w:p>
    <w:p>
      <w:pPr>
        <w:pStyle w:val="11"/>
        <w:adjustRightInd w:val="0"/>
        <w:snapToGrid w:val="0"/>
        <w:spacing w:before="0" w:line="440" w:lineRule="exact"/>
        <w:ind w:firstLine="480" w:firstLineChars="200"/>
        <w:jc w:val="left"/>
        <w:rPr>
          <w:rFonts w:cstheme="minorBidi"/>
          <w:sz w:val="24"/>
          <w:szCs w:val="24"/>
        </w:rPr>
      </w:pPr>
      <w:r>
        <w:rPr>
          <w:rFonts w:hint="eastAsia"/>
          <w:sz w:val="24"/>
        </w:rPr>
        <w:t>二、收入决算表………………………………………………………………………31</w:t>
      </w:r>
    </w:p>
    <w:p>
      <w:pPr>
        <w:pStyle w:val="11"/>
        <w:adjustRightInd w:val="0"/>
        <w:snapToGrid w:val="0"/>
        <w:spacing w:before="0" w:line="440" w:lineRule="exact"/>
        <w:ind w:firstLine="480" w:firstLineChars="200"/>
        <w:jc w:val="left"/>
        <w:rPr>
          <w:rFonts w:cstheme="minorBidi"/>
          <w:sz w:val="24"/>
          <w:szCs w:val="24"/>
        </w:rPr>
      </w:pPr>
      <w:r>
        <w:rPr>
          <w:rFonts w:hint="eastAsia"/>
          <w:sz w:val="24"/>
        </w:rPr>
        <w:t>三、支出决算表………………………………………………………………………31</w:t>
      </w:r>
    </w:p>
    <w:p>
      <w:pPr>
        <w:pStyle w:val="11"/>
        <w:adjustRightInd w:val="0"/>
        <w:snapToGrid w:val="0"/>
        <w:spacing w:before="0" w:line="440" w:lineRule="exact"/>
        <w:ind w:firstLine="480" w:firstLineChars="200"/>
        <w:jc w:val="left"/>
        <w:rPr>
          <w:rFonts w:cstheme="minorBidi"/>
          <w:sz w:val="24"/>
          <w:szCs w:val="24"/>
        </w:rPr>
      </w:pPr>
      <w:r>
        <w:rPr>
          <w:rFonts w:hint="eastAsia"/>
          <w:sz w:val="24"/>
        </w:rPr>
        <w:t>四、财政拨款收入支出决算总表……………………………………………………31</w:t>
      </w:r>
    </w:p>
    <w:p>
      <w:pPr>
        <w:pStyle w:val="11"/>
        <w:adjustRightInd w:val="0"/>
        <w:snapToGrid w:val="0"/>
        <w:spacing w:before="0" w:line="440" w:lineRule="exact"/>
        <w:ind w:firstLine="480" w:firstLineChars="200"/>
        <w:jc w:val="left"/>
        <w:rPr>
          <w:rFonts w:cstheme="minorBidi"/>
          <w:sz w:val="24"/>
          <w:szCs w:val="24"/>
        </w:rPr>
      </w:pPr>
      <w:r>
        <w:rPr>
          <w:rFonts w:hint="eastAsia"/>
          <w:sz w:val="24"/>
        </w:rPr>
        <w:t>五、财政拨款支出决算明细表………………………………………………………31</w:t>
      </w:r>
    </w:p>
    <w:p>
      <w:pPr>
        <w:pStyle w:val="11"/>
        <w:adjustRightInd w:val="0"/>
        <w:snapToGrid w:val="0"/>
        <w:spacing w:before="0" w:line="440" w:lineRule="exact"/>
        <w:ind w:firstLine="480" w:firstLineChars="200"/>
        <w:jc w:val="left"/>
        <w:rPr>
          <w:rFonts w:cstheme="minorBidi"/>
          <w:sz w:val="24"/>
          <w:szCs w:val="24"/>
        </w:rPr>
      </w:pPr>
      <w:r>
        <w:rPr>
          <w:rFonts w:hint="eastAsia"/>
          <w:sz w:val="24"/>
        </w:rPr>
        <w:t>六、一般公共预算财政拨款支出决算表……………………………………………31</w:t>
      </w:r>
    </w:p>
    <w:p>
      <w:pPr>
        <w:pStyle w:val="12"/>
        <w:adjustRightInd w:val="0"/>
        <w:snapToGrid w:val="0"/>
        <w:spacing w:line="440" w:lineRule="exact"/>
        <w:jc w:val="left"/>
        <w:rPr>
          <w:sz w:val="24"/>
        </w:rPr>
      </w:pPr>
    </w:p>
    <w:p>
      <w:pPr>
        <w:pStyle w:val="11"/>
        <w:adjustRightInd w:val="0"/>
        <w:snapToGrid w:val="0"/>
        <w:spacing w:before="0" w:line="440" w:lineRule="exact"/>
        <w:ind w:firstLine="480" w:firstLineChars="200"/>
        <w:jc w:val="left"/>
        <w:rPr>
          <w:rFonts w:cstheme="minorBidi"/>
          <w:sz w:val="24"/>
          <w:szCs w:val="24"/>
        </w:rPr>
      </w:pPr>
      <w:r>
        <w:rPr>
          <w:rFonts w:hint="eastAsia"/>
          <w:sz w:val="24"/>
        </w:rPr>
        <w:t>七、一般公共预算财政拨款支出决算明细表………………………………………31</w:t>
      </w:r>
    </w:p>
    <w:p>
      <w:pPr>
        <w:pStyle w:val="11"/>
        <w:adjustRightInd w:val="0"/>
        <w:snapToGrid w:val="0"/>
        <w:spacing w:before="0" w:line="440" w:lineRule="exact"/>
        <w:ind w:firstLine="480" w:firstLineChars="200"/>
        <w:jc w:val="left"/>
        <w:rPr>
          <w:rFonts w:cstheme="minorBidi"/>
          <w:sz w:val="24"/>
          <w:szCs w:val="24"/>
        </w:rPr>
      </w:pPr>
      <w:r>
        <w:rPr>
          <w:rFonts w:hint="eastAsia"/>
          <w:sz w:val="24"/>
        </w:rPr>
        <w:t>八、一般公共预算财政拨款基本支出决算明细表…………………………………31</w:t>
      </w:r>
    </w:p>
    <w:p>
      <w:pPr>
        <w:pStyle w:val="11"/>
        <w:adjustRightInd w:val="0"/>
        <w:snapToGrid w:val="0"/>
        <w:spacing w:before="0" w:line="440" w:lineRule="exact"/>
        <w:ind w:firstLine="480" w:firstLineChars="200"/>
        <w:jc w:val="left"/>
        <w:rPr>
          <w:rFonts w:cstheme="minorBidi"/>
          <w:sz w:val="24"/>
          <w:szCs w:val="24"/>
        </w:rPr>
      </w:pPr>
      <w:r>
        <w:rPr>
          <w:rFonts w:hint="eastAsia"/>
          <w:sz w:val="24"/>
        </w:rPr>
        <w:t>九、一般公共预算财政拨款项目支出决算表………………………………………31</w:t>
      </w:r>
    </w:p>
    <w:p>
      <w:pPr>
        <w:pStyle w:val="11"/>
        <w:adjustRightInd w:val="0"/>
        <w:snapToGrid w:val="0"/>
        <w:spacing w:before="0" w:line="440" w:lineRule="exact"/>
        <w:ind w:firstLine="480" w:firstLineChars="200"/>
        <w:jc w:val="left"/>
        <w:rPr>
          <w:rFonts w:cstheme="minorBidi"/>
          <w:sz w:val="24"/>
          <w:szCs w:val="24"/>
        </w:rPr>
      </w:pPr>
      <w:r>
        <w:rPr>
          <w:rFonts w:hint="eastAsia"/>
          <w:sz w:val="24"/>
        </w:rPr>
        <w:t>十、政府性基金预算财政拨款收入支出决算表……………………………………31</w:t>
      </w:r>
    </w:p>
    <w:p>
      <w:pPr>
        <w:pStyle w:val="11"/>
        <w:adjustRightInd w:val="0"/>
        <w:snapToGrid w:val="0"/>
        <w:spacing w:before="0" w:line="440" w:lineRule="exact"/>
        <w:ind w:firstLine="480" w:firstLineChars="200"/>
        <w:jc w:val="left"/>
        <w:rPr>
          <w:rFonts w:cstheme="minorBidi"/>
          <w:sz w:val="24"/>
          <w:szCs w:val="24"/>
        </w:rPr>
      </w:pPr>
      <w:r>
        <w:rPr>
          <w:rFonts w:hint="eastAsia"/>
          <w:sz w:val="24"/>
        </w:rPr>
        <w:t>十一、国有资本经营预算财政拨款收入支出决算表………………………………31</w:t>
      </w:r>
    </w:p>
    <w:p>
      <w:pPr>
        <w:pStyle w:val="11"/>
        <w:adjustRightInd w:val="0"/>
        <w:snapToGrid w:val="0"/>
        <w:spacing w:before="0" w:line="440" w:lineRule="exact"/>
        <w:ind w:firstLine="480" w:firstLineChars="200"/>
        <w:jc w:val="left"/>
        <w:rPr>
          <w:rFonts w:cstheme="minorBidi"/>
          <w:sz w:val="24"/>
          <w:szCs w:val="24"/>
        </w:rPr>
      </w:pPr>
      <w:r>
        <w:rPr>
          <w:rFonts w:hint="eastAsia"/>
          <w:sz w:val="24"/>
        </w:rPr>
        <w:t>十二、国有资本经营预算财政拨款支出决算表……………………………………31</w:t>
      </w:r>
    </w:p>
    <w:p>
      <w:pPr>
        <w:pStyle w:val="11"/>
        <w:adjustRightInd w:val="0"/>
        <w:snapToGrid w:val="0"/>
        <w:spacing w:before="0" w:line="440" w:lineRule="exact"/>
        <w:ind w:firstLine="480" w:firstLineChars="200"/>
        <w:jc w:val="left"/>
        <w:rPr>
          <w:rFonts w:cstheme="minorBidi"/>
          <w:sz w:val="24"/>
          <w:szCs w:val="24"/>
        </w:rPr>
      </w:pPr>
      <w:r>
        <w:rPr>
          <w:rFonts w:hint="eastAsia"/>
          <w:sz w:val="24"/>
        </w:rPr>
        <w:t>十三、财政拨款“三公”经费支出决算表…………………………………………31</w:t>
      </w:r>
    </w:p>
    <w:p>
      <w:pPr>
        <w:pStyle w:val="3"/>
        <w:jc w:val="center"/>
        <w:rPr>
          <w:rFonts w:ascii="黑体" w:hAnsi="黑体" w:eastAsia="黑体"/>
          <w:bCs w:val="0"/>
        </w:rPr>
        <w:sectPr>
          <w:footerReference r:id="rId5" w:type="first"/>
          <w:headerReference r:id="rId3" w:type="default"/>
          <w:footerReference r:id="rId4" w:type="default"/>
          <w:pgSz w:w="11906" w:h="16838"/>
          <w:pgMar w:top="2098" w:right="1531" w:bottom="1984" w:left="1531" w:header="851" w:footer="1701" w:gutter="0"/>
          <w:pgNumType w:start="1"/>
          <w:cols w:space="0" w:num="1"/>
          <w:docGrid w:type="lines" w:linePitch="312" w:charSpace="0"/>
        </w:sectPr>
      </w:pPr>
      <w:bookmarkStart w:id="12" w:name="_Toc15396599"/>
      <w:bookmarkStart w:id="13" w:name="_Toc15377196"/>
    </w:p>
    <w:p>
      <w:pPr>
        <w:pStyle w:val="3"/>
        <w:jc w:val="center"/>
        <w:rPr>
          <w:rFonts w:ascii="黑体" w:hAnsi="黑体" w:eastAsia="黑体"/>
          <w:bCs w:val="0"/>
        </w:rPr>
      </w:pPr>
      <w:r>
        <w:rPr>
          <w:rFonts w:hint="eastAsia" w:ascii="黑体" w:hAnsi="黑体" w:eastAsia="黑体"/>
          <w:bCs w:val="0"/>
        </w:rPr>
        <w:t xml:space="preserve">第一部分   </w:t>
      </w:r>
      <w:r>
        <w:rPr>
          <w:rStyle w:val="19"/>
          <w:rFonts w:hint="eastAsia" w:ascii="黑体" w:hAnsi="黑体" w:eastAsia="黑体"/>
          <w:b/>
          <w:bCs w:val="0"/>
        </w:rPr>
        <w:t>部门概况</w:t>
      </w:r>
      <w:bookmarkEnd w:id="12"/>
      <w:bookmarkEnd w:id="13"/>
    </w:p>
    <w:p>
      <w:pPr>
        <w:pStyle w:val="4"/>
        <w:keepNext w:val="0"/>
        <w:keepLines w:val="0"/>
        <w:overflowPunct w:val="0"/>
        <w:autoSpaceDE w:val="0"/>
        <w:autoSpaceDN w:val="0"/>
        <w:spacing w:before="0" w:after="0" w:line="576" w:lineRule="exact"/>
        <w:ind w:firstLine="642" w:firstLineChars="200"/>
        <w:rPr>
          <w:rFonts w:ascii="黑体" w:hAnsi="黑体" w:eastAsia="黑体" w:cs="黑体"/>
          <w:bCs w:val="0"/>
        </w:rPr>
      </w:pPr>
      <w:r>
        <w:rPr>
          <w:rFonts w:hint="eastAsia" w:ascii="黑体" w:hAnsi="黑体" w:eastAsia="黑体" w:cs="黑体"/>
          <w:bCs w:val="0"/>
        </w:rPr>
        <w:t>一、部门职责</w:t>
      </w:r>
      <w:bookmarkStart w:id="14" w:name="_Toc15377198"/>
      <w:bookmarkStart w:id="15" w:name="_Toc15378445"/>
      <w:r>
        <w:rPr>
          <w:rFonts w:hint="eastAsia" w:ascii="黑体" w:hAnsi="黑体" w:eastAsia="黑体" w:cs="黑体"/>
          <w:bCs w:val="0"/>
        </w:rPr>
        <w:t>及重点工作</w:t>
      </w:r>
    </w:p>
    <w:p>
      <w:pPr>
        <w:pStyle w:val="2"/>
        <w:overflowPunct w:val="0"/>
        <w:autoSpaceDE w:val="0"/>
        <w:autoSpaceDN w:val="0"/>
        <w:adjustRightInd w:val="0"/>
        <w:snapToGrid w:val="0"/>
        <w:spacing w:beforeLines="0" w:line="576" w:lineRule="exact"/>
        <w:ind w:firstLine="642" w:firstLineChars="200"/>
        <w:outlineLvl w:val="2"/>
        <w:rPr>
          <w:rFonts w:ascii="楷体_GB2312" w:hAnsi="楷体_GB2312" w:eastAsia="楷体_GB2312" w:cs="楷体_GB2312"/>
          <w:b/>
          <w:sz w:val="32"/>
          <w:szCs w:val="32"/>
        </w:rPr>
      </w:pPr>
      <w:r>
        <w:rPr>
          <w:rFonts w:hint="eastAsia" w:ascii="楷体_GB2312" w:hAnsi="楷体_GB2312" w:eastAsia="楷体_GB2312" w:cs="楷体_GB2312"/>
          <w:b/>
          <w:sz w:val="32"/>
          <w:szCs w:val="32"/>
        </w:rPr>
        <w:t>（一）部门职责。</w:t>
      </w:r>
      <w:bookmarkEnd w:id="14"/>
      <w:bookmarkEnd w:id="15"/>
    </w:p>
    <w:p>
      <w:pPr>
        <w:pStyle w:val="2"/>
        <w:overflowPunct w:val="0"/>
        <w:autoSpaceDE w:val="0"/>
        <w:autoSpaceDN w:val="0"/>
        <w:adjustRightInd w:val="0"/>
        <w:snapToGrid w:val="0"/>
        <w:spacing w:beforeLines="0" w:line="576" w:lineRule="exact"/>
        <w:ind w:firstLine="640" w:firstLineChars="200"/>
        <w:outlineLvl w:val="2"/>
        <w:rPr>
          <w:rFonts w:hAnsi="仿宋_GB2312" w:cs="仿宋_GB2312"/>
          <w:sz w:val="32"/>
          <w:szCs w:val="32"/>
        </w:rPr>
      </w:pPr>
      <w:r>
        <w:rPr>
          <w:rFonts w:hint="eastAsia" w:hAnsi="仿宋_GB2312" w:cs="仿宋_GB2312"/>
          <w:sz w:val="32"/>
          <w:szCs w:val="32"/>
        </w:rPr>
        <w:t>1、根据党的中心任务，指导各级妇联依据《中华全国妇女联合会章程》和妇女代表大会的决议，开展妇女儿童工作；联系团体会员，并给予业务指导。</w:t>
      </w:r>
    </w:p>
    <w:p>
      <w:pPr>
        <w:pStyle w:val="2"/>
        <w:overflowPunct w:val="0"/>
        <w:autoSpaceDE w:val="0"/>
        <w:autoSpaceDN w:val="0"/>
        <w:adjustRightInd w:val="0"/>
        <w:snapToGrid w:val="0"/>
        <w:spacing w:beforeLines="0" w:line="576" w:lineRule="exact"/>
        <w:ind w:firstLine="640" w:firstLineChars="200"/>
        <w:outlineLvl w:val="2"/>
        <w:rPr>
          <w:rFonts w:hAnsi="仿宋_GB2312" w:cs="仿宋_GB2312"/>
          <w:sz w:val="32"/>
          <w:szCs w:val="32"/>
        </w:rPr>
      </w:pPr>
      <w:r>
        <w:rPr>
          <w:rFonts w:hint="eastAsia" w:hAnsi="仿宋_GB2312" w:cs="仿宋_GB2312"/>
          <w:sz w:val="32"/>
          <w:szCs w:val="32"/>
        </w:rPr>
        <w:t>2、调查研究我县不同地区妇女儿童的情况、问题，及时向县委、县政府反映，提出建议。</w:t>
      </w:r>
    </w:p>
    <w:p>
      <w:pPr>
        <w:pStyle w:val="2"/>
        <w:overflowPunct w:val="0"/>
        <w:autoSpaceDE w:val="0"/>
        <w:autoSpaceDN w:val="0"/>
        <w:adjustRightInd w:val="0"/>
        <w:snapToGrid w:val="0"/>
        <w:spacing w:beforeLines="0" w:line="576" w:lineRule="exact"/>
        <w:ind w:firstLine="640" w:firstLineChars="200"/>
        <w:outlineLvl w:val="2"/>
        <w:rPr>
          <w:rFonts w:hAnsi="仿宋_GB2312" w:cs="仿宋_GB2312"/>
          <w:sz w:val="32"/>
          <w:szCs w:val="32"/>
        </w:rPr>
      </w:pPr>
      <w:r>
        <w:rPr>
          <w:rFonts w:hint="eastAsia" w:hAnsi="仿宋_GB2312" w:cs="仿宋_GB2312"/>
          <w:sz w:val="32"/>
          <w:szCs w:val="32"/>
        </w:rPr>
        <w:t>3、指导和推动全县农村妇女的“双学双赛”活动及城镇妇女的“巾帼建功活动”。组织、动员妇女投身改革开放和社会主义现代化建设。</w:t>
      </w:r>
    </w:p>
    <w:p>
      <w:pPr>
        <w:pStyle w:val="2"/>
        <w:overflowPunct w:val="0"/>
        <w:autoSpaceDE w:val="0"/>
        <w:autoSpaceDN w:val="0"/>
        <w:adjustRightInd w:val="0"/>
        <w:snapToGrid w:val="0"/>
        <w:spacing w:beforeLines="0" w:line="576" w:lineRule="exact"/>
        <w:ind w:firstLine="640" w:firstLineChars="200"/>
        <w:outlineLvl w:val="2"/>
        <w:rPr>
          <w:rFonts w:hAnsi="仿宋_GB2312" w:cs="仿宋_GB2312"/>
          <w:sz w:val="32"/>
          <w:szCs w:val="32"/>
        </w:rPr>
      </w:pPr>
      <w:r>
        <w:rPr>
          <w:rFonts w:hint="eastAsia" w:hAnsi="仿宋_GB2312" w:cs="仿宋_GB2312"/>
          <w:sz w:val="32"/>
          <w:szCs w:val="32"/>
        </w:rPr>
        <w:t>4、指导各级妇联的宣传舆论工作，教育、引导广大妇女自尊、自信、自立、自强的精神，表彰各行各业先进妇女，开展妇女职工技术培训和多层次的妇女干部培训，全面提高素质，促进妇女人才成长。</w:t>
      </w:r>
    </w:p>
    <w:p>
      <w:pPr>
        <w:pStyle w:val="2"/>
        <w:overflowPunct w:val="0"/>
        <w:autoSpaceDE w:val="0"/>
        <w:autoSpaceDN w:val="0"/>
        <w:adjustRightInd w:val="0"/>
        <w:snapToGrid w:val="0"/>
        <w:spacing w:beforeLines="0" w:line="576" w:lineRule="exact"/>
        <w:ind w:firstLine="640" w:firstLineChars="200"/>
        <w:outlineLvl w:val="2"/>
        <w:rPr>
          <w:rFonts w:hAnsi="仿宋_GB2312" w:cs="仿宋_GB2312"/>
          <w:sz w:val="32"/>
          <w:szCs w:val="32"/>
        </w:rPr>
      </w:pPr>
      <w:r>
        <w:rPr>
          <w:rFonts w:hint="eastAsia" w:hAnsi="仿宋_GB2312" w:cs="仿宋_GB2312"/>
          <w:sz w:val="32"/>
          <w:szCs w:val="32"/>
        </w:rPr>
        <w:t>5、代表妇女参与国家和社会事务的民主管理，民主监督，促进妇女参政议政，贯彻执行有关妇女儿童法律、法规，参与制定有关规章制度，维护妇女儿童的合法权益。</w:t>
      </w:r>
    </w:p>
    <w:p>
      <w:pPr>
        <w:pStyle w:val="2"/>
        <w:overflowPunct w:val="0"/>
        <w:autoSpaceDE w:val="0"/>
        <w:autoSpaceDN w:val="0"/>
        <w:adjustRightInd w:val="0"/>
        <w:snapToGrid w:val="0"/>
        <w:spacing w:beforeLines="0" w:line="576" w:lineRule="exact"/>
        <w:ind w:firstLine="640" w:firstLineChars="200"/>
        <w:outlineLvl w:val="2"/>
        <w:rPr>
          <w:rFonts w:hAnsi="仿宋_GB2312" w:cs="仿宋_GB2312"/>
          <w:sz w:val="32"/>
          <w:szCs w:val="32"/>
        </w:rPr>
      </w:pPr>
      <w:r>
        <w:rPr>
          <w:rFonts w:hint="eastAsia" w:hAnsi="仿宋_GB2312" w:cs="仿宋_GB2312"/>
          <w:sz w:val="32"/>
          <w:szCs w:val="32"/>
        </w:rPr>
        <w:t>6、为妇女儿童服务。加强与社会各界的联系，协调和维护社会各界为妇女儿童办实事、办好事。</w:t>
      </w:r>
    </w:p>
    <w:p>
      <w:pPr>
        <w:pStyle w:val="2"/>
        <w:overflowPunct w:val="0"/>
        <w:autoSpaceDE w:val="0"/>
        <w:autoSpaceDN w:val="0"/>
        <w:adjustRightInd w:val="0"/>
        <w:snapToGrid w:val="0"/>
        <w:spacing w:beforeLines="0" w:line="576" w:lineRule="exact"/>
        <w:ind w:firstLine="640" w:firstLineChars="200"/>
        <w:outlineLvl w:val="2"/>
        <w:rPr>
          <w:rFonts w:hAnsi="仿宋_GB2312" w:cs="仿宋_GB2312"/>
          <w:sz w:val="32"/>
          <w:szCs w:val="32"/>
        </w:rPr>
      </w:pPr>
      <w:r>
        <w:rPr>
          <w:rFonts w:hint="eastAsia" w:hAnsi="仿宋_GB2312" w:cs="仿宋_GB2312"/>
          <w:sz w:val="32"/>
          <w:szCs w:val="32"/>
        </w:rPr>
        <w:t>7、负责机关和本系统的精神文明建设及党风廉政建设。</w:t>
      </w:r>
    </w:p>
    <w:p>
      <w:pPr>
        <w:pStyle w:val="2"/>
        <w:overflowPunct w:val="0"/>
        <w:autoSpaceDE w:val="0"/>
        <w:autoSpaceDN w:val="0"/>
        <w:adjustRightInd w:val="0"/>
        <w:snapToGrid w:val="0"/>
        <w:spacing w:beforeLines="0" w:line="576" w:lineRule="exact"/>
        <w:ind w:firstLine="640" w:firstLineChars="200"/>
        <w:outlineLvl w:val="2"/>
        <w:rPr>
          <w:rFonts w:hAnsi="仿宋_GB2312" w:cs="仿宋_GB2312"/>
          <w:sz w:val="32"/>
          <w:szCs w:val="32"/>
        </w:rPr>
      </w:pPr>
      <w:r>
        <w:rPr>
          <w:rFonts w:hint="eastAsia" w:hAnsi="仿宋_GB2312" w:cs="仿宋_GB2312"/>
          <w:sz w:val="32"/>
          <w:szCs w:val="32"/>
        </w:rPr>
        <w:t>8、承担县政府妇女儿童工作委员会的日常工作。承办县委或县政府交办的其它事项。</w:t>
      </w:r>
    </w:p>
    <w:p>
      <w:pPr>
        <w:pStyle w:val="2"/>
        <w:overflowPunct w:val="0"/>
        <w:autoSpaceDE w:val="0"/>
        <w:autoSpaceDN w:val="0"/>
        <w:adjustRightInd w:val="0"/>
        <w:snapToGrid w:val="0"/>
        <w:spacing w:beforeLines="0" w:line="576" w:lineRule="exact"/>
        <w:ind w:firstLine="640" w:firstLineChars="200"/>
        <w:outlineLvl w:val="2"/>
        <w:rPr>
          <w:rFonts w:hAnsi="仿宋_GB2312" w:cs="仿宋_GB2312"/>
          <w:sz w:val="32"/>
          <w:szCs w:val="32"/>
        </w:rPr>
      </w:pPr>
      <w:r>
        <w:rPr>
          <w:rFonts w:hint="eastAsia" w:hAnsi="仿宋_GB2312" w:cs="仿宋_GB2312"/>
          <w:sz w:val="32"/>
          <w:szCs w:val="32"/>
        </w:rPr>
        <w:t>9、承办县政府妇女儿童工作委员会的日常工作。</w:t>
      </w:r>
    </w:p>
    <w:p>
      <w:pPr>
        <w:pStyle w:val="2"/>
        <w:overflowPunct w:val="0"/>
        <w:autoSpaceDE w:val="0"/>
        <w:autoSpaceDN w:val="0"/>
        <w:adjustRightInd w:val="0"/>
        <w:snapToGrid w:val="0"/>
        <w:spacing w:beforeLines="0" w:line="576" w:lineRule="exact"/>
        <w:ind w:firstLine="642" w:firstLineChars="200"/>
        <w:outlineLvl w:val="2"/>
        <w:rPr>
          <w:rFonts w:ascii="楷体_GB2312" w:hAnsi="楷体_GB2312" w:eastAsia="楷体_GB2312" w:cs="楷体_GB2312"/>
          <w:b/>
          <w:sz w:val="32"/>
          <w:szCs w:val="32"/>
        </w:rPr>
      </w:pPr>
      <w:r>
        <w:rPr>
          <w:rFonts w:hint="eastAsia" w:ascii="楷体_GB2312" w:hAnsi="楷体_GB2312" w:eastAsia="楷体_GB2312" w:cs="楷体_GB2312"/>
          <w:b/>
          <w:sz w:val="32"/>
          <w:szCs w:val="32"/>
        </w:rPr>
        <w:t>（二）2022年重点工作完成情况</w:t>
      </w:r>
    </w:p>
    <w:p>
      <w:pPr>
        <w:pStyle w:val="2"/>
        <w:overflowPunct w:val="0"/>
        <w:autoSpaceDE w:val="0"/>
        <w:autoSpaceDN w:val="0"/>
        <w:spacing w:beforeLines="0" w:line="576" w:lineRule="exact"/>
        <w:ind w:firstLine="640" w:firstLineChars="200"/>
        <w:rPr>
          <w:rFonts w:hAnsi="仿宋_GB2312" w:cs="仿宋_GB2312"/>
          <w:sz w:val="32"/>
          <w:szCs w:val="32"/>
        </w:rPr>
      </w:pPr>
      <w:r>
        <w:rPr>
          <w:rFonts w:hint="eastAsia" w:hAnsi="仿宋_GB2312" w:cs="仿宋_GB2312"/>
          <w:kern w:val="2"/>
          <w:sz w:val="32"/>
          <w:szCs w:val="32"/>
        </w:rPr>
        <w:t>1、围绕巾帼建功，促进提升妇女素养，引领妇女参与建设创佳绩。</w:t>
      </w:r>
    </w:p>
    <w:p>
      <w:pPr>
        <w:overflowPunct w:val="0"/>
        <w:autoSpaceDE w:val="0"/>
        <w:autoSpaceDN w:val="0"/>
        <w:spacing w:line="576" w:lineRule="exact"/>
        <w:rPr>
          <w:rFonts w:ascii="仿宋_GB2312" w:hAnsi="仿宋_GB2312" w:eastAsia="仿宋_GB2312" w:cs="仿宋_GB2312"/>
          <w:bCs/>
          <w:color w:val="000000"/>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⑴运用“新”媒体，架好党委政府与妇女群众连接线。</w:t>
      </w:r>
      <w:r>
        <w:rPr>
          <w:rFonts w:hint="eastAsia" w:ascii="仿宋_GB2312" w:hAnsi="仿宋_GB2312" w:eastAsia="仿宋_GB2312" w:cs="仿宋_GB2312"/>
          <w:bCs/>
          <w:color w:val="000000"/>
          <w:sz w:val="32"/>
          <w:szCs w:val="32"/>
        </w:rPr>
        <w:t>大力宣传全国妇联“12338”热线，倾听妇女儿童的心声，了解他们的所急所盼所需；建立并悉心维护“剑阁妇联”公众号，将各级重要精神、政策及县妇联工作开展情况及时发出，让更多的群众了解认识妇女工作。</w:t>
      </w:r>
    </w:p>
    <w:p>
      <w:pPr>
        <w:pStyle w:val="2"/>
        <w:overflowPunct w:val="0"/>
        <w:autoSpaceDE w:val="0"/>
        <w:autoSpaceDN w:val="0"/>
        <w:spacing w:beforeLines="0" w:line="576" w:lineRule="exact"/>
        <w:ind w:firstLine="642" w:firstLineChars="200"/>
        <w:rPr>
          <w:rFonts w:hAnsi="仿宋_GB2312" w:cs="仿宋_GB2312"/>
          <w:sz w:val="32"/>
          <w:szCs w:val="32"/>
        </w:rPr>
      </w:pPr>
      <w:r>
        <w:rPr>
          <w:rFonts w:hint="eastAsia" w:hAnsi="仿宋_GB2312" w:cs="仿宋_GB2312"/>
          <w:b/>
          <w:bCs/>
          <w:kern w:val="2"/>
          <w:sz w:val="32"/>
          <w:szCs w:val="32"/>
        </w:rPr>
        <w:t>⑵借力东西部扶贫，积极做好创业就业扶持工作。</w:t>
      </w:r>
      <w:r>
        <w:rPr>
          <w:rFonts w:hint="eastAsia" w:hAnsi="仿宋_GB2312" w:cs="仿宋_GB2312"/>
          <w:sz w:val="32"/>
          <w:szCs w:val="32"/>
        </w:rPr>
        <w:t>积极争取东西部协作支持，创新性开展“帮帮摊”项目。吸引在外务工却对家庭、子女无法管理照顾的妈妈返乡回家和帮助无力外出务工的妈妈就近、居家、灵活就业增收；联合县就业局对有创业意愿并具备一定创业条件的贫困劳动力，免费培训平车缝纫机、烹饪等创业技能培训，共37名妇女参加培训。</w:t>
      </w:r>
    </w:p>
    <w:p>
      <w:pPr>
        <w:overflowPunct w:val="0"/>
        <w:autoSpaceDE w:val="0"/>
        <w:autoSpaceDN w:val="0"/>
        <w:spacing w:line="576"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⑶开展“创绿色家庭 建美丽阳台”活动，建设天蓝地绿水清美丽家园。</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深入学习贯彻习近平生态文明思想和关于注重家庭家教家风建设的重要论述，开展剑阁县“美丽阳台”宣传、评选、表扬等活动，2022年评选县级“最美阳台”20户；</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积极开展“绿色家庭”创建主题活动，评选“绿色家庭”创建示范户20户，积极推荐10户；三是</w:t>
      </w:r>
      <w:r>
        <w:rPr>
          <w:rFonts w:hint="eastAsia" w:ascii="仿宋_GB2312" w:hAnsi="仿宋_GB2312" w:eastAsia="仿宋_GB2312" w:cs="仿宋_GB2312"/>
          <w:color w:val="000000"/>
          <w:sz w:val="32"/>
          <w:szCs w:val="32"/>
        </w:rPr>
        <w:t>推荐“巧手乡村女工匠”“创意民宿女主人”“魅力乡村女创客”“最美乡村女干部”“粮食生产女能手”“最美巾帼家政人”等乡村女能人各1人。</w:t>
      </w:r>
    </w:p>
    <w:p>
      <w:pPr>
        <w:overflowPunct w:val="0"/>
        <w:autoSpaceDE w:val="0"/>
        <w:autoSpaceDN w:val="0"/>
        <w:spacing w:line="576"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⑷擦亮“妇”字品牌，引领妇女在新发展格局中建新功。</w:t>
      </w: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color w:val="000000"/>
          <w:sz w:val="32"/>
          <w:szCs w:val="32"/>
        </w:rPr>
        <w:t>举办以“巾帼心向党·喜迎二十大”为主题的“三八”国</w:t>
      </w:r>
      <w:r>
        <w:rPr>
          <w:rFonts w:hint="eastAsia" w:ascii="仿宋_GB2312" w:hAnsi="仿宋_GB2312" w:eastAsia="仿宋_GB2312" w:cs="仿宋_GB2312"/>
          <w:sz w:val="32"/>
          <w:szCs w:val="32"/>
        </w:rPr>
        <w:t>际劳动妇女节112周年座谈会。</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选树典型，引领社会好风尚。</w:t>
      </w:r>
      <w:r>
        <w:rPr>
          <w:rFonts w:hint="eastAsia" w:ascii="仿宋_GB2312" w:hAnsi="仿宋_GB2312" w:eastAsia="仿宋_GB2312" w:cs="仿宋_GB2312"/>
          <w:kern w:val="0"/>
          <w:sz w:val="32"/>
          <w:szCs w:val="32"/>
        </w:rPr>
        <w:t>15个</w:t>
      </w:r>
      <w:r>
        <w:rPr>
          <w:rFonts w:hint="eastAsia" w:ascii="仿宋_GB2312" w:hAnsi="仿宋_GB2312" w:eastAsia="仿宋_GB2312" w:cs="仿宋_GB2312"/>
          <w:sz w:val="32"/>
          <w:szCs w:val="32"/>
        </w:rPr>
        <w:t>县级“</w:t>
      </w:r>
      <w:r>
        <w:rPr>
          <w:rFonts w:hint="eastAsia" w:ascii="仿宋_GB2312" w:hAnsi="仿宋_GB2312" w:eastAsia="仿宋_GB2312" w:cs="仿宋_GB2312"/>
          <w:kern w:val="0"/>
          <w:sz w:val="32"/>
          <w:szCs w:val="32"/>
        </w:rPr>
        <w:t>三八红旗集体</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妇女（两纲）工作先进集体</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50名“三八红旗手”“妇女（两纲）工作先进个人”“最美家庭”“五好家庭”荣获</w:t>
      </w:r>
      <w:r>
        <w:rPr>
          <w:rFonts w:hint="eastAsia" w:ascii="仿宋_GB2312" w:hAnsi="仿宋_GB2312" w:eastAsia="仿宋_GB2312" w:cs="仿宋_GB2312"/>
          <w:kern w:val="0"/>
          <w:sz w:val="32"/>
          <w:szCs w:val="32"/>
          <w:lang w:eastAsia="zh-CN"/>
        </w:rPr>
        <w:t>县委县政府</w:t>
      </w:r>
      <w:r>
        <w:rPr>
          <w:rFonts w:hint="eastAsia" w:ascii="仿宋_GB2312" w:hAnsi="仿宋_GB2312" w:eastAsia="仿宋_GB2312" w:cs="仿宋_GB2312"/>
          <w:kern w:val="0"/>
          <w:sz w:val="32"/>
          <w:szCs w:val="32"/>
        </w:rPr>
        <w:t>表彰。三</w:t>
      </w:r>
      <w:r>
        <w:rPr>
          <w:rFonts w:hint="eastAsia" w:ascii="仿宋_GB2312" w:hAnsi="仿宋_GB2312" w:eastAsia="仿宋_GB2312" w:cs="仿宋_GB2312"/>
          <w:b/>
          <w:bCs/>
          <w:sz w:val="32"/>
          <w:szCs w:val="32"/>
        </w:rPr>
        <w:t>是</w:t>
      </w:r>
      <w:r>
        <w:rPr>
          <w:rFonts w:hint="eastAsia" w:ascii="仿宋_GB2312" w:hAnsi="仿宋_GB2312" w:eastAsia="仿宋_GB2312" w:cs="仿宋_GB2312"/>
          <w:kern w:val="0"/>
          <w:sz w:val="32"/>
          <w:szCs w:val="32"/>
        </w:rPr>
        <w:t>在6月18日至20日举办了</w:t>
      </w:r>
      <w:r>
        <w:rPr>
          <w:rFonts w:hint="eastAsia" w:ascii="仿宋_GB2312" w:hAnsi="仿宋_GB2312" w:eastAsia="仿宋_GB2312" w:cs="仿宋_GB2312"/>
          <w:kern w:val="21"/>
          <w:sz w:val="32"/>
          <w:szCs w:val="32"/>
        </w:rPr>
        <w:t>第二届女子篮球比赛活动，来自县级部门、医院、学校的八支代表队参加</w:t>
      </w:r>
      <w:r>
        <w:rPr>
          <w:rFonts w:hint="eastAsia" w:ascii="仿宋_GB2312" w:hAnsi="仿宋_GB2312" w:eastAsia="仿宋_GB2312" w:cs="仿宋_GB2312"/>
          <w:kern w:val="0"/>
          <w:sz w:val="32"/>
          <w:szCs w:val="32"/>
        </w:rPr>
        <w:t>比赛活动</w:t>
      </w:r>
      <w:r>
        <w:rPr>
          <w:rFonts w:hint="eastAsia" w:ascii="仿宋_GB2312" w:hAnsi="仿宋_GB2312" w:eastAsia="仿宋_GB2312" w:cs="仿宋_GB2312"/>
          <w:kern w:val="21"/>
          <w:sz w:val="32"/>
          <w:szCs w:val="32"/>
        </w:rPr>
        <w:t>；</w:t>
      </w:r>
      <w:r>
        <w:rPr>
          <w:rFonts w:hint="eastAsia" w:ascii="仿宋_GB2312" w:hAnsi="仿宋_GB2312" w:eastAsia="仿宋_GB2312" w:cs="仿宋_GB2312"/>
          <w:b/>
          <w:bCs/>
          <w:kern w:val="21"/>
          <w:sz w:val="32"/>
          <w:szCs w:val="32"/>
        </w:rPr>
        <w:t>四</w:t>
      </w:r>
      <w:r>
        <w:rPr>
          <w:rFonts w:hint="eastAsia" w:ascii="仿宋_GB2312" w:hAnsi="仿宋_GB2312" w:eastAsia="仿宋_GB2312" w:cs="仿宋_GB2312"/>
          <w:b/>
          <w:bCs/>
          <w:sz w:val="32"/>
          <w:szCs w:val="32"/>
        </w:rPr>
        <w:t>是</w:t>
      </w:r>
      <w:r>
        <w:rPr>
          <w:rFonts w:hint="eastAsia" w:ascii="仿宋_GB2312" w:hAnsi="仿宋_GB2312" w:eastAsia="仿宋_GB2312" w:cs="仿宋_GB2312"/>
          <w:kern w:val="21"/>
          <w:sz w:val="32"/>
          <w:szCs w:val="32"/>
        </w:rPr>
        <w:t>据不完全统计，“六一”节前后，县四大班子领导、妇联、团县委、关工委等部门深入学校慰问，共发放物资折合人民币120万元；五</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积极统筹、协调“广元女儿节”活动，县妇联牵头制定《剑阁县女儿节筹备方案》，成立领导小组、分解各相关单位工作任务，建立女儿节工作群，加强与市妇联对接，适时了解上级部门工作要求，紧密跟进、督促相关部门工作进度；六</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完成《剑阁妇女发展纲要（2021-2030年）》《剑阁儿童发展纲要（2021-2030年）》的意见征集、编写及送审印制工作，为今后十年妇女儿童工作指明了方向奠定了基础；七</w:t>
      </w:r>
      <w:r>
        <w:rPr>
          <w:rFonts w:hint="eastAsia" w:ascii="仿宋_GB2312" w:hAnsi="仿宋_GB2312" w:eastAsia="仿宋_GB2312" w:cs="仿宋_GB2312"/>
          <w:b/>
          <w:bCs/>
          <w:sz w:val="32"/>
          <w:szCs w:val="32"/>
        </w:rPr>
        <w:t>是</w:t>
      </w:r>
      <w:r>
        <w:rPr>
          <w:rFonts w:hint="eastAsia" w:ascii="仿宋_GB2312" w:hAnsi="仿宋_GB2312" w:eastAsia="仿宋_GB2312" w:cs="仿宋_GB2312"/>
          <w:kern w:val="21"/>
          <w:sz w:val="32"/>
          <w:szCs w:val="32"/>
        </w:rPr>
        <w:t>配合卫健局对全县</w:t>
      </w:r>
      <w:r>
        <w:rPr>
          <w:rFonts w:hint="eastAsia" w:ascii="仿宋_GB2312" w:hAnsi="仿宋_GB2312" w:eastAsia="仿宋_GB2312" w:cs="仿宋_GB2312"/>
          <w:sz w:val="32"/>
          <w:szCs w:val="32"/>
        </w:rPr>
        <w:t>妇女开展两癌免费筛查，乳腺癌筛查6679人，宫颈癌筛查6738人并</w:t>
      </w:r>
      <w:r>
        <w:rPr>
          <w:rFonts w:hint="eastAsia" w:ascii="仿宋_GB2312" w:hAnsi="仿宋_GB2312" w:eastAsia="仿宋_GB2312" w:cs="仿宋_GB2312"/>
          <w:color w:val="000000"/>
          <w:sz w:val="32"/>
          <w:szCs w:val="32"/>
        </w:rPr>
        <w:t>帮助符合条件的城乡低收入“两癌”患病妇女申请中央专项彩票公益金支持低收入妇女“两癌”救助项目，得到“两癌”救助妇女22人，发放救助金22万元；八是继续实施“母亲健康快车”项目，免费开展义诊咨询、对公众的健康培训、接送孕产妇、下基层健康普查等活动，受助妇女达3890人。</w:t>
      </w:r>
    </w:p>
    <w:p>
      <w:pPr>
        <w:pStyle w:val="2"/>
        <w:overflowPunct w:val="0"/>
        <w:autoSpaceDE w:val="0"/>
        <w:autoSpaceDN w:val="0"/>
        <w:spacing w:beforeLines="0" w:line="576" w:lineRule="exact"/>
        <w:ind w:firstLine="640" w:firstLineChars="200"/>
        <w:rPr>
          <w:rFonts w:hAnsi="仿宋_GB2312" w:cs="仿宋_GB2312"/>
          <w:sz w:val="32"/>
          <w:szCs w:val="32"/>
        </w:rPr>
      </w:pPr>
      <w:r>
        <w:rPr>
          <w:rFonts w:hint="eastAsia" w:hAnsi="仿宋_GB2312" w:cs="仿宋_GB2312"/>
          <w:kern w:val="2"/>
          <w:sz w:val="32"/>
          <w:szCs w:val="32"/>
        </w:rPr>
        <w:t>2、聚焦婚姻家庭，全力维护妇女儿童合法权益</w:t>
      </w:r>
    </w:p>
    <w:p>
      <w:pPr>
        <w:overflowPunct w:val="0"/>
        <w:autoSpaceDE w:val="0"/>
        <w:autoSpaceDN w:val="0"/>
        <w:spacing w:line="576" w:lineRule="exact"/>
        <w:ind w:firstLine="618" w:firstLineChars="200"/>
        <w:rPr>
          <w:rFonts w:ascii="仿宋_GB2312" w:hAnsi="仿宋_GB2312" w:eastAsia="仿宋_GB2312" w:cs="仿宋_GB2312"/>
          <w:spacing w:val="-6"/>
          <w:kern w:val="21"/>
          <w:sz w:val="32"/>
          <w:szCs w:val="32"/>
        </w:rPr>
      </w:pPr>
      <w:r>
        <w:rPr>
          <w:rFonts w:hint="eastAsia" w:ascii="仿宋_GB2312" w:hAnsi="仿宋_GB2312" w:eastAsia="仿宋_GB2312" w:cs="仿宋_GB2312"/>
          <w:b/>
          <w:bCs/>
          <w:spacing w:val="-6"/>
          <w:kern w:val="21"/>
          <w:sz w:val="32"/>
          <w:szCs w:val="32"/>
        </w:rPr>
        <w:t>⑴发挥“联”作用，“五项机制”为全县妇女儿童保驾护航。</w:t>
      </w:r>
      <w:r>
        <w:rPr>
          <w:rFonts w:hint="eastAsia" w:ascii="仿宋_GB2312" w:hAnsi="仿宋_GB2312" w:eastAsia="仿宋_GB2312" w:cs="仿宋_GB2312"/>
          <w:spacing w:val="-6"/>
          <w:kern w:val="21"/>
          <w:sz w:val="32"/>
          <w:szCs w:val="32"/>
        </w:rPr>
        <w:t>9月8日，剑阁县妇联到柳沟镇小学开展由杭州市女企协赞助的“雏鹰少年捐助行动”爱心书包发放活动，为10名家庭困难的学生送去了温暖和关怀；联系爱心人士为下寺镇邓玉堂兄妹每人每月200元生活费及学费直至兄妹二人大学毕业。5月25日，省妇联副主席到剑阁调研，对我县“五项机制”工作开展情况给予了高度评价。</w:t>
      </w:r>
    </w:p>
    <w:p>
      <w:pPr>
        <w:overflowPunct w:val="0"/>
        <w:autoSpaceDE w:val="0"/>
        <w:autoSpaceDN w:val="0"/>
        <w:spacing w:line="576" w:lineRule="exact"/>
        <w:ind w:firstLine="618" w:firstLineChars="200"/>
        <w:rPr>
          <w:rFonts w:ascii="仿宋_GB2312" w:hAnsi="仿宋_GB2312" w:eastAsia="仿宋_GB2312" w:cs="仿宋_GB2312"/>
          <w:spacing w:val="-6"/>
          <w:kern w:val="21"/>
          <w:sz w:val="32"/>
          <w:szCs w:val="32"/>
        </w:rPr>
      </w:pPr>
      <w:r>
        <w:rPr>
          <w:rFonts w:hint="eastAsia" w:ascii="仿宋_GB2312" w:hAnsi="仿宋_GB2312" w:eastAsia="仿宋_GB2312" w:cs="仿宋_GB2312"/>
          <w:b/>
          <w:bCs/>
          <w:spacing w:val="-6"/>
          <w:kern w:val="21"/>
          <w:sz w:val="32"/>
          <w:szCs w:val="32"/>
        </w:rPr>
        <w:t>⑵多部门合力，开展妇女儿童权益保障宣传活动。</w:t>
      </w:r>
      <w:r>
        <w:rPr>
          <w:rFonts w:hint="eastAsia" w:ascii="仿宋_GB2312" w:hAnsi="仿宋_GB2312" w:eastAsia="仿宋_GB2312" w:cs="仿宋_GB2312"/>
          <w:spacing w:val="-6"/>
          <w:kern w:val="21"/>
          <w:sz w:val="32"/>
          <w:szCs w:val="32"/>
        </w:rPr>
        <w:t>联合县司法局、县融媒体中心等单位在下寺镇三江社区举办了妇女维权知识讲座暨法治宣传“面对面”活动，同时</w:t>
      </w:r>
      <w:r>
        <w:rPr>
          <w:rFonts w:hint="eastAsia" w:ascii="仿宋_GB2312" w:hAnsi="仿宋_GB2312" w:eastAsia="仿宋_GB2312" w:cs="仿宋_GB2312"/>
          <w:spacing w:val="-6"/>
          <w:sz w:val="32"/>
          <w:szCs w:val="32"/>
        </w:rPr>
        <w:t>发放法律知识、安全知识宣传资料800余份。联合司法局、团委、关工委等部门利用逢场，把“法治讲堂”搬到各乡镇，</w:t>
      </w:r>
      <w:r>
        <w:rPr>
          <w:rFonts w:hint="eastAsia" w:ascii="仿宋_GB2312" w:hAnsi="仿宋_GB2312" w:eastAsia="仿宋_GB2312" w:cs="仿宋_GB2312"/>
          <w:spacing w:val="-6"/>
          <w:kern w:val="21"/>
          <w:sz w:val="32"/>
          <w:szCs w:val="32"/>
        </w:rPr>
        <w:t xml:space="preserve">发放了《宪法》《民法典》《反家庭暴力法》《妇女权益保障法》《家庭教育促进法》及男女平等基本国策等法律法规知识读本1850册，宣传资料33000余份，答复群众关心的婚姻家庭、劳动就业、人身安全等问题16件。6.17日，县妇联在白龙镇开展“禁毒宣传进万家 共筑全民新防线”为主题的“6·26”禁毒集中宣讲活动，白龙镇镇村(社区)干部和妇女代表50余人参加了此次活动，活动向群众发放禁毒防艾、未成年人保护、婚姻家庭权益等宣传资料和禁毒宣传扇子等500余份。 </w:t>
      </w:r>
    </w:p>
    <w:p>
      <w:pPr>
        <w:overflowPunct w:val="0"/>
        <w:autoSpaceDE w:val="0"/>
        <w:autoSpaceDN w:val="0"/>
        <w:spacing w:line="576" w:lineRule="exact"/>
        <w:ind w:firstLine="642" w:firstLineChars="200"/>
        <w:rPr>
          <w:rFonts w:ascii="仿宋_GB2312" w:hAnsi="仿宋_GB2312" w:eastAsia="仿宋_GB2312" w:cs="仿宋_GB2312"/>
          <w:kern w:val="21"/>
          <w:sz w:val="32"/>
          <w:szCs w:val="32"/>
        </w:rPr>
      </w:pPr>
      <w:r>
        <w:rPr>
          <w:rFonts w:hint="eastAsia" w:ascii="仿宋_GB2312" w:hAnsi="仿宋_GB2312" w:eastAsia="仿宋_GB2312" w:cs="仿宋_GB2312"/>
          <w:b/>
          <w:bCs/>
          <w:kern w:val="21"/>
          <w:sz w:val="32"/>
          <w:szCs w:val="32"/>
        </w:rPr>
        <w:t>⑶多方化解婚姻家庭纠纷，</w:t>
      </w:r>
      <w:r>
        <w:rPr>
          <w:rFonts w:hint="eastAsia" w:ascii="仿宋_GB2312" w:hAnsi="仿宋_GB2312" w:eastAsia="仿宋_GB2312" w:cs="仿宋_GB2312"/>
          <w:b/>
          <w:kern w:val="21"/>
          <w:sz w:val="32"/>
          <w:szCs w:val="32"/>
        </w:rPr>
        <w:t>全面推动家庭教育指导服务</w:t>
      </w:r>
      <w:r>
        <w:rPr>
          <w:rFonts w:hint="eastAsia" w:ascii="仿宋_GB2312" w:hAnsi="仿宋_GB2312" w:eastAsia="仿宋_GB2312" w:cs="仿宋_GB2312"/>
          <w:b/>
          <w:bCs/>
          <w:kern w:val="21"/>
          <w:sz w:val="32"/>
          <w:szCs w:val="32"/>
        </w:rPr>
        <w:t>。</w:t>
      </w:r>
      <w:r>
        <w:rPr>
          <w:rFonts w:hint="eastAsia" w:ascii="仿宋_GB2312" w:hAnsi="仿宋_GB2312" w:eastAsia="仿宋_GB2312" w:cs="仿宋_GB2312"/>
          <w:kern w:val="21"/>
          <w:sz w:val="32"/>
          <w:szCs w:val="32"/>
        </w:rPr>
        <w:t>组织各级妇女组织妇女干部参加线上培训32场次，5300人；线下培训22场2600人次，各级妇联围绕家庭婚姻纠纷和邻里关系，开展集中排查，关注重点地区和对象，尤其是对可能引发影响社会稳定的重点婚姻家庭矛盾进行排查。</w:t>
      </w:r>
    </w:p>
    <w:p>
      <w:pPr>
        <w:pStyle w:val="2"/>
        <w:overflowPunct w:val="0"/>
        <w:autoSpaceDE w:val="0"/>
        <w:autoSpaceDN w:val="0"/>
        <w:spacing w:beforeLines="0" w:line="576" w:lineRule="exact"/>
        <w:ind w:firstLine="640" w:firstLineChars="200"/>
        <w:rPr>
          <w:rFonts w:hAnsi="仿宋_GB2312" w:cs="仿宋_GB2312"/>
          <w:sz w:val="32"/>
          <w:szCs w:val="32"/>
        </w:rPr>
      </w:pPr>
      <w:r>
        <w:rPr>
          <w:rFonts w:hint="eastAsia" w:hAnsi="仿宋_GB2312" w:cs="仿宋_GB2312"/>
          <w:kern w:val="2"/>
          <w:sz w:val="32"/>
          <w:szCs w:val="32"/>
        </w:rPr>
        <w:t>3、以巾帼之美涵育家风，培育社会文明新风尚</w:t>
      </w:r>
    </w:p>
    <w:p>
      <w:pPr>
        <w:overflowPunct w:val="0"/>
        <w:autoSpaceDE w:val="0"/>
        <w:autoSpaceDN w:val="0"/>
        <w:spacing w:line="576" w:lineRule="exact"/>
        <w:ind w:firstLine="618" w:firstLineChars="200"/>
        <w:rPr>
          <w:rFonts w:ascii="仿宋_GB2312" w:hAnsi="仿宋_GB2312" w:eastAsia="仿宋_GB2312" w:cs="仿宋_GB2312"/>
          <w:spacing w:val="-6"/>
          <w:kern w:val="21"/>
          <w:sz w:val="32"/>
          <w:szCs w:val="32"/>
        </w:rPr>
      </w:pPr>
      <w:r>
        <w:rPr>
          <w:rFonts w:hint="eastAsia" w:ascii="仿宋_GB2312" w:hAnsi="仿宋_GB2312" w:eastAsia="仿宋_GB2312" w:cs="仿宋_GB2312"/>
          <w:b/>
          <w:bCs/>
          <w:spacing w:val="-6"/>
          <w:kern w:val="21"/>
          <w:sz w:val="32"/>
          <w:szCs w:val="32"/>
        </w:rPr>
        <w:t>⑴积极开展各类家庭创建，弘扬“最美家风”。</w:t>
      </w:r>
      <w:r>
        <w:rPr>
          <w:rFonts w:hint="eastAsia" w:ascii="仿宋_GB2312" w:hAnsi="仿宋_GB2312" w:eastAsia="仿宋_GB2312" w:cs="仿宋_GB2312"/>
          <w:spacing w:val="-6"/>
          <w:kern w:val="21"/>
          <w:sz w:val="32"/>
          <w:szCs w:val="32"/>
        </w:rPr>
        <w:t>开展了评选“最美家庭”系列活动，涌现出了市级“最美家庭”5户，省级“最美家庭”2户。“最美家庭”评选及家庭故事分享活动的开展积极带动了家庭美德的传承与弘扬，助力形成文明和谐家庭新风尚。</w:t>
      </w:r>
    </w:p>
    <w:p>
      <w:pPr>
        <w:pStyle w:val="2"/>
        <w:overflowPunct w:val="0"/>
        <w:autoSpaceDE w:val="0"/>
        <w:autoSpaceDN w:val="0"/>
        <w:spacing w:beforeLines="0" w:line="576" w:lineRule="exact"/>
        <w:ind w:firstLine="642" w:firstLineChars="200"/>
        <w:rPr>
          <w:rFonts w:hAnsi="仿宋_GB2312" w:cs="仿宋_GB2312"/>
          <w:kern w:val="21"/>
          <w:sz w:val="32"/>
          <w:szCs w:val="32"/>
        </w:rPr>
      </w:pPr>
      <w:r>
        <w:rPr>
          <w:rFonts w:hint="eastAsia" w:hAnsi="仿宋_GB2312" w:cs="仿宋_GB2312"/>
          <w:b/>
          <w:bCs/>
          <w:kern w:val="2"/>
          <w:sz w:val="32"/>
          <w:szCs w:val="32"/>
        </w:rPr>
        <w:t>⑵家校社共建，温暖万家灯火。</w:t>
      </w:r>
      <w:r>
        <w:rPr>
          <w:rFonts w:hint="eastAsia" w:hAnsi="仿宋_GB2312" w:cs="仿宋_GB2312"/>
          <w:b/>
          <w:bCs/>
          <w:kern w:val="21"/>
          <w:sz w:val="32"/>
          <w:szCs w:val="32"/>
        </w:rPr>
        <w:t>一是</w:t>
      </w:r>
      <w:r>
        <w:rPr>
          <w:rFonts w:hint="eastAsia" w:hAnsi="仿宋_GB2312" w:cs="仿宋_GB2312"/>
          <w:kern w:val="21"/>
          <w:sz w:val="32"/>
          <w:szCs w:val="32"/>
        </w:rPr>
        <w:t>常态化建好“家长学校”，县乡妇联积极推进家长学校建设，着力提升广大家长家庭教育水平和育儿能力。截</w:t>
      </w:r>
      <w:r>
        <w:rPr>
          <w:rFonts w:hint="eastAsia" w:hAnsi="仿宋_GB2312" w:cs="仿宋_GB2312"/>
          <w:kern w:val="21"/>
          <w:sz w:val="32"/>
          <w:szCs w:val="32"/>
          <w:lang w:eastAsia="zh-CN"/>
        </w:rPr>
        <w:t>至</w:t>
      </w:r>
      <w:r>
        <w:rPr>
          <w:rFonts w:hint="eastAsia" w:hAnsi="仿宋_GB2312" w:cs="仿宋_GB2312"/>
          <w:kern w:val="21"/>
          <w:sz w:val="32"/>
          <w:szCs w:val="32"/>
        </w:rPr>
        <w:t>目前，全县364个村（社区）建立了家长学校；</w:t>
      </w:r>
      <w:r>
        <w:rPr>
          <w:rFonts w:hint="eastAsia" w:hAnsi="仿宋_GB2312" w:cs="仿宋_GB2312"/>
          <w:b/>
          <w:bCs/>
          <w:kern w:val="21"/>
          <w:sz w:val="32"/>
          <w:szCs w:val="32"/>
        </w:rPr>
        <w:t>二是</w:t>
      </w:r>
      <w:r>
        <w:rPr>
          <w:rFonts w:hint="eastAsia" w:hAnsi="仿宋_GB2312" w:cs="仿宋_GB2312"/>
          <w:kern w:val="21"/>
          <w:sz w:val="32"/>
          <w:szCs w:val="32"/>
        </w:rPr>
        <w:t>试点开通“护未之声”广播。7月5日，剑阁县检察院联合县法院、县公安局、县教育局、县妇联、县关工委等部门在龙江小学共同举行“护未之声”法治广播启动仪式；</w:t>
      </w:r>
      <w:r>
        <w:rPr>
          <w:rFonts w:hint="eastAsia" w:hAnsi="仿宋_GB2312" w:cs="仿宋_GB2312"/>
          <w:b/>
          <w:bCs/>
          <w:kern w:val="21"/>
          <w:sz w:val="32"/>
          <w:szCs w:val="32"/>
        </w:rPr>
        <w:t>三是</w:t>
      </w:r>
      <w:r>
        <w:rPr>
          <w:rFonts w:hint="eastAsia" w:hAnsi="仿宋_GB2312" w:cs="仿宋_GB2312"/>
          <w:kern w:val="21"/>
          <w:sz w:val="32"/>
          <w:szCs w:val="32"/>
        </w:rPr>
        <w:t>做优“家庭教育指导站”，加快构建家庭教育服务体系，不断创新家庭教育模式，进一步筑牢未成年人家庭保护防线。</w:t>
      </w:r>
    </w:p>
    <w:p>
      <w:pPr>
        <w:overflowPunct w:val="0"/>
        <w:autoSpaceDE w:val="0"/>
        <w:autoSpaceDN w:val="0"/>
        <w:spacing w:line="576" w:lineRule="exact"/>
        <w:ind w:firstLine="618" w:firstLineChars="200"/>
        <w:rPr>
          <w:rFonts w:ascii="仿宋_GB2312" w:hAnsi="仿宋_GB2312" w:eastAsia="仿宋_GB2312" w:cs="仿宋_GB2312"/>
          <w:spacing w:val="-6"/>
          <w:kern w:val="21"/>
          <w:sz w:val="32"/>
          <w:szCs w:val="32"/>
        </w:rPr>
      </w:pPr>
      <w:r>
        <w:rPr>
          <w:rFonts w:hint="eastAsia" w:ascii="仿宋_GB2312" w:hAnsi="仿宋_GB2312" w:eastAsia="仿宋_GB2312" w:cs="仿宋_GB2312"/>
          <w:b/>
          <w:bCs/>
          <w:spacing w:val="-6"/>
          <w:sz w:val="32"/>
          <w:szCs w:val="32"/>
        </w:rPr>
        <w:t>⑶引导好风尚，对升学宴谢师宴说不。</w:t>
      </w:r>
      <w:r>
        <w:rPr>
          <w:rFonts w:hint="eastAsia" w:ascii="仿宋_GB2312" w:hAnsi="仿宋_GB2312" w:eastAsia="仿宋_GB2312" w:cs="仿宋_GB2312"/>
          <w:spacing w:val="-6"/>
          <w:kern w:val="21"/>
          <w:sz w:val="32"/>
          <w:szCs w:val="32"/>
        </w:rPr>
        <w:t>高考中考录取工作全面开展之际，及时向全面群众发出自觉抵制违规操办“升学宴”“谢师宴”倡议书，有效遏制违规操办“升学宴”“谢师宴”7起。</w:t>
      </w:r>
    </w:p>
    <w:p>
      <w:pPr>
        <w:overflowPunct w:val="0"/>
        <w:autoSpaceDE w:val="0"/>
        <w:autoSpaceDN w:val="0"/>
        <w:spacing w:line="556"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⑷常态开展志愿服务，倡导文明新风。</w:t>
      </w:r>
      <w:r>
        <w:rPr>
          <w:rFonts w:hint="eastAsia" w:ascii="仿宋_GB2312" w:hAnsi="仿宋_GB2312" w:eastAsia="仿宋_GB2312" w:cs="仿宋_GB2312"/>
          <w:sz w:val="32"/>
          <w:szCs w:val="32"/>
        </w:rPr>
        <w:t>县乡（镇）两级妇联共组建30支巾帼志愿服务队伍，在册志愿者316人。常态化深入乡镇、社区、企业、农村进行爱心慰问、垃圾分类宣传等志愿服务160余场，服务人群26万余人次。</w:t>
      </w:r>
    </w:p>
    <w:p>
      <w:pPr>
        <w:overflowPunct w:val="0"/>
        <w:autoSpaceDE w:val="0"/>
        <w:autoSpaceDN w:val="0"/>
        <w:spacing w:line="536" w:lineRule="exact"/>
        <w:ind w:firstLine="640" w:firstLineChars="200"/>
        <w:rPr>
          <w:rFonts w:ascii="仿宋_GB2312" w:hAnsi="仿宋_GB2312" w:eastAsia="仿宋_GB2312" w:cs="仿宋_GB2312"/>
          <w:kern w:val="21"/>
          <w:sz w:val="32"/>
          <w:szCs w:val="32"/>
        </w:rPr>
      </w:pPr>
      <w:r>
        <w:rPr>
          <w:rFonts w:hint="eastAsia" w:ascii="仿宋_GB2312" w:hAnsi="仿宋_GB2312" w:eastAsia="仿宋_GB2312" w:cs="仿宋_GB2312"/>
          <w:sz w:val="32"/>
          <w:szCs w:val="32"/>
        </w:rPr>
        <w:t>4、争取项目，全面服务经济社会高质量发展。</w:t>
      </w:r>
      <w:r>
        <w:rPr>
          <w:rFonts w:hint="eastAsia" w:ascii="仿宋_GB2312" w:hAnsi="仿宋_GB2312" w:eastAsia="仿宋_GB2312" w:cs="仿宋_GB2312"/>
          <w:kern w:val="21"/>
          <w:sz w:val="32"/>
          <w:szCs w:val="32"/>
        </w:rPr>
        <w:t>多措并举，完成招商引资项目落地，目前位于武连镇孔荣村的养牛场项目主体圈舍已建成，到位资金910万元；依波集团助学金10万元已到账户，目前正进一步核实受助学生信息和筹备发放；积极争取贫困妇女“两癌”救助资金项目45万元。</w:t>
      </w:r>
    </w:p>
    <w:p>
      <w:pPr>
        <w:pStyle w:val="2"/>
        <w:overflowPunct w:val="0"/>
        <w:autoSpaceDE w:val="0"/>
        <w:autoSpaceDN w:val="0"/>
        <w:spacing w:beforeLines="0" w:line="536" w:lineRule="exact"/>
        <w:ind w:firstLine="640" w:firstLineChars="200"/>
        <w:rPr>
          <w:rFonts w:hAnsi="仿宋_GB2312" w:cs="仿宋_GB2312"/>
          <w:sz w:val="32"/>
          <w:szCs w:val="32"/>
        </w:rPr>
      </w:pPr>
      <w:r>
        <w:rPr>
          <w:rFonts w:hint="eastAsia" w:hAnsi="仿宋_GB2312" w:cs="仿宋_GB2312"/>
          <w:kern w:val="2"/>
          <w:sz w:val="32"/>
          <w:szCs w:val="32"/>
        </w:rPr>
        <w:t>5、汇聚巾帼力量，全力抗击疫情。</w:t>
      </w:r>
      <w:r>
        <w:rPr>
          <w:rFonts w:hint="eastAsia" w:hAnsi="仿宋_GB2312" w:cs="仿宋_GB2312"/>
          <w:b/>
          <w:bCs/>
          <w:kern w:val="2"/>
          <w:sz w:val="32"/>
          <w:szCs w:val="32"/>
        </w:rPr>
        <w:t>一是</w:t>
      </w:r>
      <w:r>
        <w:rPr>
          <w:rFonts w:hint="eastAsia" w:hAnsi="仿宋_GB2312" w:cs="仿宋_GB2312"/>
          <w:kern w:val="2"/>
          <w:sz w:val="32"/>
          <w:szCs w:val="32"/>
        </w:rPr>
        <w:t>严格遵守防疫政策，督促干部职工做好日常防疫防护措施；</w:t>
      </w:r>
      <w:r>
        <w:rPr>
          <w:rFonts w:hint="eastAsia" w:hAnsi="仿宋_GB2312" w:cs="仿宋_GB2312"/>
          <w:b/>
          <w:bCs/>
          <w:kern w:val="2"/>
          <w:sz w:val="32"/>
          <w:szCs w:val="32"/>
        </w:rPr>
        <w:t>二是</w:t>
      </w:r>
      <w:r>
        <w:rPr>
          <w:rFonts w:hint="eastAsia" w:hAnsi="仿宋_GB2312" w:cs="仿宋_GB2312"/>
          <w:kern w:val="2"/>
          <w:sz w:val="32"/>
          <w:szCs w:val="32"/>
        </w:rPr>
        <w:t>积极组织党员志愿服务队深入下寺水产片区挨家挨户排查中高风险地区来剑人员；</w:t>
      </w:r>
      <w:r>
        <w:rPr>
          <w:rFonts w:hint="eastAsia" w:hAnsi="仿宋_GB2312" w:cs="仿宋_GB2312"/>
          <w:b/>
          <w:bCs/>
          <w:kern w:val="2"/>
          <w:sz w:val="32"/>
          <w:szCs w:val="32"/>
        </w:rPr>
        <w:t>三是</w:t>
      </w:r>
      <w:r>
        <w:rPr>
          <w:rFonts w:hint="eastAsia" w:hAnsi="仿宋_GB2312" w:cs="仿宋_GB2312"/>
          <w:kern w:val="2"/>
          <w:sz w:val="32"/>
          <w:szCs w:val="32"/>
        </w:rPr>
        <w:t>服从安排到高铁站开展志愿服务，劝导引导来返剑人员核酸检测；</w:t>
      </w:r>
      <w:r>
        <w:rPr>
          <w:rFonts w:hint="eastAsia" w:hAnsi="仿宋_GB2312" w:cs="仿宋_GB2312"/>
          <w:b/>
          <w:bCs/>
          <w:kern w:val="2"/>
          <w:sz w:val="32"/>
          <w:szCs w:val="32"/>
        </w:rPr>
        <w:t>四是</w:t>
      </w:r>
      <w:r>
        <w:rPr>
          <w:rFonts w:hint="eastAsia" w:hAnsi="仿宋_GB2312" w:cs="仿宋_GB2312"/>
          <w:kern w:val="2"/>
          <w:sz w:val="32"/>
          <w:szCs w:val="32"/>
        </w:rPr>
        <w:t>深入乡镇协助组织老百姓做核酸。</w:t>
      </w:r>
      <w:r>
        <w:rPr>
          <w:rFonts w:hint="eastAsia" w:hAnsi="仿宋_GB2312" w:cs="仿宋_GB2312"/>
          <w:b/>
          <w:bCs/>
          <w:kern w:val="2"/>
          <w:sz w:val="32"/>
          <w:szCs w:val="32"/>
        </w:rPr>
        <w:t>五是</w:t>
      </w:r>
      <w:r>
        <w:rPr>
          <w:rFonts w:hint="eastAsia" w:hAnsi="仿宋_GB2312" w:cs="仿宋_GB2312"/>
          <w:kern w:val="2"/>
          <w:sz w:val="32"/>
          <w:szCs w:val="32"/>
        </w:rPr>
        <w:t>危机时刻彰显巾帼本色。10.11疫情发生后，县妇联及时在巾帼创业互助会中发出倡议书，争取到县妇联十一届执委、剑阁县恒源食用菌农场陈敏捐赠鲜香菇500斤，县妇联十一届执委、剑阁县天行健商贸有限公司负责人黄书琴主动带领公司承担下寺城区物资保供工作的同时，联合其他6家企业筹集价值51330元的物资；县妇联十一届执委、旺丛农业公司负责人胡苏向疫情发生地普安镇捐赠价值3000元的84消毒液。</w:t>
      </w:r>
    </w:p>
    <w:p>
      <w:pPr>
        <w:pStyle w:val="4"/>
        <w:keepNext w:val="0"/>
        <w:keepLines w:val="0"/>
        <w:overflowPunct w:val="0"/>
        <w:autoSpaceDE w:val="0"/>
        <w:autoSpaceDN w:val="0"/>
        <w:spacing w:before="0" w:after="0" w:line="556" w:lineRule="exact"/>
        <w:ind w:firstLine="642" w:firstLineChars="200"/>
        <w:rPr>
          <w:rStyle w:val="20"/>
          <w:rFonts w:ascii="黑体" w:hAnsi="黑体" w:eastAsia="黑体" w:cs="黑体"/>
          <w:b/>
          <w:bCs w:val="0"/>
        </w:rPr>
      </w:pPr>
      <w:bookmarkStart w:id="16" w:name="_Toc15377200"/>
      <w:bookmarkStart w:id="17" w:name="_Toc15396601"/>
      <w:r>
        <w:rPr>
          <w:rFonts w:hint="eastAsia" w:ascii="黑体" w:hAnsi="黑体" w:eastAsia="黑体" w:cs="黑体"/>
          <w:bCs w:val="0"/>
        </w:rPr>
        <w:t>二、机</w:t>
      </w:r>
      <w:r>
        <w:rPr>
          <w:rStyle w:val="20"/>
          <w:rFonts w:hint="eastAsia" w:ascii="黑体" w:hAnsi="黑体" w:eastAsia="黑体" w:cs="黑体"/>
          <w:b/>
          <w:bCs w:val="0"/>
        </w:rPr>
        <w:t>构设置</w:t>
      </w:r>
      <w:bookmarkEnd w:id="16"/>
      <w:bookmarkEnd w:id="17"/>
    </w:p>
    <w:p>
      <w:pPr>
        <w:overflowPunct w:val="0"/>
        <w:autoSpaceDE w:val="0"/>
        <w:autoSpaceDN w:val="0"/>
        <w:spacing w:line="556" w:lineRule="exact"/>
        <w:ind w:firstLine="770" w:firstLineChars="25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县妇联下属二级单位1个，其中行政单位0个，参照公务员法管理的事业单位0个，其他事业单位1个。未独立核算的事业单位。</w:t>
      </w:r>
    </w:p>
    <w:p>
      <w:pPr>
        <w:pStyle w:val="3"/>
        <w:keepNext w:val="0"/>
        <w:keepLines w:val="0"/>
        <w:overflowPunct w:val="0"/>
        <w:autoSpaceDE w:val="0"/>
        <w:autoSpaceDN w:val="0"/>
        <w:spacing w:before="0" w:after="0" w:line="576" w:lineRule="exact"/>
        <w:jc w:val="center"/>
        <w:rPr>
          <w:rFonts w:ascii="方正小标宋简体" w:hAnsi="方正小标宋简体" w:eastAsia="方正小标宋简体" w:cs="方正小标宋简体"/>
          <w:bCs w:val="0"/>
        </w:rPr>
      </w:pPr>
      <w:bookmarkStart w:id="18" w:name="_Toc15396602"/>
      <w:bookmarkStart w:id="19" w:name="_Toc15377204"/>
    </w:p>
    <w:p>
      <w:pPr>
        <w:pStyle w:val="3"/>
        <w:keepNext w:val="0"/>
        <w:keepLines w:val="0"/>
        <w:overflowPunct w:val="0"/>
        <w:autoSpaceDE w:val="0"/>
        <w:autoSpaceDN w:val="0"/>
        <w:spacing w:before="0" w:line="576" w:lineRule="exact"/>
        <w:jc w:val="center"/>
        <w:rPr>
          <w:rFonts w:ascii="方正小标宋简体" w:hAnsi="方正小标宋简体" w:eastAsia="方正小标宋简体" w:cs="方正小标宋简体"/>
          <w:bCs w:val="0"/>
        </w:rPr>
      </w:pPr>
      <w:r>
        <w:rPr>
          <w:rFonts w:hint="eastAsia" w:ascii="方正小标宋简体" w:hAnsi="方正小标宋简体" w:eastAsia="方正小标宋简体" w:cs="方正小标宋简体"/>
          <w:bCs w:val="0"/>
        </w:rPr>
        <w:t>第二部分    2022年度</w:t>
      </w:r>
      <w:r>
        <w:rPr>
          <w:rStyle w:val="19"/>
          <w:rFonts w:hint="eastAsia" w:ascii="方正小标宋简体" w:hAnsi="方正小标宋简体" w:eastAsia="方正小标宋简体" w:cs="方正小标宋简体"/>
          <w:b/>
          <w:bCs w:val="0"/>
        </w:rPr>
        <w:t>部门决算情况说明</w:t>
      </w:r>
      <w:bookmarkEnd w:id="18"/>
      <w:bookmarkEnd w:id="19"/>
    </w:p>
    <w:p>
      <w:pPr>
        <w:pStyle w:val="32"/>
        <w:overflowPunct w:val="0"/>
        <w:autoSpaceDE w:val="0"/>
        <w:autoSpaceDN w:val="0"/>
        <w:spacing w:line="576" w:lineRule="exact"/>
        <w:ind w:firstLine="643"/>
        <w:outlineLvl w:val="1"/>
        <w:rPr>
          <w:rFonts w:ascii="黑体" w:hAnsi="黑体" w:eastAsia="黑体" w:cs="黑体"/>
          <w:b/>
          <w:bCs/>
          <w:sz w:val="32"/>
          <w:szCs w:val="32"/>
        </w:rPr>
      </w:pPr>
      <w:bookmarkStart w:id="20" w:name="_Toc15377205"/>
      <w:bookmarkStart w:id="21" w:name="_Toc15396603"/>
    </w:p>
    <w:p>
      <w:pPr>
        <w:pStyle w:val="32"/>
        <w:overflowPunct w:val="0"/>
        <w:autoSpaceDE w:val="0"/>
        <w:autoSpaceDN w:val="0"/>
        <w:spacing w:line="576" w:lineRule="exact"/>
        <w:ind w:firstLine="643"/>
        <w:outlineLvl w:val="1"/>
        <w:rPr>
          <w:rStyle w:val="20"/>
          <w:rFonts w:ascii="黑体" w:hAnsi="黑体" w:eastAsia="黑体" w:cs="黑体"/>
        </w:rPr>
      </w:pPr>
      <w:r>
        <w:rPr>
          <w:rFonts w:hint="eastAsia" w:ascii="黑体" w:hAnsi="黑体" w:eastAsia="黑体" w:cs="黑体"/>
          <w:b/>
          <w:bCs/>
          <w:sz w:val="32"/>
          <w:szCs w:val="32"/>
        </w:rPr>
        <w:t>一、收</w:t>
      </w:r>
      <w:r>
        <w:rPr>
          <w:rStyle w:val="20"/>
          <w:rFonts w:hint="eastAsia" w:ascii="黑体" w:hAnsi="黑体" w:eastAsia="黑体" w:cs="黑体"/>
        </w:rPr>
        <w:t>入支出决算总体情况说明</w:t>
      </w:r>
      <w:bookmarkEnd w:id="20"/>
      <w:bookmarkEnd w:id="21"/>
    </w:p>
    <w:p>
      <w:pPr>
        <w:overflowPunct w:val="0"/>
        <w:autoSpaceDE w:val="0"/>
        <w:autoSpaceDN w:val="0"/>
        <w:spacing w:line="576" w:lineRule="exact"/>
        <w:ind w:firstLine="640" w:firstLineChars="200"/>
        <w:rPr>
          <w:rFonts w:ascii="仿宋" w:hAnsi="仿宋" w:eastAsia="仿宋"/>
          <w:sz w:val="32"/>
          <w:szCs w:val="32"/>
        </w:rPr>
      </w:pPr>
      <w:r>
        <w:rPr>
          <w:rFonts w:hint="eastAsia" w:ascii="仿宋_GB2312" w:hAnsi="仿宋_GB2312" w:eastAsia="仿宋_GB2312" w:cs="仿宋_GB2312"/>
          <w:sz w:val="32"/>
          <w:szCs w:val="32"/>
        </w:rPr>
        <w:t>2022年度收、支总计139.58万元。与2021年相比，收、支总计各增加10.87万元，增长8.45%。主要变动原因是人员增加。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drawing>
          <wp:anchor distT="0" distB="0" distL="114300" distR="114300" simplePos="0" relativeHeight="251659264" behindDoc="0" locked="0" layoutInCell="1" allowOverlap="1">
            <wp:simplePos x="0" y="0"/>
            <wp:positionH relativeFrom="column">
              <wp:posOffset>741045</wp:posOffset>
            </wp:positionH>
            <wp:positionV relativeFrom="paragraph">
              <wp:posOffset>104775</wp:posOffset>
            </wp:positionV>
            <wp:extent cx="4103370" cy="2926080"/>
            <wp:effectExtent l="19050" t="0" r="11430" b="762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sz w:val="32"/>
          <w:szCs w:val="32"/>
        </w:rPr>
        <w:t xml:space="preserve">    </w:t>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 xml:space="preserve">     </w:t>
      </w:r>
    </w:p>
    <w:p>
      <w:pPr>
        <w:spacing w:line="600" w:lineRule="exact"/>
        <w:jc w:val="center"/>
        <w:rPr>
          <w:rFonts w:ascii="楷体_GB2312" w:hAnsi="楷体_GB2312" w:eastAsia="楷体_GB2312" w:cs="楷体_GB2312"/>
          <w:sz w:val="28"/>
          <w:szCs w:val="28"/>
        </w:rPr>
      </w:pPr>
      <w:r>
        <w:rPr>
          <w:rFonts w:hint="eastAsia" w:ascii="楷体_GB2312" w:hAnsi="楷体_GB2312" w:eastAsia="楷体_GB2312" w:cs="楷体_GB2312"/>
          <w:sz w:val="28"/>
          <w:szCs w:val="28"/>
        </w:rPr>
        <w:t>（图1：收、支决算总计变动情况图）（柱状图）</w:t>
      </w:r>
    </w:p>
    <w:p>
      <w:pPr>
        <w:pStyle w:val="32"/>
        <w:overflowPunct w:val="0"/>
        <w:autoSpaceDE w:val="0"/>
        <w:autoSpaceDN w:val="0"/>
        <w:spacing w:line="576" w:lineRule="exact"/>
        <w:ind w:firstLine="643"/>
        <w:outlineLvl w:val="1"/>
        <w:rPr>
          <w:rStyle w:val="20"/>
          <w:rFonts w:ascii="黑体" w:hAnsi="黑体" w:eastAsia="黑体" w:cs="黑体"/>
        </w:rPr>
      </w:pPr>
      <w:bookmarkStart w:id="22" w:name="_Toc15377206"/>
      <w:bookmarkStart w:id="23" w:name="_Toc15396604"/>
      <w:r>
        <w:rPr>
          <w:rStyle w:val="20"/>
          <w:rFonts w:hint="eastAsia" w:ascii="黑体" w:hAnsi="黑体" w:eastAsia="黑体" w:cs="黑体"/>
        </w:rPr>
        <w:t>二、收入决算情况说明</w:t>
      </w:r>
      <w:bookmarkEnd w:id="22"/>
      <w:bookmarkEnd w:id="23"/>
    </w:p>
    <w:p>
      <w:pPr>
        <w:overflowPunct w:val="0"/>
        <w:autoSpaceDE w:val="0"/>
        <w:autoSpaceDN w:val="0"/>
        <w:spacing w:line="576" w:lineRule="exact"/>
        <w:ind w:firstLine="684" w:firstLineChars="200"/>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2022年本年收入合计139.58万元，其中：一般公共预算财政拨款收入139.58万元，占100%；政府性基金预算财政拨款收入0万元，占0%；国有资本经营预算财政拨款收入0万元，占0%；上级补助收0万元，占0%；事业收入0万元，占0%；经营收入0万元，占0%；附属单位上缴收入0万元，占0%；其他收入0万元，占0%。</w:t>
      </w:r>
    </w:p>
    <w:p>
      <w:pPr>
        <w:pStyle w:val="2"/>
        <w:spacing w:before="93"/>
        <w:jc w:val="center"/>
      </w:pPr>
      <w:r>
        <w:rPr>
          <w:rFonts w:hint="eastAsia"/>
        </w:rPr>
        <w:t xml:space="preserve">      </w:t>
      </w:r>
      <w:r>
        <w:drawing>
          <wp:inline distT="0" distB="0" distL="0" distR="0">
            <wp:extent cx="3834130" cy="2740025"/>
            <wp:effectExtent l="4445" t="4445" r="9525" b="1143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jc w:val="center"/>
        <w:rPr>
          <w:rFonts w:ascii="楷体_GB2312" w:hAnsi="楷体_GB2312" w:eastAsia="楷体_GB2312" w:cs="楷体_GB2312"/>
          <w:sz w:val="28"/>
          <w:szCs w:val="28"/>
        </w:rPr>
      </w:pPr>
      <w:r>
        <w:rPr>
          <w:rFonts w:hint="eastAsia" w:ascii="楷体_GB2312" w:hAnsi="楷体_GB2312" w:eastAsia="楷体_GB2312" w:cs="楷体_GB2312"/>
          <w:sz w:val="28"/>
          <w:szCs w:val="28"/>
        </w:rPr>
        <w:t>（图2：收入决算结构图）（饼状图）</w:t>
      </w:r>
    </w:p>
    <w:p>
      <w:pPr>
        <w:pStyle w:val="32"/>
        <w:overflowPunct w:val="0"/>
        <w:autoSpaceDE w:val="0"/>
        <w:autoSpaceDN w:val="0"/>
        <w:spacing w:line="576" w:lineRule="exact"/>
        <w:ind w:firstLine="643"/>
        <w:outlineLvl w:val="1"/>
        <w:rPr>
          <w:rStyle w:val="20"/>
          <w:rFonts w:ascii="黑体" w:hAnsi="黑体" w:eastAsia="黑体" w:cs="黑体"/>
        </w:rPr>
      </w:pPr>
      <w:bookmarkStart w:id="24" w:name="_Toc15377207"/>
      <w:bookmarkStart w:id="25" w:name="_Toc15396605"/>
      <w:r>
        <w:rPr>
          <w:rStyle w:val="20"/>
          <w:rFonts w:hint="eastAsia" w:ascii="黑体" w:hAnsi="黑体" w:eastAsia="黑体" w:cs="黑体"/>
        </w:rPr>
        <w:t>三、支出决算情况说明</w:t>
      </w:r>
      <w:bookmarkEnd w:id="24"/>
      <w:bookmarkEnd w:id="25"/>
    </w:p>
    <w:p>
      <w:pPr>
        <w:overflowPunct w:val="0"/>
        <w:autoSpaceDE w:val="0"/>
        <w:autoSpaceDN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2022年本年支出合计139.58万元，其中：基本支出128.59万元，占92%；项目支出10.99万元，占8%；上缴上级支出0万元，占0%；经营支出0万元，占0%；对附属单位补助支出0万元，占0%。</w:t>
      </w:r>
    </w:p>
    <w:p>
      <w:pPr>
        <w:spacing w:line="600" w:lineRule="exact"/>
        <w:ind w:firstLine="640" w:firstLineChars="200"/>
        <w:rPr>
          <w:rFonts w:ascii="仿宋" w:hAnsi="仿宋" w:eastAsia="仿宋"/>
          <w:b/>
          <w:sz w:val="32"/>
          <w:szCs w:val="32"/>
        </w:rPr>
      </w:pPr>
      <w:r>
        <w:rPr>
          <w:rFonts w:ascii="仿宋" w:hAnsi="仿宋" w:eastAsia="仿宋"/>
          <w:sz w:val="32"/>
          <w:szCs w:val="32"/>
        </w:rPr>
        <w:drawing>
          <wp:anchor distT="0" distB="0" distL="114300" distR="114300" simplePos="0" relativeHeight="251660288" behindDoc="0" locked="0" layoutInCell="1" allowOverlap="1">
            <wp:simplePos x="0" y="0"/>
            <wp:positionH relativeFrom="column">
              <wp:posOffset>612140</wp:posOffset>
            </wp:positionH>
            <wp:positionV relativeFrom="paragraph">
              <wp:posOffset>151765</wp:posOffset>
            </wp:positionV>
            <wp:extent cx="4095750" cy="2421255"/>
            <wp:effectExtent l="4445" t="4445" r="14605" b="12700"/>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2"/>
        <w:spacing w:before="93"/>
      </w:pPr>
    </w:p>
    <w:p>
      <w:pPr>
        <w:pStyle w:val="2"/>
        <w:spacing w:before="93"/>
      </w:pPr>
    </w:p>
    <w:p>
      <w:pPr>
        <w:pStyle w:val="2"/>
        <w:spacing w:before="93"/>
      </w:pPr>
    </w:p>
    <w:p>
      <w:pPr>
        <w:pStyle w:val="2"/>
        <w:spacing w:before="93"/>
      </w:pPr>
    </w:p>
    <w:p>
      <w:pPr>
        <w:spacing w:line="600" w:lineRule="exact"/>
        <w:ind w:firstLine="640" w:firstLineChars="200"/>
        <w:rPr>
          <w:rFonts w:ascii="仿宋" w:hAnsi="仿宋" w:eastAsia="仿宋"/>
          <w:sz w:val="32"/>
          <w:szCs w:val="32"/>
        </w:rPr>
      </w:pPr>
    </w:p>
    <w:p>
      <w:pPr>
        <w:spacing w:line="600" w:lineRule="exact"/>
        <w:jc w:val="center"/>
        <w:rPr>
          <w:rFonts w:ascii="楷体_GB2312" w:hAnsi="楷体_GB2312" w:eastAsia="楷体_GB2312" w:cs="楷体_GB2312"/>
          <w:sz w:val="28"/>
          <w:szCs w:val="28"/>
        </w:rPr>
      </w:pPr>
      <w:r>
        <w:rPr>
          <w:rFonts w:hint="eastAsia" w:ascii="楷体_GB2312" w:hAnsi="楷体_GB2312" w:eastAsia="楷体_GB2312" w:cs="楷体_GB2312"/>
          <w:sz w:val="28"/>
          <w:szCs w:val="28"/>
        </w:rPr>
        <w:t>（图3：支出决算结构图）（饼状图）</w:t>
      </w:r>
    </w:p>
    <w:p>
      <w:pPr>
        <w:pStyle w:val="32"/>
        <w:overflowPunct w:val="0"/>
        <w:autoSpaceDE w:val="0"/>
        <w:autoSpaceDN w:val="0"/>
        <w:spacing w:line="540" w:lineRule="exact"/>
        <w:ind w:firstLine="643"/>
        <w:outlineLvl w:val="1"/>
        <w:rPr>
          <w:rStyle w:val="20"/>
          <w:rFonts w:ascii="黑体" w:hAnsi="黑体" w:eastAsia="黑体" w:cs="黑体"/>
        </w:rPr>
      </w:pPr>
      <w:bookmarkStart w:id="26" w:name="_Toc15396606"/>
      <w:bookmarkStart w:id="27" w:name="_Toc15377208"/>
      <w:r>
        <w:rPr>
          <w:rStyle w:val="20"/>
          <w:rFonts w:hint="eastAsia" w:ascii="黑体" w:hAnsi="黑体" w:eastAsia="黑体" w:cs="黑体"/>
        </w:rPr>
        <w:t>四、财政拨款收入支出决算总体情况说明</w:t>
      </w:r>
      <w:bookmarkEnd w:id="26"/>
      <w:bookmarkEnd w:id="27"/>
    </w:p>
    <w:p>
      <w:pPr>
        <w:overflowPunct w:val="0"/>
        <w:autoSpaceDE w:val="0"/>
        <w:autoSpaceDN w:val="0"/>
        <w:spacing w:line="540" w:lineRule="exact"/>
        <w:ind w:firstLine="640" w:firstLineChars="200"/>
        <w:rPr>
          <w:rFonts w:ascii="仿宋" w:hAnsi="仿宋" w:eastAsia="仿宋"/>
          <w:b/>
          <w:sz w:val="32"/>
          <w:szCs w:val="32"/>
        </w:rPr>
      </w:pPr>
      <w:r>
        <w:rPr>
          <w:rFonts w:hint="eastAsia" w:ascii="仿宋_GB2312" w:hAnsi="仿宋_GB2312" w:eastAsia="仿宋_GB2312" w:cs="仿宋_GB2312"/>
          <w:sz w:val="32"/>
          <w:szCs w:val="32"/>
        </w:rPr>
        <w:t>2022年财政拨款收、支总计139.58万元。与2021年相比，财政拨款收、支总计各增加10.87万元，增长8.5%。主要变动原因是人员增加。</w:t>
      </w:r>
    </w:p>
    <w:p>
      <w:pPr>
        <w:spacing w:line="600" w:lineRule="exact"/>
        <w:rPr>
          <w:rFonts w:ascii="仿宋" w:hAnsi="仿宋" w:eastAsia="仿宋"/>
          <w:sz w:val="32"/>
          <w:szCs w:val="32"/>
        </w:rPr>
      </w:pPr>
      <w:r>
        <w:rPr>
          <w:rFonts w:hint="eastAsia" w:ascii="仿宋" w:hAnsi="仿宋" w:eastAsia="仿宋"/>
          <w:sz w:val="32"/>
          <w:szCs w:val="32"/>
        </w:rPr>
        <w:drawing>
          <wp:anchor distT="0" distB="0" distL="114300" distR="114300" simplePos="0" relativeHeight="251661312" behindDoc="0" locked="0" layoutInCell="1" allowOverlap="1">
            <wp:simplePos x="0" y="0"/>
            <wp:positionH relativeFrom="column">
              <wp:posOffset>712470</wp:posOffset>
            </wp:positionH>
            <wp:positionV relativeFrom="paragraph">
              <wp:posOffset>36195</wp:posOffset>
            </wp:positionV>
            <wp:extent cx="3851275" cy="1901825"/>
            <wp:effectExtent l="4445" t="4445" r="5080" b="11430"/>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楷体_GB2312" w:hAnsi="楷体_GB2312" w:eastAsia="楷体_GB2312" w:cs="楷体_GB2312"/>
          <w:sz w:val="28"/>
          <w:szCs w:val="28"/>
        </w:rPr>
      </w:pPr>
      <w:r>
        <w:rPr>
          <w:rFonts w:hint="eastAsia" w:ascii="楷体_GB2312" w:hAnsi="楷体_GB2312" w:eastAsia="楷体_GB2312" w:cs="楷体_GB2312"/>
          <w:sz w:val="28"/>
          <w:szCs w:val="28"/>
        </w:rPr>
        <w:t>（图4：财政拨款收、支决算总计变动情况）（柱状图）</w:t>
      </w:r>
    </w:p>
    <w:p>
      <w:pPr>
        <w:pStyle w:val="32"/>
        <w:overflowPunct w:val="0"/>
        <w:autoSpaceDE w:val="0"/>
        <w:autoSpaceDN w:val="0"/>
        <w:spacing w:line="520" w:lineRule="exact"/>
        <w:ind w:firstLine="643"/>
        <w:outlineLvl w:val="1"/>
        <w:rPr>
          <w:rStyle w:val="20"/>
          <w:rFonts w:ascii="黑体" w:hAnsi="黑体" w:eastAsia="黑体" w:cs="黑体"/>
        </w:rPr>
      </w:pPr>
      <w:bookmarkStart w:id="28" w:name="_Toc15396607"/>
      <w:bookmarkStart w:id="29" w:name="_Toc15377209"/>
      <w:r>
        <w:rPr>
          <w:rStyle w:val="20"/>
          <w:rFonts w:hint="eastAsia" w:ascii="黑体" w:hAnsi="黑体" w:eastAsia="黑体" w:cs="黑体"/>
        </w:rPr>
        <w:t>五、一般公共预算财政拨款支出决算情况说明</w:t>
      </w:r>
      <w:bookmarkEnd w:id="28"/>
      <w:bookmarkEnd w:id="29"/>
    </w:p>
    <w:p>
      <w:pPr>
        <w:spacing w:line="520" w:lineRule="exact"/>
        <w:ind w:firstLine="642" w:firstLineChars="200"/>
        <w:outlineLvl w:val="2"/>
        <w:rPr>
          <w:rFonts w:ascii="楷体_GB2312" w:hAnsi="楷体_GB2312" w:eastAsia="楷体_GB2312" w:cs="楷体_GB2312"/>
          <w:b/>
          <w:sz w:val="32"/>
          <w:szCs w:val="32"/>
        </w:rPr>
      </w:pPr>
      <w:bookmarkStart w:id="30" w:name="_Toc15377210"/>
      <w:r>
        <w:rPr>
          <w:rFonts w:hint="eastAsia" w:ascii="楷体_GB2312" w:hAnsi="楷体_GB2312" w:eastAsia="楷体_GB2312" w:cs="楷体_GB2312"/>
          <w:b/>
          <w:sz w:val="32"/>
          <w:szCs w:val="32"/>
        </w:rPr>
        <w:t>（一）一般公共预算财政拨款支出决算总体情况</w:t>
      </w:r>
      <w:bookmarkEnd w:id="30"/>
    </w:p>
    <w:p>
      <w:pPr>
        <w:overflowPunct w:val="0"/>
        <w:autoSpaceDE w:val="0"/>
        <w:autoSpaceDN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2022年一般公共预算财政拨款支出139.58万元，占本年支出合计的100%。与2021年相比，一般公共预算财政拨款支出增加10.87万元，增长8.5%。主要变动原因是人员增加。</w:t>
      </w:r>
    </w:p>
    <w:p>
      <w:pPr>
        <w:pStyle w:val="2"/>
        <w:spacing w:before="93"/>
      </w:pPr>
      <w:r>
        <w:rPr>
          <w:rFonts w:hint="eastAsia" w:ascii="仿宋" w:hAnsi="仿宋" w:eastAsia="仿宋"/>
          <w:sz w:val="32"/>
          <w:szCs w:val="32"/>
        </w:rPr>
        <w:drawing>
          <wp:anchor distT="0" distB="0" distL="114300" distR="114300" simplePos="0" relativeHeight="251662336" behindDoc="0" locked="0" layoutInCell="1" allowOverlap="1">
            <wp:simplePos x="0" y="0"/>
            <wp:positionH relativeFrom="column">
              <wp:posOffset>740410</wp:posOffset>
            </wp:positionH>
            <wp:positionV relativeFrom="paragraph">
              <wp:posOffset>70485</wp:posOffset>
            </wp:positionV>
            <wp:extent cx="3989070" cy="2258695"/>
            <wp:effectExtent l="4445" t="5080" r="6985" b="9525"/>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jc w:val="center"/>
        <w:rPr>
          <w:rFonts w:ascii="仿宋" w:hAnsi="仿宋" w:eastAsia="仿宋"/>
          <w:sz w:val="32"/>
          <w:szCs w:val="32"/>
        </w:rPr>
      </w:pPr>
    </w:p>
    <w:p>
      <w:pPr>
        <w:pStyle w:val="2"/>
        <w:spacing w:beforeLines="0" w:line="240" w:lineRule="exact"/>
        <w:rPr>
          <w:rFonts w:ascii="仿宋" w:hAnsi="仿宋" w:eastAsia="仿宋"/>
          <w:sz w:val="32"/>
          <w:szCs w:val="32"/>
        </w:rPr>
      </w:pPr>
    </w:p>
    <w:p>
      <w:pPr>
        <w:pStyle w:val="2"/>
        <w:spacing w:beforeLines="50" w:line="240" w:lineRule="exact"/>
        <w:rPr>
          <w:rFonts w:ascii="仿宋" w:hAnsi="仿宋" w:eastAsia="仿宋"/>
          <w:sz w:val="32"/>
          <w:szCs w:val="32"/>
        </w:rPr>
      </w:pPr>
    </w:p>
    <w:p>
      <w:pPr>
        <w:spacing w:line="600" w:lineRule="exact"/>
        <w:jc w:val="center"/>
        <w:rPr>
          <w:rFonts w:ascii="楷体_GB2312" w:hAnsi="楷体_GB2312" w:eastAsia="楷体_GB2312" w:cs="楷体_GB2312"/>
          <w:sz w:val="28"/>
          <w:szCs w:val="28"/>
        </w:rPr>
      </w:pPr>
      <w:r>
        <w:rPr>
          <w:rFonts w:hint="eastAsia" w:ascii="楷体_GB2312" w:hAnsi="楷体_GB2312" w:eastAsia="楷体_GB2312" w:cs="楷体_GB2312"/>
          <w:sz w:val="28"/>
          <w:szCs w:val="28"/>
        </w:rPr>
        <w:t>（图5：一般公共预算财政拨款支出决算变动情况）（柱状图）</w:t>
      </w:r>
    </w:p>
    <w:p>
      <w:pPr>
        <w:spacing w:line="600" w:lineRule="exact"/>
        <w:ind w:firstLine="642" w:firstLineChars="200"/>
        <w:outlineLvl w:val="2"/>
        <w:rPr>
          <w:rFonts w:ascii="楷体_GB2312" w:hAnsi="楷体_GB2312" w:eastAsia="楷体_GB2312" w:cs="楷体_GB2312"/>
          <w:b/>
          <w:sz w:val="32"/>
          <w:szCs w:val="32"/>
        </w:rPr>
      </w:pPr>
      <w:bookmarkStart w:id="31" w:name="_Toc15377211"/>
      <w:r>
        <w:rPr>
          <w:rFonts w:hint="eastAsia" w:ascii="楷体_GB2312" w:hAnsi="楷体_GB2312" w:eastAsia="楷体_GB2312" w:cs="楷体_GB2312"/>
          <w:b/>
          <w:sz w:val="32"/>
          <w:szCs w:val="32"/>
        </w:rPr>
        <w:t>（二）一般公共预算财政拨款支出决算结构情况</w:t>
      </w:r>
      <w:bookmarkEnd w:id="31"/>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2022年一般公共预算财政拨款支出139.58万元，主要用于以下方面:</w:t>
      </w:r>
      <w:r>
        <w:rPr>
          <w:rFonts w:hint="eastAsia" w:ascii="仿宋_GB2312" w:hAnsi="仿宋_GB2312" w:eastAsia="仿宋_GB2312" w:cs="仿宋_GB2312"/>
          <w:b/>
          <w:sz w:val="32"/>
          <w:szCs w:val="32"/>
        </w:rPr>
        <w:t>一般公共服务</w:t>
      </w:r>
      <w:r>
        <w:rPr>
          <w:rFonts w:hint="eastAsia" w:ascii="仿宋_GB2312" w:hAnsi="仿宋_GB2312" w:eastAsia="仿宋_GB2312" w:cs="仿宋_GB2312"/>
          <w:b/>
          <w:bCs/>
          <w:sz w:val="32"/>
          <w:szCs w:val="32"/>
        </w:rPr>
        <w:t>支出</w:t>
      </w:r>
      <w:r>
        <w:rPr>
          <w:rFonts w:hint="eastAsia" w:ascii="仿宋_GB2312" w:hAnsi="仿宋_GB2312" w:eastAsia="仿宋_GB2312" w:cs="仿宋_GB2312"/>
          <w:sz w:val="32"/>
          <w:szCs w:val="32"/>
        </w:rPr>
        <w:t>116.33万元，占83.3%；</w:t>
      </w:r>
      <w:r>
        <w:rPr>
          <w:rFonts w:hint="eastAsia" w:ascii="仿宋_GB2312" w:hAnsi="仿宋_GB2312" w:eastAsia="仿宋_GB2312" w:cs="仿宋_GB2312"/>
          <w:b/>
          <w:sz w:val="32"/>
          <w:szCs w:val="32"/>
        </w:rPr>
        <w:t>社会保障和就业</w:t>
      </w:r>
      <w:r>
        <w:rPr>
          <w:rFonts w:hint="eastAsia" w:ascii="仿宋_GB2312" w:hAnsi="仿宋_GB2312" w:eastAsia="仿宋_GB2312" w:cs="仿宋_GB2312"/>
          <w:b/>
          <w:bCs/>
          <w:sz w:val="32"/>
          <w:szCs w:val="32"/>
        </w:rPr>
        <w:t>支出</w:t>
      </w:r>
      <w:r>
        <w:rPr>
          <w:rFonts w:hint="eastAsia" w:ascii="仿宋_GB2312" w:hAnsi="仿宋_GB2312" w:eastAsia="仿宋_GB2312" w:cs="仿宋_GB2312"/>
          <w:sz w:val="32"/>
          <w:szCs w:val="32"/>
        </w:rPr>
        <w:t>9.45万元，占6.8%；</w:t>
      </w:r>
      <w:r>
        <w:rPr>
          <w:rFonts w:hint="eastAsia" w:ascii="仿宋_GB2312" w:hAnsi="仿宋_GB2312" w:eastAsia="仿宋_GB2312" w:cs="仿宋_GB2312"/>
          <w:b/>
          <w:bCs/>
          <w:sz w:val="32"/>
          <w:szCs w:val="32"/>
        </w:rPr>
        <w:t>卫生健康支出</w:t>
      </w:r>
      <w:r>
        <w:rPr>
          <w:rFonts w:hint="eastAsia" w:ascii="仿宋_GB2312" w:hAnsi="仿宋_GB2312" w:eastAsia="仿宋_GB2312" w:cs="仿宋_GB2312"/>
          <w:sz w:val="32"/>
          <w:szCs w:val="32"/>
        </w:rPr>
        <w:t>6.72万元，占4.8%；</w:t>
      </w:r>
      <w:r>
        <w:rPr>
          <w:rFonts w:hint="eastAsia" w:ascii="仿宋_GB2312" w:hAnsi="仿宋_GB2312" w:eastAsia="仿宋_GB2312" w:cs="仿宋_GB2312"/>
          <w:b/>
          <w:bCs/>
          <w:sz w:val="32"/>
          <w:szCs w:val="32"/>
        </w:rPr>
        <w:t>住房保障支出</w:t>
      </w:r>
      <w:r>
        <w:rPr>
          <w:rFonts w:hint="eastAsia" w:ascii="仿宋_GB2312" w:hAnsi="仿宋_GB2312" w:eastAsia="仿宋_GB2312" w:cs="仿宋_GB2312"/>
          <w:sz w:val="32"/>
          <w:szCs w:val="32"/>
        </w:rPr>
        <w:t>7.08万元，占5.1%。</w:t>
      </w:r>
    </w:p>
    <w:p>
      <w:pPr>
        <w:pStyle w:val="2"/>
        <w:spacing w:before="93"/>
      </w:pPr>
    </w:p>
    <w:p>
      <w:pPr>
        <w:spacing w:line="600" w:lineRule="exact"/>
        <w:ind w:firstLine="640"/>
        <w:rPr>
          <w:rFonts w:ascii="仿宋" w:hAnsi="仿宋" w:eastAsia="仿宋"/>
          <w:sz w:val="32"/>
          <w:szCs w:val="32"/>
        </w:rPr>
      </w:pPr>
      <w:r>
        <w:rPr>
          <w:rFonts w:hint="eastAsia" w:ascii="仿宋" w:hAnsi="仿宋" w:eastAsia="仿宋"/>
          <w:sz w:val="32"/>
          <w:szCs w:val="32"/>
        </w:rPr>
        <w:drawing>
          <wp:anchor distT="0" distB="0" distL="114300" distR="114300" simplePos="0" relativeHeight="251663360" behindDoc="0" locked="0" layoutInCell="1" allowOverlap="1">
            <wp:simplePos x="0" y="0"/>
            <wp:positionH relativeFrom="column">
              <wp:posOffset>845820</wp:posOffset>
            </wp:positionH>
            <wp:positionV relativeFrom="paragraph">
              <wp:posOffset>-289560</wp:posOffset>
            </wp:positionV>
            <wp:extent cx="4099560" cy="2926080"/>
            <wp:effectExtent l="19050" t="0" r="15240" b="7620"/>
            <wp:wrapNone/>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jc w:val="center"/>
        <w:rPr>
          <w:rFonts w:ascii="仿宋" w:hAnsi="仿宋" w:eastAsia="仿宋"/>
          <w:sz w:val="32"/>
          <w:szCs w:val="32"/>
        </w:rPr>
      </w:pPr>
    </w:p>
    <w:p>
      <w:pPr>
        <w:spacing w:line="600" w:lineRule="exact"/>
        <w:jc w:val="center"/>
        <w:rPr>
          <w:rFonts w:ascii="楷体_GB2312" w:hAnsi="楷体_GB2312" w:eastAsia="楷体_GB2312" w:cs="楷体_GB2312"/>
          <w:sz w:val="28"/>
          <w:szCs w:val="28"/>
        </w:rPr>
      </w:pPr>
      <w:r>
        <w:rPr>
          <w:rFonts w:hint="eastAsia" w:ascii="楷体_GB2312" w:hAnsi="楷体_GB2312" w:eastAsia="楷体_GB2312" w:cs="楷体_GB2312"/>
          <w:sz w:val="28"/>
          <w:szCs w:val="28"/>
        </w:rPr>
        <w:t>（图6：一般公共预算财政拨款支出决算结构）（饼状图）</w:t>
      </w:r>
    </w:p>
    <w:p>
      <w:pPr>
        <w:spacing w:line="600" w:lineRule="exact"/>
        <w:ind w:firstLine="640"/>
        <w:outlineLvl w:val="2"/>
        <w:rPr>
          <w:rFonts w:ascii="楷体_GB2312" w:hAnsi="楷体_GB2312" w:eastAsia="楷体_GB2312" w:cs="楷体_GB2312"/>
          <w:b/>
          <w:sz w:val="32"/>
          <w:szCs w:val="32"/>
        </w:rPr>
      </w:pPr>
      <w:bookmarkStart w:id="32" w:name="_Toc15377212"/>
      <w:r>
        <w:rPr>
          <w:rFonts w:hint="eastAsia" w:ascii="楷体_GB2312" w:hAnsi="楷体_GB2312" w:eastAsia="楷体_GB2312" w:cs="楷体_GB2312"/>
          <w:b/>
          <w:sz w:val="32"/>
          <w:szCs w:val="32"/>
        </w:rPr>
        <w:t>（三）一般公共预算财政拨款支出决算具体情况</w:t>
      </w:r>
      <w:bookmarkEnd w:id="32"/>
    </w:p>
    <w:p>
      <w:pPr>
        <w:spacing w:line="600" w:lineRule="exact"/>
        <w:ind w:firstLine="642" w:firstLineChars="200"/>
        <w:outlineLvl w:val="2"/>
        <w:rPr>
          <w:rFonts w:ascii="仿宋_GB2312" w:hAnsi="仿宋_GB2312" w:eastAsia="仿宋_GB2312" w:cs="仿宋_GB2312"/>
          <w:sz w:val="32"/>
          <w:szCs w:val="32"/>
        </w:rPr>
      </w:pPr>
      <w:bookmarkStart w:id="33" w:name="_Toc15377444"/>
      <w:bookmarkStart w:id="34" w:name="_Toc15378460"/>
      <w:bookmarkStart w:id="35" w:name="_Toc15377213"/>
      <w:r>
        <w:rPr>
          <w:rFonts w:hint="eastAsia" w:ascii="仿宋_GB2312" w:hAnsi="仿宋_GB2312" w:eastAsia="仿宋_GB2312" w:cs="仿宋_GB2312"/>
          <w:b/>
          <w:sz w:val="32"/>
          <w:szCs w:val="32"/>
        </w:rPr>
        <w:t>2022年一般公共预算支出决算数为139.58</w:t>
      </w:r>
      <w:r>
        <w:rPr>
          <w:rFonts w:hint="eastAsia" w:ascii="仿宋_GB2312" w:hAnsi="仿宋_GB2312" w:eastAsia="仿宋_GB2312" w:cs="仿宋_GB2312"/>
          <w:b/>
          <w:sz w:val="32"/>
          <w:szCs w:val="32"/>
          <w:lang w:val="en-US" w:eastAsia="zh-CN"/>
        </w:rPr>
        <w:t>万元</w:t>
      </w:r>
      <w:r>
        <w:rPr>
          <w:rFonts w:hint="eastAsia" w:ascii="仿宋_GB2312" w:hAnsi="仿宋_GB2312" w:eastAsia="仿宋_GB2312" w:cs="仿宋_GB2312"/>
          <w:sz w:val="32"/>
          <w:szCs w:val="32"/>
        </w:rPr>
        <w:t>，</w:t>
      </w:r>
      <w:r>
        <w:rPr>
          <w:rStyle w:val="16"/>
          <w:rFonts w:hint="eastAsia" w:ascii="仿宋_GB2312" w:hAnsi="仿宋_GB2312" w:eastAsia="仿宋_GB2312" w:cs="仿宋_GB2312"/>
          <w:bCs/>
          <w:sz w:val="32"/>
          <w:szCs w:val="32"/>
        </w:rPr>
        <w:t>完成预算100%。其中：</w:t>
      </w:r>
      <w:bookmarkEnd w:id="33"/>
      <w:bookmarkEnd w:id="34"/>
      <w:bookmarkEnd w:id="35"/>
    </w:p>
    <w:p>
      <w:pPr>
        <w:spacing w:line="600" w:lineRule="exact"/>
        <w:ind w:firstLine="642" w:firstLineChars="200"/>
        <w:rPr>
          <w:rStyle w:val="16"/>
          <w:rFonts w:ascii="仿宋_GB2312" w:hAnsi="仿宋_GB2312" w:eastAsia="仿宋_GB2312" w:cs="仿宋_GB2312"/>
          <w:b w:val="0"/>
          <w:bCs/>
          <w:sz w:val="32"/>
          <w:szCs w:val="32"/>
        </w:rPr>
      </w:pPr>
      <w:r>
        <w:rPr>
          <w:rStyle w:val="16"/>
          <w:rFonts w:hint="eastAsia" w:ascii="仿宋_GB2312" w:hAnsi="仿宋_GB2312" w:eastAsia="仿宋_GB2312" w:cs="仿宋_GB2312"/>
          <w:bCs/>
          <w:sz w:val="32"/>
          <w:szCs w:val="32"/>
        </w:rPr>
        <w:t>1.</w:t>
      </w:r>
      <w:r>
        <w:rPr>
          <w:rFonts w:hint="eastAsia" w:ascii="仿宋_GB2312" w:hAnsi="仿宋_GB2312" w:eastAsia="仿宋_GB2312" w:cs="仿宋_GB2312"/>
          <w:sz w:val="32"/>
          <w:szCs w:val="32"/>
        </w:rPr>
        <w:t xml:space="preserve"> </w:t>
      </w:r>
      <w:r>
        <w:rPr>
          <w:rStyle w:val="16"/>
          <w:rFonts w:hint="eastAsia" w:ascii="仿宋_GB2312" w:hAnsi="仿宋_GB2312" w:eastAsia="仿宋_GB2312" w:cs="仿宋_GB2312"/>
          <w:bCs/>
          <w:sz w:val="32"/>
          <w:szCs w:val="32"/>
        </w:rPr>
        <w:t xml:space="preserve">一般公共服务（类）群众团体事务（款）行政运行（项）: </w:t>
      </w:r>
      <w:r>
        <w:rPr>
          <w:rStyle w:val="16"/>
          <w:rFonts w:hint="eastAsia" w:ascii="仿宋_GB2312" w:hAnsi="仿宋_GB2312" w:eastAsia="仿宋_GB2312" w:cs="仿宋_GB2312"/>
          <w:b w:val="0"/>
          <w:bCs/>
          <w:sz w:val="32"/>
          <w:szCs w:val="32"/>
        </w:rPr>
        <w:t>支出决算为82.70万元，完成预算100%。</w:t>
      </w:r>
    </w:p>
    <w:p>
      <w:pPr>
        <w:spacing w:line="600" w:lineRule="exact"/>
        <w:ind w:firstLine="642" w:firstLineChars="200"/>
        <w:rPr>
          <w:rStyle w:val="16"/>
          <w:rFonts w:ascii="仿宋_GB2312" w:hAnsi="仿宋_GB2312" w:eastAsia="仿宋_GB2312" w:cs="仿宋_GB2312"/>
          <w:b w:val="0"/>
          <w:bCs/>
          <w:sz w:val="32"/>
          <w:szCs w:val="32"/>
        </w:rPr>
      </w:pPr>
      <w:r>
        <w:rPr>
          <w:rStyle w:val="16"/>
          <w:rFonts w:hint="eastAsia" w:ascii="仿宋_GB2312" w:hAnsi="仿宋_GB2312" w:eastAsia="仿宋_GB2312" w:cs="仿宋_GB2312"/>
          <w:bCs/>
          <w:sz w:val="32"/>
          <w:szCs w:val="32"/>
        </w:rPr>
        <w:t xml:space="preserve">2.一般公共服务（类）群众团体事务（款）事业运行（项）: </w:t>
      </w:r>
      <w:r>
        <w:rPr>
          <w:rStyle w:val="16"/>
          <w:rFonts w:hint="eastAsia" w:ascii="仿宋_GB2312" w:hAnsi="仿宋_GB2312" w:eastAsia="仿宋_GB2312" w:cs="仿宋_GB2312"/>
          <w:b w:val="0"/>
          <w:bCs/>
          <w:sz w:val="32"/>
          <w:szCs w:val="32"/>
        </w:rPr>
        <w:t>支出决算为24.65万元，完成预算100%。</w:t>
      </w:r>
    </w:p>
    <w:p>
      <w:pPr>
        <w:spacing w:line="600" w:lineRule="exact"/>
        <w:ind w:firstLine="640" w:firstLineChars="200"/>
        <w:rPr>
          <w:rFonts w:ascii="仿宋_GB2312" w:hAnsi="仿宋_GB2312" w:eastAsia="仿宋_GB2312" w:cs="仿宋_GB2312"/>
          <w:b/>
          <w:sz w:val="32"/>
          <w:szCs w:val="32"/>
        </w:rPr>
      </w:pPr>
      <w:r>
        <w:rPr>
          <w:rStyle w:val="16"/>
          <w:rFonts w:hint="eastAsia" w:ascii="仿宋_GB2312" w:hAnsi="仿宋_GB2312" w:eastAsia="仿宋_GB2312" w:cs="仿宋_GB2312"/>
          <w:b w:val="0"/>
          <w:bCs/>
          <w:sz w:val="32"/>
          <w:szCs w:val="32"/>
        </w:rPr>
        <w:t>3.</w:t>
      </w:r>
      <w:r>
        <w:rPr>
          <w:rStyle w:val="16"/>
          <w:rFonts w:hint="eastAsia" w:ascii="仿宋_GB2312" w:hAnsi="仿宋_GB2312" w:eastAsia="仿宋_GB2312" w:cs="仿宋_GB2312"/>
          <w:bCs/>
          <w:sz w:val="32"/>
          <w:szCs w:val="32"/>
        </w:rPr>
        <w:t>一般公共服务（类）群众团体事务（款）一般行政管理事务（项）:</w:t>
      </w:r>
      <w:r>
        <w:rPr>
          <w:rStyle w:val="16"/>
          <w:rFonts w:hint="eastAsia" w:ascii="仿宋_GB2312" w:hAnsi="仿宋_GB2312" w:eastAsia="仿宋_GB2312" w:cs="仿宋_GB2312"/>
          <w:b w:val="0"/>
          <w:bCs/>
          <w:sz w:val="32"/>
          <w:szCs w:val="32"/>
        </w:rPr>
        <w:t>支出决算为3.99万元，完成预算100%。</w:t>
      </w:r>
    </w:p>
    <w:p>
      <w:pPr>
        <w:spacing w:line="600" w:lineRule="exact"/>
        <w:ind w:firstLine="642" w:firstLineChars="200"/>
        <w:rPr>
          <w:rFonts w:ascii="仿宋_GB2312" w:hAnsi="仿宋_GB2312" w:eastAsia="仿宋_GB2312" w:cs="仿宋_GB2312"/>
          <w:b/>
          <w:sz w:val="32"/>
          <w:szCs w:val="32"/>
        </w:rPr>
      </w:pPr>
      <w:r>
        <w:rPr>
          <w:rStyle w:val="16"/>
          <w:rFonts w:hint="eastAsia" w:ascii="仿宋_GB2312" w:hAnsi="仿宋_GB2312" w:eastAsia="仿宋_GB2312" w:cs="仿宋_GB2312"/>
          <w:bCs/>
          <w:sz w:val="32"/>
          <w:szCs w:val="32"/>
        </w:rPr>
        <w:t>4.</w:t>
      </w:r>
      <w:r>
        <w:rPr>
          <w:rFonts w:hint="eastAsia" w:ascii="仿宋_GB2312" w:hAnsi="仿宋_GB2312" w:eastAsia="仿宋_GB2312" w:cs="仿宋_GB2312"/>
          <w:bCs/>
          <w:sz w:val="32"/>
          <w:szCs w:val="32"/>
        </w:rPr>
        <w:t xml:space="preserve"> </w:t>
      </w:r>
      <w:r>
        <w:rPr>
          <w:rStyle w:val="16"/>
          <w:rFonts w:hint="eastAsia" w:ascii="仿宋_GB2312" w:hAnsi="仿宋_GB2312" w:eastAsia="仿宋_GB2312" w:cs="仿宋_GB2312"/>
          <w:bCs/>
          <w:sz w:val="32"/>
          <w:szCs w:val="32"/>
        </w:rPr>
        <w:t>一般公共服务（类）群众团体事务（款）其他群众团体事务支出项）:</w:t>
      </w:r>
      <w:r>
        <w:rPr>
          <w:rStyle w:val="16"/>
          <w:rFonts w:hint="eastAsia" w:ascii="仿宋_GB2312" w:hAnsi="仿宋_GB2312" w:eastAsia="仿宋_GB2312" w:cs="仿宋_GB2312"/>
          <w:b w:val="0"/>
          <w:bCs/>
          <w:sz w:val="32"/>
          <w:szCs w:val="32"/>
        </w:rPr>
        <w:t xml:space="preserve"> 支出决算为5万元，完成预算100%。</w:t>
      </w:r>
    </w:p>
    <w:p>
      <w:pPr>
        <w:spacing w:line="600" w:lineRule="exact"/>
        <w:ind w:firstLine="642" w:firstLineChars="200"/>
        <w:rPr>
          <w:rStyle w:val="16"/>
          <w:rFonts w:ascii="仿宋_GB2312" w:hAnsi="仿宋_GB2312" w:eastAsia="仿宋_GB2312" w:cs="仿宋_GB2312"/>
          <w:bCs/>
          <w:sz w:val="32"/>
          <w:szCs w:val="32"/>
        </w:rPr>
      </w:pPr>
      <w:r>
        <w:rPr>
          <w:rStyle w:val="16"/>
          <w:rFonts w:hint="eastAsia" w:ascii="仿宋_GB2312" w:hAnsi="仿宋_GB2312" w:eastAsia="仿宋_GB2312" w:cs="仿宋_GB2312"/>
          <w:bCs/>
          <w:sz w:val="32"/>
          <w:szCs w:val="32"/>
        </w:rPr>
        <w:t>5.</w:t>
      </w:r>
      <w:r>
        <w:rPr>
          <w:rFonts w:hint="eastAsia" w:ascii="仿宋_GB2312" w:hAnsi="仿宋_GB2312" w:eastAsia="仿宋_GB2312" w:cs="仿宋_GB2312"/>
          <w:sz w:val="32"/>
          <w:szCs w:val="32"/>
        </w:rPr>
        <w:t xml:space="preserve"> </w:t>
      </w:r>
      <w:r>
        <w:rPr>
          <w:rStyle w:val="16"/>
          <w:rFonts w:hint="eastAsia" w:ascii="仿宋_GB2312" w:hAnsi="仿宋_GB2312" w:eastAsia="仿宋_GB2312" w:cs="仿宋_GB2312"/>
          <w:bCs/>
          <w:sz w:val="32"/>
          <w:szCs w:val="32"/>
        </w:rPr>
        <w:t>社会保障和就业</w:t>
      </w:r>
      <w:r>
        <w:rPr>
          <w:rStyle w:val="16"/>
          <w:rFonts w:hint="eastAsia" w:ascii="仿宋_GB2312" w:hAnsi="仿宋_GB2312" w:eastAsia="仿宋_GB2312" w:cs="仿宋_GB2312"/>
          <w:bCs/>
          <w:sz w:val="32"/>
          <w:szCs w:val="32"/>
          <w:lang w:val="en-US" w:eastAsia="zh-CN"/>
        </w:rPr>
        <w:t>支出</w:t>
      </w:r>
      <w:r>
        <w:rPr>
          <w:rStyle w:val="16"/>
          <w:rFonts w:hint="eastAsia" w:ascii="仿宋_GB2312" w:hAnsi="仿宋_GB2312" w:eastAsia="仿宋_GB2312" w:cs="仿宋_GB2312"/>
          <w:bCs/>
          <w:sz w:val="32"/>
          <w:szCs w:val="32"/>
        </w:rPr>
        <w:t>（类）行政事业单位养老支出（款）机关事业单位基本养老保险缴费支出（项）: 支出决算为9.45万元，完成预算100%。</w:t>
      </w:r>
    </w:p>
    <w:p>
      <w:pPr>
        <w:spacing w:line="600" w:lineRule="exact"/>
        <w:ind w:firstLine="642" w:firstLineChars="200"/>
        <w:rPr>
          <w:rStyle w:val="16"/>
          <w:rFonts w:hint="eastAsia" w:ascii="仿宋_GB2312" w:hAnsi="仿宋_GB2312" w:eastAsia="仿宋_GB2312" w:cs="仿宋_GB2312"/>
          <w:bCs/>
          <w:sz w:val="32"/>
          <w:szCs w:val="32"/>
        </w:rPr>
      </w:pPr>
      <w:r>
        <w:rPr>
          <w:rStyle w:val="16"/>
          <w:rFonts w:hint="eastAsia" w:ascii="仿宋_GB2312" w:hAnsi="仿宋_GB2312" w:eastAsia="仿宋_GB2312" w:cs="仿宋_GB2312"/>
          <w:bCs/>
          <w:sz w:val="32"/>
          <w:szCs w:val="32"/>
        </w:rPr>
        <w:t>6.卫生健康</w:t>
      </w:r>
      <w:r>
        <w:rPr>
          <w:rStyle w:val="16"/>
          <w:rFonts w:hint="eastAsia" w:ascii="仿宋_GB2312" w:hAnsi="仿宋_GB2312" w:eastAsia="仿宋_GB2312" w:cs="仿宋_GB2312"/>
          <w:bCs/>
          <w:sz w:val="32"/>
          <w:szCs w:val="32"/>
          <w:lang w:val="en-US" w:eastAsia="zh-CN"/>
        </w:rPr>
        <w:t>支出</w:t>
      </w:r>
      <w:r>
        <w:rPr>
          <w:rStyle w:val="16"/>
          <w:rFonts w:hint="eastAsia" w:ascii="仿宋_GB2312" w:hAnsi="仿宋_GB2312" w:eastAsia="仿宋_GB2312" w:cs="仿宋_GB2312"/>
          <w:bCs/>
          <w:sz w:val="32"/>
          <w:szCs w:val="32"/>
        </w:rPr>
        <w:t>（类）</w:t>
      </w:r>
      <w:r>
        <w:rPr>
          <w:rStyle w:val="16"/>
          <w:rFonts w:hint="eastAsia" w:ascii="仿宋_GB2312" w:hAnsi="仿宋_GB2312" w:eastAsia="仿宋_GB2312" w:cs="仿宋_GB2312"/>
          <w:bCs/>
          <w:sz w:val="32"/>
          <w:szCs w:val="32"/>
          <w:lang w:val="en-US" w:eastAsia="zh-CN"/>
        </w:rPr>
        <w:t>公共卫生</w:t>
      </w:r>
      <w:r>
        <w:rPr>
          <w:rStyle w:val="16"/>
          <w:rFonts w:hint="eastAsia" w:ascii="仿宋_GB2312" w:hAnsi="仿宋_GB2312" w:eastAsia="仿宋_GB2312" w:cs="仿宋_GB2312"/>
          <w:bCs/>
          <w:sz w:val="32"/>
          <w:szCs w:val="32"/>
        </w:rPr>
        <w:t>（款）</w:t>
      </w:r>
      <w:r>
        <w:rPr>
          <w:rStyle w:val="16"/>
          <w:rFonts w:hint="eastAsia" w:ascii="仿宋_GB2312" w:hAnsi="仿宋_GB2312" w:eastAsia="仿宋_GB2312" w:cs="仿宋_GB2312"/>
          <w:bCs/>
          <w:sz w:val="32"/>
          <w:szCs w:val="32"/>
          <w:lang w:val="en-US" w:eastAsia="zh-CN"/>
        </w:rPr>
        <w:t>重大公共卫生服务</w:t>
      </w:r>
      <w:r>
        <w:rPr>
          <w:rStyle w:val="16"/>
          <w:rFonts w:hint="eastAsia" w:ascii="仿宋_GB2312" w:hAnsi="仿宋_GB2312" w:eastAsia="仿宋_GB2312" w:cs="仿宋_GB2312"/>
          <w:bCs/>
          <w:sz w:val="32"/>
          <w:szCs w:val="32"/>
        </w:rPr>
        <w:t>（项）:支出决算为</w:t>
      </w:r>
      <w:r>
        <w:rPr>
          <w:rStyle w:val="16"/>
          <w:rFonts w:hint="eastAsia" w:ascii="仿宋_GB2312" w:hAnsi="仿宋_GB2312" w:eastAsia="仿宋_GB2312" w:cs="仿宋_GB2312"/>
          <w:bCs/>
          <w:sz w:val="32"/>
          <w:szCs w:val="32"/>
          <w:lang w:val="en-US" w:eastAsia="zh-CN"/>
        </w:rPr>
        <w:t>2.00</w:t>
      </w:r>
      <w:r>
        <w:rPr>
          <w:rStyle w:val="16"/>
          <w:rFonts w:hint="eastAsia" w:ascii="仿宋_GB2312" w:hAnsi="仿宋_GB2312" w:eastAsia="仿宋_GB2312" w:cs="仿宋_GB2312"/>
          <w:bCs/>
          <w:sz w:val="32"/>
          <w:szCs w:val="32"/>
        </w:rPr>
        <w:t>万元，完成预算100%。</w:t>
      </w:r>
    </w:p>
    <w:p>
      <w:pPr>
        <w:spacing w:line="600" w:lineRule="exact"/>
        <w:ind w:firstLine="642" w:firstLineChars="200"/>
        <w:rPr>
          <w:rStyle w:val="16"/>
          <w:rFonts w:ascii="仿宋_GB2312" w:hAnsi="仿宋_GB2312" w:eastAsia="仿宋_GB2312" w:cs="仿宋_GB2312"/>
          <w:bCs/>
          <w:sz w:val="32"/>
          <w:szCs w:val="32"/>
        </w:rPr>
      </w:pPr>
      <w:r>
        <w:rPr>
          <w:rStyle w:val="16"/>
          <w:rFonts w:hint="eastAsia" w:ascii="仿宋_GB2312" w:hAnsi="仿宋_GB2312" w:eastAsia="仿宋_GB2312" w:cs="仿宋_GB2312"/>
          <w:bCs/>
          <w:sz w:val="32"/>
          <w:szCs w:val="32"/>
          <w:lang w:val="en-US" w:eastAsia="zh-CN"/>
        </w:rPr>
        <w:t>7</w:t>
      </w:r>
      <w:r>
        <w:rPr>
          <w:rStyle w:val="16"/>
          <w:rFonts w:hint="eastAsia" w:ascii="仿宋_GB2312" w:hAnsi="仿宋_GB2312" w:eastAsia="仿宋_GB2312" w:cs="仿宋_GB2312"/>
          <w:bCs/>
          <w:sz w:val="32"/>
          <w:szCs w:val="32"/>
        </w:rPr>
        <w:t>.卫生健康</w:t>
      </w:r>
      <w:r>
        <w:rPr>
          <w:rStyle w:val="16"/>
          <w:rFonts w:hint="eastAsia" w:ascii="仿宋_GB2312" w:hAnsi="仿宋_GB2312" w:eastAsia="仿宋_GB2312" w:cs="仿宋_GB2312"/>
          <w:bCs/>
          <w:sz w:val="32"/>
          <w:szCs w:val="32"/>
          <w:lang w:val="en-US" w:eastAsia="zh-CN"/>
        </w:rPr>
        <w:t>支出</w:t>
      </w:r>
      <w:r>
        <w:rPr>
          <w:rStyle w:val="16"/>
          <w:rFonts w:hint="eastAsia" w:ascii="仿宋_GB2312" w:hAnsi="仿宋_GB2312" w:eastAsia="仿宋_GB2312" w:cs="仿宋_GB2312"/>
          <w:bCs/>
          <w:sz w:val="32"/>
          <w:szCs w:val="32"/>
        </w:rPr>
        <w:t>（类）行政事业单位医疗（款）行政单位医疗（项）:支出决算为6.72万元，完成预算100%。</w:t>
      </w:r>
    </w:p>
    <w:p>
      <w:pPr>
        <w:spacing w:line="600" w:lineRule="exact"/>
        <w:ind w:firstLine="642" w:firstLineChars="200"/>
        <w:rPr>
          <w:rFonts w:ascii="仿宋_GB2312" w:hAnsi="仿宋_GB2312" w:eastAsia="仿宋_GB2312" w:cs="仿宋_GB2312"/>
          <w:sz w:val="32"/>
          <w:szCs w:val="32"/>
        </w:rPr>
      </w:pPr>
      <w:r>
        <w:rPr>
          <w:rStyle w:val="16"/>
          <w:rFonts w:hint="eastAsia" w:ascii="仿宋_GB2312" w:hAnsi="仿宋_GB2312" w:eastAsia="仿宋_GB2312" w:cs="仿宋_GB2312"/>
          <w:bCs/>
          <w:sz w:val="32"/>
          <w:szCs w:val="32"/>
          <w:lang w:val="en-US" w:eastAsia="zh-CN"/>
        </w:rPr>
        <w:t>8</w:t>
      </w:r>
      <w:r>
        <w:rPr>
          <w:rStyle w:val="16"/>
          <w:rFonts w:hint="eastAsia" w:ascii="仿宋_GB2312" w:hAnsi="仿宋_GB2312" w:eastAsia="仿宋_GB2312" w:cs="仿宋_GB2312"/>
          <w:bCs/>
          <w:sz w:val="32"/>
          <w:szCs w:val="32"/>
        </w:rPr>
        <w:t>.住房保障支出（类）住房改革支出（款）住房公积金（项）：支出决算为7.08万元，完成预算100%。</w:t>
      </w:r>
    </w:p>
    <w:p>
      <w:pPr>
        <w:pStyle w:val="32"/>
        <w:overflowPunct w:val="0"/>
        <w:autoSpaceDE w:val="0"/>
        <w:autoSpaceDN w:val="0"/>
        <w:spacing w:line="576" w:lineRule="exact"/>
        <w:ind w:firstLine="643"/>
        <w:outlineLvl w:val="1"/>
        <w:rPr>
          <w:rStyle w:val="20"/>
          <w:rFonts w:ascii="黑体" w:hAnsi="黑体" w:eastAsia="黑体" w:cs="黑体"/>
        </w:rPr>
      </w:pPr>
      <w:bookmarkStart w:id="36" w:name="_Toc15377214"/>
      <w:bookmarkStart w:id="37" w:name="_Toc15396608"/>
      <w:r>
        <w:rPr>
          <w:rStyle w:val="20"/>
          <w:rFonts w:hint="eastAsia" w:ascii="黑体" w:hAnsi="黑体" w:eastAsia="黑体" w:cs="黑体"/>
        </w:rPr>
        <w:t>六、一般公共预算财政拨款基本支出决算情况说明</w:t>
      </w:r>
      <w:bookmarkEnd w:id="36"/>
      <w:bookmarkEnd w:id="37"/>
      <w:r>
        <w:rPr>
          <w:rStyle w:val="20"/>
          <w:rFonts w:hint="eastAsia" w:ascii="黑体" w:hAnsi="黑体" w:eastAsia="黑体" w:cs="黑体"/>
        </w:rPr>
        <w:tab/>
      </w:r>
    </w:p>
    <w:p>
      <w:pPr>
        <w:overflowPunct w:val="0"/>
        <w:autoSpaceDE w:val="0"/>
        <w:autoSpaceDN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2022年一般公共预算财政拨款基本支出128.59万元，其中：</w:t>
      </w:r>
    </w:p>
    <w:p>
      <w:pPr>
        <w:overflowPunct w:val="0"/>
        <w:autoSpaceDE w:val="0"/>
        <w:autoSpaceDN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人员经费115.65万元，主要包括：基本工资、津贴补贴、奖金、绩效工资、机关事业单位基本养老保险缴费、其他社会保障缴费、职工基本医疗保险缴费、住房公积金等。</w:t>
      </w:r>
    </w:p>
    <w:p>
      <w:pPr>
        <w:overflowPunct w:val="0"/>
        <w:autoSpaceDE w:val="0"/>
        <w:autoSpaceDN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公用经费12.94万元，主要包括：办公费、印刷费、水费、电费、邮电费、差旅费、公务接待费、工会经费、福利费、其他交通费等。</w:t>
      </w:r>
    </w:p>
    <w:p>
      <w:pPr>
        <w:pStyle w:val="32"/>
        <w:overflowPunct w:val="0"/>
        <w:autoSpaceDE w:val="0"/>
        <w:autoSpaceDN w:val="0"/>
        <w:spacing w:line="576" w:lineRule="exact"/>
        <w:ind w:firstLine="643"/>
        <w:outlineLvl w:val="1"/>
        <w:rPr>
          <w:rStyle w:val="20"/>
          <w:rFonts w:ascii="黑体" w:hAnsi="黑体" w:eastAsia="黑体" w:cs="黑体"/>
        </w:rPr>
      </w:pPr>
      <w:bookmarkStart w:id="38" w:name="_Toc15377215"/>
      <w:bookmarkStart w:id="39" w:name="_Toc15396609"/>
      <w:r>
        <w:rPr>
          <w:rStyle w:val="20"/>
          <w:rFonts w:hint="eastAsia" w:ascii="黑体" w:hAnsi="黑体" w:eastAsia="黑体" w:cs="黑体"/>
        </w:rPr>
        <w:t>七、财政拨款“三公”经费支出决算情况说明</w:t>
      </w:r>
      <w:bookmarkEnd w:id="38"/>
      <w:bookmarkEnd w:id="39"/>
    </w:p>
    <w:p>
      <w:pPr>
        <w:spacing w:line="600" w:lineRule="exact"/>
        <w:ind w:firstLine="640"/>
        <w:outlineLvl w:val="2"/>
        <w:rPr>
          <w:rFonts w:ascii="楷体_GB2312" w:hAnsi="楷体_GB2312" w:eastAsia="楷体_GB2312" w:cs="楷体_GB2312"/>
          <w:b/>
          <w:sz w:val="32"/>
          <w:szCs w:val="32"/>
        </w:rPr>
      </w:pPr>
      <w:bookmarkStart w:id="40" w:name="_Toc15377216"/>
      <w:r>
        <w:rPr>
          <w:rFonts w:hint="eastAsia" w:ascii="楷体_GB2312" w:hAnsi="楷体_GB2312" w:eastAsia="楷体_GB2312" w:cs="楷体_GB2312"/>
          <w:b/>
          <w:sz w:val="32"/>
          <w:szCs w:val="32"/>
        </w:rPr>
        <w:t>（一）“三公”经费财政拨款支出决算总体情况说明</w:t>
      </w:r>
      <w:bookmarkEnd w:id="40"/>
    </w:p>
    <w:p>
      <w:pPr>
        <w:spacing w:line="600" w:lineRule="exact"/>
        <w:ind w:firstLine="64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2022年“三公”经费财政拨款支出决算为1.2万元，完成预算100%，较上年增加0.5万元，增长71%。决算数与预算数持平的主要原因是严格按照按照财政局下达的预算执行开展公务接待。</w:t>
      </w:r>
    </w:p>
    <w:p>
      <w:pPr>
        <w:spacing w:line="600" w:lineRule="exact"/>
        <w:ind w:firstLine="640"/>
        <w:outlineLvl w:val="2"/>
        <w:rPr>
          <w:rFonts w:ascii="楷体_GB2312" w:hAnsi="楷体_GB2312" w:eastAsia="楷体_GB2312" w:cs="楷体_GB2312"/>
          <w:b/>
          <w:sz w:val="32"/>
          <w:szCs w:val="32"/>
        </w:rPr>
      </w:pPr>
      <w:bookmarkStart w:id="41" w:name="_Toc15377217"/>
      <w:r>
        <w:rPr>
          <w:rFonts w:hint="eastAsia" w:ascii="楷体_GB2312" w:hAnsi="楷体_GB2312" w:eastAsia="楷体_GB2312" w:cs="楷体_GB2312"/>
          <w:b/>
          <w:sz w:val="32"/>
          <w:szCs w:val="32"/>
        </w:rPr>
        <w:t>（二）“三公”经费财政拨款支出决算具体情况说明</w:t>
      </w:r>
      <w:bookmarkEnd w:id="41"/>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2022年“三公”经费财政拨款支出决算中，因公出国（境）费支出决算0万元，占0%；公务用车购置及运行维护费支出决算0万元，占0%；公务接待费支出决算1.2万元，占100%。具体情况如下：</w:t>
      </w:r>
    </w:p>
    <w:p>
      <w:pPr>
        <w:spacing w:line="600" w:lineRule="exact"/>
        <w:ind w:firstLine="640"/>
        <w:rPr>
          <w:rFonts w:ascii="仿宋" w:hAnsi="仿宋" w:eastAsia="仿宋"/>
          <w:sz w:val="32"/>
          <w:szCs w:val="32"/>
        </w:rPr>
      </w:pPr>
      <w:r>
        <w:rPr>
          <w:rFonts w:hint="eastAsia" w:ascii="仿宋" w:hAnsi="仿宋" w:eastAsia="仿宋"/>
          <w:sz w:val="32"/>
          <w:szCs w:val="32"/>
        </w:rPr>
        <w:drawing>
          <wp:anchor distT="0" distB="0" distL="114300" distR="114300" simplePos="0" relativeHeight="251664384" behindDoc="0" locked="0" layoutInCell="1" allowOverlap="1">
            <wp:simplePos x="0" y="0"/>
            <wp:positionH relativeFrom="column">
              <wp:posOffset>570230</wp:posOffset>
            </wp:positionH>
            <wp:positionV relativeFrom="paragraph">
              <wp:posOffset>106680</wp:posOffset>
            </wp:positionV>
            <wp:extent cx="4375150" cy="2865120"/>
            <wp:effectExtent l="19050" t="0" r="25400" b="0"/>
            <wp:wrapNone/>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jc w:val="center"/>
        <w:rPr>
          <w:rFonts w:ascii="仿宋" w:hAnsi="仿宋" w:eastAsia="仿宋"/>
          <w:sz w:val="32"/>
          <w:szCs w:val="32"/>
        </w:rPr>
      </w:pPr>
    </w:p>
    <w:p>
      <w:pPr>
        <w:spacing w:line="600" w:lineRule="exact"/>
        <w:jc w:val="center"/>
        <w:rPr>
          <w:rFonts w:ascii="楷体_GB2312" w:hAnsi="楷体_GB2312" w:eastAsia="楷体_GB2312" w:cs="楷体_GB2312"/>
          <w:sz w:val="28"/>
          <w:szCs w:val="28"/>
        </w:rPr>
      </w:pPr>
      <w:r>
        <w:rPr>
          <w:rFonts w:hint="eastAsia" w:ascii="楷体_GB2312" w:hAnsi="楷体_GB2312" w:eastAsia="楷体_GB2312" w:cs="楷体_GB2312"/>
          <w:sz w:val="28"/>
          <w:szCs w:val="28"/>
        </w:rPr>
        <w:t>（图7：“三公”经费财政拨款支出结构）（饼状图）</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sz w:val="32"/>
          <w:szCs w:val="32"/>
        </w:rPr>
        <w:t>1.因公出国（境）经费支出</w:t>
      </w:r>
      <w:r>
        <w:rPr>
          <w:rFonts w:hint="eastAsia" w:ascii="仿宋_GB2312" w:hAnsi="仿宋_GB2312" w:eastAsia="仿宋_GB2312" w:cs="仿宋_GB2312"/>
          <w:sz w:val="32"/>
          <w:szCs w:val="32"/>
        </w:rPr>
        <w:t>0万元，</w:t>
      </w:r>
      <w:r>
        <w:rPr>
          <w:rStyle w:val="16"/>
          <w:rFonts w:hint="eastAsia" w:ascii="仿宋_GB2312" w:hAnsi="仿宋_GB2312" w:eastAsia="仿宋_GB2312" w:cs="仿宋_GB2312"/>
          <w:b w:val="0"/>
          <w:bCs/>
          <w:sz w:val="32"/>
          <w:szCs w:val="32"/>
        </w:rPr>
        <w:t>完成预算0%。</w:t>
      </w:r>
      <w:r>
        <w:rPr>
          <w:rFonts w:hint="eastAsia" w:ascii="仿宋_GB2312" w:hAnsi="仿宋_GB2312" w:eastAsia="仿宋_GB2312" w:cs="仿宋_GB2312"/>
          <w:sz w:val="32"/>
          <w:szCs w:val="32"/>
        </w:rPr>
        <w:t>全年安排因公出国（境）团组0次，出国（境）0人。因公出国（境）支出决算比2021年减少0万元，下降0%。</w:t>
      </w:r>
    </w:p>
    <w:p>
      <w:pPr>
        <w:spacing w:line="600" w:lineRule="exact"/>
        <w:ind w:firstLine="640"/>
        <w:rPr>
          <w:rFonts w:ascii="仿宋_GB2312" w:hAnsi="仿宋_GB2312" w:eastAsia="仿宋_GB2312" w:cs="仿宋_GB2312"/>
          <w:b/>
          <w:sz w:val="32"/>
          <w:szCs w:val="32"/>
        </w:rPr>
      </w:pPr>
      <w:r>
        <w:rPr>
          <w:rFonts w:hint="eastAsia" w:ascii="仿宋_GB2312" w:hAnsi="仿宋_GB2312" w:eastAsia="仿宋_GB2312" w:cs="仿宋_GB2312"/>
          <w:b/>
          <w:sz w:val="32"/>
          <w:szCs w:val="32"/>
        </w:rPr>
        <w:t>2.公务用车购置及运行维护费支出</w:t>
      </w:r>
      <w:r>
        <w:rPr>
          <w:rFonts w:hint="eastAsia" w:ascii="仿宋_GB2312" w:hAnsi="仿宋_GB2312" w:eastAsia="仿宋_GB2312" w:cs="仿宋_GB2312"/>
          <w:sz w:val="32"/>
          <w:szCs w:val="32"/>
        </w:rPr>
        <w:t>0万元,</w:t>
      </w:r>
      <w:r>
        <w:rPr>
          <w:rStyle w:val="16"/>
          <w:rFonts w:hint="eastAsia" w:ascii="仿宋_GB2312" w:hAnsi="仿宋_GB2312" w:eastAsia="仿宋_GB2312" w:cs="仿宋_GB2312"/>
          <w:b w:val="0"/>
          <w:bCs/>
          <w:sz w:val="32"/>
          <w:szCs w:val="32"/>
        </w:rPr>
        <w:t>完成预算0%。</w:t>
      </w:r>
      <w:r>
        <w:rPr>
          <w:rFonts w:hint="eastAsia" w:ascii="仿宋_GB2312" w:hAnsi="仿宋_GB2312" w:eastAsia="仿宋_GB2312" w:cs="仿宋_GB2312"/>
          <w:sz w:val="32"/>
          <w:szCs w:val="32"/>
        </w:rPr>
        <w:t>公务用车购置及运行维护费支出决算比2021年减少0万元，下降0%。</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sz w:val="32"/>
          <w:szCs w:val="32"/>
        </w:rPr>
        <w:t>3.公务接待费支出</w:t>
      </w:r>
      <w:r>
        <w:rPr>
          <w:rFonts w:hint="eastAsia" w:ascii="仿宋_GB2312" w:hAnsi="仿宋_GB2312" w:eastAsia="仿宋_GB2312" w:cs="仿宋_GB2312"/>
          <w:sz w:val="32"/>
          <w:szCs w:val="32"/>
        </w:rPr>
        <w:t>1.2万元，</w:t>
      </w:r>
      <w:r>
        <w:rPr>
          <w:rStyle w:val="16"/>
          <w:rFonts w:hint="eastAsia" w:ascii="仿宋_GB2312" w:hAnsi="仿宋_GB2312" w:eastAsia="仿宋_GB2312" w:cs="仿宋_GB2312"/>
          <w:b w:val="0"/>
          <w:bCs/>
          <w:sz w:val="32"/>
          <w:szCs w:val="32"/>
        </w:rPr>
        <w:t>完成预算100%。</w:t>
      </w:r>
      <w:r>
        <w:rPr>
          <w:rFonts w:hint="eastAsia" w:ascii="仿宋_GB2312" w:hAnsi="仿宋_GB2312" w:eastAsia="仿宋_GB2312" w:cs="仿宋_GB2312"/>
          <w:sz w:val="32"/>
          <w:szCs w:val="32"/>
        </w:rPr>
        <w:t>公务接待费支出决算比2021年增加0.5万元，增长71%。主要原因是接待省、市妇联领导下基层调研。其中：</w:t>
      </w:r>
    </w:p>
    <w:p>
      <w:pPr>
        <w:spacing w:line="600" w:lineRule="exact"/>
        <w:ind w:firstLine="640"/>
        <w:rPr>
          <w:rFonts w:ascii="仿宋_GB2312" w:hAnsi="仿宋_GB2312" w:eastAsia="仿宋_GB2312" w:cs="仿宋_GB2312"/>
          <w:spacing w:val="-6"/>
          <w:sz w:val="32"/>
          <w:szCs w:val="32"/>
        </w:rPr>
      </w:pPr>
      <w:r>
        <w:rPr>
          <w:rFonts w:hint="eastAsia" w:ascii="仿宋_GB2312" w:hAnsi="仿宋_GB2312" w:eastAsia="仿宋_GB2312" w:cs="仿宋_GB2312"/>
          <w:b/>
          <w:spacing w:val="-6"/>
          <w:sz w:val="32"/>
          <w:szCs w:val="32"/>
        </w:rPr>
        <w:t>国内公务接待支出</w:t>
      </w:r>
      <w:r>
        <w:rPr>
          <w:rFonts w:hint="eastAsia" w:ascii="仿宋_GB2312" w:hAnsi="仿宋_GB2312" w:eastAsia="仿宋_GB2312" w:cs="仿宋_GB2312"/>
          <w:spacing w:val="-6"/>
          <w:sz w:val="32"/>
          <w:szCs w:val="32"/>
        </w:rPr>
        <w:t>1.2万元，主要用于执行公务、开展业务活动开支的交通费、住宿费、用餐费等。国内公务接待35批次，295人次（不包括陪同人员），共计支出1.2万元，具体内容包括：市妇联、市妇儿工委督导检查工作，乡镇妇联主席培训学习，低收入妇女“两癌”救助入户回访、帮扶贫困村干部到会对接工作。</w:t>
      </w:r>
    </w:p>
    <w:p>
      <w:pPr>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外事接待支出</w:t>
      </w:r>
      <w:r>
        <w:rPr>
          <w:rFonts w:hint="eastAsia" w:ascii="仿宋_GB2312" w:hAnsi="仿宋_GB2312" w:eastAsia="仿宋_GB2312" w:cs="仿宋_GB2312"/>
          <w:sz w:val="32"/>
          <w:szCs w:val="32"/>
        </w:rPr>
        <w:t>0万元。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外事接待0批次，0人次（不包括陪同人员），共计支出0万元。</w:t>
      </w:r>
      <w:bookmarkStart w:id="42" w:name="_Toc15396610"/>
      <w:bookmarkStart w:id="43" w:name="_Toc15377218"/>
    </w:p>
    <w:p>
      <w:pPr>
        <w:pStyle w:val="32"/>
        <w:overflowPunct w:val="0"/>
        <w:autoSpaceDE w:val="0"/>
        <w:autoSpaceDN w:val="0"/>
        <w:spacing w:line="576" w:lineRule="exact"/>
        <w:ind w:firstLine="643"/>
        <w:outlineLvl w:val="1"/>
        <w:rPr>
          <w:rStyle w:val="20"/>
          <w:rFonts w:ascii="黑体" w:hAnsi="黑体" w:eastAsia="黑体" w:cs="黑体"/>
        </w:rPr>
      </w:pPr>
      <w:r>
        <w:rPr>
          <w:rStyle w:val="20"/>
          <w:rFonts w:hint="eastAsia" w:ascii="黑体" w:hAnsi="黑体" w:eastAsia="黑体" w:cs="黑体"/>
        </w:rPr>
        <w:t>八、政府性基金预算支出决算情况说明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w:t>
      </w:r>
    </w:p>
    <w:p>
      <w:pPr>
        <w:pStyle w:val="32"/>
        <w:overflowPunct w:val="0"/>
        <w:autoSpaceDE w:val="0"/>
        <w:autoSpaceDN w:val="0"/>
        <w:spacing w:line="576" w:lineRule="exact"/>
        <w:ind w:firstLine="643"/>
        <w:outlineLvl w:val="1"/>
        <w:rPr>
          <w:rStyle w:val="20"/>
          <w:rFonts w:ascii="黑体" w:hAnsi="黑体" w:eastAsia="黑体" w:cs="黑体"/>
        </w:rPr>
      </w:pPr>
      <w:bookmarkStart w:id="44" w:name="_Toc15377219"/>
      <w:bookmarkStart w:id="45" w:name="_Toc15396611"/>
      <w:r>
        <w:rPr>
          <w:rStyle w:val="20"/>
          <w:rFonts w:hint="eastAsia" w:ascii="黑体" w:hAnsi="黑体" w:eastAsia="黑体" w:cs="黑体"/>
        </w:rPr>
        <w:t>九、国有资本经营预算支出决算情况说明</w:t>
      </w:r>
      <w:bookmarkEnd w:id="44"/>
      <w:bookmarkEnd w:id="45"/>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pStyle w:val="32"/>
        <w:overflowPunct w:val="0"/>
        <w:autoSpaceDE w:val="0"/>
        <w:autoSpaceDN w:val="0"/>
        <w:spacing w:line="576" w:lineRule="exact"/>
        <w:ind w:firstLine="643"/>
        <w:outlineLvl w:val="1"/>
        <w:rPr>
          <w:rStyle w:val="20"/>
          <w:rFonts w:ascii="黑体" w:hAnsi="黑体" w:eastAsia="黑体" w:cs="黑体"/>
        </w:rPr>
      </w:pPr>
      <w:bookmarkStart w:id="46" w:name="_Toc15396612"/>
      <w:bookmarkStart w:id="47" w:name="_Toc15377221"/>
      <w:r>
        <w:rPr>
          <w:rStyle w:val="20"/>
          <w:rFonts w:hint="eastAsia" w:ascii="黑体" w:hAnsi="黑体" w:eastAsia="黑体" w:cs="黑体"/>
        </w:rPr>
        <w:t>十、其他重要事项的情况说明</w:t>
      </w:r>
      <w:bookmarkEnd w:id="46"/>
      <w:bookmarkEnd w:id="47"/>
    </w:p>
    <w:p>
      <w:pPr>
        <w:spacing w:line="600" w:lineRule="exact"/>
        <w:ind w:firstLine="640"/>
        <w:outlineLvl w:val="2"/>
        <w:rPr>
          <w:rFonts w:ascii="楷体_GB2312" w:hAnsi="楷体_GB2312" w:eastAsia="楷体_GB2312" w:cs="楷体_GB2312"/>
          <w:b/>
          <w:sz w:val="32"/>
          <w:szCs w:val="32"/>
        </w:rPr>
      </w:pPr>
      <w:bookmarkStart w:id="48" w:name="_Toc15377222"/>
      <w:r>
        <w:rPr>
          <w:rFonts w:hint="eastAsia" w:ascii="楷体_GB2312" w:hAnsi="楷体_GB2312" w:eastAsia="楷体_GB2312" w:cs="楷体_GB2312"/>
          <w:b/>
          <w:sz w:val="32"/>
          <w:szCs w:val="32"/>
        </w:rPr>
        <w:t>（一）机关运行经费支出情况</w:t>
      </w:r>
      <w:bookmarkEnd w:id="48"/>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22年，县妇联机关运行经费支出12.95万元，比</w:t>
      </w:r>
      <w:r>
        <w:rPr>
          <w:rFonts w:ascii="仿宋_GB2312" w:eastAsia="仿宋_GB2312"/>
          <w:sz w:val="32"/>
          <w:szCs w:val="32"/>
        </w:rPr>
        <w:t>20</w:t>
      </w:r>
      <w:r>
        <w:rPr>
          <w:rFonts w:hint="eastAsia" w:ascii="仿宋_GB2312" w:eastAsia="仿宋_GB2312"/>
          <w:sz w:val="32"/>
          <w:szCs w:val="32"/>
        </w:rPr>
        <w:t>21年增加5.22万元，增长67.5</w:t>
      </w:r>
      <w:r>
        <w:rPr>
          <w:rFonts w:ascii="仿宋_GB2312" w:eastAsia="仿宋_GB2312"/>
          <w:sz w:val="32"/>
          <w:szCs w:val="32"/>
        </w:rPr>
        <w:t>%</w:t>
      </w:r>
      <w:r>
        <w:rPr>
          <w:rFonts w:hint="eastAsia" w:ascii="仿宋_GB2312" w:eastAsia="仿宋_GB2312"/>
          <w:sz w:val="32"/>
          <w:szCs w:val="32"/>
        </w:rPr>
        <w:t>。主要原因是人员增加。</w:t>
      </w:r>
    </w:p>
    <w:p>
      <w:pPr>
        <w:spacing w:line="600" w:lineRule="exact"/>
        <w:ind w:firstLine="640"/>
        <w:outlineLvl w:val="2"/>
        <w:rPr>
          <w:rFonts w:ascii="楷体_GB2312" w:hAnsi="楷体_GB2312" w:eastAsia="楷体_GB2312" w:cs="楷体_GB2312"/>
          <w:b/>
          <w:sz w:val="32"/>
          <w:szCs w:val="32"/>
        </w:rPr>
      </w:pPr>
      <w:bookmarkStart w:id="49" w:name="_Toc15377223"/>
      <w:r>
        <w:rPr>
          <w:rFonts w:hint="eastAsia" w:ascii="楷体_GB2312" w:hAnsi="楷体_GB2312" w:eastAsia="楷体_GB2312" w:cs="楷体_GB2312"/>
          <w:b/>
          <w:sz w:val="32"/>
          <w:szCs w:val="32"/>
        </w:rPr>
        <w:t>（二）政府采购支出情况</w:t>
      </w:r>
      <w:bookmarkEnd w:id="49"/>
    </w:p>
    <w:p>
      <w:pPr>
        <w:spacing w:line="540" w:lineRule="exact"/>
        <w:ind w:firstLine="616" w:firstLineChars="200"/>
        <w:rPr>
          <w:rFonts w:ascii="仿宋_GB2312" w:eastAsia="仿宋_GB2312"/>
          <w:spacing w:val="-6"/>
          <w:sz w:val="32"/>
          <w:szCs w:val="32"/>
        </w:rPr>
      </w:pPr>
      <w:r>
        <w:rPr>
          <w:rFonts w:ascii="仿宋_GB2312" w:eastAsia="仿宋_GB2312"/>
          <w:spacing w:val="-6"/>
          <w:sz w:val="32"/>
          <w:szCs w:val="32"/>
        </w:rPr>
        <w:t>20</w:t>
      </w:r>
      <w:r>
        <w:rPr>
          <w:rFonts w:hint="eastAsia" w:ascii="仿宋_GB2312" w:eastAsia="仿宋_GB2312"/>
          <w:spacing w:val="-6"/>
          <w:sz w:val="32"/>
          <w:szCs w:val="32"/>
        </w:rPr>
        <w:t>22年，县妇联政府采购支出总额0万元，其中：政府采购货物支出0万元、政府采购工程支出0万元、政府采购服务支出0万元。授予中小企业合同金额0万元，占政府采购支出总额的0</w:t>
      </w:r>
      <w:r>
        <w:rPr>
          <w:rFonts w:ascii="仿宋_GB2312" w:eastAsia="仿宋_GB2312"/>
          <w:spacing w:val="-6"/>
          <w:sz w:val="32"/>
          <w:szCs w:val="32"/>
        </w:rPr>
        <w:t>%</w:t>
      </w:r>
      <w:r>
        <w:rPr>
          <w:rFonts w:hint="eastAsia" w:ascii="仿宋_GB2312" w:eastAsia="仿宋_GB2312"/>
          <w:spacing w:val="-6"/>
          <w:sz w:val="32"/>
          <w:szCs w:val="32"/>
        </w:rPr>
        <w:t>，其中：授予小微企业合同金额0万元，占政府采购支出总额的0</w:t>
      </w:r>
      <w:r>
        <w:rPr>
          <w:rFonts w:ascii="仿宋_GB2312" w:eastAsia="仿宋_GB2312"/>
          <w:spacing w:val="-6"/>
          <w:sz w:val="32"/>
          <w:szCs w:val="32"/>
        </w:rPr>
        <w:t>%</w:t>
      </w:r>
      <w:r>
        <w:rPr>
          <w:rFonts w:hint="eastAsia" w:ascii="仿宋_GB2312" w:eastAsia="仿宋_GB2312"/>
          <w:spacing w:val="-6"/>
          <w:sz w:val="32"/>
          <w:szCs w:val="32"/>
        </w:rPr>
        <w:t>。</w:t>
      </w:r>
    </w:p>
    <w:p>
      <w:pPr>
        <w:spacing w:line="540" w:lineRule="exact"/>
        <w:ind w:firstLine="640"/>
        <w:outlineLvl w:val="2"/>
        <w:rPr>
          <w:rFonts w:ascii="楷体_GB2312" w:hAnsi="楷体_GB2312" w:eastAsia="楷体_GB2312" w:cs="楷体_GB2312"/>
          <w:b/>
          <w:sz w:val="32"/>
          <w:szCs w:val="32"/>
        </w:rPr>
      </w:pPr>
      <w:bookmarkStart w:id="50" w:name="_Toc15377224"/>
      <w:r>
        <w:rPr>
          <w:rFonts w:hint="eastAsia" w:ascii="楷体_GB2312" w:hAnsi="楷体_GB2312" w:eastAsia="楷体_GB2312" w:cs="楷体_GB2312"/>
          <w:b/>
          <w:sz w:val="32"/>
          <w:szCs w:val="32"/>
        </w:rPr>
        <w:t>（三）国有资产占有使用情况</w:t>
      </w:r>
      <w:bookmarkEnd w:id="50"/>
    </w:p>
    <w:p>
      <w:pPr>
        <w:autoSpaceDE w:val="0"/>
        <w:autoSpaceDN w:val="0"/>
        <w:adjustRightInd w:val="0"/>
        <w:spacing w:line="54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日，县妇联共有车辆0辆，其中：主要领导干部用车0辆、机要通信用车0辆、应急保障用车0辆、其他用车0辆。单价</w:t>
      </w:r>
      <w:r>
        <w:rPr>
          <w:rFonts w:ascii="仿宋_GB2312" w:eastAsia="仿宋_GB2312"/>
          <w:sz w:val="32"/>
          <w:szCs w:val="32"/>
        </w:rPr>
        <w:t>100</w:t>
      </w:r>
      <w:r>
        <w:rPr>
          <w:rFonts w:hint="eastAsia" w:ascii="仿宋_GB2312" w:eastAsia="仿宋_GB2312"/>
          <w:sz w:val="32"/>
          <w:szCs w:val="32"/>
        </w:rPr>
        <w:t>万元以上专用设备0台（套）。</w:t>
      </w:r>
    </w:p>
    <w:p>
      <w:pPr>
        <w:spacing w:line="540" w:lineRule="exact"/>
        <w:ind w:firstLine="640"/>
        <w:outlineLvl w:val="2"/>
        <w:rPr>
          <w:rFonts w:ascii="楷体_GB2312" w:hAnsi="楷体_GB2312" w:eastAsia="楷体_GB2312" w:cs="楷体_GB2312"/>
          <w:b/>
          <w:sz w:val="32"/>
          <w:szCs w:val="32"/>
        </w:rPr>
      </w:pPr>
      <w:r>
        <w:rPr>
          <w:rFonts w:hint="eastAsia" w:ascii="楷体_GB2312" w:hAnsi="楷体_GB2312" w:eastAsia="楷体_GB2312" w:cs="楷体_GB2312"/>
          <w:b/>
          <w:sz w:val="32"/>
          <w:szCs w:val="32"/>
        </w:rPr>
        <w:t>（四）预算绩效管理情况</w:t>
      </w:r>
    </w:p>
    <w:p>
      <w:pPr>
        <w:widowControl/>
        <w:spacing w:line="540" w:lineRule="exact"/>
        <w:ind w:firstLine="596" w:firstLineChars="200"/>
        <w:jc w:val="left"/>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根据预算绩效管理要求，本部门在2022年度预算编制阶段，组织对两癌救助项目等1个项目开展了预算事前绩效评估，对4个项目编制了绩效目标，预算执行过程中，选取4个项目开展绩效监控。</w:t>
      </w:r>
    </w:p>
    <w:p>
      <w:pPr>
        <w:spacing w:line="540" w:lineRule="exact"/>
        <w:ind w:firstLine="640" w:firstLineChars="200"/>
        <w:jc w:val="left"/>
        <w:rPr>
          <w:rFonts w:ascii="宋体" w:hAnsi="宋体" w:cs="宋体"/>
          <w:color w:val="000000"/>
          <w:kern w:val="0"/>
          <w:sz w:val="12"/>
          <w:szCs w:val="12"/>
        </w:rPr>
      </w:pPr>
      <w:r>
        <w:rPr>
          <w:rFonts w:hint="eastAsia" w:ascii="仿宋_GB2312" w:hAnsi="仿宋_GB2312" w:eastAsia="仿宋_GB2312" w:cs="仿宋_GB2312"/>
          <w:sz w:val="32"/>
          <w:szCs w:val="32"/>
        </w:rPr>
        <w:t>组织对2022年度一般公共预算全面开展绩效自评，形成县妇联部门整体（含部门预算项目）绩效自评报告、三八节工作经费等专项预算项目绩效自评报告，其中，县妇联部门整体（含部门预算项目）绩效自评得分为100分，绩效自评综述：让妇女儿童感受到党和政府、社会各界爱人人士的关心关爱，</w:t>
      </w:r>
      <w:r>
        <w:rPr>
          <w:rFonts w:hint="eastAsia"/>
          <w:color w:val="000000"/>
          <w:sz w:val="12"/>
          <w:szCs w:val="12"/>
        </w:rPr>
        <w:t xml:space="preserve"> </w:t>
      </w:r>
      <w:r>
        <w:rPr>
          <w:rFonts w:hint="eastAsia" w:ascii="仿宋_GB2312" w:hAnsi="仿宋_GB2312" w:eastAsia="仿宋_GB2312" w:cs="仿宋_GB2312"/>
          <w:sz w:val="32"/>
          <w:szCs w:val="32"/>
        </w:rPr>
        <w:t>让妇女知法、懂法、用法；三八节工作经费专项预算项目绩效自评得分为100分，绩效自评综述：通过开展系列活动，展示妇女风采，激励妇女积极建功新时代。绩效自评报告详见附件。</w:t>
      </w:r>
      <w:r>
        <w:rPr>
          <w:rFonts w:ascii="仿宋_GB2312" w:eastAsia="仿宋_GB2312"/>
          <w:b/>
          <w:sz w:val="32"/>
          <w:szCs w:val="32"/>
        </w:rPr>
        <w:br w:type="page"/>
      </w:r>
    </w:p>
    <w:p>
      <w:pPr>
        <w:spacing w:line="600" w:lineRule="exact"/>
        <w:jc w:val="center"/>
        <w:outlineLvl w:val="0"/>
        <w:rPr>
          <w:rStyle w:val="19"/>
          <w:rFonts w:ascii="方正小标宋简体" w:hAnsi="方正小标宋简体" w:eastAsia="方正小标宋简体" w:cs="方正小标宋简体"/>
        </w:rPr>
      </w:pPr>
      <w:r>
        <w:rPr>
          <w:rFonts w:hint="eastAsia" w:ascii="方正小标宋简体" w:hAnsi="方正小标宋简体" w:eastAsia="方正小标宋简体" w:cs="方正小标宋简体"/>
          <w:b/>
          <w:bCs/>
          <w:sz w:val="44"/>
          <w:szCs w:val="44"/>
        </w:rPr>
        <w:t>第三部分  名</w:t>
      </w:r>
      <w:r>
        <w:rPr>
          <w:rStyle w:val="19"/>
          <w:rFonts w:hint="eastAsia" w:ascii="方正小标宋简体" w:hAnsi="方正小标宋简体" w:eastAsia="方正小标宋简体" w:cs="方正小标宋简体"/>
        </w:rPr>
        <w:t>词解释</w:t>
      </w:r>
    </w:p>
    <w:p>
      <w:pPr>
        <w:spacing w:line="600" w:lineRule="exact"/>
        <w:rPr>
          <w:rFonts w:ascii="宋体"/>
          <w:b/>
          <w:sz w:val="44"/>
          <w:szCs w:val="44"/>
        </w:rPr>
      </w:pPr>
    </w:p>
    <w:p>
      <w:pPr>
        <w:pStyle w:val="31"/>
        <w:overflowPunct w:val="0"/>
        <w:spacing w:line="540" w:lineRule="exact"/>
        <w:ind w:firstLine="596" w:firstLineChars="200"/>
        <w:jc w:val="both"/>
        <w:rPr>
          <w:rFonts w:ascii="仿宋_GB2312" w:eastAsia="仿宋_GB2312"/>
          <w:color w:val="auto"/>
          <w:spacing w:val="-11"/>
          <w:sz w:val="32"/>
          <w:szCs w:val="32"/>
        </w:rPr>
      </w:pPr>
      <w:r>
        <w:rPr>
          <w:rFonts w:ascii="仿宋_GB2312" w:eastAsia="仿宋_GB2312"/>
          <w:color w:val="auto"/>
          <w:spacing w:val="-11"/>
          <w:sz w:val="32"/>
          <w:szCs w:val="32"/>
        </w:rPr>
        <w:t>1.</w:t>
      </w:r>
      <w:r>
        <w:rPr>
          <w:rFonts w:hint="eastAsia" w:ascii="仿宋_GB2312" w:eastAsia="仿宋_GB2312"/>
          <w:color w:val="auto"/>
          <w:spacing w:val="-11"/>
          <w:sz w:val="32"/>
          <w:szCs w:val="32"/>
        </w:rPr>
        <w:t>财政拨款收入：指单位从同级财政部门取得的财政预算资金。</w:t>
      </w:r>
    </w:p>
    <w:p>
      <w:pPr>
        <w:pStyle w:val="31"/>
        <w:overflowPunct w:val="0"/>
        <w:spacing w:line="540" w:lineRule="exact"/>
        <w:ind w:firstLine="640" w:firstLineChars="200"/>
        <w:jc w:val="both"/>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31"/>
        <w:overflowPunct w:val="0"/>
        <w:spacing w:line="540" w:lineRule="exact"/>
        <w:ind w:firstLine="640" w:firstLineChars="200"/>
        <w:jc w:val="both"/>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31"/>
        <w:overflowPunct w:val="0"/>
        <w:spacing w:line="540" w:lineRule="exact"/>
        <w:ind w:firstLine="640" w:firstLineChars="200"/>
        <w:jc w:val="both"/>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r>
        <w:rPr>
          <w:rFonts w:ascii="仿宋_GB2312" w:eastAsia="仿宋_GB2312"/>
          <w:color w:val="auto"/>
          <w:sz w:val="32"/>
          <w:szCs w:val="32"/>
        </w:rPr>
        <w:t xml:space="preserve"> </w:t>
      </w:r>
    </w:p>
    <w:p>
      <w:pPr>
        <w:pStyle w:val="31"/>
        <w:overflowPunct w:val="0"/>
        <w:spacing w:line="540" w:lineRule="exact"/>
        <w:ind w:firstLine="640" w:firstLineChars="200"/>
        <w:jc w:val="both"/>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31"/>
        <w:overflowPunct w:val="0"/>
        <w:spacing w:line="540" w:lineRule="exact"/>
        <w:ind w:firstLine="640" w:firstLineChars="200"/>
        <w:jc w:val="both"/>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31"/>
        <w:overflowPunct w:val="0"/>
        <w:spacing w:line="540" w:lineRule="exact"/>
        <w:ind w:firstLine="640" w:firstLineChars="200"/>
        <w:jc w:val="both"/>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31"/>
        <w:overflowPunct w:val="0"/>
        <w:spacing w:line="540" w:lineRule="exact"/>
        <w:ind w:firstLine="640" w:firstLineChars="200"/>
        <w:jc w:val="both"/>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overflowPunct w:val="0"/>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9.一般公共服务（类）群众团体事务（款）行政运行（项）: 指妇联机关用于保障机构正常运行、开展日常工作的基本支出。 </w:t>
      </w:r>
    </w:p>
    <w:p>
      <w:pPr>
        <w:overflowPunct w:val="0"/>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10.一般公共服务支出（类）群众团体事务（款）其他群众团体事务支出（项）：指三八节、女儿节活动经费、两纲工作经费项目支出。</w:t>
      </w:r>
    </w:p>
    <w:p>
      <w:pPr>
        <w:overflowPunct w:val="0"/>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11.社会保障和就业支出（类）行政事业单位离退休（款）机关事业单位基本养老保险缴费支出 （项）: 指本单位缴纳的2022年职工基本养老保险。</w:t>
      </w:r>
    </w:p>
    <w:p>
      <w:pPr>
        <w:overflowPunct w:val="0"/>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12.医疗健康（类）行政事业单位医疗（款）行政单位医疗（项）: 指行政单位用于缴纳单位基本医疗保险缴费支出。 </w:t>
      </w:r>
    </w:p>
    <w:p>
      <w:pPr>
        <w:overflowPunct w:val="0"/>
        <w:autoSpaceDE w:val="0"/>
        <w:autoSpaceDN w:val="0"/>
        <w:spacing w:line="520" w:lineRule="exact"/>
        <w:ind w:firstLine="640" w:firstLineChars="200"/>
        <w:rPr>
          <w:rFonts w:ascii="仿宋_GB2312" w:eastAsia="仿宋_GB2312"/>
          <w:sz w:val="32"/>
          <w:szCs w:val="32"/>
        </w:rPr>
      </w:pPr>
      <w:r>
        <w:rPr>
          <w:rFonts w:hint="eastAsia" w:ascii="仿宋_GB2312" w:eastAsia="仿宋_GB2312"/>
          <w:sz w:val="32"/>
          <w:szCs w:val="32"/>
        </w:rPr>
        <w:t>13.住房保障（类）住房改革支出（款）住房公积金（项）：指按照《住房公积金管理条例》的规定，由单位及其在职职工缴存的长期住房储金。</w:t>
      </w:r>
    </w:p>
    <w:p>
      <w:pPr>
        <w:overflowPunct w:val="0"/>
        <w:autoSpaceDE w:val="0"/>
        <w:autoSpaceDN w:val="0"/>
        <w:spacing w:line="520" w:lineRule="exact"/>
        <w:ind w:firstLine="640" w:firstLineChars="200"/>
        <w:rPr>
          <w:rFonts w:ascii="仿宋_GB2312" w:eastAsia="仿宋_GB2312"/>
          <w:sz w:val="32"/>
          <w:szCs w:val="32"/>
        </w:rPr>
      </w:pPr>
      <w:r>
        <w:rPr>
          <w:rFonts w:hint="eastAsia" w:ascii="仿宋_GB2312" w:eastAsia="仿宋_GB2312"/>
          <w:sz w:val="32"/>
          <w:szCs w:val="32"/>
        </w:rPr>
        <w:t>14.基本支出：指为保障机构正常运转、完成日常工作任务而发生的人员支出和公用支出。</w:t>
      </w:r>
    </w:p>
    <w:p>
      <w:pPr>
        <w:overflowPunct w:val="0"/>
        <w:autoSpaceDE w:val="0"/>
        <w:autoSpaceDN w:val="0"/>
        <w:spacing w:line="520" w:lineRule="exact"/>
        <w:ind w:firstLine="640" w:firstLineChars="200"/>
        <w:rPr>
          <w:rFonts w:ascii="仿宋_GB2312" w:eastAsia="仿宋_GB2312"/>
          <w:sz w:val="32"/>
          <w:szCs w:val="32"/>
        </w:rPr>
      </w:pPr>
      <w:r>
        <w:rPr>
          <w:rFonts w:hint="eastAsia" w:ascii="仿宋_GB2312" w:eastAsia="仿宋_GB2312"/>
          <w:sz w:val="32"/>
          <w:szCs w:val="32"/>
        </w:rPr>
        <w:t xml:space="preserve">15.项目支出：指在基本支出之外为完成特定行政任务和事业发展目标所发生的支出。 </w:t>
      </w:r>
    </w:p>
    <w:p>
      <w:pPr>
        <w:overflowPunct w:val="0"/>
        <w:autoSpaceDE w:val="0"/>
        <w:autoSpaceDN w:val="0"/>
        <w:spacing w:line="520" w:lineRule="exact"/>
        <w:ind w:firstLine="640" w:firstLineChars="200"/>
        <w:rPr>
          <w:rFonts w:ascii="仿宋_GB2312" w:eastAsia="仿宋_GB2312"/>
          <w:sz w:val="32"/>
          <w:szCs w:val="32"/>
        </w:rPr>
      </w:pPr>
      <w:r>
        <w:rPr>
          <w:rFonts w:hint="eastAsia" w:ascii="仿宋_GB2312" w:eastAsia="仿宋_GB2312"/>
          <w:sz w:val="32"/>
          <w:szCs w:val="32"/>
        </w:rPr>
        <w:t>16.经营支出：指事业单位在专业业务活动及其辅助活动之外开展非独立核算经营活动发生的支出。</w:t>
      </w:r>
    </w:p>
    <w:p>
      <w:pPr>
        <w:overflowPunct w:val="0"/>
        <w:autoSpaceDE w:val="0"/>
        <w:autoSpaceDN w:val="0"/>
        <w:spacing w:line="520" w:lineRule="exact"/>
        <w:ind w:firstLine="640" w:firstLineChars="200"/>
        <w:rPr>
          <w:rFonts w:ascii="仿宋_GB2312" w:eastAsia="仿宋_GB2312"/>
          <w:sz w:val="32"/>
          <w:szCs w:val="32"/>
        </w:rPr>
      </w:pPr>
      <w:r>
        <w:rPr>
          <w:rFonts w:hint="eastAsia" w:ascii="仿宋_GB2312" w:eastAsia="仿宋_GB2312"/>
          <w:sz w:val="32"/>
          <w:szCs w:val="32"/>
        </w:rPr>
        <w:t>17.“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overflowPunct w:val="0"/>
        <w:autoSpaceDE w:val="0"/>
        <w:autoSpaceDN w:val="0"/>
        <w:spacing w:line="520" w:lineRule="exact"/>
        <w:ind w:firstLine="640" w:firstLineChars="200"/>
        <w:rPr>
          <w:rFonts w:ascii="仿宋_GB2312" w:eastAsia="仿宋_GB2312"/>
          <w:sz w:val="32"/>
          <w:szCs w:val="32"/>
        </w:rPr>
      </w:pPr>
      <w:r>
        <w:rPr>
          <w:rFonts w:hint="eastAsia" w:ascii="仿宋_GB2312" w:eastAsia="仿宋_GB2312"/>
          <w:sz w:val="32"/>
          <w:szCs w:val="32"/>
        </w:rPr>
        <w:t>18.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9"/>
          <w:rFonts w:ascii="方正小标宋简体" w:hAnsi="方正小标宋简体" w:eastAsia="方正小标宋简体" w:cs="方正小标宋简体"/>
          <w:b w:val="0"/>
        </w:rPr>
      </w:pPr>
      <w:bookmarkStart w:id="51" w:name="_Toc15396614"/>
      <w:bookmarkStart w:id="52" w:name="_Toc15377226"/>
      <w:r>
        <w:rPr>
          <w:rFonts w:hint="eastAsia" w:ascii="方正小标宋简体" w:hAnsi="方正小标宋简体" w:eastAsia="方正小标宋简体" w:cs="方正小标宋简体"/>
          <w:sz w:val="44"/>
          <w:szCs w:val="44"/>
        </w:rPr>
        <w:t>第</w:t>
      </w:r>
      <w:r>
        <w:rPr>
          <w:rStyle w:val="19"/>
          <w:rFonts w:hint="eastAsia" w:ascii="方正小标宋简体" w:hAnsi="方正小标宋简体" w:eastAsia="方正小标宋简体" w:cs="方正小标宋简体"/>
          <w:b w:val="0"/>
        </w:rPr>
        <w:t>四部分   附件</w:t>
      </w:r>
      <w:bookmarkEnd w:id="51"/>
    </w:p>
    <w:p>
      <w:pPr>
        <w:spacing w:line="572" w:lineRule="exact"/>
        <w:jc w:val="left"/>
        <w:outlineLvl w:val="0"/>
        <w:rPr>
          <w:rFonts w:ascii="方正小标宋简体" w:hAnsi="方正小标宋简体" w:eastAsia="方正小标宋简体" w:cs="方正小标宋简体"/>
          <w:sz w:val="44"/>
          <w:szCs w:val="44"/>
        </w:rPr>
      </w:pPr>
      <w:r>
        <w:rPr>
          <w:rFonts w:hint="eastAsia" w:ascii="黑体" w:hAnsi="黑体" w:eastAsia="黑体" w:cs="黑体"/>
          <w:sz w:val="32"/>
          <w:szCs w:val="32"/>
        </w:rPr>
        <w:t>附件</w:t>
      </w:r>
    </w:p>
    <w:p>
      <w:pPr>
        <w:pStyle w:val="2"/>
        <w:adjustRightInd w:val="0"/>
        <w:snapToGrid w:val="0"/>
        <w:spacing w:before="93" w:line="60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剑阁县妇女联合会</w:t>
      </w:r>
    </w:p>
    <w:p>
      <w:pPr>
        <w:pStyle w:val="2"/>
        <w:adjustRightInd w:val="0"/>
        <w:snapToGrid w:val="0"/>
        <w:spacing w:before="93" w:line="60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关于部门整体支出绩效评价报告</w:t>
      </w:r>
    </w:p>
    <w:p>
      <w:pPr>
        <w:pStyle w:val="2"/>
        <w:overflowPunct w:val="0"/>
        <w:autoSpaceDE w:val="0"/>
        <w:autoSpaceDN w:val="0"/>
        <w:adjustRightInd w:val="0"/>
        <w:snapToGrid w:val="0"/>
        <w:spacing w:beforeLines="0" w:line="576" w:lineRule="exact"/>
        <w:ind w:firstLine="640" w:firstLineChars="200"/>
        <w:rPr>
          <w:rFonts w:ascii="仿宋" w:hAnsi="仿宋" w:eastAsia="仿宋" w:cs="仿宋"/>
          <w:sz w:val="32"/>
          <w:szCs w:val="32"/>
        </w:rPr>
      </w:pPr>
    </w:p>
    <w:p>
      <w:pPr>
        <w:overflowPunct w:val="0"/>
        <w:autoSpaceDE w:val="0"/>
        <w:autoSpaceDN w:val="0"/>
        <w:spacing w:line="576" w:lineRule="exact"/>
        <w:ind w:firstLine="642" w:firstLineChars="200"/>
        <w:rPr>
          <w:rFonts w:ascii="黑体" w:hAnsi="黑体" w:eastAsia="黑体" w:cs="黑体"/>
          <w:b/>
          <w:sz w:val="32"/>
          <w:szCs w:val="32"/>
        </w:rPr>
      </w:pPr>
      <w:r>
        <w:rPr>
          <w:rFonts w:hint="eastAsia" w:ascii="黑体" w:hAnsi="黑体" w:eastAsia="黑体" w:cs="黑体"/>
          <w:b/>
          <w:sz w:val="32"/>
          <w:szCs w:val="32"/>
        </w:rPr>
        <w:t>一、部门基本情况</w:t>
      </w:r>
    </w:p>
    <w:p>
      <w:pPr>
        <w:overflowPunct w:val="0"/>
        <w:autoSpaceDE w:val="0"/>
        <w:autoSpaceDN w:val="0"/>
        <w:spacing w:line="576" w:lineRule="exact"/>
        <w:ind w:firstLine="642" w:firstLineChars="200"/>
        <w:rPr>
          <w:rFonts w:ascii="仿宋_GB2312" w:eastAsia="仿宋_GB2312"/>
          <w:sz w:val="32"/>
          <w:szCs w:val="32"/>
        </w:rPr>
      </w:pPr>
      <w:r>
        <w:rPr>
          <w:rFonts w:hint="eastAsia" w:ascii="楷体_GB2312" w:hAnsi="楷体_GB2312" w:eastAsia="楷体_GB2312" w:cs="楷体_GB2312"/>
          <w:b/>
          <w:sz w:val="32"/>
          <w:szCs w:val="32"/>
        </w:rPr>
        <w:t>（一）机构组成</w:t>
      </w:r>
      <w:r>
        <w:rPr>
          <w:rFonts w:hint="eastAsia" w:ascii="仿宋_GB2312" w:eastAsia="仿宋_GB2312"/>
          <w:b/>
          <w:sz w:val="32"/>
          <w:szCs w:val="32"/>
        </w:rPr>
        <w:t>。</w:t>
      </w:r>
      <w:r>
        <w:rPr>
          <w:rFonts w:hint="eastAsia" w:ascii="仿宋_GB2312" w:eastAsia="仿宋_GB2312"/>
          <w:sz w:val="32"/>
          <w:szCs w:val="32"/>
        </w:rPr>
        <w:t>剑阁县妇联是一级预算行政单位，</w:t>
      </w:r>
      <w:r>
        <w:rPr>
          <w:rFonts w:ascii="仿宋_GB2312" w:eastAsia="仿宋_GB2312"/>
          <w:sz w:val="32"/>
          <w:szCs w:val="32"/>
        </w:rPr>
        <w:t>由财政全额拨款。</w:t>
      </w:r>
      <w:r>
        <w:rPr>
          <w:rFonts w:hint="eastAsia" w:ascii="仿宋_GB2312" w:eastAsia="仿宋_GB2312"/>
          <w:sz w:val="32"/>
          <w:szCs w:val="32"/>
        </w:rPr>
        <w:t>核定总编制6名，其中行政编制5名，工勤编制1名。妇联下属事业单位妇女儿童活动中心核定事业编2名，没有独立核算。</w:t>
      </w:r>
    </w:p>
    <w:p>
      <w:pPr>
        <w:overflowPunct w:val="0"/>
        <w:autoSpaceDE w:val="0"/>
        <w:autoSpaceDN w:val="0"/>
        <w:spacing w:line="576" w:lineRule="exact"/>
        <w:ind w:firstLine="642" w:firstLineChars="200"/>
        <w:rPr>
          <w:rFonts w:ascii="仿宋_GB2312" w:eastAsia="仿宋_GB2312"/>
          <w:sz w:val="32"/>
          <w:szCs w:val="32"/>
        </w:rPr>
      </w:pPr>
      <w:r>
        <w:rPr>
          <w:rFonts w:hint="eastAsia" w:ascii="楷体_GB2312" w:hAnsi="楷体_GB2312" w:eastAsia="楷体_GB2312" w:cs="楷体_GB2312"/>
          <w:b/>
          <w:sz w:val="32"/>
          <w:szCs w:val="32"/>
        </w:rPr>
        <w:t>（二）机构职能。</w:t>
      </w:r>
      <w:r>
        <w:rPr>
          <w:rFonts w:ascii="仿宋_GB2312" w:eastAsia="仿宋_GB2312"/>
          <w:sz w:val="32"/>
          <w:szCs w:val="32"/>
        </w:rPr>
        <w:t>妇联是在党领导下的社会群众团体，是党和政府联系妇女群众的桥梁和纽带。县妇联的主要任务是团结、动员全县妇女投身改革开放和社会主义现代化建设，促进经济发展和社会主义现代化建设，促进经济发展和社会全面进步；教育、引导广大妇女，增强自尊、自信、自立、自强的精神，全面提高素质，促进妇女人才成长；代表妇女参与国家和社会事务的民主管理、民主监督，参与有关妇女儿童法律、法规、规章的制定，维护妇女儿童合法权益；为妇女儿童服务。加强与社会各界的联系、协调和推动社会各界为妇女儿童办实事、办好事；巩固和扩大各族各界妇女的联谊，促进祖国统一大业。积极发展同世界各国妇女的友好交往，增进了解和友谊，维护世界和平。</w:t>
      </w:r>
    </w:p>
    <w:p>
      <w:pPr>
        <w:overflowPunct w:val="0"/>
        <w:autoSpaceDE w:val="0"/>
        <w:autoSpaceDN w:val="0"/>
        <w:spacing w:line="576" w:lineRule="exact"/>
        <w:ind w:firstLine="642" w:firstLineChars="200"/>
        <w:rPr>
          <w:rFonts w:ascii="仿宋_GB2312" w:eastAsia="仿宋_GB2312"/>
          <w:sz w:val="32"/>
          <w:szCs w:val="32"/>
        </w:rPr>
      </w:pPr>
      <w:r>
        <w:rPr>
          <w:rFonts w:hint="eastAsia" w:ascii="楷体_GB2312" w:hAnsi="楷体_GB2312" w:eastAsia="楷体_GB2312" w:cs="楷体_GB2312"/>
          <w:b/>
          <w:sz w:val="32"/>
          <w:szCs w:val="32"/>
        </w:rPr>
        <w:t>（三）人员概况。</w:t>
      </w:r>
      <w:r>
        <w:rPr>
          <w:rFonts w:hint="eastAsia" w:ascii="仿宋_GB2312" w:eastAsia="仿宋_GB2312"/>
          <w:sz w:val="32"/>
          <w:szCs w:val="32"/>
        </w:rPr>
        <w:t>在职人员总数9人，其中在编在职行政人员6人，机关工勤1人，事业人员2人，退休人员5人。</w:t>
      </w:r>
    </w:p>
    <w:p>
      <w:pPr>
        <w:overflowPunct w:val="0"/>
        <w:autoSpaceDE w:val="0"/>
        <w:autoSpaceDN w:val="0"/>
        <w:spacing w:line="576" w:lineRule="exact"/>
        <w:ind w:firstLine="642" w:firstLineChars="200"/>
        <w:rPr>
          <w:rFonts w:ascii="黑体" w:hAnsi="黑体" w:eastAsia="黑体" w:cs="黑体"/>
          <w:b/>
          <w:sz w:val="32"/>
          <w:szCs w:val="32"/>
        </w:rPr>
      </w:pPr>
      <w:r>
        <w:rPr>
          <w:rFonts w:hint="eastAsia" w:ascii="黑体" w:hAnsi="黑体" w:eastAsia="黑体" w:cs="黑体"/>
          <w:b/>
          <w:sz w:val="32"/>
          <w:szCs w:val="32"/>
        </w:rPr>
        <w:t>二、部门财政资金收支情况</w:t>
      </w:r>
    </w:p>
    <w:p>
      <w:pPr>
        <w:overflowPunct w:val="0"/>
        <w:autoSpaceDE w:val="0"/>
        <w:autoSpaceDN w:val="0"/>
        <w:spacing w:line="576" w:lineRule="exact"/>
        <w:ind w:firstLine="642" w:firstLineChars="200"/>
        <w:rPr>
          <w:rFonts w:ascii="仿宋_GB2312" w:eastAsia="仿宋_GB2312"/>
          <w:sz w:val="32"/>
          <w:szCs w:val="32"/>
        </w:rPr>
      </w:pPr>
      <w:r>
        <w:rPr>
          <w:rFonts w:hint="eastAsia" w:ascii="楷体_GB2312" w:hAnsi="楷体_GB2312" w:eastAsia="楷体_GB2312" w:cs="楷体_GB2312"/>
          <w:b/>
          <w:sz w:val="32"/>
          <w:szCs w:val="32"/>
        </w:rPr>
        <w:t>（一）县妇联财政资金收入情况。</w:t>
      </w:r>
      <w:r>
        <w:rPr>
          <w:rFonts w:hint="eastAsia" w:ascii="仿宋_GB2312" w:eastAsia="仿宋_GB2312"/>
          <w:sz w:val="32"/>
          <w:szCs w:val="32"/>
        </w:rPr>
        <w:t>县妇联2022年收入决算1465906.71元，其中：一般公共服务收入1233380.35元，社会保障和就业收入94456.16元，卫生健康收入67228.08元，住房保障收入70842.12元。</w:t>
      </w:r>
    </w:p>
    <w:p>
      <w:pPr>
        <w:overflowPunct w:val="0"/>
        <w:autoSpaceDE w:val="0"/>
        <w:autoSpaceDN w:val="0"/>
        <w:spacing w:line="576" w:lineRule="exact"/>
        <w:ind w:firstLine="642" w:firstLineChars="200"/>
        <w:rPr>
          <w:rFonts w:ascii="仿宋_GB2312" w:eastAsia="仿宋_GB2312"/>
          <w:sz w:val="32"/>
          <w:szCs w:val="32"/>
        </w:rPr>
      </w:pPr>
      <w:r>
        <w:rPr>
          <w:rFonts w:hint="eastAsia" w:ascii="楷体_GB2312" w:hAnsi="楷体_GB2312" w:eastAsia="楷体_GB2312" w:cs="楷体_GB2312"/>
          <w:b/>
          <w:sz w:val="32"/>
          <w:szCs w:val="32"/>
        </w:rPr>
        <w:t>（二）县妇联财政资金支出情况。</w:t>
      </w:r>
      <w:r>
        <w:rPr>
          <w:rFonts w:hint="eastAsia" w:ascii="仿宋_GB2312" w:eastAsia="仿宋_GB2312"/>
          <w:sz w:val="32"/>
          <w:szCs w:val="32"/>
        </w:rPr>
        <w:t>县妇联2022年支出决算1465906.71元。一是基本支出1285940.06元,其中人员经费决算1156490.6元，包括基本工资407285元、津贴补贴（含绩效工资）230446元、奖金302500元；机关事业单位基本养老保险缴费94456.16元，其他社会保障缴费3733.24元，行政事业单位医疗保险47228.08元，住房保障费70842.12元；日常公务支出费用决算129449.46元，是用于保障单位日常公务费用支出。其中办公费22881元、印刷费8000元、水费1000元，电费3000元，邮电费6000元，差旅费12000元，公务接待费12000元，工会经费4205.8元，福利费6902.66元，其他交通费用53460元。二是项目支出179966.65元，其中“两纲”工作经费49966.65元，重大公共卫生（省级贫困妇女“两癌”资金）20000元，三八节工作经费50000元，广元女儿节活动经费50000元，项目争取经费10000元。</w:t>
      </w:r>
    </w:p>
    <w:p>
      <w:pPr>
        <w:overflowPunct w:val="0"/>
        <w:autoSpaceDE w:val="0"/>
        <w:autoSpaceDN w:val="0"/>
        <w:spacing w:line="576" w:lineRule="exact"/>
        <w:ind w:firstLine="642" w:firstLineChars="200"/>
        <w:rPr>
          <w:rFonts w:ascii="黑体" w:hAnsi="黑体" w:eastAsia="黑体" w:cs="黑体"/>
          <w:b/>
          <w:sz w:val="32"/>
          <w:szCs w:val="32"/>
        </w:rPr>
      </w:pPr>
      <w:r>
        <w:rPr>
          <w:rFonts w:hint="eastAsia" w:ascii="黑体" w:hAnsi="黑体" w:eastAsia="黑体" w:cs="黑体"/>
          <w:b/>
          <w:sz w:val="32"/>
          <w:szCs w:val="32"/>
        </w:rPr>
        <w:t>三、部门整体预算绩效分析</w:t>
      </w:r>
    </w:p>
    <w:p>
      <w:pPr>
        <w:overflowPunct w:val="0"/>
        <w:autoSpaceDE w:val="0"/>
        <w:autoSpaceDN w:val="0"/>
        <w:spacing w:line="576" w:lineRule="exact"/>
        <w:ind w:firstLine="642"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（一）部门预算项目绩效分析</w:t>
      </w:r>
    </w:p>
    <w:p>
      <w:pPr>
        <w:overflowPunct w:val="0"/>
        <w:autoSpaceDE w:val="0"/>
        <w:autoSpaceDN w:val="0"/>
        <w:spacing w:line="576" w:lineRule="exact"/>
        <w:ind w:firstLine="642" w:firstLineChars="200"/>
        <w:rPr>
          <w:rFonts w:ascii="仿宋_GB2312" w:eastAsia="仿宋_GB2312"/>
          <w:b/>
          <w:sz w:val="32"/>
          <w:szCs w:val="32"/>
        </w:rPr>
      </w:pPr>
      <w:r>
        <w:rPr>
          <w:rFonts w:hint="eastAsia" w:ascii="仿宋_GB2312" w:eastAsia="仿宋_GB2312"/>
          <w:b/>
          <w:sz w:val="32"/>
          <w:szCs w:val="32"/>
        </w:rPr>
        <w:t>1、人员类项目绩效分析</w:t>
      </w:r>
    </w:p>
    <w:p>
      <w:pPr>
        <w:overflowPunct w:val="0"/>
        <w:autoSpaceDE w:val="0"/>
        <w:autoSpaceDN w:val="0"/>
        <w:spacing w:line="576" w:lineRule="exact"/>
        <w:ind w:firstLine="642" w:firstLineChars="200"/>
        <w:rPr>
          <w:rFonts w:ascii="仿宋_GB2312" w:eastAsia="仿宋_GB2312"/>
          <w:sz w:val="32"/>
          <w:szCs w:val="32"/>
        </w:rPr>
      </w:pPr>
      <w:r>
        <w:rPr>
          <w:rFonts w:hint="eastAsia" w:ascii="仿宋_GB2312" w:eastAsia="仿宋_GB2312"/>
          <w:b/>
          <w:sz w:val="32"/>
          <w:szCs w:val="32"/>
        </w:rPr>
        <w:t>（1）预算编制情况分析：</w:t>
      </w:r>
      <w:r>
        <w:rPr>
          <w:rFonts w:hint="eastAsia" w:ascii="仿宋_GB2312" w:eastAsia="仿宋_GB2312"/>
          <w:sz w:val="32"/>
          <w:szCs w:val="32"/>
        </w:rPr>
        <w:t>严格按照县财政局预算编制要求，按时完成了基础信息和个人信息、项目库的报送工作，完成基础信息和个人信息的更新，按时完成预算编制并提交部门预算草案。预算编制中，特别注意对预算编制准确性的把握，确保预算编制完整无漏项，并严格按照要求进行预算执行调整,按时完成待批复提前细化。</w:t>
      </w:r>
    </w:p>
    <w:p>
      <w:pPr>
        <w:overflowPunct w:val="0"/>
        <w:autoSpaceDE w:val="0"/>
        <w:autoSpaceDN w:val="0"/>
        <w:spacing w:line="576" w:lineRule="exact"/>
        <w:ind w:firstLine="642" w:firstLineChars="200"/>
        <w:rPr>
          <w:rFonts w:ascii="仿宋_GB2312" w:eastAsia="仿宋_GB2312"/>
          <w:sz w:val="32"/>
          <w:szCs w:val="32"/>
        </w:rPr>
      </w:pPr>
      <w:r>
        <w:rPr>
          <w:rFonts w:hint="eastAsia" w:ascii="仿宋_GB2312" w:eastAsia="仿宋_GB2312"/>
          <w:b/>
          <w:sz w:val="32"/>
          <w:szCs w:val="32"/>
        </w:rPr>
        <w:t>（2）预算执行情况分析：</w:t>
      </w:r>
      <w:r>
        <w:rPr>
          <w:rFonts w:hint="eastAsia" w:ascii="仿宋_GB2312" w:eastAsia="仿宋_GB2312"/>
          <w:sz w:val="32"/>
          <w:szCs w:val="32"/>
        </w:rPr>
        <w:t>县妇联2022年度人员类项目经费预算数为1156490.6元，实际完成人员类项目经费1156490.6元，完成率100%，执行中不调整预算项目，年度预算执行收支平衡，完成单位经济和社会事业发展职能职责。县妇联2022年没有资金结余，也没有违规记录。</w:t>
      </w:r>
    </w:p>
    <w:p>
      <w:pPr>
        <w:overflowPunct w:val="0"/>
        <w:autoSpaceDE w:val="0"/>
        <w:autoSpaceDN w:val="0"/>
        <w:spacing w:line="576" w:lineRule="exact"/>
        <w:ind w:firstLine="642" w:firstLineChars="200"/>
        <w:rPr>
          <w:rFonts w:ascii="仿宋_GB2312" w:eastAsia="仿宋_GB2312"/>
          <w:b/>
          <w:sz w:val="32"/>
          <w:szCs w:val="32"/>
        </w:rPr>
      </w:pPr>
      <w:r>
        <w:rPr>
          <w:rFonts w:hint="eastAsia" w:ascii="仿宋_GB2312" w:eastAsia="仿宋_GB2312"/>
          <w:b/>
          <w:sz w:val="32"/>
          <w:szCs w:val="32"/>
        </w:rPr>
        <w:t>2、特定目标类项目绩效分析</w:t>
      </w:r>
    </w:p>
    <w:p>
      <w:pPr>
        <w:overflowPunct w:val="0"/>
        <w:autoSpaceDE w:val="0"/>
        <w:autoSpaceDN w:val="0"/>
        <w:spacing w:line="576" w:lineRule="exact"/>
        <w:ind w:firstLine="642" w:firstLineChars="200"/>
        <w:rPr>
          <w:rFonts w:ascii="仿宋_GB2312" w:eastAsia="仿宋_GB2312"/>
          <w:sz w:val="32"/>
          <w:szCs w:val="32"/>
        </w:rPr>
      </w:pPr>
      <w:r>
        <w:rPr>
          <w:rFonts w:hint="eastAsia" w:ascii="楷体_GB2312" w:hAnsi="楷体_GB2312" w:eastAsia="楷体_GB2312" w:cs="楷体_GB2312"/>
          <w:b/>
          <w:sz w:val="32"/>
          <w:szCs w:val="32"/>
        </w:rPr>
        <w:t>（一）预算执行进度情况分析。</w:t>
      </w:r>
      <w:r>
        <w:rPr>
          <w:rFonts w:hint="eastAsia" w:ascii="仿宋_GB2312" w:eastAsia="仿宋_GB2312"/>
          <w:sz w:val="32"/>
          <w:szCs w:val="32"/>
        </w:rPr>
        <w:t>县妇联2022年度5个项目资金共计180000元，5个项目全部实施，实际完成财政项目支出预算资金139519.65元，完成率74.7%。未支付预算资金为广元女儿节活动经费40447元，主要原因是财政收回的存量资金安排的女儿节活动经费，资金到位时间是2022年11月底，县妇联及时申请计划，但由于年底财政紧张，没有及时审核资金，未能实现支付，财政收回广元女儿节活动经费40447元。</w:t>
      </w:r>
    </w:p>
    <w:p>
      <w:pPr>
        <w:overflowPunct w:val="0"/>
        <w:autoSpaceDE w:val="0"/>
        <w:autoSpaceDN w:val="0"/>
        <w:spacing w:line="576" w:lineRule="exact"/>
        <w:ind w:firstLine="642" w:firstLineChars="200"/>
        <w:rPr>
          <w:rFonts w:ascii="仿宋_GB2312" w:eastAsia="仿宋_GB2312"/>
          <w:sz w:val="32"/>
          <w:szCs w:val="32"/>
        </w:rPr>
      </w:pPr>
      <w:r>
        <w:rPr>
          <w:rFonts w:hint="eastAsia" w:ascii="楷体_GB2312" w:hAnsi="楷体_GB2312" w:eastAsia="楷体_GB2312" w:cs="楷体_GB2312"/>
          <w:b/>
          <w:sz w:val="32"/>
          <w:szCs w:val="32"/>
        </w:rPr>
        <w:t>（二）绩效目标完成情况分析。</w:t>
      </w:r>
      <w:r>
        <w:rPr>
          <w:rFonts w:hint="eastAsia" w:ascii="仿宋_GB2312" w:eastAsia="仿宋_GB2312"/>
          <w:sz w:val="32"/>
          <w:szCs w:val="32"/>
        </w:rPr>
        <w:t>一是举办以“巾帼心向党•喜迎二十大”为主题的“三八”国际劳动妇女节</w:t>
      </w:r>
      <w:r>
        <w:rPr>
          <w:rFonts w:ascii="仿宋_GB2312" w:eastAsia="仿宋_GB2312"/>
          <w:sz w:val="32"/>
          <w:szCs w:val="32"/>
        </w:rPr>
        <w:t>112</w:t>
      </w:r>
      <w:r>
        <w:rPr>
          <w:rFonts w:hint="eastAsia" w:ascii="仿宋_GB2312" w:eastAsia="仿宋_GB2312"/>
          <w:sz w:val="32"/>
          <w:szCs w:val="32"/>
        </w:rPr>
        <w:t>周年座谈会，</w:t>
      </w:r>
      <w:r>
        <w:rPr>
          <w:rFonts w:hint="eastAsia" w:ascii="仿宋_GB2312" w:eastAsia="仿宋_GB2312"/>
          <w:sz w:val="32"/>
          <w:szCs w:val="32"/>
          <w:lang w:eastAsia="zh-CN"/>
        </w:rPr>
        <w:t>县委县政府</w:t>
      </w:r>
      <w:r>
        <w:rPr>
          <w:rFonts w:hint="eastAsia" w:ascii="仿宋_GB2312" w:eastAsia="仿宋_GB2312"/>
          <w:sz w:val="32"/>
          <w:szCs w:val="32"/>
        </w:rPr>
        <w:t>向全县妇女同胞发出了一封“慰问信”，来自全县各乡镇、各行业优秀</w:t>
      </w:r>
      <w:r>
        <w:rPr>
          <w:rFonts w:ascii="仿宋_GB2312" w:eastAsia="仿宋_GB2312"/>
          <w:sz w:val="32"/>
          <w:szCs w:val="32"/>
        </w:rPr>
        <w:t>48</w:t>
      </w:r>
      <w:r>
        <w:rPr>
          <w:rFonts w:hint="eastAsia" w:ascii="仿宋_GB2312" w:eastAsia="仿宋_GB2312"/>
          <w:sz w:val="32"/>
          <w:szCs w:val="32"/>
        </w:rPr>
        <w:t>名妇女参加了会议，县委常委、副县长王刚出席并讲话。二是选树典型，引领社会好风尚。</w:t>
      </w:r>
      <w:r>
        <w:rPr>
          <w:rFonts w:ascii="仿宋_GB2312" w:eastAsia="仿宋_GB2312"/>
          <w:sz w:val="32"/>
          <w:szCs w:val="32"/>
        </w:rPr>
        <w:t>15</w:t>
      </w:r>
      <w:r>
        <w:rPr>
          <w:rFonts w:hint="eastAsia" w:ascii="仿宋_GB2312" w:eastAsia="仿宋_GB2312"/>
          <w:sz w:val="32"/>
          <w:szCs w:val="32"/>
        </w:rPr>
        <w:t>个县级“三八红旗集体”“妇女（两纲）工作先进集体”，</w:t>
      </w:r>
      <w:r>
        <w:rPr>
          <w:rFonts w:ascii="仿宋_GB2312" w:eastAsia="仿宋_GB2312"/>
          <w:sz w:val="32"/>
          <w:szCs w:val="32"/>
        </w:rPr>
        <w:t>50</w:t>
      </w:r>
      <w:r>
        <w:rPr>
          <w:rFonts w:hint="eastAsia" w:ascii="仿宋_GB2312" w:eastAsia="仿宋_GB2312"/>
          <w:sz w:val="32"/>
          <w:szCs w:val="32"/>
        </w:rPr>
        <w:t>名“三八红旗手”“妇女（两纲）工作先进个人”“最美家庭”“五好家庭”荣获</w:t>
      </w:r>
      <w:r>
        <w:rPr>
          <w:rFonts w:hint="eastAsia" w:ascii="仿宋_GB2312" w:eastAsia="仿宋_GB2312"/>
          <w:sz w:val="32"/>
          <w:szCs w:val="32"/>
          <w:lang w:eastAsia="zh-CN"/>
        </w:rPr>
        <w:t>县委县政府</w:t>
      </w:r>
      <w:r>
        <w:rPr>
          <w:rFonts w:hint="eastAsia" w:ascii="仿宋_GB2312" w:eastAsia="仿宋_GB2312"/>
          <w:sz w:val="32"/>
          <w:szCs w:val="32"/>
        </w:rPr>
        <w:t>表彰。三是在</w:t>
      </w:r>
      <w:r>
        <w:rPr>
          <w:rFonts w:ascii="仿宋_GB2312" w:eastAsia="仿宋_GB2312"/>
          <w:sz w:val="32"/>
          <w:szCs w:val="32"/>
        </w:rPr>
        <w:t>6</w:t>
      </w:r>
      <w:r>
        <w:rPr>
          <w:rFonts w:hint="eastAsia" w:ascii="仿宋_GB2312" w:eastAsia="仿宋_GB2312"/>
          <w:sz w:val="32"/>
          <w:szCs w:val="32"/>
        </w:rPr>
        <w:t>月</w:t>
      </w:r>
      <w:r>
        <w:rPr>
          <w:rFonts w:ascii="仿宋_GB2312" w:eastAsia="仿宋_GB2312"/>
          <w:sz w:val="32"/>
          <w:szCs w:val="32"/>
        </w:rPr>
        <w:t>18</w:t>
      </w:r>
      <w:r>
        <w:rPr>
          <w:rFonts w:hint="eastAsia" w:ascii="仿宋_GB2312" w:eastAsia="仿宋_GB2312"/>
          <w:sz w:val="32"/>
          <w:szCs w:val="32"/>
        </w:rPr>
        <w:t>日至</w:t>
      </w:r>
      <w:r>
        <w:rPr>
          <w:rFonts w:ascii="仿宋_GB2312" w:eastAsia="仿宋_GB2312"/>
          <w:sz w:val="32"/>
          <w:szCs w:val="32"/>
        </w:rPr>
        <w:t>20</w:t>
      </w:r>
      <w:r>
        <w:rPr>
          <w:rFonts w:hint="eastAsia" w:ascii="仿宋_GB2312" w:eastAsia="仿宋_GB2312"/>
          <w:sz w:val="32"/>
          <w:szCs w:val="32"/>
        </w:rPr>
        <w:t>日举办了第二届女子篮球比赛活动，来自县级部门、医院、学校的八支代表队参加比赛活动；四是完成《剑阁妇女发展纲要（2021-2030年）》《剑阁儿童发展纲要（2021-2030年）》的意见征集、编写及送审印制工作，为今后十年妇女儿童工作指明了方向奠定了基础；五是积极统筹、协调“广元女儿节”活动，县妇联牵头制定《剑阁县女儿节筹备方案》，成立领导小组、分解各相关单位工作任务，建立女儿节工作群，将各责任单位领导及具体工作人员邀请入群内，加强与市妇联对接，适时了解上级部门工作要求，紧密跟进、督促相关部门工作进度；六是配合卫健局对全县妇女开展两癌免费筛查，乳腺癌筛查6679人，宫颈癌筛查6738人并帮助符合条件的城乡低收入“两癌”患病妇女申请中央专项彩票公益金支持低收入妇女“两癌”救助项目，得到“两癌”救助妇女22人，发放救助金22万元；七是多措并举，完成招商引资项目落地，武连镇孔荣村的养牛场项目主体圈舍已建成，到位资金910万元；依波集团助学金10万元已到账户。八是积极开展“绿色家庭”创建主题活动，评选“绿色家庭”创建示范户20户，积极推荐10户参与市级评选并得奖，从而引导全县广大家庭积极践行绿色发展理念；九是以“激发巾帼建功她动能·凝聚乡村振兴她力量”为主题，向市上推荐“巧手乡村女工匠”“创意民宿女主人”“魅力乡村女创客”“最美乡村女干部”“粮食生产女能手”“最美巾帼家政人”等乡村女能人各1人。</w:t>
      </w:r>
    </w:p>
    <w:p>
      <w:pPr>
        <w:overflowPunct w:val="0"/>
        <w:autoSpaceDE w:val="0"/>
        <w:autoSpaceDN w:val="0"/>
        <w:spacing w:line="576" w:lineRule="exact"/>
        <w:ind w:firstLine="642" w:firstLineChars="200"/>
        <w:rPr>
          <w:rFonts w:ascii="仿宋_GB2312" w:eastAsia="仿宋_GB2312"/>
          <w:sz w:val="32"/>
          <w:szCs w:val="32"/>
        </w:rPr>
      </w:pPr>
      <w:r>
        <w:rPr>
          <w:rFonts w:hint="eastAsia" w:ascii="楷体_GB2312" w:hAnsi="楷体_GB2312" w:eastAsia="楷体_GB2312" w:cs="楷体_GB2312"/>
          <w:b/>
          <w:sz w:val="32"/>
          <w:szCs w:val="32"/>
        </w:rPr>
        <w:t>（三）绩效指标完成情况分析。</w:t>
      </w:r>
      <w:r>
        <w:rPr>
          <w:rFonts w:hint="eastAsia" w:ascii="仿宋_GB2312" w:eastAsia="仿宋_GB2312"/>
          <w:sz w:val="32"/>
          <w:szCs w:val="32"/>
        </w:rPr>
        <w:t>根据各三级绩效指标值，逐项分析全年实际完成情况。</w:t>
      </w:r>
    </w:p>
    <w:p>
      <w:pPr>
        <w:overflowPunct w:val="0"/>
        <w:autoSpaceDE w:val="0"/>
        <w:autoSpaceDN w:val="0"/>
        <w:spacing w:line="576" w:lineRule="exact"/>
        <w:ind w:firstLine="642" w:firstLineChars="200"/>
        <w:rPr>
          <w:rFonts w:ascii="仿宋_GB2312" w:eastAsia="仿宋_GB2312"/>
          <w:b/>
          <w:sz w:val="32"/>
          <w:szCs w:val="32"/>
        </w:rPr>
      </w:pPr>
      <w:r>
        <w:rPr>
          <w:rFonts w:hint="eastAsia" w:ascii="仿宋_GB2312" w:eastAsia="仿宋_GB2312"/>
          <w:b/>
          <w:sz w:val="32"/>
          <w:szCs w:val="32"/>
        </w:rPr>
        <w:t>1.两纲工作经费</w:t>
      </w:r>
    </w:p>
    <w:p>
      <w:pPr>
        <w:overflowPunct w:val="0"/>
        <w:autoSpaceDE w:val="0"/>
        <w:autoSpaceDN w:val="0"/>
        <w:spacing w:line="576" w:lineRule="exact"/>
        <w:ind w:firstLine="642" w:firstLineChars="200"/>
        <w:rPr>
          <w:rFonts w:ascii="仿宋_GB2312" w:eastAsia="仿宋_GB2312"/>
          <w:b/>
          <w:sz w:val="32"/>
          <w:szCs w:val="32"/>
        </w:rPr>
      </w:pPr>
      <w:r>
        <w:rPr>
          <w:rFonts w:hint="eastAsia" w:ascii="仿宋_GB2312" w:eastAsia="仿宋_GB2312"/>
          <w:b/>
          <w:sz w:val="32"/>
          <w:szCs w:val="32"/>
        </w:rPr>
        <w:t>（1）产出指标完成情况</w:t>
      </w:r>
    </w:p>
    <w:p>
      <w:pPr>
        <w:overflowPunct w:val="0"/>
        <w:autoSpaceDE w:val="0"/>
        <w:autoSpaceDN w:val="0"/>
        <w:spacing w:line="576" w:lineRule="exact"/>
        <w:ind w:firstLine="640" w:firstLineChars="200"/>
        <w:rPr>
          <w:rFonts w:ascii="仿宋_GB2312" w:eastAsia="仿宋_GB2312"/>
          <w:sz w:val="32"/>
          <w:szCs w:val="32"/>
        </w:rPr>
      </w:pPr>
      <w:r>
        <w:rPr>
          <w:rFonts w:hint="eastAsia" w:ascii="仿宋_GB2312" w:eastAsia="仿宋_GB2312"/>
          <w:sz w:val="32"/>
          <w:szCs w:val="32"/>
        </w:rPr>
        <w:t>数量指标：开展两纲业务培训2场次，两纲宣传2场次，完成两纲监测数据统计分析上报工作。完成目标值的100%。</w:t>
      </w:r>
    </w:p>
    <w:p>
      <w:pPr>
        <w:overflowPunct w:val="0"/>
        <w:autoSpaceDE w:val="0"/>
        <w:autoSpaceDN w:val="0"/>
        <w:spacing w:line="576" w:lineRule="exact"/>
        <w:ind w:firstLine="640" w:firstLineChars="200"/>
        <w:rPr>
          <w:rFonts w:ascii="仿宋_GB2312" w:eastAsia="仿宋_GB2312"/>
          <w:sz w:val="32"/>
          <w:szCs w:val="32"/>
        </w:rPr>
      </w:pPr>
      <w:r>
        <w:rPr>
          <w:rFonts w:hint="eastAsia" w:ascii="仿宋_GB2312" w:eastAsia="仿宋_GB2312"/>
          <w:sz w:val="32"/>
          <w:szCs w:val="32"/>
        </w:rPr>
        <w:t>成本指标：在不超过此项预算资金的前提下，开展妇女儿童工作，促进妇女儿童事业发展。</w:t>
      </w:r>
    </w:p>
    <w:p>
      <w:pPr>
        <w:overflowPunct w:val="0"/>
        <w:autoSpaceDE w:val="0"/>
        <w:autoSpaceDN w:val="0"/>
        <w:spacing w:line="576" w:lineRule="exact"/>
        <w:ind w:firstLine="640" w:firstLineChars="200"/>
        <w:rPr>
          <w:rFonts w:ascii="仿宋_GB2312" w:eastAsia="仿宋_GB2312"/>
          <w:sz w:val="32"/>
          <w:szCs w:val="32"/>
        </w:rPr>
      </w:pPr>
      <w:r>
        <w:rPr>
          <w:rFonts w:hint="eastAsia" w:ascii="仿宋_GB2312" w:eastAsia="仿宋_GB2312"/>
          <w:sz w:val="32"/>
          <w:szCs w:val="32"/>
        </w:rPr>
        <w:t>（2）社会效益指标完成情况</w:t>
      </w:r>
    </w:p>
    <w:p>
      <w:pPr>
        <w:overflowPunct w:val="0"/>
        <w:autoSpaceDE w:val="0"/>
        <w:autoSpaceDN w:val="0"/>
        <w:spacing w:line="576" w:lineRule="exact"/>
        <w:ind w:firstLine="640" w:firstLineChars="200"/>
        <w:rPr>
          <w:rFonts w:ascii="仿宋_GB2312" w:eastAsia="仿宋_GB2312"/>
          <w:sz w:val="32"/>
          <w:szCs w:val="32"/>
        </w:rPr>
      </w:pPr>
      <w:r>
        <w:rPr>
          <w:rFonts w:hint="eastAsia" w:ascii="仿宋_GB2312" w:eastAsia="仿宋_GB2312"/>
          <w:sz w:val="32"/>
          <w:szCs w:val="32"/>
        </w:rPr>
        <w:t>认真贯彻落实男女平等基本国策和儿童优先原则，通过开展“两纲”业务培训，完成两纲监测统计工作，全面推进妇女儿童与社会经济同步协调发展。</w:t>
      </w:r>
    </w:p>
    <w:p>
      <w:pPr>
        <w:overflowPunct w:val="0"/>
        <w:autoSpaceDE w:val="0"/>
        <w:autoSpaceDN w:val="0"/>
        <w:spacing w:line="576" w:lineRule="exact"/>
        <w:ind w:firstLine="640" w:firstLineChars="200"/>
        <w:rPr>
          <w:rFonts w:ascii="仿宋_GB2312" w:eastAsia="仿宋_GB2312"/>
          <w:sz w:val="32"/>
          <w:szCs w:val="32"/>
        </w:rPr>
      </w:pPr>
      <w:r>
        <w:rPr>
          <w:rFonts w:hint="eastAsia" w:ascii="仿宋_GB2312" w:eastAsia="仿宋_GB2312"/>
          <w:sz w:val="32"/>
          <w:szCs w:val="32"/>
        </w:rPr>
        <w:t>（3）满意度指标完成情况</w:t>
      </w:r>
    </w:p>
    <w:p>
      <w:pPr>
        <w:overflowPunct w:val="0"/>
        <w:autoSpaceDE w:val="0"/>
        <w:autoSpaceDN w:val="0"/>
        <w:spacing w:line="576" w:lineRule="exact"/>
        <w:ind w:firstLine="640" w:firstLineChars="200"/>
        <w:rPr>
          <w:rFonts w:ascii="仿宋_GB2312" w:eastAsia="仿宋_GB2312"/>
          <w:sz w:val="32"/>
          <w:szCs w:val="32"/>
        </w:rPr>
      </w:pPr>
      <w:r>
        <w:rPr>
          <w:rFonts w:hint="eastAsia" w:ascii="仿宋_GB2312" w:eastAsia="仿宋_GB2312"/>
          <w:sz w:val="32"/>
          <w:szCs w:val="32"/>
        </w:rPr>
        <w:t>妇女儿童满意度达到95%以上。</w:t>
      </w:r>
    </w:p>
    <w:p>
      <w:pPr>
        <w:overflowPunct w:val="0"/>
        <w:autoSpaceDE w:val="0"/>
        <w:autoSpaceDN w:val="0"/>
        <w:spacing w:line="576" w:lineRule="exact"/>
        <w:ind w:firstLine="642" w:firstLineChars="200"/>
        <w:rPr>
          <w:rFonts w:ascii="仿宋_GB2312" w:eastAsia="仿宋_GB2312"/>
          <w:b/>
          <w:sz w:val="32"/>
          <w:szCs w:val="32"/>
        </w:rPr>
      </w:pPr>
      <w:r>
        <w:rPr>
          <w:rFonts w:hint="eastAsia" w:ascii="仿宋_GB2312" w:eastAsia="仿宋_GB2312"/>
          <w:b/>
          <w:sz w:val="32"/>
          <w:szCs w:val="32"/>
        </w:rPr>
        <w:t>2.三八节工作经费</w:t>
      </w:r>
    </w:p>
    <w:p>
      <w:pPr>
        <w:overflowPunct w:val="0"/>
        <w:autoSpaceDE w:val="0"/>
        <w:autoSpaceDN w:val="0"/>
        <w:spacing w:line="576" w:lineRule="exact"/>
        <w:ind w:firstLine="642" w:firstLineChars="200"/>
        <w:rPr>
          <w:rFonts w:ascii="仿宋_GB2312" w:eastAsia="仿宋_GB2312"/>
          <w:b/>
          <w:sz w:val="32"/>
          <w:szCs w:val="32"/>
        </w:rPr>
      </w:pPr>
      <w:r>
        <w:rPr>
          <w:rFonts w:hint="eastAsia" w:ascii="仿宋_GB2312" w:eastAsia="仿宋_GB2312"/>
          <w:b/>
          <w:sz w:val="32"/>
          <w:szCs w:val="32"/>
        </w:rPr>
        <w:t>（1）产出指标完成情况</w:t>
      </w:r>
    </w:p>
    <w:p>
      <w:pPr>
        <w:overflowPunct w:val="0"/>
        <w:autoSpaceDE w:val="0"/>
        <w:autoSpaceDN w:val="0"/>
        <w:spacing w:line="576" w:lineRule="exact"/>
        <w:ind w:firstLine="640" w:firstLineChars="200"/>
        <w:rPr>
          <w:rFonts w:ascii="仿宋_GB2312" w:eastAsia="仿宋_GB2312"/>
          <w:sz w:val="32"/>
          <w:szCs w:val="32"/>
        </w:rPr>
      </w:pPr>
      <w:r>
        <w:rPr>
          <w:rFonts w:hint="eastAsia" w:ascii="仿宋_GB2312" w:eastAsia="仿宋_GB2312"/>
          <w:sz w:val="32"/>
          <w:szCs w:val="32"/>
        </w:rPr>
        <w:t>数量指标：举办以“巾帼心向党•喜迎二十大”为主题的“三八”国际劳动妇女节</w:t>
      </w:r>
      <w:r>
        <w:rPr>
          <w:rFonts w:ascii="仿宋_GB2312" w:eastAsia="仿宋_GB2312"/>
          <w:sz w:val="32"/>
          <w:szCs w:val="32"/>
        </w:rPr>
        <w:t>112</w:t>
      </w:r>
      <w:r>
        <w:rPr>
          <w:rFonts w:hint="eastAsia" w:ascii="仿宋_GB2312" w:eastAsia="仿宋_GB2312"/>
          <w:sz w:val="32"/>
          <w:szCs w:val="32"/>
        </w:rPr>
        <w:t>周年座谈会，完成目标值的100%；</w:t>
      </w:r>
      <w:r>
        <w:rPr>
          <w:rFonts w:hint="eastAsia" w:ascii="仿宋_GB2312" w:eastAsia="仿宋_GB2312"/>
          <w:sz w:val="32"/>
          <w:szCs w:val="32"/>
          <w:lang w:eastAsia="zh-CN"/>
        </w:rPr>
        <w:t>县委县政府</w:t>
      </w:r>
      <w:r>
        <w:rPr>
          <w:rFonts w:hint="eastAsia" w:ascii="仿宋_GB2312" w:eastAsia="仿宋_GB2312"/>
          <w:sz w:val="32"/>
          <w:szCs w:val="32"/>
        </w:rPr>
        <w:t>向全县妇女同胞发出了一封“慰问信”。以县委、县政府两办的文件表彰</w:t>
      </w:r>
      <w:r>
        <w:rPr>
          <w:rFonts w:ascii="仿宋_GB2312" w:eastAsia="仿宋_GB2312"/>
          <w:sz w:val="32"/>
          <w:szCs w:val="32"/>
        </w:rPr>
        <w:t>15</w:t>
      </w:r>
      <w:r>
        <w:rPr>
          <w:rFonts w:hint="eastAsia" w:ascii="仿宋_GB2312" w:eastAsia="仿宋_GB2312"/>
          <w:sz w:val="32"/>
          <w:szCs w:val="32"/>
        </w:rPr>
        <w:t>个县级“三八红旗集体”“妇女（两纲）工作先进集体”，</w:t>
      </w:r>
      <w:r>
        <w:rPr>
          <w:rFonts w:ascii="仿宋_GB2312" w:eastAsia="仿宋_GB2312"/>
          <w:sz w:val="32"/>
          <w:szCs w:val="32"/>
        </w:rPr>
        <w:t>50</w:t>
      </w:r>
      <w:r>
        <w:rPr>
          <w:rFonts w:hint="eastAsia" w:ascii="仿宋_GB2312" w:eastAsia="仿宋_GB2312"/>
          <w:sz w:val="32"/>
          <w:szCs w:val="32"/>
        </w:rPr>
        <w:t>名“三八红旗手”“妇女（两纲）工作先进个人”“最美家庭”“五好家庭”荣获</w:t>
      </w:r>
      <w:r>
        <w:rPr>
          <w:rFonts w:hint="eastAsia" w:ascii="仿宋_GB2312" w:eastAsia="仿宋_GB2312"/>
          <w:sz w:val="32"/>
          <w:szCs w:val="32"/>
          <w:lang w:eastAsia="zh-CN"/>
        </w:rPr>
        <w:t>县委县政府</w:t>
      </w:r>
      <w:r>
        <w:rPr>
          <w:rFonts w:hint="eastAsia" w:ascii="仿宋_GB2312" w:eastAsia="仿宋_GB2312"/>
          <w:sz w:val="32"/>
          <w:szCs w:val="32"/>
        </w:rPr>
        <w:t>表彰，完成目标值的100%。</w:t>
      </w:r>
    </w:p>
    <w:p>
      <w:pPr>
        <w:overflowPunct w:val="0"/>
        <w:autoSpaceDE w:val="0"/>
        <w:autoSpaceDN w:val="0"/>
        <w:spacing w:line="576" w:lineRule="exact"/>
        <w:ind w:firstLine="640" w:firstLineChars="200"/>
        <w:rPr>
          <w:rFonts w:ascii="仿宋_GB2312" w:eastAsia="仿宋_GB2312"/>
          <w:sz w:val="32"/>
          <w:szCs w:val="32"/>
        </w:rPr>
      </w:pPr>
      <w:r>
        <w:rPr>
          <w:rFonts w:hint="eastAsia" w:ascii="仿宋_GB2312" w:eastAsia="仿宋_GB2312"/>
          <w:sz w:val="32"/>
          <w:szCs w:val="32"/>
        </w:rPr>
        <w:t>成本指标：开展系列活动投入资金50000元，完成100%。</w:t>
      </w:r>
    </w:p>
    <w:p>
      <w:pPr>
        <w:overflowPunct w:val="0"/>
        <w:autoSpaceDE w:val="0"/>
        <w:autoSpaceDN w:val="0"/>
        <w:spacing w:line="576" w:lineRule="exact"/>
        <w:ind w:firstLine="642" w:firstLineChars="200"/>
        <w:rPr>
          <w:rFonts w:ascii="仿宋_GB2312" w:eastAsia="仿宋_GB2312"/>
          <w:b/>
          <w:sz w:val="32"/>
          <w:szCs w:val="32"/>
        </w:rPr>
      </w:pPr>
      <w:r>
        <w:rPr>
          <w:rFonts w:hint="eastAsia" w:ascii="仿宋_GB2312" w:eastAsia="仿宋_GB2312"/>
          <w:b/>
          <w:sz w:val="32"/>
          <w:szCs w:val="32"/>
        </w:rPr>
        <w:t>（2）社会效益指标完成情况</w:t>
      </w:r>
    </w:p>
    <w:p>
      <w:pPr>
        <w:overflowPunct w:val="0"/>
        <w:autoSpaceDE w:val="0"/>
        <w:autoSpaceDN w:val="0"/>
        <w:spacing w:line="576" w:lineRule="exact"/>
        <w:ind w:firstLine="640" w:firstLineChars="200"/>
        <w:rPr>
          <w:rFonts w:ascii="仿宋_GB2312" w:eastAsia="仿宋_GB2312"/>
          <w:sz w:val="32"/>
          <w:szCs w:val="32"/>
        </w:rPr>
      </w:pPr>
      <w:r>
        <w:rPr>
          <w:rFonts w:hint="eastAsia" w:ascii="仿宋_GB2312" w:eastAsia="仿宋_GB2312"/>
          <w:sz w:val="32"/>
          <w:szCs w:val="32"/>
        </w:rPr>
        <w:t>通过系列活动，展示妇女风采，激励妇女积极建功新时代。</w:t>
      </w:r>
    </w:p>
    <w:p>
      <w:pPr>
        <w:overflowPunct w:val="0"/>
        <w:autoSpaceDE w:val="0"/>
        <w:autoSpaceDN w:val="0"/>
        <w:spacing w:line="576" w:lineRule="exact"/>
        <w:ind w:firstLine="642" w:firstLineChars="200"/>
        <w:rPr>
          <w:rFonts w:ascii="仿宋_GB2312" w:eastAsia="仿宋_GB2312"/>
          <w:b/>
          <w:sz w:val="32"/>
          <w:szCs w:val="32"/>
        </w:rPr>
      </w:pPr>
      <w:r>
        <w:rPr>
          <w:rFonts w:hint="eastAsia" w:ascii="仿宋_GB2312" w:eastAsia="仿宋_GB2312"/>
          <w:b/>
          <w:sz w:val="32"/>
          <w:szCs w:val="32"/>
        </w:rPr>
        <w:t>（3）满意度指标完成情况</w:t>
      </w:r>
    </w:p>
    <w:p>
      <w:pPr>
        <w:overflowPunct w:val="0"/>
        <w:autoSpaceDE w:val="0"/>
        <w:autoSpaceDN w:val="0"/>
        <w:spacing w:line="576" w:lineRule="exact"/>
        <w:ind w:firstLine="640" w:firstLineChars="200"/>
        <w:rPr>
          <w:rFonts w:ascii="仿宋_GB2312" w:eastAsia="仿宋_GB2312"/>
          <w:sz w:val="32"/>
          <w:szCs w:val="32"/>
        </w:rPr>
      </w:pPr>
      <w:r>
        <w:rPr>
          <w:rFonts w:hint="eastAsia" w:ascii="仿宋_GB2312" w:eastAsia="仿宋_GB2312"/>
          <w:sz w:val="32"/>
          <w:szCs w:val="32"/>
        </w:rPr>
        <w:t>妇女儿童满意度达到95%以上。</w:t>
      </w:r>
    </w:p>
    <w:p>
      <w:pPr>
        <w:overflowPunct w:val="0"/>
        <w:autoSpaceDE w:val="0"/>
        <w:autoSpaceDN w:val="0"/>
        <w:spacing w:line="576" w:lineRule="exact"/>
        <w:ind w:firstLine="642" w:firstLineChars="200"/>
        <w:rPr>
          <w:rFonts w:ascii="仿宋_GB2312" w:eastAsia="仿宋_GB2312"/>
          <w:b/>
          <w:sz w:val="32"/>
          <w:szCs w:val="32"/>
        </w:rPr>
      </w:pPr>
      <w:r>
        <w:rPr>
          <w:rFonts w:hint="eastAsia" w:ascii="仿宋_GB2312" w:eastAsia="仿宋_GB2312"/>
          <w:b/>
          <w:sz w:val="32"/>
          <w:szCs w:val="32"/>
        </w:rPr>
        <w:t>3.项目争取经费</w:t>
      </w:r>
    </w:p>
    <w:p>
      <w:pPr>
        <w:overflowPunct w:val="0"/>
        <w:autoSpaceDE w:val="0"/>
        <w:autoSpaceDN w:val="0"/>
        <w:spacing w:line="576" w:lineRule="exact"/>
        <w:ind w:firstLine="642" w:firstLineChars="200"/>
        <w:rPr>
          <w:rFonts w:ascii="仿宋_GB2312" w:eastAsia="仿宋_GB2312"/>
          <w:b/>
          <w:sz w:val="32"/>
          <w:szCs w:val="32"/>
        </w:rPr>
      </w:pPr>
      <w:r>
        <w:rPr>
          <w:rFonts w:hint="eastAsia" w:ascii="仿宋_GB2312" w:eastAsia="仿宋_GB2312"/>
          <w:b/>
          <w:sz w:val="32"/>
          <w:szCs w:val="32"/>
        </w:rPr>
        <w:t>（1）产出指标完成情况</w:t>
      </w:r>
    </w:p>
    <w:p>
      <w:pPr>
        <w:overflowPunct w:val="0"/>
        <w:autoSpaceDE w:val="0"/>
        <w:autoSpaceDN w:val="0"/>
        <w:spacing w:line="576" w:lineRule="exact"/>
        <w:ind w:firstLine="640" w:firstLineChars="200"/>
        <w:rPr>
          <w:rFonts w:ascii="仿宋_GB2312" w:eastAsia="仿宋_GB2312"/>
          <w:sz w:val="32"/>
          <w:szCs w:val="32"/>
        </w:rPr>
      </w:pPr>
      <w:r>
        <w:rPr>
          <w:rFonts w:hint="eastAsia" w:ascii="仿宋_GB2312" w:eastAsia="仿宋_GB2312"/>
          <w:sz w:val="32"/>
          <w:szCs w:val="32"/>
        </w:rPr>
        <w:t>数量指标：到省、市妇联协调项目资金4次，完成目标值的100%</w:t>
      </w:r>
    </w:p>
    <w:p>
      <w:pPr>
        <w:overflowPunct w:val="0"/>
        <w:autoSpaceDE w:val="0"/>
        <w:autoSpaceDN w:val="0"/>
        <w:spacing w:line="576" w:lineRule="exact"/>
        <w:ind w:firstLine="640" w:firstLineChars="200"/>
        <w:rPr>
          <w:rFonts w:ascii="仿宋_GB2312" w:eastAsia="仿宋_GB2312"/>
          <w:sz w:val="32"/>
          <w:szCs w:val="32"/>
        </w:rPr>
      </w:pPr>
      <w:r>
        <w:rPr>
          <w:rFonts w:hint="eastAsia" w:ascii="仿宋_GB2312" w:eastAsia="仿宋_GB2312"/>
          <w:sz w:val="32"/>
          <w:szCs w:val="32"/>
        </w:rPr>
        <w:t>成本指标：开展系列活动投入资金10000元，完成100%。</w:t>
      </w:r>
    </w:p>
    <w:p>
      <w:pPr>
        <w:overflowPunct w:val="0"/>
        <w:autoSpaceDE w:val="0"/>
        <w:autoSpaceDN w:val="0"/>
        <w:spacing w:line="576" w:lineRule="exact"/>
        <w:ind w:firstLine="642" w:firstLineChars="200"/>
        <w:rPr>
          <w:rFonts w:ascii="仿宋_GB2312" w:eastAsia="仿宋_GB2312"/>
          <w:b/>
          <w:sz w:val="32"/>
          <w:szCs w:val="32"/>
        </w:rPr>
      </w:pPr>
      <w:r>
        <w:rPr>
          <w:rFonts w:hint="eastAsia" w:ascii="仿宋_GB2312" w:eastAsia="仿宋_GB2312"/>
          <w:b/>
          <w:sz w:val="32"/>
          <w:szCs w:val="32"/>
        </w:rPr>
        <w:t>（2）社会效益指标完成情况</w:t>
      </w:r>
    </w:p>
    <w:p>
      <w:pPr>
        <w:overflowPunct w:val="0"/>
        <w:autoSpaceDE w:val="0"/>
        <w:autoSpaceDN w:val="0"/>
        <w:spacing w:line="576" w:lineRule="exact"/>
        <w:ind w:firstLine="596" w:firstLineChars="200"/>
        <w:rPr>
          <w:rFonts w:ascii="仿宋_GB2312" w:eastAsia="仿宋_GB2312"/>
          <w:spacing w:val="-11"/>
          <w:sz w:val="32"/>
          <w:szCs w:val="32"/>
        </w:rPr>
      </w:pPr>
      <w:r>
        <w:rPr>
          <w:rFonts w:hint="eastAsia" w:ascii="仿宋_GB2312" w:eastAsia="仿宋_GB2312"/>
          <w:spacing w:val="-11"/>
          <w:sz w:val="32"/>
          <w:szCs w:val="32"/>
        </w:rPr>
        <w:t>帮助困难两癌妇女、儿童走出困境，2022年救助两癌妇女22名，发放资金220000元；依波救助50名儿童，发放救助金100000元。</w:t>
      </w:r>
    </w:p>
    <w:p>
      <w:pPr>
        <w:overflowPunct w:val="0"/>
        <w:autoSpaceDE w:val="0"/>
        <w:autoSpaceDN w:val="0"/>
        <w:spacing w:line="576" w:lineRule="exact"/>
        <w:ind w:firstLine="642" w:firstLineChars="200"/>
        <w:rPr>
          <w:rFonts w:ascii="仿宋_GB2312" w:eastAsia="仿宋_GB2312"/>
          <w:b/>
          <w:sz w:val="32"/>
          <w:szCs w:val="32"/>
        </w:rPr>
      </w:pPr>
      <w:r>
        <w:rPr>
          <w:rFonts w:hint="eastAsia" w:ascii="仿宋_GB2312" w:eastAsia="仿宋_GB2312"/>
          <w:b/>
          <w:sz w:val="32"/>
          <w:szCs w:val="32"/>
        </w:rPr>
        <w:t>（3）满意度指标完成情况</w:t>
      </w:r>
    </w:p>
    <w:p>
      <w:pPr>
        <w:overflowPunct w:val="0"/>
        <w:autoSpaceDE w:val="0"/>
        <w:autoSpaceDN w:val="0"/>
        <w:spacing w:line="576" w:lineRule="exact"/>
        <w:ind w:firstLine="640" w:firstLineChars="200"/>
        <w:rPr>
          <w:rFonts w:ascii="仿宋_GB2312" w:eastAsia="仿宋_GB2312"/>
          <w:sz w:val="32"/>
          <w:szCs w:val="32"/>
        </w:rPr>
      </w:pPr>
      <w:r>
        <w:rPr>
          <w:rFonts w:hint="eastAsia" w:ascii="仿宋_GB2312" w:eastAsia="仿宋_GB2312"/>
          <w:sz w:val="32"/>
          <w:szCs w:val="32"/>
        </w:rPr>
        <w:t>受助妇女、儿童满意度达到95%以上。</w:t>
      </w:r>
    </w:p>
    <w:p>
      <w:pPr>
        <w:overflowPunct w:val="0"/>
        <w:autoSpaceDE w:val="0"/>
        <w:autoSpaceDN w:val="0"/>
        <w:spacing w:line="576" w:lineRule="exact"/>
        <w:ind w:firstLine="642" w:firstLineChars="200"/>
        <w:rPr>
          <w:rFonts w:ascii="仿宋_GB2312" w:eastAsia="仿宋_GB2312"/>
          <w:b/>
          <w:sz w:val="32"/>
          <w:szCs w:val="32"/>
        </w:rPr>
      </w:pPr>
      <w:r>
        <w:rPr>
          <w:rFonts w:hint="eastAsia" w:ascii="仿宋_GB2312" w:eastAsia="仿宋_GB2312"/>
          <w:b/>
          <w:sz w:val="32"/>
          <w:szCs w:val="32"/>
        </w:rPr>
        <w:t>4.广元女儿节活动经费</w:t>
      </w:r>
    </w:p>
    <w:p>
      <w:pPr>
        <w:overflowPunct w:val="0"/>
        <w:autoSpaceDE w:val="0"/>
        <w:autoSpaceDN w:val="0"/>
        <w:spacing w:line="576" w:lineRule="exact"/>
        <w:ind w:firstLine="642" w:firstLineChars="200"/>
        <w:rPr>
          <w:rFonts w:ascii="仿宋_GB2312" w:eastAsia="仿宋_GB2312"/>
          <w:b/>
          <w:sz w:val="32"/>
          <w:szCs w:val="32"/>
        </w:rPr>
      </w:pPr>
      <w:r>
        <w:rPr>
          <w:rFonts w:hint="eastAsia" w:ascii="仿宋_GB2312" w:eastAsia="仿宋_GB2312"/>
          <w:b/>
          <w:sz w:val="32"/>
          <w:szCs w:val="32"/>
        </w:rPr>
        <w:t>（1）产出指标完成情况</w:t>
      </w:r>
    </w:p>
    <w:p>
      <w:pPr>
        <w:overflowPunct w:val="0"/>
        <w:autoSpaceDE w:val="0"/>
        <w:autoSpaceDN w:val="0"/>
        <w:spacing w:line="576" w:lineRule="exact"/>
        <w:ind w:firstLine="640" w:firstLineChars="200"/>
        <w:rPr>
          <w:rFonts w:ascii="仿宋_GB2312" w:eastAsia="仿宋_GB2312"/>
          <w:sz w:val="32"/>
          <w:szCs w:val="32"/>
        </w:rPr>
      </w:pPr>
      <w:r>
        <w:rPr>
          <w:rFonts w:hint="eastAsia" w:ascii="仿宋_GB2312" w:eastAsia="仿宋_GB2312"/>
          <w:sz w:val="32"/>
          <w:szCs w:val="32"/>
        </w:rPr>
        <w:t>数量指标：展板宣传5张，开展交友联谊活动，直播带货展厅布置。完成目标值的100%</w:t>
      </w:r>
    </w:p>
    <w:p>
      <w:pPr>
        <w:overflowPunct w:val="0"/>
        <w:autoSpaceDE w:val="0"/>
        <w:autoSpaceDN w:val="0"/>
        <w:spacing w:line="576" w:lineRule="exact"/>
        <w:ind w:firstLine="640" w:firstLineChars="200"/>
        <w:rPr>
          <w:rFonts w:ascii="仿宋_GB2312" w:eastAsia="仿宋_GB2312"/>
          <w:sz w:val="32"/>
          <w:szCs w:val="32"/>
        </w:rPr>
      </w:pPr>
      <w:r>
        <w:rPr>
          <w:rFonts w:hint="eastAsia" w:ascii="仿宋_GB2312" w:eastAsia="仿宋_GB2312"/>
          <w:sz w:val="32"/>
          <w:szCs w:val="32"/>
        </w:rPr>
        <w:t>成本指标：开展系列活动投入资金50000元，完成100%。</w:t>
      </w:r>
    </w:p>
    <w:p>
      <w:pPr>
        <w:overflowPunct w:val="0"/>
        <w:autoSpaceDE w:val="0"/>
        <w:autoSpaceDN w:val="0"/>
        <w:spacing w:line="576" w:lineRule="exact"/>
        <w:ind w:firstLine="642" w:firstLineChars="200"/>
        <w:rPr>
          <w:rFonts w:ascii="仿宋_GB2312" w:eastAsia="仿宋_GB2312"/>
          <w:b/>
          <w:sz w:val="32"/>
          <w:szCs w:val="32"/>
        </w:rPr>
      </w:pPr>
      <w:r>
        <w:rPr>
          <w:rFonts w:hint="eastAsia" w:ascii="仿宋_GB2312" w:eastAsia="仿宋_GB2312"/>
          <w:b/>
          <w:sz w:val="32"/>
          <w:szCs w:val="32"/>
        </w:rPr>
        <w:t>（2）社会效益指标完成情况</w:t>
      </w:r>
    </w:p>
    <w:p>
      <w:pPr>
        <w:overflowPunct w:val="0"/>
        <w:autoSpaceDE w:val="0"/>
        <w:autoSpaceDN w:val="0"/>
        <w:spacing w:line="576" w:lineRule="exact"/>
        <w:ind w:firstLine="640" w:firstLineChars="200"/>
        <w:rPr>
          <w:rFonts w:ascii="仿宋_GB2312" w:eastAsia="仿宋_GB2312"/>
          <w:sz w:val="32"/>
          <w:szCs w:val="32"/>
        </w:rPr>
      </w:pPr>
      <w:r>
        <w:rPr>
          <w:rFonts w:hint="eastAsia" w:ascii="仿宋_GB2312" w:eastAsia="仿宋_GB2312"/>
          <w:sz w:val="32"/>
          <w:szCs w:val="32"/>
        </w:rPr>
        <w:t>促进开放合作、搭建共建共享共赢的平台，展示天险蜀道、雄关剑门的良好形象。</w:t>
      </w:r>
    </w:p>
    <w:p>
      <w:pPr>
        <w:overflowPunct w:val="0"/>
        <w:autoSpaceDE w:val="0"/>
        <w:autoSpaceDN w:val="0"/>
        <w:spacing w:line="576" w:lineRule="exact"/>
        <w:ind w:firstLine="642" w:firstLineChars="200"/>
        <w:rPr>
          <w:rFonts w:ascii="仿宋_GB2312" w:eastAsia="仿宋_GB2312"/>
          <w:b/>
          <w:sz w:val="32"/>
          <w:szCs w:val="32"/>
        </w:rPr>
      </w:pPr>
      <w:r>
        <w:rPr>
          <w:rFonts w:hint="eastAsia" w:ascii="仿宋_GB2312" w:eastAsia="仿宋_GB2312"/>
          <w:b/>
          <w:sz w:val="32"/>
          <w:szCs w:val="32"/>
        </w:rPr>
        <w:t>（3）满意度指标完成情况</w:t>
      </w:r>
    </w:p>
    <w:p>
      <w:pPr>
        <w:overflowPunct w:val="0"/>
        <w:autoSpaceDE w:val="0"/>
        <w:autoSpaceDN w:val="0"/>
        <w:spacing w:line="576" w:lineRule="exact"/>
        <w:ind w:firstLine="640" w:firstLineChars="200"/>
        <w:rPr>
          <w:rFonts w:ascii="仿宋_GB2312" w:eastAsia="仿宋_GB2312"/>
          <w:sz w:val="32"/>
          <w:szCs w:val="32"/>
        </w:rPr>
      </w:pPr>
      <w:r>
        <w:rPr>
          <w:rFonts w:hint="eastAsia" w:ascii="仿宋_GB2312" w:eastAsia="仿宋_GB2312"/>
          <w:sz w:val="32"/>
          <w:szCs w:val="32"/>
        </w:rPr>
        <w:t>妇女、社会满意度达到95%以上。</w:t>
      </w:r>
    </w:p>
    <w:p>
      <w:pPr>
        <w:overflowPunct w:val="0"/>
        <w:autoSpaceDE w:val="0"/>
        <w:autoSpaceDN w:val="0"/>
        <w:spacing w:line="576" w:lineRule="exact"/>
        <w:ind w:firstLine="642" w:firstLineChars="200"/>
        <w:rPr>
          <w:rFonts w:ascii="仿宋_GB2312" w:eastAsia="仿宋_GB2312"/>
          <w:b/>
          <w:sz w:val="32"/>
          <w:szCs w:val="32"/>
        </w:rPr>
      </w:pPr>
      <w:r>
        <w:rPr>
          <w:rFonts w:hint="eastAsia" w:ascii="仿宋_GB2312" w:eastAsia="仿宋_GB2312"/>
          <w:b/>
          <w:sz w:val="32"/>
          <w:szCs w:val="32"/>
        </w:rPr>
        <w:t>5.贫困妇女“两癌”救助项目（省级）</w:t>
      </w:r>
    </w:p>
    <w:p>
      <w:pPr>
        <w:overflowPunct w:val="0"/>
        <w:autoSpaceDE w:val="0"/>
        <w:autoSpaceDN w:val="0"/>
        <w:spacing w:line="576" w:lineRule="exact"/>
        <w:ind w:firstLine="642" w:firstLineChars="200"/>
        <w:rPr>
          <w:rFonts w:ascii="仿宋_GB2312" w:eastAsia="仿宋_GB2312"/>
          <w:b/>
          <w:sz w:val="32"/>
          <w:szCs w:val="32"/>
        </w:rPr>
      </w:pPr>
      <w:r>
        <w:rPr>
          <w:rFonts w:hint="eastAsia" w:ascii="仿宋_GB2312" w:eastAsia="仿宋_GB2312"/>
          <w:b/>
          <w:sz w:val="32"/>
          <w:szCs w:val="32"/>
        </w:rPr>
        <w:t>（1）产出指标完成情况</w:t>
      </w:r>
    </w:p>
    <w:p>
      <w:pPr>
        <w:overflowPunct w:val="0"/>
        <w:autoSpaceDE w:val="0"/>
        <w:autoSpaceDN w:val="0"/>
        <w:spacing w:line="576" w:lineRule="exact"/>
        <w:ind w:firstLine="640" w:firstLineChars="200"/>
        <w:rPr>
          <w:rFonts w:ascii="仿宋_GB2312" w:eastAsia="仿宋_GB2312"/>
          <w:sz w:val="32"/>
          <w:szCs w:val="32"/>
        </w:rPr>
      </w:pPr>
      <w:r>
        <w:rPr>
          <w:rFonts w:hint="eastAsia" w:ascii="仿宋_GB2312" w:eastAsia="仿宋_GB2312"/>
          <w:sz w:val="32"/>
          <w:szCs w:val="32"/>
        </w:rPr>
        <w:t>数量指标：救助人数2人，完成目标值的100%。</w:t>
      </w:r>
    </w:p>
    <w:p>
      <w:pPr>
        <w:overflowPunct w:val="0"/>
        <w:autoSpaceDE w:val="0"/>
        <w:autoSpaceDN w:val="0"/>
        <w:spacing w:line="576" w:lineRule="exact"/>
        <w:ind w:firstLine="640" w:firstLineChars="200"/>
        <w:rPr>
          <w:rFonts w:ascii="仿宋_GB2312" w:eastAsia="仿宋_GB2312"/>
          <w:sz w:val="32"/>
          <w:szCs w:val="32"/>
        </w:rPr>
      </w:pPr>
      <w:r>
        <w:rPr>
          <w:rFonts w:hint="eastAsia" w:ascii="仿宋_GB2312" w:eastAsia="仿宋_GB2312"/>
          <w:sz w:val="32"/>
          <w:szCs w:val="32"/>
        </w:rPr>
        <w:t>成本指标：救助金额，1万元/人，共计2万元，完成100%。</w:t>
      </w:r>
    </w:p>
    <w:p>
      <w:pPr>
        <w:overflowPunct w:val="0"/>
        <w:autoSpaceDE w:val="0"/>
        <w:autoSpaceDN w:val="0"/>
        <w:spacing w:line="576" w:lineRule="exact"/>
        <w:ind w:firstLine="642" w:firstLineChars="200"/>
        <w:rPr>
          <w:rFonts w:ascii="仿宋_GB2312" w:eastAsia="仿宋_GB2312"/>
          <w:b/>
          <w:sz w:val="32"/>
          <w:szCs w:val="32"/>
        </w:rPr>
      </w:pPr>
      <w:r>
        <w:rPr>
          <w:rFonts w:hint="eastAsia" w:ascii="仿宋_GB2312" w:eastAsia="仿宋_GB2312"/>
          <w:b/>
          <w:sz w:val="32"/>
          <w:szCs w:val="32"/>
        </w:rPr>
        <w:t>（2）社会效益指标完成情况</w:t>
      </w:r>
    </w:p>
    <w:p>
      <w:pPr>
        <w:overflowPunct w:val="0"/>
        <w:autoSpaceDE w:val="0"/>
        <w:autoSpaceDN w:val="0"/>
        <w:spacing w:line="576" w:lineRule="exact"/>
        <w:ind w:firstLine="640" w:firstLineChars="200"/>
        <w:rPr>
          <w:rFonts w:ascii="仿宋_GB2312" w:eastAsia="仿宋_GB2312"/>
          <w:sz w:val="32"/>
          <w:szCs w:val="32"/>
        </w:rPr>
      </w:pPr>
      <w:r>
        <w:rPr>
          <w:rFonts w:hint="eastAsia" w:ascii="仿宋_GB2312" w:eastAsia="仿宋_GB2312"/>
          <w:sz w:val="32"/>
          <w:szCs w:val="32"/>
        </w:rPr>
        <w:t>通过慰问救助，在一定程度上缓解患病妇女经济压力。</w:t>
      </w:r>
    </w:p>
    <w:p>
      <w:pPr>
        <w:overflowPunct w:val="0"/>
        <w:autoSpaceDE w:val="0"/>
        <w:autoSpaceDN w:val="0"/>
        <w:spacing w:line="576" w:lineRule="exact"/>
        <w:ind w:firstLine="642" w:firstLineChars="200"/>
        <w:rPr>
          <w:rFonts w:ascii="仿宋_GB2312" w:eastAsia="仿宋_GB2312"/>
          <w:b/>
          <w:sz w:val="32"/>
          <w:szCs w:val="32"/>
        </w:rPr>
      </w:pPr>
      <w:r>
        <w:rPr>
          <w:rFonts w:hint="eastAsia" w:ascii="仿宋_GB2312" w:eastAsia="仿宋_GB2312"/>
          <w:b/>
          <w:sz w:val="32"/>
          <w:szCs w:val="32"/>
        </w:rPr>
        <w:t>（3）满意度指标完成情况</w:t>
      </w:r>
    </w:p>
    <w:p>
      <w:pPr>
        <w:overflowPunct w:val="0"/>
        <w:autoSpaceDE w:val="0"/>
        <w:autoSpaceDN w:val="0"/>
        <w:spacing w:line="576" w:lineRule="exact"/>
        <w:ind w:firstLine="640" w:firstLineChars="200"/>
        <w:rPr>
          <w:rFonts w:ascii="仿宋_GB2312" w:eastAsia="仿宋_GB2312"/>
          <w:sz w:val="32"/>
          <w:szCs w:val="32"/>
        </w:rPr>
      </w:pPr>
      <w:r>
        <w:rPr>
          <w:rFonts w:hint="eastAsia" w:ascii="仿宋_GB2312" w:eastAsia="仿宋_GB2312"/>
          <w:sz w:val="32"/>
          <w:szCs w:val="32"/>
        </w:rPr>
        <w:t>患病妇女、社会满意度达到95%以上。</w:t>
      </w:r>
    </w:p>
    <w:p>
      <w:pPr>
        <w:overflowPunct w:val="0"/>
        <w:autoSpaceDE w:val="0"/>
        <w:autoSpaceDN w:val="0"/>
        <w:spacing w:line="576" w:lineRule="exact"/>
        <w:ind w:firstLine="642"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（四）结果应用情况。</w:t>
      </w:r>
    </w:p>
    <w:p>
      <w:pPr>
        <w:overflowPunct w:val="0"/>
        <w:autoSpaceDE w:val="0"/>
        <w:autoSpaceDN w:val="0"/>
        <w:spacing w:line="576" w:lineRule="exact"/>
        <w:ind w:firstLine="640" w:firstLineChars="200"/>
        <w:rPr>
          <w:rFonts w:ascii="仿宋_GB2312" w:eastAsia="仿宋_GB2312"/>
          <w:sz w:val="32"/>
          <w:szCs w:val="32"/>
        </w:rPr>
      </w:pPr>
      <w:r>
        <w:rPr>
          <w:rFonts w:hint="eastAsia" w:ascii="仿宋_GB2312" w:eastAsia="仿宋_GB2312"/>
          <w:sz w:val="32"/>
          <w:szCs w:val="32"/>
        </w:rPr>
        <w:t>我会绩效自评工作自开展以来都按照上级安排及时报送及时公开、对评价结果及时整改并运用，整体运行良好。</w:t>
      </w:r>
    </w:p>
    <w:p>
      <w:pPr>
        <w:overflowPunct w:val="0"/>
        <w:autoSpaceDE w:val="0"/>
        <w:autoSpaceDN w:val="0"/>
        <w:spacing w:line="576" w:lineRule="exact"/>
        <w:ind w:firstLine="642" w:firstLineChars="200"/>
        <w:rPr>
          <w:rFonts w:ascii="黑体" w:hAnsi="黑体" w:eastAsia="黑体" w:cs="黑体"/>
          <w:b/>
          <w:sz w:val="32"/>
          <w:szCs w:val="32"/>
        </w:rPr>
      </w:pPr>
      <w:r>
        <w:rPr>
          <w:rFonts w:hint="eastAsia" w:ascii="黑体" w:hAnsi="黑体" w:eastAsia="黑体" w:cs="黑体"/>
          <w:b/>
          <w:sz w:val="32"/>
          <w:szCs w:val="32"/>
        </w:rPr>
        <w:t>四、评价结论及建议</w:t>
      </w:r>
    </w:p>
    <w:p>
      <w:pPr>
        <w:overflowPunct w:val="0"/>
        <w:autoSpaceDE w:val="0"/>
        <w:autoSpaceDN w:val="0"/>
        <w:spacing w:line="576" w:lineRule="exact"/>
        <w:ind w:firstLine="642" w:firstLineChars="200"/>
        <w:rPr>
          <w:rFonts w:ascii="仿宋_GB2312" w:eastAsia="仿宋_GB2312"/>
          <w:sz w:val="32"/>
          <w:szCs w:val="32"/>
        </w:rPr>
      </w:pPr>
      <w:r>
        <w:rPr>
          <w:rFonts w:hint="eastAsia" w:ascii="楷体_GB2312" w:hAnsi="楷体_GB2312" w:eastAsia="楷体_GB2312" w:cs="楷体_GB2312"/>
          <w:b/>
          <w:sz w:val="32"/>
          <w:szCs w:val="32"/>
        </w:rPr>
        <w:t>（一）评价结论。</w:t>
      </w:r>
      <w:r>
        <w:rPr>
          <w:rFonts w:hint="eastAsia" w:ascii="仿宋_GB2312" w:eastAsia="仿宋_GB2312"/>
          <w:sz w:val="32"/>
          <w:szCs w:val="32"/>
        </w:rPr>
        <w:t>综上所述，通过绩效自评，2022年整体支出政策依据充分，目标制定明确；按照计划有序实施，资金到位及时，经费使用严格按照相关财务管理制度执行，对资金的使用监管有力有效。整个支出实施达到了预期的绩效目标。</w:t>
      </w:r>
    </w:p>
    <w:p>
      <w:pPr>
        <w:overflowPunct w:val="0"/>
        <w:autoSpaceDE w:val="0"/>
        <w:autoSpaceDN w:val="0"/>
        <w:spacing w:line="576" w:lineRule="exact"/>
        <w:ind w:firstLine="642" w:firstLineChars="200"/>
        <w:rPr>
          <w:rFonts w:ascii="仿宋_GB2312" w:eastAsia="仿宋_GB2312"/>
          <w:sz w:val="32"/>
          <w:szCs w:val="32"/>
        </w:rPr>
      </w:pPr>
      <w:r>
        <w:rPr>
          <w:rFonts w:hint="eastAsia" w:ascii="楷体_GB2312" w:hAnsi="楷体_GB2312" w:eastAsia="楷体_GB2312" w:cs="楷体_GB2312"/>
          <w:b/>
          <w:sz w:val="32"/>
          <w:szCs w:val="32"/>
        </w:rPr>
        <w:t>（二）存在问题。</w:t>
      </w:r>
      <w:r>
        <w:rPr>
          <w:rFonts w:ascii="仿宋_GB2312" w:eastAsia="仿宋_GB2312"/>
          <w:sz w:val="32"/>
          <w:szCs w:val="32"/>
        </w:rPr>
        <w:t>一是对定性指标的评议上，由于采取问卷形式的自评，以及部分参与评价人员对指标不熟悉，不能客观地对本部门的支出绩效进行评价；</w:t>
      </w:r>
      <w:r>
        <w:rPr>
          <w:rFonts w:hint="eastAsia" w:ascii="仿宋_GB2312" w:eastAsia="仿宋_GB2312"/>
          <w:sz w:val="32"/>
          <w:szCs w:val="32"/>
        </w:rPr>
        <w:t>二是预算执行过程中往往因财政资金不能及时拨付，存在部分项目延后支付的现象。</w:t>
      </w:r>
    </w:p>
    <w:p>
      <w:pPr>
        <w:overflowPunct w:val="0"/>
        <w:autoSpaceDE w:val="0"/>
        <w:autoSpaceDN w:val="0"/>
        <w:spacing w:line="576" w:lineRule="exact"/>
        <w:ind w:firstLine="642" w:firstLineChars="200"/>
        <w:rPr>
          <w:rFonts w:ascii="仿宋_GB2312" w:eastAsia="仿宋_GB2312"/>
          <w:sz w:val="32"/>
          <w:szCs w:val="32"/>
        </w:rPr>
      </w:pPr>
      <w:r>
        <w:rPr>
          <w:rFonts w:hint="eastAsia" w:ascii="楷体_GB2312" w:hAnsi="楷体_GB2312" w:eastAsia="楷体_GB2312" w:cs="楷体_GB2312"/>
          <w:b/>
          <w:sz w:val="32"/>
          <w:szCs w:val="32"/>
        </w:rPr>
        <w:t>（三）改进建议。</w:t>
      </w:r>
      <w:r>
        <w:rPr>
          <w:rFonts w:ascii="仿宋_GB2312" w:eastAsia="仿宋_GB2312"/>
          <w:sz w:val="32"/>
          <w:szCs w:val="32"/>
        </w:rPr>
        <w:t>一是根据定性指标的内容设置一些具体明细项目进行评价；二是</w:t>
      </w:r>
      <w:r>
        <w:rPr>
          <w:rFonts w:hint="eastAsia" w:ascii="仿宋_GB2312" w:eastAsia="仿宋_GB2312"/>
          <w:sz w:val="32"/>
          <w:szCs w:val="32"/>
        </w:rPr>
        <w:t>加强与业务部室沟通，将全年工作任务细化分解为具体的工作目标，并尽量采取定量的方式制定清晰、可衡量的绩效指标。</w:t>
      </w:r>
      <w:r>
        <w:rPr>
          <w:rFonts w:ascii="仿宋_GB2312" w:eastAsia="仿宋_GB2312"/>
          <w:sz w:val="32"/>
          <w:szCs w:val="32"/>
        </w:rPr>
        <w:t>三是加强对部门财务人员及参评人员的培训，让其更加熟悉绩效评价工作。</w:t>
      </w:r>
    </w:p>
    <w:p>
      <w:pPr>
        <w:overflowPunct w:val="0"/>
        <w:autoSpaceDE w:val="0"/>
        <w:autoSpaceDN w:val="0"/>
        <w:spacing w:line="576" w:lineRule="exact"/>
        <w:ind w:firstLine="640" w:firstLineChars="200"/>
        <w:rPr>
          <w:rFonts w:ascii="仿宋_GB2312" w:eastAsia="仿宋_GB2312"/>
          <w:sz w:val="32"/>
          <w:szCs w:val="32"/>
        </w:rPr>
      </w:pPr>
    </w:p>
    <w:p>
      <w:pPr>
        <w:pStyle w:val="13"/>
        <w:overflowPunct w:val="0"/>
        <w:autoSpaceDE w:val="0"/>
        <w:autoSpaceDN w:val="0"/>
        <w:spacing w:after="0" w:line="576"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附表：</w:t>
      </w:r>
      <w:r>
        <w:rPr>
          <w:rFonts w:hint="eastAsia" w:hAnsi="仿宋_GB2312" w:eastAsia="仿宋_GB2312" w:cs="仿宋_GB2312"/>
          <w:sz w:val="32"/>
        </w:rPr>
        <w:t>部门预算项目支出绩效自评表（2022年度）</w:t>
      </w:r>
    </w:p>
    <w:p>
      <w:pPr>
        <w:pStyle w:val="13"/>
        <w:spacing w:line="560" w:lineRule="exact"/>
        <w:ind w:left="0" w:leftChars="0" w:firstLine="0" w:firstLineChars="0"/>
        <w:rPr>
          <w:sz w:val="32"/>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widowControl/>
        <w:rPr>
          <w:rFonts w:ascii="仿宋_GB2312" w:hAnsi="宋体" w:eastAsia="仿宋_GB2312" w:cs="宋体"/>
          <w:kern w:val="0"/>
          <w:sz w:val="32"/>
          <w:szCs w:val="32"/>
          <w:shd w:val="clear" w:color="auto" w:fill="FFFFFF"/>
          <w:lang w:val="zh-CN"/>
        </w:rPr>
      </w:pPr>
    </w:p>
    <w:p>
      <w:pPr>
        <w:pStyle w:val="2"/>
        <w:spacing w:before="93"/>
        <w:rPr>
          <w:lang w:val="zh-CN"/>
        </w:rPr>
        <w:sectPr>
          <w:footerReference r:id="rId6" w:type="default"/>
          <w:pgSz w:w="11906" w:h="16838"/>
          <w:pgMar w:top="2098" w:right="1531" w:bottom="1984" w:left="1531" w:header="851" w:footer="1701" w:gutter="0"/>
          <w:pgNumType w:start="1"/>
          <w:cols w:space="0" w:num="1"/>
          <w:docGrid w:type="lines" w:linePitch="312" w:charSpace="0"/>
        </w:sectPr>
      </w:pPr>
    </w:p>
    <w:tbl>
      <w:tblPr>
        <w:tblStyle w:val="14"/>
        <w:tblW w:w="14471" w:type="dxa"/>
        <w:tblInd w:w="96" w:type="dxa"/>
        <w:tblLayout w:type="fixed"/>
        <w:tblCellMar>
          <w:top w:w="0" w:type="dxa"/>
          <w:left w:w="108" w:type="dxa"/>
          <w:bottom w:w="0" w:type="dxa"/>
          <w:right w:w="108" w:type="dxa"/>
        </w:tblCellMar>
      </w:tblPr>
      <w:tblGrid>
        <w:gridCol w:w="798"/>
        <w:gridCol w:w="1722"/>
        <w:gridCol w:w="752"/>
        <w:gridCol w:w="1842"/>
        <w:gridCol w:w="851"/>
        <w:gridCol w:w="850"/>
        <w:gridCol w:w="192"/>
        <w:gridCol w:w="801"/>
        <w:gridCol w:w="898"/>
        <w:gridCol w:w="377"/>
        <w:gridCol w:w="709"/>
        <w:gridCol w:w="358"/>
        <w:gridCol w:w="755"/>
        <w:gridCol w:w="3566"/>
      </w:tblGrid>
      <w:tr>
        <w:tblPrEx>
          <w:tblCellMar>
            <w:top w:w="0" w:type="dxa"/>
            <w:left w:w="108" w:type="dxa"/>
            <w:bottom w:w="0" w:type="dxa"/>
            <w:right w:w="108" w:type="dxa"/>
          </w:tblCellMar>
        </w:tblPrEx>
        <w:trPr>
          <w:trHeight w:val="255" w:hRule="atLeast"/>
        </w:trPr>
        <w:tc>
          <w:tcPr>
            <w:tcW w:w="14471"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560" w:lineRule="exact"/>
              <w:jc w:val="center"/>
              <w:rPr>
                <w:rFonts w:ascii="方正小标宋简体" w:hAnsi="方正小标宋简体" w:eastAsia="方正小标宋简体" w:cs="方正小标宋简体"/>
                <w:b/>
                <w:bCs/>
                <w:color w:val="000000"/>
                <w:kern w:val="0"/>
                <w:sz w:val="30"/>
                <w:szCs w:val="30"/>
              </w:rPr>
            </w:pPr>
            <w:r>
              <w:rPr>
                <w:rFonts w:hint="eastAsia" w:ascii="方正小标宋简体" w:hAnsi="方正小标宋简体" w:eastAsia="方正小标宋简体" w:cs="方正小标宋简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55" w:hRule="atLeast"/>
        </w:trPr>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180" w:lineRule="exact"/>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11951" w:type="dxa"/>
            <w:gridSpan w:val="12"/>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left"/>
              <w:rPr>
                <w:rFonts w:ascii="宋体" w:hAnsi="宋体" w:cs="宋体"/>
                <w:color w:val="000000"/>
                <w:kern w:val="0"/>
                <w:sz w:val="18"/>
                <w:szCs w:val="18"/>
              </w:rPr>
            </w:pPr>
            <w:r>
              <w:rPr>
                <w:rFonts w:hint="eastAsia" w:ascii="宋体" w:hAnsi="宋体" w:cs="宋体"/>
                <w:color w:val="000000"/>
                <w:kern w:val="0"/>
                <w:sz w:val="18"/>
                <w:szCs w:val="18"/>
              </w:rPr>
              <w:t>51082321T000000092635-广元女儿节活动经费</w:t>
            </w:r>
          </w:p>
        </w:tc>
      </w:tr>
      <w:tr>
        <w:tblPrEx>
          <w:tblCellMar>
            <w:top w:w="0" w:type="dxa"/>
            <w:left w:w="108" w:type="dxa"/>
            <w:bottom w:w="0" w:type="dxa"/>
            <w:right w:w="108" w:type="dxa"/>
          </w:tblCellMar>
        </w:tblPrEx>
        <w:trPr>
          <w:trHeight w:val="255" w:hRule="atLeast"/>
        </w:trPr>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180" w:lineRule="exact"/>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6186" w:type="dxa"/>
            <w:gridSpan w:val="7"/>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left"/>
              <w:rPr>
                <w:rFonts w:ascii="宋体" w:hAnsi="宋体" w:cs="宋体"/>
                <w:color w:val="000000"/>
                <w:kern w:val="0"/>
                <w:sz w:val="18"/>
                <w:szCs w:val="18"/>
              </w:rPr>
            </w:pPr>
            <w:r>
              <w:rPr>
                <w:rFonts w:hint="eastAsia" w:ascii="宋体" w:hAnsi="宋体" w:cs="宋体"/>
                <w:color w:val="000000"/>
                <w:kern w:val="0"/>
                <w:sz w:val="18"/>
                <w:szCs w:val="18"/>
              </w:rPr>
              <w:t>剑阁县妇女联合会本级</w:t>
            </w:r>
          </w:p>
        </w:tc>
        <w:tc>
          <w:tcPr>
            <w:tcW w:w="1444" w:type="dxa"/>
            <w:gridSpan w:val="3"/>
            <w:tcBorders>
              <w:top w:val="nil"/>
              <w:left w:val="nil"/>
              <w:bottom w:val="nil"/>
              <w:right w:val="nil"/>
            </w:tcBorders>
            <w:shd w:val="clear" w:color="auto" w:fill="auto"/>
            <w:vAlign w:val="center"/>
          </w:tcPr>
          <w:p>
            <w:pPr>
              <w:overflowPunct w:val="0"/>
              <w:autoSpaceDE w:val="0"/>
              <w:autoSpaceDN w:val="0"/>
              <w:spacing w:line="18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实施单位（盖章）</w:t>
            </w:r>
          </w:p>
        </w:tc>
        <w:tc>
          <w:tcPr>
            <w:tcW w:w="4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剑阁县妇女联合会</w:t>
            </w:r>
          </w:p>
        </w:tc>
      </w:tr>
      <w:tr>
        <w:tblPrEx>
          <w:tblCellMar>
            <w:top w:w="0" w:type="dxa"/>
            <w:left w:w="108" w:type="dxa"/>
            <w:bottom w:w="0" w:type="dxa"/>
            <w:right w:w="108" w:type="dxa"/>
          </w:tblCellMar>
        </w:tblPrEx>
        <w:trPr>
          <w:trHeight w:val="255" w:hRule="atLeast"/>
        </w:trPr>
        <w:tc>
          <w:tcPr>
            <w:tcW w:w="798"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180" w:lineRule="exact"/>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72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180" w:lineRule="exact"/>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6186" w:type="dxa"/>
            <w:gridSpan w:val="7"/>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5765" w:type="dxa"/>
            <w:gridSpan w:val="5"/>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255"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180" w:lineRule="exact"/>
              <w:jc w:val="left"/>
              <w:rPr>
                <w:rFonts w:ascii="宋体" w:hAnsi="宋体" w:cs="宋体"/>
                <w:color w:val="000000"/>
                <w:kern w:val="0"/>
                <w:sz w:val="18"/>
                <w:szCs w:val="18"/>
              </w:rPr>
            </w:pPr>
          </w:p>
        </w:tc>
        <w:tc>
          <w:tcPr>
            <w:tcW w:w="1722"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180" w:lineRule="exact"/>
              <w:jc w:val="left"/>
              <w:rPr>
                <w:rFonts w:ascii="宋体" w:hAnsi="宋体" w:cs="宋体"/>
                <w:color w:val="000000"/>
                <w:kern w:val="0"/>
                <w:sz w:val="18"/>
                <w:szCs w:val="18"/>
              </w:rPr>
            </w:pPr>
          </w:p>
        </w:tc>
        <w:tc>
          <w:tcPr>
            <w:tcW w:w="6186" w:type="dxa"/>
            <w:gridSpan w:val="7"/>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left"/>
              <w:rPr>
                <w:rFonts w:ascii="宋体" w:hAnsi="宋体" w:cs="宋体"/>
                <w:color w:val="000000"/>
                <w:kern w:val="0"/>
                <w:sz w:val="18"/>
                <w:szCs w:val="18"/>
              </w:rPr>
            </w:pPr>
            <w:r>
              <w:rPr>
                <w:rFonts w:hint="eastAsia" w:ascii="宋体" w:hAnsi="宋体" w:cs="宋体"/>
                <w:color w:val="000000"/>
                <w:kern w:val="0"/>
                <w:sz w:val="18"/>
                <w:szCs w:val="18"/>
              </w:rPr>
              <w:t>县妇儿工委在县委、县政府的坚强领导下，围绕我县妇女儿童发展主要目标任务，认真贯彻落实男女平等基本国策和儿童优先原则，切实维护妇女儿童合法权益，全面推进妇女儿童与社会经济同步协调发展。</w:t>
            </w:r>
          </w:p>
        </w:tc>
        <w:tc>
          <w:tcPr>
            <w:tcW w:w="5765" w:type="dxa"/>
            <w:gridSpan w:val="5"/>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left"/>
              <w:rPr>
                <w:rFonts w:ascii="宋体" w:hAnsi="宋体" w:cs="宋体"/>
                <w:color w:val="000000"/>
                <w:kern w:val="0"/>
                <w:sz w:val="18"/>
                <w:szCs w:val="18"/>
              </w:rPr>
            </w:pPr>
            <w:r>
              <w:rPr>
                <w:rFonts w:hint="eastAsia" w:ascii="宋体" w:hAnsi="宋体" w:cs="宋体"/>
                <w:color w:val="000000"/>
                <w:kern w:val="0"/>
                <w:sz w:val="18"/>
                <w:szCs w:val="18"/>
              </w:rPr>
              <w:t>根据广元市女儿节活动，与组织部人才中心、总工会、团县委联合完成青年交友联谊活动；直播带货展厅布置、宣传展板制作等工作。</w:t>
            </w:r>
          </w:p>
        </w:tc>
      </w:tr>
      <w:tr>
        <w:tblPrEx>
          <w:tblCellMar>
            <w:top w:w="0" w:type="dxa"/>
            <w:left w:w="108" w:type="dxa"/>
            <w:bottom w:w="0" w:type="dxa"/>
            <w:right w:w="108" w:type="dxa"/>
          </w:tblCellMar>
        </w:tblPrEx>
        <w:trPr>
          <w:trHeight w:val="255"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180" w:lineRule="exact"/>
              <w:jc w:val="left"/>
              <w:rPr>
                <w:rFonts w:ascii="宋体" w:hAnsi="宋体" w:cs="宋体"/>
                <w:color w:val="000000"/>
                <w:kern w:val="0"/>
                <w:sz w:val="18"/>
                <w:szCs w:val="18"/>
              </w:rPr>
            </w:pP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11951" w:type="dxa"/>
            <w:gridSpan w:val="12"/>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left"/>
              <w:rPr>
                <w:rFonts w:ascii="宋体" w:hAnsi="宋体" w:cs="宋体"/>
                <w:color w:val="000000"/>
                <w:kern w:val="0"/>
                <w:sz w:val="18"/>
                <w:szCs w:val="18"/>
              </w:rPr>
            </w:pPr>
            <w:r>
              <w:rPr>
                <w:rFonts w:hint="eastAsia" w:ascii="宋体" w:hAnsi="宋体" w:cs="宋体"/>
                <w:color w:val="000000"/>
                <w:kern w:val="0"/>
                <w:sz w:val="18"/>
                <w:szCs w:val="18"/>
              </w:rPr>
              <w:t>县妇联积极统筹、协调“广元女儿节”活动，县妇联牵头制定《剑阁县女儿节筹备方案》，成立领导小组、分解各相关单位工作任务，建立女儿节工作群，将各责任单位领导及具体工作人员邀请入群内，加强与市妇联对接，适时了解上级部门工作要求，紧密跟进、督促相关部门工作进度。</w:t>
            </w:r>
          </w:p>
        </w:tc>
      </w:tr>
      <w:tr>
        <w:tblPrEx>
          <w:tblCellMar>
            <w:top w:w="0" w:type="dxa"/>
            <w:left w:w="108" w:type="dxa"/>
            <w:bottom w:w="0" w:type="dxa"/>
            <w:right w:w="108" w:type="dxa"/>
          </w:tblCellMar>
        </w:tblPrEx>
        <w:trPr>
          <w:trHeight w:val="255" w:hRule="atLeast"/>
        </w:trPr>
        <w:tc>
          <w:tcPr>
            <w:tcW w:w="798"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75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84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2694" w:type="dxa"/>
            <w:gridSpan w:val="4"/>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275"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709"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1113"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3566"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255"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180" w:lineRule="exact"/>
              <w:jc w:val="left"/>
              <w:rPr>
                <w:rFonts w:ascii="宋体" w:hAnsi="宋体" w:cs="宋体"/>
                <w:color w:val="000000"/>
                <w:kern w:val="0"/>
                <w:sz w:val="18"/>
                <w:szCs w:val="18"/>
              </w:rPr>
            </w:pP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75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84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5.00</w:t>
            </w:r>
          </w:p>
        </w:tc>
        <w:tc>
          <w:tcPr>
            <w:tcW w:w="2694" w:type="dxa"/>
            <w:gridSpan w:val="4"/>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0.96</w:t>
            </w:r>
          </w:p>
        </w:tc>
        <w:tc>
          <w:tcPr>
            <w:tcW w:w="1275"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19.11%</w:t>
            </w:r>
          </w:p>
        </w:tc>
        <w:tc>
          <w:tcPr>
            <w:tcW w:w="709"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113"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3566"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180" w:lineRule="exact"/>
              <w:jc w:val="left"/>
              <w:rPr>
                <w:rFonts w:ascii="Courier New" w:hAnsi="Courier New" w:cs="Courier New"/>
                <w:color w:val="000000"/>
                <w:kern w:val="0"/>
                <w:sz w:val="18"/>
                <w:szCs w:val="18"/>
              </w:rPr>
            </w:pPr>
            <w:r>
              <w:rPr>
                <w:rFonts w:ascii="Courier New" w:hAnsi="Courier New" w:cs="Courier New"/>
                <w:color w:val="000000"/>
                <w:kern w:val="0"/>
                <w:sz w:val="18"/>
                <w:szCs w:val="18"/>
              </w:rPr>
              <w:t>广元女儿节活动经费是年底用收回的存量资金安排的预算，资金到账后，县妇联积极申请计划，由于年底财政资金紧张，未能及时审核资金。加之赶上年底决算，导致资金没有及时支付。</w:t>
            </w:r>
          </w:p>
        </w:tc>
      </w:tr>
      <w:tr>
        <w:tblPrEx>
          <w:tblCellMar>
            <w:top w:w="0" w:type="dxa"/>
            <w:left w:w="108" w:type="dxa"/>
            <w:bottom w:w="0" w:type="dxa"/>
            <w:right w:w="108" w:type="dxa"/>
          </w:tblCellMar>
        </w:tblPrEx>
        <w:trPr>
          <w:trHeight w:val="255"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180" w:lineRule="exact"/>
              <w:jc w:val="left"/>
              <w:rPr>
                <w:rFonts w:ascii="宋体" w:hAnsi="宋体" w:cs="宋体"/>
                <w:color w:val="000000"/>
                <w:kern w:val="0"/>
                <w:sz w:val="18"/>
                <w:szCs w:val="18"/>
              </w:rPr>
            </w:pP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75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84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5.00</w:t>
            </w:r>
          </w:p>
        </w:tc>
        <w:tc>
          <w:tcPr>
            <w:tcW w:w="2694" w:type="dxa"/>
            <w:gridSpan w:val="4"/>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0.96</w:t>
            </w:r>
          </w:p>
        </w:tc>
        <w:tc>
          <w:tcPr>
            <w:tcW w:w="1275"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19.11%</w:t>
            </w:r>
          </w:p>
        </w:tc>
        <w:tc>
          <w:tcPr>
            <w:tcW w:w="709"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113"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566"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180" w:lineRule="exact"/>
              <w:jc w:val="left"/>
              <w:rPr>
                <w:rFonts w:ascii="Courier New" w:hAnsi="Courier New" w:cs="Courier New"/>
                <w:color w:val="000000"/>
                <w:kern w:val="0"/>
                <w:sz w:val="18"/>
                <w:szCs w:val="18"/>
              </w:rPr>
            </w:pPr>
          </w:p>
        </w:tc>
      </w:tr>
      <w:tr>
        <w:tblPrEx>
          <w:tblCellMar>
            <w:top w:w="0" w:type="dxa"/>
            <w:left w:w="108" w:type="dxa"/>
            <w:bottom w:w="0" w:type="dxa"/>
            <w:right w:w="108" w:type="dxa"/>
          </w:tblCellMar>
        </w:tblPrEx>
        <w:trPr>
          <w:trHeight w:val="255"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180" w:lineRule="exact"/>
              <w:jc w:val="left"/>
              <w:rPr>
                <w:rFonts w:ascii="宋体" w:hAnsi="宋体" w:cs="宋体"/>
                <w:color w:val="000000"/>
                <w:kern w:val="0"/>
                <w:sz w:val="18"/>
                <w:szCs w:val="18"/>
              </w:rPr>
            </w:pP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75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84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694" w:type="dxa"/>
            <w:gridSpan w:val="4"/>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275"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709"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113"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566"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180" w:lineRule="exact"/>
              <w:jc w:val="left"/>
              <w:rPr>
                <w:rFonts w:ascii="Courier New" w:hAnsi="Courier New" w:cs="Courier New"/>
                <w:color w:val="000000"/>
                <w:kern w:val="0"/>
                <w:sz w:val="18"/>
                <w:szCs w:val="18"/>
              </w:rPr>
            </w:pPr>
          </w:p>
        </w:tc>
      </w:tr>
      <w:tr>
        <w:tblPrEx>
          <w:tblCellMar>
            <w:top w:w="0" w:type="dxa"/>
            <w:left w:w="108" w:type="dxa"/>
            <w:bottom w:w="0" w:type="dxa"/>
            <w:right w:w="108" w:type="dxa"/>
          </w:tblCellMar>
        </w:tblPrEx>
        <w:trPr>
          <w:trHeight w:val="255"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180" w:lineRule="exact"/>
              <w:jc w:val="left"/>
              <w:rPr>
                <w:rFonts w:ascii="宋体" w:hAnsi="宋体" w:cs="宋体"/>
                <w:color w:val="000000"/>
                <w:kern w:val="0"/>
                <w:sz w:val="18"/>
                <w:szCs w:val="18"/>
              </w:rPr>
            </w:pP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75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84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694" w:type="dxa"/>
            <w:gridSpan w:val="4"/>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275"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709"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113"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566"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180" w:lineRule="exact"/>
              <w:jc w:val="left"/>
              <w:rPr>
                <w:rFonts w:ascii="Courier New" w:hAnsi="Courier New" w:cs="Courier New"/>
                <w:color w:val="000000"/>
                <w:kern w:val="0"/>
                <w:sz w:val="18"/>
                <w:szCs w:val="18"/>
              </w:rPr>
            </w:pPr>
          </w:p>
        </w:tc>
      </w:tr>
      <w:tr>
        <w:tblPrEx>
          <w:tblCellMar>
            <w:top w:w="0" w:type="dxa"/>
            <w:left w:w="108" w:type="dxa"/>
            <w:bottom w:w="0" w:type="dxa"/>
            <w:right w:w="108" w:type="dxa"/>
          </w:tblCellMar>
        </w:tblPrEx>
        <w:trPr>
          <w:trHeight w:val="255"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180" w:lineRule="exact"/>
              <w:jc w:val="left"/>
              <w:rPr>
                <w:rFonts w:ascii="宋体" w:hAnsi="宋体" w:cs="宋体"/>
                <w:color w:val="000000"/>
                <w:kern w:val="0"/>
                <w:sz w:val="18"/>
                <w:szCs w:val="18"/>
              </w:rPr>
            </w:pP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75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84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2694" w:type="dxa"/>
            <w:gridSpan w:val="4"/>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275"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709"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113"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566"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180" w:lineRule="exact"/>
              <w:jc w:val="left"/>
              <w:rPr>
                <w:rFonts w:ascii="Courier New" w:hAnsi="Courier New" w:cs="Courier New"/>
                <w:color w:val="000000"/>
                <w:kern w:val="0"/>
                <w:sz w:val="18"/>
                <w:szCs w:val="18"/>
              </w:rPr>
            </w:pPr>
          </w:p>
        </w:tc>
      </w:tr>
      <w:tr>
        <w:tblPrEx>
          <w:tblCellMar>
            <w:top w:w="0" w:type="dxa"/>
            <w:left w:w="108" w:type="dxa"/>
            <w:bottom w:w="0" w:type="dxa"/>
            <w:right w:w="108" w:type="dxa"/>
          </w:tblCellMar>
        </w:tblPrEx>
        <w:trPr>
          <w:trHeight w:val="255" w:hRule="atLeast"/>
        </w:trPr>
        <w:tc>
          <w:tcPr>
            <w:tcW w:w="798"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75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84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85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85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993"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1275"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709"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1113"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3566"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255"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180" w:lineRule="exact"/>
              <w:jc w:val="left"/>
              <w:rPr>
                <w:rFonts w:ascii="宋体" w:hAnsi="宋体" w:cs="宋体"/>
                <w:color w:val="000000"/>
                <w:kern w:val="0"/>
                <w:sz w:val="18"/>
                <w:szCs w:val="18"/>
              </w:rPr>
            </w:pPr>
          </w:p>
        </w:tc>
        <w:tc>
          <w:tcPr>
            <w:tcW w:w="172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75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84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宣传展板</w:t>
            </w:r>
          </w:p>
        </w:tc>
        <w:tc>
          <w:tcPr>
            <w:tcW w:w="85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5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993"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张</w:t>
            </w:r>
          </w:p>
        </w:tc>
        <w:tc>
          <w:tcPr>
            <w:tcW w:w="1275"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5张</w:t>
            </w:r>
          </w:p>
        </w:tc>
        <w:tc>
          <w:tcPr>
            <w:tcW w:w="709"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113"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3566"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55"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180" w:lineRule="exact"/>
              <w:jc w:val="left"/>
              <w:rPr>
                <w:rFonts w:ascii="宋体" w:hAnsi="宋体" w:cs="宋体"/>
                <w:color w:val="000000"/>
                <w:kern w:val="0"/>
                <w:sz w:val="18"/>
                <w:szCs w:val="18"/>
              </w:rPr>
            </w:pPr>
          </w:p>
        </w:tc>
        <w:tc>
          <w:tcPr>
            <w:tcW w:w="1722"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180" w:lineRule="exact"/>
              <w:jc w:val="left"/>
              <w:rPr>
                <w:rFonts w:ascii="宋体" w:hAnsi="宋体" w:cs="宋体"/>
                <w:color w:val="000000"/>
                <w:kern w:val="0"/>
                <w:sz w:val="18"/>
                <w:szCs w:val="18"/>
              </w:rPr>
            </w:pPr>
          </w:p>
        </w:tc>
        <w:tc>
          <w:tcPr>
            <w:tcW w:w="752"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180" w:lineRule="exact"/>
              <w:jc w:val="left"/>
              <w:rPr>
                <w:rFonts w:ascii="宋体" w:hAnsi="宋体" w:cs="宋体"/>
                <w:color w:val="000000"/>
                <w:kern w:val="0"/>
                <w:sz w:val="18"/>
                <w:szCs w:val="18"/>
              </w:rPr>
            </w:pPr>
          </w:p>
        </w:tc>
        <w:tc>
          <w:tcPr>
            <w:tcW w:w="184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交友活动</w:t>
            </w:r>
          </w:p>
        </w:tc>
        <w:tc>
          <w:tcPr>
            <w:tcW w:w="85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5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200</w:t>
            </w:r>
          </w:p>
        </w:tc>
        <w:tc>
          <w:tcPr>
            <w:tcW w:w="993"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275"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200人</w:t>
            </w:r>
          </w:p>
        </w:tc>
        <w:tc>
          <w:tcPr>
            <w:tcW w:w="709"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113"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3566"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55"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180" w:lineRule="exact"/>
              <w:jc w:val="left"/>
              <w:rPr>
                <w:rFonts w:ascii="宋体" w:hAnsi="宋体" w:cs="宋体"/>
                <w:color w:val="000000"/>
                <w:kern w:val="0"/>
                <w:sz w:val="18"/>
                <w:szCs w:val="18"/>
              </w:rPr>
            </w:pPr>
          </w:p>
        </w:tc>
        <w:tc>
          <w:tcPr>
            <w:tcW w:w="1722"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180" w:lineRule="exact"/>
              <w:jc w:val="left"/>
              <w:rPr>
                <w:rFonts w:ascii="宋体" w:hAnsi="宋体" w:cs="宋体"/>
                <w:color w:val="000000"/>
                <w:kern w:val="0"/>
                <w:sz w:val="18"/>
                <w:szCs w:val="18"/>
              </w:rPr>
            </w:pPr>
          </w:p>
        </w:tc>
        <w:tc>
          <w:tcPr>
            <w:tcW w:w="752"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180" w:lineRule="exact"/>
              <w:jc w:val="left"/>
              <w:rPr>
                <w:rFonts w:ascii="宋体" w:hAnsi="宋体" w:cs="宋体"/>
                <w:color w:val="000000"/>
                <w:kern w:val="0"/>
                <w:sz w:val="18"/>
                <w:szCs w:val="18"/>
              </w:rPr>
            </w:pPr>
          </w:p>
        </w:tc>
        <w:tc>
          <w:tcPr>
            <w:tcW w:w="184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舞蹈队编排</w:t>
            </w:r>
          </w:p>
        </w:tc>
        <w:tc>
          <w:tcPr>
            <w:tcW w:w="85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5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993"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275"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16人</w:t>
            </w:r>
          </w:p>
        </w:tc>
        <w:tc>
          <w:tcPr>
            <w:tcW w:w="709"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113"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3566"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55"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180" w:lineRule="exact"/>
              <w:jc w:val="left"/>
              <w:rPr>
                <w:rFonts w:ascii="宋体" w:hAnsi="宋体" w:cs="宋体"/>
                <w:color w:val="000000"/>
                <w:kern w:val="0"/>
                <w:sz w:val="18"/>
                <w:szCs w:val="18"/>
              </w:rPr>
            </w:pPr>
          </w:p>
        </w:tc>
        <w:tc>
          <w:tcPr>
            <w:tcW w:w="1722"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180" w:lineRule="exact"/>
              <w:jc w:val="left"/>
              <w:rPr>
                <w:rFonts w:ascii="宋体" w:hAnsi="宋体" w:cs="宋体"/>
                <w:color w:val="000000"/>
                <w:kern w:val="0"/>
                <w:sz w:val="18"/>
                <w:szCs w:val="18"/>
              </w:rPr>
            </w:pPr>
          </w:p>
        </w:tc>
        <w:tc>
          <w:tcPr>
            <w:tcW w:w="752"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180" w:lineRule="exact"/>
              <w:jc w:val="left"/>
              <w:rPr>
                <w:rFonts w:ascii="宋体" w:hAnsi="宋体" w:cs="宋体"/>
                <w:color w:val="000000"/>
                <w:kern w:val="0"/>
                <w:sz w:val="18"/>
                <w:szCs w:val="18"/>
              </w:rPr>
            </w:pPr>
          </w:p>
        </w:tc>
        <w:tc>
          <w:tcPr>
            <w:tcW w:w="184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带货直播展厅布置</w:t>
            </w:r>
          </w:p>
        </w:tc>
        <w:tc>
          <w:tcPr>
            <w:tcW w:w="85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5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993"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1275"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8个</w:t>
            </w:r>
          </w:p>
        </w:tc>
        <w:tc>
          <w:tcPr>
            <w:tcW w:w="709"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113"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3566"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55"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180" w:lineRule="exact"/>
              <w:jc w:val="left"/>
              <w:rPr>
                <w:rFonts w:ascii="宋体" w:hAnsi="宋体" w:cs="宋体"/>
                <w:color w:val="000000"/>
                <w:kern w:val="0"/>
                <w:sz w:val="18"/>
                <w:szCs w:val="18"/>
              </w:rPr>
            </w:pPr>
          </w:p>
        </w:tc>
        <w:tc>
          <w:tcPr>
            <w:tcW w:w="1722"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180" w:lineRule="exact"/>
              <w:jc w:val="left"/>
              <w:rPr>
                <w:rFonts w:ascii="宋体" w:hAnsi="宋体" w:cs="宋体"/>
                <w:color w:val="000000"/>
                <w:kern w:val="0"/>
                <w:sz w:val="18"/>
                <w:szCs w:val="18"/>
              </w:rPr>
            </w:pPr>
          </w:p>
        </w:tc>
        <w:tc>
          <w:tcPr>
            <w:tcW w:w="75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84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完成女儿节各项活动</w:t>
            </w:r>
          </w:p>
        </w:tc>
        <w:tc>
          <w:tcPr>
            <w:tcW w:w="85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定性</w:t>
            </w:r>
          </w:p>
        </w:tc>
        <w:tc>
          <w:tcPr>
            <w:tcW w:w="85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优良中低差</w:t>
            </w:r>
          </w:p>
        </w:tc>
        <w:tc>
          <w:tcPr>
            <w:tcW w:w="993"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275"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100%</w:t>
            </w:r>
          </w:p>
        </w:tc>
        <w:tc>
          <w:tcPr>
            <w:tcW w:w="709"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113"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3566"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55"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180" w:lineRule="exact"/>
              <w:jc w:val="left"/>
              <w:rPr>
                <w:rFonts w:ascii="宋体" w:hAnsi="宋体" w:cs="宋体"/>
                <w:color w:val="000000"/>
                <w:kern w:val="0"/>
                <w:sz w:val="18"/>
                <w:szCs w:val="18"/>
              </w:rPr>
            </w:pPr>
          </w:p>
        </w:tc>
        <w:tc>
          <w:tcPr>
            <w:tcW w:w="1722"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180" w:lineRule="exact"/>
              <w:jc w:val="left"/>
              <w:rPr>
                <w:rFonts w:ascii="宋体" w:hAnsi="宋体" w:cs="宋体"/>
                <w:color w:val="000000"/>
                <w:kern w:val="0"/>
                <w:sz w:val="18"/>
                <w:szCs w:val="18"/>
              </w:rPr>
            </w:pPr>
          </w:p>
        </w:tc>
        <w:tc>
          <w:tcPr>
            <w:tcW w:w="75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84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12月30日</w:t>
            </w:r>
          </w:p>
        </w:tc>
        <w:tc>
          <w:tcPr>
            <w:tcW w:w="85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5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2022</w:t>
            </w:r>
          </w:p>
        </w:tc>
        <w:tc>
          <w:tcPr>
            <w:tcW w:w="993"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年</w:t>
            </w:r>
          </w:p>
        </w:tc>
        <w:tc>
          <w:tcPr>
            <w:tcW w:w="1275"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2022年</w:t>
            </w:r>
          </w:p>
        </w:tc>
        <w:tc>
          <w:tcPr>
            <w:tcW w:w="709"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113"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3566"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55"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180" w:lineRule="exact"/>
              <w:jc w:val="left"/>
              <w:rPr>
                <w:rFonts w:ascii="宋体" w:hAnsi="宋体" w:cs="宋体"/>
                <w:color w:val="000000"/>
                <w:kern w:val="0"/>
                <w:sz w:val="18"/>
                <w:szCs w:val="18"/>
              </w:rPr>
            </w:pPr>
          </w:p>
        </w:tc>
        <w:tc>
          <w:tcPr>
            <w:tcW w:w="1722"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180" w:lineRule="exact"/>
              <w:jc w:val="left"/>
              <w:rPr>
                <w:rFonts w:ascii="宋体" w:hAnsi="宋体" w:cs="宋体"/>
                <w:color w:val="000000"/>
                <w:kern w:val="0"/>
                <w:sz w:val="18"/>
                <w:szCs w:val="18"/>
              </w:rPr>
            </w:pPr>
          </w:p>
        </w:tc>
        <w:tc>
          <w:tcPr>
            <w:tcW w:w="75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84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按照财政预算资金执行</w:t>
            </w:r>
          </w:p>
        </w:tc>
        <w:tc>
          <w:tcPr>
            <w:tcW w:w="85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5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993"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275"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5万元</w:t>
            </w:r>
          </w:p>
        </w:tc>
        <w:tc>
          <w:tcPr>
            <w:tcW w:w="709"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113"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3566"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55"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180" w:lineRule="exact"/>
              <w:jc w:val="left"/>
              <w:rPr>
                <w:rFonts w:ascii="宋体" w:hAnsi="宋体" w:cs="宋体"/>
                <w:color w:val="000000"/>
                <w:kern w:val="0"/>
                <w:sz w:val="18"/>
                <w:szCs w:val="18"/>
              </w:rPr>
            </w:pP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75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社会效益指标</w:t>
            </w:r>
          </w:p>
        </w:tc>
        <w:tc>
          <w:tcPr>
            <w:tcW w:w="184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促进开放合作、搭建共建共享共赢的平台，展示天险蜀道、雄关剑门的良好形象</w:t>
            </w:r>
          </w:p>
        </w:tc>
        <w:tc>
          <w:tcPr>
            <w:tcW w:w="85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定性</w:t>
            </w:r>
          </w:p>
        </w:tc>
        <w:tc>
          <w:tcPr>
            <w:tcW w:w="85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优良中低差</w:t>
            </w:r>
          </w:p>
        </w:tc>
        <w:tc>
          <w:tcPr>
            <w:tcW w:w="993"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275"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100%</w:t>
            </w:r>
          </w:p>
        </w:tc>
        <w:tc>
          <w:tcPr>
            <w:tcW w:w="709"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1113"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3566"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55"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180" w:lineRule="exact"/>
              <w:jc w:val="left"/>
              <w:rPr>
                <w:rFonts w:ascii="宋体" w:hAnsi="宋体" w:cs="宋体"/>
                <w:color w:val="000000"/>
                <w:kern w:val="0"/>
                <w:sz w:val="18"/>
                <w:szCs w:val="18"/>
              </w:rPr>
            </w:pPr>
          </w:p>
        </w:tc>
        <w:tc>
          <w:tcPr>
            <w:tcW w:w="172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75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18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服务对象满意度指标</w:t>
            </w:r>
          </w:p>
        </w:tc>
        <w:tc>
          <w:tcPr>
            <w:tcW w:w="184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妇女群众满意度</w:t>
            </w:r>
          </w:p>
        </w:tc>
        <w:tc>
          <w:tcPr>
            <w:tcW w:w="85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5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98</w:t>
            </w:r>
          </w:p>
        </w:tc>
        <w:tc>
          <w:tcPr>
            <w:tcW w:w="993"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275"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98%</w:t>
            </w:r>
          </w:p>
        </w:tc>
        <w:tc>
          <w:tcPr>
            <w:tcW w:w="709"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113"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3566"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55"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180" w:lineRule="exact"/>
              <w:jc w:val="left"/>
              <w:rPr>
                <w:rFonts w:ascii="宋体" w:hAnsi="宋体" w:cs="宋体"/>
                <w:color w:val="000000"/>
                <w:kern w:val="0"/>
                <w:sz w:val="18"/>
                <w:szCs w:val="18"/>
              </w:rPr>
            </w:pPr>
          </w:p>
        </w:tc>
        <w:tc>
          <w:tcPr>
            <w:tcW w:w="1722"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180" w:lineRule="exact"/>
              <w:jc w:val="left"/>
              <w:rPr>
                <w:rFonts w:ascii="宋体" w:hAnsi="宋体" w:cs="宋体"/>
                <w:color w:val="000000"/>
                <w:kern w:val="0"/>
                <w:sz w:val="18"/>
                <w:szCs w:val="18"/>
              </w:rPr>
            </w:pPr>
          </w:p>
        </w:tc>
        <w:tc>
          <w:tcPr>
            <w:tcW w:w="752"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180" w:lineRule="exact"/>
              <w:jc w:val="left"/>
              <w:rPr>
                <w:rFonts w:ascii="宋体" w:hAnsi="宋体" w:cs="宋体"/>
                <w:color w:val="000000"/>
                <w:kern w:val="0"/>
                <w:sz w:val="18"/>
                <w:szCs w:val="18"/>
              </w:rPr>
            </w:pPr>
          </w:p>
        </w:tc>
        <w:tc>
          <w:tcPr>
            <w:tcW w:w="184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主管部门满意度</w:t>
            </w:r>
          </w:p>
        </w:tc>
        <w:tc>
          <w:tcPr>
            <w:tcW w:w="85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5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98</w:t>
            </w:r>
          </w:p>
        </w:tc>
        <w:tc>
          <w:tcPr>
            <w:tcW w:w="993"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275"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98%</w:t>
            </w:r>
          </w:p>
        </w:tc>
        <w:tc>
          <w:tcPr>
            <w:tcW w:w="709"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113"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3566"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55" w:hRule="atLeast"/>
        </w:trPr>
        <w:tc>
          <w:tcPr>
            <w:tcW w:w="908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709"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113"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92</w:t>
            </w:r>
          </w:p>
        </w:tc>
        <w:tc>
          <w:tcPr>
            <w:tcW w:w="3566"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55" w:hRule="atLeast"/>
        </w:trPr>
        <w:tc>
          <w:tcPr>
            <w:tcW w:w="798" w:type="dxa"/>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180" w:lineRule="exact"/>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13673" w:type="dxa"/>
            <w:gridSpan w:val="13"/>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 xml:space="preserve">广元女儿节活动经费自评得分92分。广元女儿节赛龙舟比赛剑阁县荣获全市第二名。通过活动开展提升群众参与经济社会建设的能力；促进开放合作、搭建共建共享共赢的平台，展示天险蜀道、雄关剑门的良好形象 </w:t>
            </w:r>
          </w:p>
        </w:tc>
      </w:tr>
      <w:tr>
        <w:tblPrEx>
          <w:tblCellMar>
            <w:top w:w="0" w:type="dxa"/>
            <w:left w:w="108" w:type="dxa"/>
            <w:bottom w:w="0" w:type="dxa"/>
            <w:right w:w="108" w:type="dxa"/>
          </w:tblCellMar>
        </w:tblPrEx>
        <w:trPr>
          <w:trHeight w:val="255" w:hRule="atLeast"/>
        </w:trPr>
        <w:tc>
          <w:tcPr>
            <w:tcW w:w="798" w:type="dxa"/>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18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13673" w:type="dxa"/>
            <w:gridSpan w:val="13"/>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广元女儿节活动经费是年底用收回的存量资金安排的预算，资金到账后，县妇联积极申请计划，由于年底财政资金紧张，未能及时审核资金。加之赶上年底决算，导致资金没有及时支付。</w:t>
            </w:r>
          </w:p>
        </w:tc>
      </w:tr>
      <w:tr>
        <w:tblPrEx>
          <w:tblCellMar>
            <w:top w:w="0" w:type="dxa"/>
            <w:left w:w="108" w:type="dxa"/>
            <w:bottom w:w="0" w:type="dxa"/>
            <w:right w:w="108" w:type="dxa"/>
          </w:tblCellMar>
        </w:tblPrEx>
        <w:trPr>
          <w:trHeight w:val="255" w:hRule="atLeast"/>
        </w:trPr>
        <w:tc>
          <w:tcPr>
            <w:tcW w:w="798" w:type="dxa"/>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18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13673" w:type="dxa"/>
            <w:gridSpan w:val="13"/>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希望财政能在年初就把广元女儿节活动经费列入预算项目内。</w:t>
            </w:r>
          </w:p>
        </w:tc>
      </w:tr>
      <w:tr>
        <w:tblPrEx>
          <w:tblCellMar>
            <w:top w:w="0" w:type="dxa"/>
            <w:left w:w="108" w:type="dxa"/>
            <w:bottom w:w="0" w:type="dxa"/>
            <w:right w:w="108" w:type="dxa"/>
          </w:tblCellMar>
        </w:tblPrEx>
        <w:trPr>
          <w:trHeight w:val="255" w:hRule="atLeast"/>
        </w:trPr>
        <w:tc>
          <w:tcPr>
            <w:tcW w:w="700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180" w:lineRule="exact"/>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项目负责人：刘懿</w:t>
            </w:r>
          </w:p>
        </w:tc>
        <w:tc>
          <w:tcPr>
            <w:tcW w:w="7464" w:type="dxa"/>
            <w:gridSpan w:val="7"/>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180" w:lineRule="exact"/>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财务负责人：缑春秀</w:t>
            </w:r>
          </w:p>
        </w:tc>
      </w:tr>
    </w:tbl>
    <w:p>
      <w:pPr>
        <w:overflowPunct w:val="0"/>
        <w:autoSpaceDE w:val="0"/>
        <w:autoSpaceDN w:val="0"/>
        <w:spacing w:line="80" w:lineRule="exact"/>
        <w:jc w:val="left"/>
        <w:rPr>
          <w:rFonts w:ascii="宋体" w:hAnsi="宋体" w:cs="宋体"/>
          <w:kern w:val="0"/>
          <w:sz w:val="18"/>
          <w:szCs w:val="18"/>
        </w:rPr>
      </w:pPr>
    </w:p>
    <w:p>
      <w:pPr>
        <w:overflowPunct w:val="0"/>
        <w:autoSpaceDE w:val="0"/>
        <w:autoSpaceDN w:val="0"/>
        <w:spacing w:line="80" w:lineRule="exact"/>
        <w:jc w:val="left"/>
        <w:rPr>
          <w:rFonts w:ascii="宋体" w:hAnsi="宋体" w:cs="宋体"/>
          <w:kern w:val="0"/>
          <w:sz w:val="18"/>
          <w:szCs w:val="18"/>
        </w:rPr>
      </w:pPr>
    </w:p>
    <w:p>
      <w:pPr>
        <w:overflowPunct w:val="0"/>
        <w:autoSpaceDE w:val="0"/>
        <w:autoSpaceDN w:val="0"/>
        <w:spacing w:line="80" w:lineRule="exact"/>
        <w:jc w:val="left"/>
        <w:rPr>
          <w:rFonts w:ascii="宋体" w:hAnsi="宋体" w:cs="宋体"/>
          <w:kern w:val="0"/>
          <w:sz w:val="18"/>
          <w:szCs w:val="18"/>
        </w:rPr>
      </w:pPr>
    </w:p>
    <w:p>
      <w:pPr>
        <w:overflowPunct w:val="0"/>
        <w:autoSpaceDE w:val="0"/>
        <w:autoSpaceDN w:val="0"/>
        <w:spacing w:line="80" w:lineRule="exact"/>
        <w:jc w:val="left"/>
        <w:rPr>
          <w:rFonts w:ascii="宋体" w:hAnsi="宋体" w:cs="宋体"/>
          <w:kern w:val="0"/>
          <w:sz w:val="18"/>
          <w:szCs w:val="18"/>
        </w:rPr>
      </w:pPr>
    </w:p>
    <w:tbl>
      <w:tblPr>
        <w:tblStyle w:val="14"/>
        <w:tblW w:w="14471" w:type="dxa"/>
        <w:tblInd w:w="96" w:type="dxa"/>
        <w:tblLayout w:type="fixed"/>
        <w:tblCellMar>
          <w:top w:w="0" w:type="dxa"/>
          <w:left w:w="108" w:type="dxa"/>
          <w:bottom w:w="0" w:type="dxa"/>
          <w:right w:w="108" w:type="dxa"/>
        </w:tblCellMar>
      </w:tblPr>
      <w:tblGrid>
        <w:gridCol w:w="798"/>
        <w:gridCol w:w="1722"/>
        <w:gridCol w:w="1035"/>
        <w:gridCol w:w="142"/>
        <w:gridCol w:w="250"/>
        <w:gridCol w:w="2018"/>
        <w:gridCol w:w="315"/>
        <w:gridCol w:w="727"/>
        <w:gridCol w:w="801"/>
        <w:gridCol w:w="141"/>
        <w:gridCol w:w="298"/>
        <w:gridCol w:w="459"/>
        <w:gridCol w:w="94"/>
        <w:gridCol w:w="970"/>
        <w:gridCol w:w="380"/>
        <w:gridCol w:w="67"/>
        <w:gridCol w:w="175"/>
        <w:gridCol w:w="251"/>
        <w:gridCol w:w="141"/>
        <w:gridCol w:w="121"/>
        <w:gridCol w:w="3566"/>
      </w:tblGrid>
      <w:tr>
        <w:tblPrEx>
          <w:tblCellMar>
            <w:top w:w="0" w:type="dxa"/>
            <w:left w:w="108" w:type="dxa"/>
            <w:bottom w:w="0" w:type="dxa"/>
            <w:right w:w="108" w:type="dxa"/>
          </w:tblCellMar>
        </w:tblPrEx>
        <w:trPr>
          <w:trHeight w:val="340" w:hRule="atLeast"/>
        </w:trPr>
        <w:tc>
          <w:tcPr>
            <w:tcW w:w="14471"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560" w:lineRule="exact"/>
              <w:jc w:val="center"/>
              <w:rPr>
                <w:rFonts w:ascii="方正小标宋简体" w:hAnsi="方正小标宋简体" w:eastAsia="方正小标宋简体" w:cs="方正小标宋简体"/>
                <w:b/>
                <w:bCs/>
                <w:color w:val="000000"/>
                <w:kern w:val="0"/>
                <w:sz w:val="40"/>
                <w:szCs w:val="40"/>
              </w:rPr>
            </w:pPr>
            <w:r>
              <w:rPr>
                <w:rFonts w:hint="eastAsia" w:ascii="方正小标宋简体" w:hAnsi="方正小标宋简体" w:eastAsia="方正小标宋简体" w:cs="方正小标宋简体"/>
                <w:b/>
                <w:bCs/>
                <w:color w:val="000000"/>
                <w:kern w:val="0"/>
                <w:sz w:val="40"/>
                <w:szCs w:val="40"/>
              </w:rPr>
              <w:t>部门预算项目支出绩效自评表（2022年度）</w:t>
            </w:r>
          </w:p>
        </w:tc>
      </w:tr>
      <w:tr>
        <w:tblPrEx>
          <w:tblCellMar>
            <w:top w:w="0" w:type="dxa"/>
            <w:left w:w="108" w:type="dxa"/>
            <w:bottom w:w="0" w:type="dxa"/>
            <w:right w:w="108" w:type="dxa"/>
          </w:tblCellMar>
        </w:tblPrEx>
        <w:trPr>
          <w:trHeight w:val="283" w:hRule="atLeast"/>
        </w:trPr>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11951" w:type="dxa"/>
            <w:gridSpan w:val="19"/>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51082321T000000094120-三八节工作经费</w:t>
            </w:r>
          </w:p>
        </w:tc>
      </w:tr>
      <w:tr>
        <w:tblPrEx>
          <w:tblCellMar>
            <w:top w:w="0" w:type="dxa"/>
            <w:left w:w="108" w:type="dxa"/>
            <w:bottom w:w="0" w:type="dxa"/>
            <w:right w:w="108" w:type="dxa"/>
          </w:tblCellMar>
        </w:tblPrEx>
        <w:trPr>
          <w:trHeight w:val="283" w:hRule="atLeast"/>
        </w:trPr>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6186" w:type="dxa"/>
            <w:gridSpan w:val="10"/>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剑阁县妇女联合会本级</w:t>
            </w:r>
          </w:p>
        </w:tc>
        <w:tc>
          <w:tcPr>
            <w:tcW w:w="1444" w:type="dxa"/>
            <w:gridSpan w:val="3"/>
            <w:tcBorders>
              <w:top w:val="nil"/>
              <w:left w:val="nil"/>
              <w:bottom w:val="nil"/>
              <w:right w:val="nil"/>
            </w:tcBorders>
            <w:shd w:val="clear" w:color="auto" w:fill="auto"/>
            <w:vAlign w:val="center"/>
          </w:tcPr>
          <w:p>
            <w:pPr>
              <w:overflowPunct w:val="0"/>
              <w:autoSpaceDE w:val="0"/>
              <w:autoSpaceDN w:val="0"/>
              <w:spacing w:line="200" w:lineRule="exact"/>
              <w:ind w:left="-105" w:leftChars="-50" w:right="-105" w:rightChars="-50"/>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实施单位（盖章）</w:t>
            </w:r>
          </w:p>
        </w:tc>
        <w:tc>
          <w:tcPr>
            <w:tcW w:w="43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剑阁县妇女联合会</w:t>
            </w:r>
          </w:p>
        </w:tc>
      </w:tr>
      <w:tr>
        <w:tblPrEx>
          <w:tblCellMar>
            <w:top w:w="0" w:type="dxa"/>
            <w:left w:w="108" w:type="dxa"/>
            <w:bottom w:w="0" w:type="dxa"/>
            <w:right w:w="108" w:type="dxa"/>
          </w:tblCellMar>
        </w:tblPrEx>
        <w:trPr>
          <w:trHeight w:val="283" w:hRule="atLeast"/>
        </w:trPr>
        <w:tc>
          <w:tcPr>
            <w:tcW w:w="798"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72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6186" w:type="dxa"/>
            <w:gridSpan w:val="10"/>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5765" w:type="dxa"/>
            <w:gridSpan w:val="9"/>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283"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6186" w:type="dxa"/>
            <w:gridSpan w:val="10"/>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160" w:lineRule="exact"/>
              <w:jc w:val="left"/>
              <w:rPr>
                <w:rFonts w:ascii="宋体" w:hAnsi="宋体" w:cs="宋体"/>
                <w:color w:val="000000"/>
                <w:kern w:val="0"/>
                <w:sz w:val="18"/>
                <w:szCs w:val="18"/>
              </w:rPr>
            </w:pPr>
            <w:r>
              <w:rPr>
                <w:rFonts w:hint="eastAsia" w:ascii="宋体" w:hAnsi="宋体" w:cs="宋体"/>
                <w:color w:val="000000"/>
                <w:kern w:val="0"/>
                <w:sz w:val="18"/>
                <w:szCs w:val="18"/>
              </w:rPr>
              <w:t>根据活动方案，完成纪念三八妇女节各项活动，评选先进个人和先进集体；邀请教授进行“倡清廉家风 建最美家庭”为主题廉政文化进家庭知识专题讲座；完成首届女子篮球比赛活动。</w:t>
            </w:r>
          </w:p>
        </w:tc>
        <w:tc>
          <w:tcPr>
            <w:tcW w:w="5765" w:type="dxa"/>
            <w:gridSpan w:val="9"/>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160" w:lineRule="exact"/>
              <w:jc w:val="left"/>
              <w:rPr>
                <w:rFonts w:ascii="宋体" w:hAnsi="宋体" w:cs="宋体"/>
                <w:color w:val="000000"/>
                <w:kern w:val="0"/>
                <w:sz w:val="18"/>
                <w:szCs w:val="18"/>
              </w:rPr>
            </w:pPr>
            <w:r>
              <w:rPr>
                <w:rFonts w:hint="eastAsia" w:ascii="宋体" w:hAnsi="宋体" w:cs="宋体"/>
                <w:color w:val="000000"/>
                <w:kern w:val="0"/>
                <w:sz w:val="18"/>
                <w:szCs w:val="18"/>
              </w:rPr>
              <w:t>举办以“巾帼心向党•喜迎二十大”为主题的“三八”国际劳动妇女节112周年座谈会，15个县级“三八红旗集体”“妇女（两纲）工作先进集体”，50名“三八红旗手”“妇女（两纲）工作先进个人”“最美家庭”“五好家庭”荣获</w:t>
            </w:r>
            <w:r>
              <w:rPr>
                <w:rFonts w:hint="eastAsia" w:ascii="宋体" w:hAnsi="宋体" w:cs="宋体"/>
                <w:color w:val="000000"/>
                <w:kern w:val="0"/>
                <w:sz w:val="18"/>
                <w:szCs w:val="18"/>
                <w:lang w:eastAsia="zh-CN"/>
              </w:rPr>
              <w:t>县委县政府</w:t>
            </w:r>
            <w:r>
              <w:rPr>
                <w:rFonts w:hint="eastAsia" w:ascii="宋体" w:hAnsi="宋体" w:cs="宋体"/>
                <w:color w:val="000000"/>
                <w:kern w:val="0"/>
                <w:sz w:val="18"/>
                <w:szCs w:val="18"/>
              </w:rPr>
              <w:t>表彰。</w:t>
            </w:r>
          </w:p>
        </w:tc>
      </w:tr>
      <w:tr>
        <w:tblPrEx>
          <w:tblCellMar>
            <w:top w:w="0" w:type="dxa"/>
            <w:left w:w="108" w:type="dxa"/>
            <w:bottom w:w="0" w:type="dxa"/>
            <w:right w:w="108" w:type="dxa"/>
          </w:tblCellMar>
        </w:tblPrEx>
        <w:trPr>
          <w:trHeight w:val="283"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11951" w:type="dxa"/>
            <w:gridSpan w:val="19"/>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县妇联撰写三八节活动方案的初稿，上报分管领导审签，在报主要领导审核。分配先进名额，统计汇总后到相关单位核实。举办以“巾帼心向党•喜迎二十大”为主题的“三八”国际劳动妇女节112周年座谈会，15个县级“三八红旗集体”“妇女（两纲）工作先进集体”，50名“三八红旗手”“妇女（两纲）工作先进个人”“最美家庭”“五好家庭”荣获</w:t>
            </w:r>
            <w:r>
              <w:rPr>
                <w:rFonts w:hint="eastAsia" w:ascii="宋体" w:hAnsi="宋体" w:cs="宋体"/>
                <w:color w:val="000000"/>
                <w:kern w:val="0"/>
                <w:sz w:val="18"/>
                <w:szCs w:val="18"/>
                <w:lang w:eastAsia="zh-CN"/>
              </w:rPr>
              <w:t>县委县政府</w:t>
            </w:r>
            <w:r>
              <w:rPr>
                <w:rFonts w:hint="eastAsia" w:ascii="宋体" w:hAnsi="宋体" w:cs="宋体"/>
                <w:color w:val="000000"/>
                <w:kern w:val="0"/>
                <w:sz w:val="18"/>
                <w:szCs w:val="18"/>
              </w:rPr>
              <w:t>表彰。</w:t>
            </w:r>
          </w:p>
        </w:tc>
      </w:tr>
      <w:tr>
        <w:tblPrEx>
          <w:tblCellMar>
            <w:top w:w="0" w:type="dxa"/>
            <w:left w:w="108" w:type="dxa"/>
            <w:bottom w:w="0" w:type="dxa"/>
            <w:right w:w="108" w:type="dxa"/>
          </w:tblCellMar>
        </w:tblPrEx>
        <w:trPr>
          <w:trHeight w:val="283" w:hRule="atLeast"/>
        </w:trPr>
        <w:tc>
          <w:tcPr>
            <w:tcW w:w="798"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1035"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2410"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2835" w:type="dxa"/>
            <w:gridSpan w:val="7"/>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97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44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567"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368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227"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1035"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5.00</w:t>
            </w:r>
          </w:p>
        </w:tc>
        <w:tc>
          <w:tcPr>
            <w:tcW w:w="2410"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5.00</w:t>
            </w:r>
          </w:p>
        </w:tc>
        <w:tc>
          <w:tcPr>
            <w:tcW w:w="2835" w:type="dxa"/>
            <w:gridSpan w:val="7"/>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5.00</w:t>
            </w:r>
          </w:p>
        </w:tc>
        <w:tc>
          <w:tcPr>
            <w:tcW w:w="97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44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67"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3687"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227"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1035"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5.00</w:t>
            </w:r>
          </w:p>
        </w:tc>
        <w:tc>
          <w:tcPr>
            <w:tcW w:w="2410"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5.00</w:t>
            </w:r>
          </w:p>
        </w:tc>
        <w:tc>
          <w:tcPr>
            <w:tcW w:w="2835" w:type="dxa"/>
            <w:gridSpan w:val="7"/>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5.00</w:t>
            </w:r>
          </w:p>
        </w:tc>
        <w:tc>
          <w:tcPr>
            <w:tcW w:w="97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44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7"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687" w:type="dxa"/>
            <w:gridSpan w:val="2"/>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227"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1035"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410"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835" w:type="dxa"/>
            <w:gridSpan w:val="7"/>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97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44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7"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687" w:type="dxa"/>
            <w:gridSpan w:val="2"/>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227"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1035"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410"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835" w:type="dxa"/>
            <w:gridSpan w:val="7"/>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97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44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7"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687" w:type="dxa"/>
            <w:gridSpan w:val="2"/>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227"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1035"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2410"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2835" w:type="dxa"/>
            <w:gridSpan w:val="7"/>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97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44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7"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687" w:type="dxa"/>
            <w:gridSpan w:val="2"/>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283" w:hRule="atLeast"/>
        </w:trPr>
        <w:tc>
          <w:tcPr>
            <w:tcW w:w="798"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1035"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2410"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042"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80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992" w:type="dxa"/>
            <w:gridSpan w:val="4"/>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97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44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567"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left"/>
              <w:rPr>
                <w:rFonts w:ascii="宋体" w:hAnsi="宋体" w:cs="宋体"/>
                <w:color w:val="000000"/>
                <w:kern w:val="0"/>
                <w:sz w:val="18"/>
                <w:szCs w:val="18"/>
              </w:rPr>
            </w:pPr>
            <w:r>
              <w:rPr>
                <w:rFonts w:hint="eastAsia" w:ascii="宋体" w:hAnsi="宋体" w:cs="宋体"/>
                <w:color w:val="000000"/>
                <w:kern w:val="0"/>
                <w:sz w:val="18"/>
                <w:szCs w:val="18"/>
              </w:rPr>
              <w:t>得分</w:t>
            </w:r>
          </w:p>
        </w:tc>
        <w:tc>
          <w:tcPr>
            <w:tcW w:w="368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283"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035"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2410"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三八节首届女子篮球比赛</w:t>
            </w:r>
          </w:p>
        </w:tc>
        <w:tc>
          <w:tcPr>
            <w:tcW w:w="1042"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0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992" w:type="dxa"/>
            <w:gridSpan w:val="4"/>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场</w:t>
            </w:r>
          </w:p>
        </w:tc>
        <w:tc>
          <w:tcPr>
            <w:tcW w:w="97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1场</w:t>
            </w:r>
          </w:p>
        </w:tc>
        <w:tc>
          <w:tcPr>
            <w:tcW w:w="44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67"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368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3"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035"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2410"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三八节维权周宣传、三八节表彰会议</w:t>
            </w:r>
          </w:p>
        </w:tc>
        <w:tc>
          <w:tcPr>
            <w:tcW w:w="1042"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0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992" w:type="dxa"/>
            <w:gridSpan w:val="4"/>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场</w:t>
            </w:r>
          </w:p>
        </w:tc>
        <w:tc>
          <w:tcPr>
            <w:tcW w:w="97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1场</w:t>
            </w:r>
          </w:p>
        </w:tc>
        <w:tc>
          <w:tcPr>
            <w:tcW w:w="44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567"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368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3"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035"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2410"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邀请教授讲座</w:t>
            </w:r>
          </w:p>
        </w:tc>
        <w:tc>
          <w:tcPr>
            <w:tcW w:w="1042"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0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992" w:type="dxa"/>
            <w:gridSpan w:val="4"/>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场次</w:t>
            </w:r>
          </w:p>
        </w:tc>
        <w:tc>
          <w:tcPr>
            <w:tcW w:w="97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1场次</w:t>
            </w:r>
          </w:p>
        </w:tc>
        <w:tc>
          <w:tcPr>
            <w:tcW w:w="44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567"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368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3"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035"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2410"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加强妇女联谊，增强友谊</w:t>
            </w:r>
          </w:p>
        </w:tc>
        <w:tc>
          <w:tcPr>
            <w:tcW w:w="1042"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定性</w:t>
            </w:r>
          </w:p>
        </w:tc>
        <w:tc>
          <w:tcPr>
            <w:tcW w:w="80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优良中低差</w:t>
            </w:r>
          </w:p>
        </w:tc>
        <w:tc>
          <w:tcPr>
            <w:tcW w:w="992" w:type="dxa"/>
            <w:gridSpan w:val="4"/>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7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100%</w:t>
            </w:r>
          </w:p>
        </w:tc>
        <w:tc>
          <w:tcPr>
            <w:tcW w:w="44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67"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368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3"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035"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2410"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3月10日</w:t>
            </w:r>
          </w:p>
        </w:tc>
        <w:tc>
          <w:tcPr>
            <w:tcW w:w="1042"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0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2022</w:t>
            </w:r>
          </w:p>
        </w:tc>
        <w:tc>
          <w:tcPr>
            <w:tcW w:w="992" w:type="dxa"/>
            <w:gridSpan w:val="4"/>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年</w:t>
            </w:r>
          </w:p>
        </w:tc>
        <w:tc>
          <w:tcPr>
            <w:tcW w:w="97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2022年</w:t>
            </w:r>
          </w:p>
        </w:tc>
        <w:tc>
          <w:tcPr>
            <w:tcW w:w="44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67"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368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3"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035"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2410"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开展各项活动需资金5万元</w:t>
            </w:r>
          </w:p>
        </w:tc>
        <w:tc>
          <w:tcPr>
            <w:tcW w:w="1042"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2022</w:t>
            </w:r>
          </w:p>
        </w:tc>
        <w:tc>
          <w:tcPr>
            <w:tcW w:w="80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992" w:type="dxa"/>
            <w:gridSpan w:val="4"/>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97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5万元</w:t>
            </w:r>
          </w:p>
        </w:tc>
        <w:tc>
          <w:tcPr>
            <w:tcW w:w="44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67"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368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3"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035"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社会效益指标</w:t>
            </w:r>
          </w:p>
        </w:tc>
        <w:tc>
          <w:tcPr>
            <w:tcW w:w="2410"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增强广大妇女的凝聚力、战斗力</w:t>
            </w:r>
          </w:p>
        </w:tc>
        <w:tc>
          <w:tcPr>
            <w:tcW w:w="1042"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定性</w:t>
            </w:r>
          </w:p>
        </w:tc>
        <w:tc>
          <w:tcPr>
            <w:tcW w:w="80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优良中低差</w:t>
            </w:r>
          </w:p>
        </w:tc>
        <w:tc>
          <w:tcPr>
            <w:tcW w:w="992" w:type="dxa"/>
            <w:gridSpan w:val="4"/>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7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100%</w:t>
            </w:r>
          </w:p>
        </w:tc>
        <w:tc>
          <w:tcPr>
            <w:tcW w:w="44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567"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368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27"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035"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服务对象满意度指标</w:t>
            </w:r>
          </w:p>
        </w:tc>
        <w:tc>
          <w:tcPr>
            <w:tcW w:w="2410"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妇女群众满意度</w:t>
            </w:r>
          </w:p>
        </w:tc>
        <w:tc>
          <w:tcPr>
            <w:tcW w:w="1042"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0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98</w:t>
            </w:r>
          </w:p>
        </w:tc>
        <w:tc>
          <w:tcPr>
            <w:tcW w:w="992" w:type="dxa"/>
            <w:gridSpan w:val="4"/>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7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98%</w:t>
            </w:r>
          </w:p>
        </w:tc>
        <w:tc>
          <w:tcPr>
            <w:tcW w:w="44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567"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368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27"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035"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2410"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主管部门满意度</w:t>
            </w:r>
          </w:p>
        </w:tc>
        <w:tc>
          <w:tcPr>
            <w:tcW w:w="1042"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0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98</w:t>
            </w:r>
          </w:p>
        </w:tc>
        <w:tc>
          <w:tcPr>
            <w:tcW w:w="992" w:type="dxa"/>
            <w:gridSpan w:val="4"/>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7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98%</w:t>
            </w:r>
          </w:p>
        </w:tc>
        <w:tc>
          <w:tcPr>
            <w:tcW w:w="44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567"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368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27" w:hRule="atLeast"/>
        </w:trPr>
        <w:tc>
          <w:tcPr>
            <w:tcW w:w="9770"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44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567"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368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27" w:hRule="atLeast"/>
        </w:trPr>
        <w:tc>
          <w:tcPr>
            <w:tcW w:w="798" w:type="dxa"/>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left"/>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13673" w:type="dxa"/>
            <w:gridSpan w:val="20"/>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三八节工作经费自评等分100分。通过开展系列活动，展示妇女风采，激励妇女积极建功新时代。</w:t>
            </w:r>
          </w:p>
        </w:tc>
      </w:tr>
      <w:tr>
        <w:tblPrEx>
          <w:tblCellMar>
            <w:top w:w="0" w:type="dxa"/>
            <w:left w:w="108" w:type="dxa"/>
            <w:bottom w:w="0" w:type="dxa"/>
            <w:right w:w="108" w:type="dxa"/>
          </w:tblCellMar>
        </w:tblPrEx>
        <w:trPr>
          <w:trHeight w:val="227" w:hRule="atLeast"/>
        </w:trPr>
        <w:tc>
          <w:tcPr>
            <w:tcW w:w="798" w:type="dxa"/>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left"/>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13673" w:type="dxa"/>
            <w:gridSpan w:val="20"/>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无</w:t>
            </w:r>
          </w:p>
        </w:tc>
      </w:tr>
      <w:tr>
        <w:tblPrEx>
          <w:tblCellMar>
            <w:top w:w="0" w:type="dxa"/>
            <w:left w:w="108" w:type="dxa"/>
            <w:bottom w:w="0" w:type="dxa"/>
            <w:right w:w="108" w:type="dxa"/>
          </w:tblCellMar>
        </w:tblPrEx>
        <w:trPr>
          <w:trHeight w:val="227" w:hRule="atLeast"/>
        </w:trPr>
        <w:tc>
          <w:tcPr>
            <w:tcW w:w="798" w:type="dxa"/>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left"/>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13673" w:type="dxa"/>
            <w:gridSpan w:val="20"/>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无</w:t>
            </w:r>
          </w:p>
        </w:tc>
      </w:tr>
      <w:tr>
        <w:tblPrEx>
          <w:tblCellMar>
            <w:top w:w="0" w:type="dxa"/>
            <w:left w:w="108" w:type="dxa"/>
            <w:bottom w:w="0" w:type="dxa"/>
            <w:right w:w="108" w:type="dxa"/>
          </w:tblCellMar>
        </w:tblPrEx>
        <w:trPr>
          <w:trHeight w:val="227" w:hRule="atLeast"/>
        </w:trPr>
        <w:tc>
          <w:tcPr>
            <w:tcW w:w="700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项目负责人：贾哲军</w:t>
            </w:r>
          </w:p>
        </w:tc>
        <w:tc>
          <w:tcPr>
            <w:tcW w:w="7464" w:type="dxa"/>
            <w:gridSpan w:val="13"/>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财务负责人：缑春秀</w:t>
            </w:r>
          </w:p>
        </w:tc>
      </w:tr>
      <w:tr>
        <w:tblPrEx>
          <w:tblCellMar>
            <w:top w:w="0" w:type="dxa"/>
            <w:left w:w="108" w:type="dxa"/>
            <w:bottom w:w="0" w:type="dxa"/>
            <w:right w:w="108" w:type="dxa"/>
          </w:tblCellMar>
        </w:tblPrEx>
        <w:trPr>
          <w:trHeight w:val="340" w:hRule="atLeast"/>
        </w:trPr>
        <w:tc>
          <w:tcPr>
            <w:tcW w:w="798" w:type="dxa"/>
            <w:tcBorders>
              <w:top w:val="nil"/>
              <w:left w:val="nil"/>
              <w:bottom w:val="nil"/>
              <w:right w:val="nil"/>
            </w:tcBorders>
            <w:shd w:val="clear" w:color="auto" w:fill="auto"/>
            <w:vAlign w:val="center"/>
          </w:tcPr>
          <w:p>
            <w:pPr>
              <w:pStyle w:val="2"/>
              <w:overflowPunct w:val="0"/>
              <w:autoSpaceDE w:val="0"/>
              <w:autoSpaceDN w:val="0"/>
              <w:spacing w:beforeLines="0" w:line="200" w:lineRule="exact"/>
            </w:pPr>
          </w:p>
        </w:tc>
        <w:tc>
          <w:tcPr>
            <w:tcW w:w="1722" w:type="dxa"/>
            <w:tcBorders>
              <w:top w:val="nil"/>
              <w:left w:val="nil"/>
              <w:bottom w:val="nil"/>
              <w:right w:val="nil"/>
            </w:tcBorders>
            <w:shd w:val="clear" w:color="auto" w:fill="auto"/>
            <w:vAlign w:val="center"/>
          </w:tcPr>
          <w:p>
            <w:pPr>
              <w:overflowPunct w:val="0"/>
              <w:autoSpaceDE w:val="0"/>
              <w:autoSpaceDN w:val="0"/>
              <w:spacing w:line="200" w:lineRule="exact"/>
              <w:jc w:val="left"/>
              <w:rPr>
                <w:rFonts w:ascii="宋体" w:hAnsi="宋体" w:cs="宋体"/>
                <w:kern w:val="0"/>
                <w:sz w:val="18"/>
                <w:szCs w:val="18"/>
              </w:rPr>
            </w:pPr>
          </w:p>
        </w:tc>
        <w:tc>
          <w:tcPr>
            <w:tcW w:w="1427" w:type="dxa"/>
            <w:gridSpan w:val="3"/>
            <w:tcBorders>
              <w:top w:val="nil"/>
              <w:left w:val="nil"/>
              <w:bottom w:val="nil"/>
              <w:right w:val="nil"/>
            </w:tcBorders>
            <w:shd w:val="clear" w:color="auto" w:fill="auto"/>
            <w:vAlign w:val="center"/>
          </w:tcPr>
          <w:p>
            <w:pPr>
              <w:overflowPunct w:val="0"/>
              <w:autoSpaceDE w:val="0"/>
              <w:autoSpaceDN w:val="0"/>
              <w:spacing w:line="200" w:lineRule="exact"/>
              <w:jc w:val="left"/>
              <w:rPr>
                <w:rFonts w:ascii="宋体" w:hAnsi="宋体" w:cs="宋体"/>
                <w:kern w:val="0"/>
                <w:sz w:val="18"/>
                <w:szCs w:val="18"/>
              </w:rPr>
            </w:pPr>
          </w:p>
        </w:tc>
        <w:tc>
          <w:tcPr>
            <w:tcW w:w="2333" w:type="dxa"/>
            <w:gridSpan w:val="2"/>
            <w:tcBorders>
              <w:top w:val="nil"/>
              <w:left w:val="nil"/>
              <w:bottom w:val="nil"/>
              <w:right w:val="nil"/>
            </w:tcBorders>
            <w:shd w:val="clear" w:color="auto" w:fill="auto"/>
            <w:vAlign w:val="center"/>
          </w:tcPr>
          <w:p>
            <w:pPr>
              <w:overflowPunct w:val="0"/>
              <w:autoSpaceDE w:val="0"/>
              <w:autoSpaceDN w:val="0"/>
              <w:spacing w:line="200" w:lineRule="exact"/>
              <w:jc w:val="left"/>
              <w:rPr>
                <w:rFonts w:ascii="宋体" w:hAnsi="宋体" w:cs="宋体"/>
                <w:kern w:val="0"/>
                <w:sz w:val="18"/>
                <w:szCs w:val="18"/>
              </w:rPr>
            </w:pPr>
          </w:p>
        </w:tc>
        <w:tc>
          <w:tcPr>
            <w:tcW w:w="727" w:type="dxa"/>
            <w:tcBorders>
              <w:top w:val="nil"/>
              <w:left w:val="nil"/>
              <w:bottom w:val="nil"/>
              <w:right w:val="nil"/>
            </w:tcBorders>
            <w:shd w:val="clear" w:color="auto" w:fill="auto"/>
            <w:vAlign w:val="center"/>
          </w:tcPr>
          <w:p>
            <w:pPr>
              <w:overflowPunct w:val="0"/>
              <w:autoSpaceDE w:val="0"/>
              <w:autoSpaceDN w:val="0"/>
              <w:spacing w:line="200" w:lineRule="exact"/>
              <w:jc w:val="left"/>
              <w:rPr>
                <w:rFonts w:ascii="宋体" w:hAnsi="宋体" w:cs="宋体"/>
                <w:kern w:val="0"/>
                <w:sz w:val="18"/>
                <w:szCs w:val="18"/>
              </w:rPr>
            </w:pPr>
          </w:p>
        </w:tc>
        <w:tc>
          <w:tcPr>
            <w:tcW w:w="1240" w:type="dxa"/>
            <w:gridSpan w:val="3"/>
            <w:tcBorders>
              <w:top w:val="nil"/>
              <w:left w:val="nil"/>
              <w:bottom w:val="nil"/>
              <w:right w:val="nil"/>
            </w:tcBorders>
            <w:shd w:val="clear" w:color="auto" w:fill="auto"/>
            <w:vAlign w:val="center"/>
          </w:tcPr>
          <w:p>
            <w:pPr>
              <w:overflowPunct w:val="0"/>
              <w:autoSpaceDE w:val="0"/>
              <w:autoSpaceDN w:val="0"/>
              <w:spacing w:line="200" w:lineRule="exact"/>
              <w:jc w:val="left"/>
              <w:rPr>
                <w:rFonts w:ascii="宋体" w:hAnsi="宋体" w:cs="宋体"/>
                <w:kern w:val="0"/>
                <w:sz w:val="18"/>
                <w:szCs w:val="18"/>
              </w:rPr>
            </w:pPr>
          </w:p>
        </w:tc>
        <w:tc>
          <w:tcPr>
            <w:tcW w:w="459" w:type="dxa"/>
            <w:tcBorders>
              <w:top w:val="nil"/>
              <w:left w:val="nil"/>
              <w:bottom w:val="nil"/>
              <w:right w:val="nil"/>
            </w:tcBorders>
            <w:shd w:val="clear" w:color="auto" w:fill="auto"/>
            <w:vAlign w:val="center"/>
          </w:tcPr>
          <w:p>
            <w:pPr>
              <w:overflowPunct w:val="0"/>
              <w:autoSpaceDE w:val="0"/>
              <w:autoSpaceDN w:val="0"/>
              <w:spacing w:line="200" w:lineRule="exact"/>
              <w:jc w:val="left"/>
              <w:rPr>
                <w:rFonts w:ascii="宋体" w:hAnsi="宋体" w:cs="宋体"/>
                <w:kern w:val="0"/>
                <w:sz w:val="18"/>
                <w:szCs w:val="18"/>
              </w:rPr>
            </w:pPr>
          </w:p>
        </w:tc>
        <w:tc>
          <w:tcPr>
            <w:tcW w:w="1444" w:type="dxa"/>
            <w:gridSpan w:val="3"/>
            <w:tcBorders>
              <w:top w:val="nil"/>
              <w:left w:val="nil"/>
              <w:bottom w:val="nil"/>
              <w:right w:val="nil"/>
            </w:tcBorders>
            <w:shd w:val="clear" w:color="auto" w:fill="auto"/>
            <w:vAlign w:val="center"/>
          </w:tcPr>
          <w:p>
            <w:pPr>
              <w:overflowPunct w:val="0"/>
              <w:autoSpaceDE w:val="0"/>
              <w:autoSpaceDN w:val="0"/>
              <w:spacing w:line="200" w:lineRule="exact"/>
              <w:jc w:val="left"/>
              <w:rPr>
                <w:rFonts w:ascii="宋体" w:hAnsi="宋体" w:cs="宋体"/>
                <w:kern w:val="0"/>
                <w:sz w:val="18"/>
                <w:szCs w:val="18"/>
              </w:rPr>
            </w:pPr>
          </w:p>
        </w:tc>
        <w:tc>
          <w:tcPr>
            <w:tcW w:w="242" w:type="dxa"/>
            <w:gridSpan w:val="2"/>
            <w:tcBorders>
              <w:top w:val="nil"/>
              <w:left w:val="nil"/>
              <w:bottom w:val="nil"/>
              <w:right w:val="nil"/>
            </w:tcBorders>
            <w:shd w:val="clear" w:color="auto" w:fill="auto"/>
            <w:vAlign w:val="center"/>
          </w:tcPr>
          <w:p>
            <w:pPr>
              <w:overflowPunct w:val="0"/>
              <w:autoSpaceDE w:val="0"/>
              <w:autoSpaceDN w:val="0"/>
              <w:spacing w:line="200" w:lineRule="exact"/>
              <w:jc w:val="left"/>
              <w:rPr>
                <w:rFonts w:ascii="宋体" w:hAnsi="宋体" w:cs="宋体"/>
                <w:kern w:val="0"/>
                <w:sz w:val="18"/>
                <w:szCs w:val="18"/>
              </w:rPr>
            </w:pPr>
          </w:p>
        </w:tc>
        <w:tc>
          <w:tcPr>
            <w:tcW w:w="513" w:type="dxa"/>
            <w:gridSpan w:val="3"/>
            <w:tcBorders>
              <w:top w:val="nil"/>
              <w:left w:val="nil"/>
              <w:bottom w:val="nil"/>
              <w:right w:val="nil"/>
            </w:tcBorders>
            <w:shd w:val="clear" w:color="auto" w:fill="auto"/>
            <w:vAlign w:val="center"/>
          </w:tcPr>
          <w:p>
            <w:pPr>
              <w:overflowPunct w:val="0"/>
              <w:autoSpaceDE w:val="0"/>
              <w:autoSpaceDN w:val="0"/>
              <w:spacing w:line="200" w:lineRule="exact"/>
              <w:jc w:val="left"/>
              <w:rPr>
                <w:rFonts w:ascii="宋体" w:hAnsi="宋体" w:cs="宋体"/>
                <w:kern w:val="0"/>
                <w:sz w:val="18"/>
                <w:szCs w:val="18"/>
              </w:rPr>
            </w:pPr>
          </w:p>
        </w:tc>
        <w:tc>
          <w:tcPr>
            <w:tcW w:w="3566" w:type="dxa"/>
            <w:tcBorders>
              <w:top w:val="nil"/>
              <w:left w:val="nil"/>
              <w:bottom w:val="nil"/>
              <w:right w:val="nil"/>
            </w:tcBorders>
            <w:shd w:val="clear" w:color="auto" w:fill="auto"/>
            <w:vAlign w:val="center"/>
          </w:tcPr>
          <w:p>
            <w:pPr>
              <w:overflowPunct w:val="0"/>
              <w:autoSpaceDE w:val="0"/>
              <w:autoSpaceDN w:val="0"/>
              <w:spacing w:line="200" w:lineRule="exact"/>
              <w:jc w:val="left"/>
              <w:rPr>
                <w:rFonts w:ascii="宋体" w:hAnsi="宋体" w:cs="宋体"/>
                <w:kern w:val="0"/>
                <w:sz w:val="18"/>
                <w:szCs w:val="18"/>
              </w:rPr>
            </w:pPr>
          </w:p>
        </w:tc>
      </w:tr>
      <w:tr>
        <w:tblPrEx>
          <w:tblCellMar>
            <w:top w:w="0" w:type="dxa"/>
            <w:left w:w="108" w:type="dxa"/>
            <w:bottom w:w="0" w:type="dxa"/>
            <w:right w:w="108" w:type="dxa"/>
          </w:tblCellMar>
        </w:tblPrEx>
        <w:trPr>
          <w:trHeight w:val="340" w:hRule="atLeast"/>
        </w:trPr>
        <w:tc>
          <w:tcPr>
            <w:tcW w:w="14471"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560" w:lineRule="exact"/>
              <w:jc w:val="center"/>
              <w:rPr>
                <w:rFonts w:ascii="黑体" w:hAnsi="黑体" w:eastAsia="黑体" w:cs="宋体"/>
                <w:b/>
                <w:bCs/>
                <w:color w:val="000000"/>
                <w:kern w:val="0"/>
                <w:sz w:val="30"/>
                <w:szCs w:val="30"/>
              </w:rPr>
            </w:pPr>
            <w:r>
              <w:rPr>
                <w:rFonts w:hint="eastAsia" w:ascii="方正小标宋简体" w:hAnsi="方正小标宋简体" w:eastAsia="方正小标宋简体" w:cs="方正小标宋简体"/>
                <w:b/>
                <w:bCs/>
                <w:color w:val="000000"/>
                <w:kern w:val="0"/>
                <w:sz w:val="40"/>
                <w:szCs w:val="40"/>
              </w:rPr>
              <w:t>部门预算项目支出绩效自评表（2022年度）</w:t>
            </w:r>
          </w:p>
        </w:tc>
      </w:tr>
      <w:tr>
        <w:tblPrEx>
          <w:tblCellMar>
            <w:top w:w="0" w:type="dxa"/>
            <w:left w:w="108" w:type="dxa"/>
            <w:bottom w:w="0" w:type="dxa"/>
            <w:right w:w="108" w:type="dxa"/>
          </w:tblCellMar>
        </w:tblPrEx>
        <w:trPr>
          <w:trHeight w:val="227" w:hRule="atLeast"/>
        </w:trPr>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11951" w:type="dxa"/>
            <w:gridSpan w:val="19"/>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51082321T000000094324-两纲工作经费</w:t>
            </w:r>
          </w:p>
        </w:tc>
      </w:tr>
      <w:tr>
        <w:tblPrEx>
          <w:tblCellMar>
            <w:top w:w="0" w:type="dxa"/>
            <w:left w:w="108" w:type="dxa"/>
            <w:bottom w:w="0" w:type="dxa"/>
            <w:right w:w="108" w:type="dxa"/>
          </w:tblCellMar>
        </w:tblPrEx>
        <w:trPr>
          <w:trHeight w:val="227" w:hRule="atLeast"/>
        </w:trPr>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6186" w:type="dxa"/>
            <w:gridSpan w:val="10"/>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剑阁县妇女联合会本级</w:t>
            </w:r>
          </w:p>
        </w:tc>
        <w:tc>
          <w:tcPr>
            <w:tcW w:w="1444" w:type="dxa"/>
            <w:gridSpan w:val="3"/>
            <w:tcBorders>
              <w:top w:val="nil"/>
              <w:left w:val="nil"/>
              <w:bottom w:val="nil"/>
              <w:right w:val="nil"/>
            </w:tcBorders>
            <w:shd w:val="clear" w:color="auto" w:fill="auto"/>
            <w:vAlign w:val="center"/>
          </w:tcPr>
          <w:p>
            <w:pPr>
              <w:overflowPunct w:val="0"/>
              <w:autoSpaceDE w:val="0"/>
              <w:autoSpaceDN w:val="0"/>
              <w:spacing w:line="200" w:lineRule="exact"/>
              <w:ind w:left="-105" w:leftChars="-50" w:right="-105" w:rightChars="-50"/>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实施单位（盖章）</w:t>
            </w:r>
          </w:p>
        </w:tc>
        <w:tc>
          <w:tcPr>
            <w:tcW w:w="43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剑阁县妇女联合会</w:t>
            </w:r>
          </w:p>
        </w:tc>
      </w:tr>
      <w:tr>
        <w:tblPrEx>
          <w:tblCellMar>
            <w:top w:w="0" w:type="dxa"/>
            <w:left w:w="108" w:type="dxa"/>
            <w:bottom w:w="0" w:type="dxa"/>
            <w:right w:w="108" w:type="dxa"/>
          </w:tblCellMar>
        </w:tblPrEx>
        <w:trPr>
          <w:trHeight w:val="227" w:hRule="atLeast"/>
        </w:trPr>
        <w:tc>
          <w:tcPr>
            <w:tcW w:w="798"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72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6186" w:type="dxa"/>
            <w:gridSpan w:val="10"/>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5765" w:type="dxa"/>
            <w:gridSpan w:val="9"/>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340"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6186" w:type="dxa"/>
            <w:gridSpan w:val="10"/>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县妇儿工委在县委、县政府的坚强领导下，围绕我县妇女儿童发展主要目标任务，认真贯彻落实男女平等基本国策和儿童优先原则，切实维护妇女儿童合法权益，全面推进妇女儿童与社会经济同步协调发展。</w:t>
            </w:r>
          </w:p>
        </w:tc>
        <w:tc>
          <w:tcPr>
            <w:tcW w:w="5765" w:type="dxa"/>
            <w:gridSpan w:val="9"/>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完成《剑阁妇女发展纲要（2021-2030年）》《剑阁儿童发展纲要（2021-2030年）》的意见征集、编写及送审印制工作，为今后十年妇女儿童工作指明了方向奠定了基础；开展两纲业务培训、宣传2场次。</w:t>
            </w:r>
          </w:p>
        </w:tc>
      </w:tr>
      <w:tr>
        <w:tblPrEx>
          <w:tblCellMar>
            <w:top w:w="0" w:type="dxa"/>
            <w:left w:w="108" w:type="dxa"/>
            <w:bottom w:w="0" w:type="dxa"/>
            <w:right w:w="108" w:type="dxa"/>
          </w:tblCellMar>
        </w:tblPrEx>
        <w:trPr>
          <w:trHeight w:val="340"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11951" w:type="dxa"/>
            <w:gridSpan w:val="19"/>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县妇联牵头，召开成员单位会议，把剑阁妇女发展纲要（2021-2030年）》《剑阁儿童发展纲要（2021-2030年）》的意见征集发给成员单位，在规定时间上报，妇联专职人员进行梳理汇总，形成正式文稿呈报分管领导审核。开展两纲业务培训、宣传2场次。</w:t>
            </w:r>
          </w:p>
        </w:tc>
      </w:tr>
      <w:tr>
        <w:tblPrEx>
          <w:tblCellMar>
            <w:top w:w="0" w:type="dxa"/>
            <w:left w:w="108" w:type="dxa"/>
            <w:bottom w:w="0" w:type="dxa"/>
            <w:right w:w="108" w:type="dxa"/>
          </w:tblCellMar>
        </w:tblPrEx>
        <w:trPr>
          <w:trHeight w:val="340" w:hRule="atLeast"/>
        </w:trPr>
        <w:tc>
          <w:tcPr>
            <w:tcW w:w="798"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117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2583"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2426" w:type="dxa"/>
            <w:gridSpan w:val="5"/>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064"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left"/>
              <w:rPr>
                <w:rFonts w:ascii="宋体" w:hAnsi="宋体" w:cs="宋体"/>
                <w:color w:val="000000"/>
                <w:kern w:val="0"/>
                <w:sz w:val="18"/>
                <w:szCs w:val="18"/>
              </w:rPr>
            </w:pPr>
            <w:r>
              <w:rPr>
                <w:rFonts w:hint="eastAsia" w:ascii="宋体" w:hAnsi="宋体" w:cs="宋体"/>
                <w:color w:val="000000"/>
                <w:kern w:val="0"/>
                <w:sz w:val="18"/>
                <w:szCs w:val="18"/>
              </w:rPr>
              <w:t>预算</w:t>
            </w:r>
            <w:r>
              <w:rPr>
                <w:rFonts w:hint="eastAsia" w:ascii="Courier New" w:hAnsi="Courier New" w:cs="Courier New"/>
                <w:color w:val="000000"/>
                <w:kern w:val="0"/>
                <w:sz w:val="18"/>
                <w:szCs w:val="18"/>
              </w:rPr>
              <w:t>执行率</w:t>
            </w:r>
          </w:p>
        </w:tc>
        <w:tc>
          <w:tcPr>
            <w:tcW w:w="44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权重</w:t>
            </w:r>
          </w:p>
        </w:tc>
        <w:tc>
          <w:tcPr>
            <w:tcW w:w="426"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得分</w:t>
            </w:r>
          </w:p>
        </w:tc>
        <w:tc>
          <w:tcPr>
            <w:tcW w:w="3828"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40"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117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5.00</w:t>
            </w:r>
          </w:p>
        </w:tc>
        <w:tc>
          <w:tcPr>
            <w:tcW w:w="2583"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5.00</w:t>
            </w:r>
          </w:p>
        </w:tc>
        <w:tc>
          <w:tcPr>
            <w:tcW w:w="2426" w:type="dxa"/>
            <w:gridSpan w:val="5"/>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5.00</w:t>
            </w:r>
          </w:p>
        </w:tc>
        <w:tc>
          <w:tcPr>
            <w:tcW w:w="1064"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44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26"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3828"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340"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117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5.00</w:t>
            </w:r>
          </w:p>
        </w:tc>
        <w:tc>
          <w:tcPr>
            <w:tcW w:w="2583"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5.00</w:t>
            </w:r>
          </w:p>
        </w:tc>
        <w:tc>
          <w:tcPr>
            <w:tcW w:w="2426" w:type="dxa"/>
            <w:gridSpan w:val="5"/>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5.00</w:t>
            </w:r>
          </w:p>
        </w:tc>
        <w:tc>
          <w:tcPr>
            <w:tcW w:w="1064"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44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26"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828" w:type="dxa"/>
            <w:gridSpan w:val="3"/>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40"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117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583"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426" w:type="dxa"/>
            <w:gridSpan w:val="5"/>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64"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44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26"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828" w:type="dxa"/>
            <w:gridSpan w:val="3"/>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40"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117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583"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426" w:type="dxa"/>
            <w:gridSpan w:val="5"/>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64"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44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26"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828" w:type="dxa"/>
            <w:gridSpan w:val="3"/>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40"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117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2583"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2426" w:type="dxa"/>
            <w:gridSpan w:val="5"/>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64"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44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26"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828" w:type="dxa"/>
            <w:gridSpan w:val="3"/>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40" w:hRule="atLeast"/>
        </w:trPr>
        <w:tc>
          <w:tcPr>
            <w:tcW w:w="798"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117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2583"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72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指标性质</w:t>
            </w:r>
          </w:p>
        </w:tc>
        <w:tc>
          <w:tcPr>
            <w:tcW w:w="942"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75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1064"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44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权重</w:t>
            </w:r>
          </w:p>
        </w:tc>
        <w:tc>
          <w:tcPr>
            <w:tcW w:w="426"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得分</w:t>
            </w:r>
          </w:p>
        </w:tc>
        <w:tc>
          <w:tcPr>
            <w:tcW w:w="3828"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40"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17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2583"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开展两纲业务培训、宣传</w:t>
            </w:r>
          </w:p>
        </w:tc>
        <w:tc>
          <w:tcPr>
            <w:tcW w:w="72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42"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75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场次</w:t>
            </w:r>
          </w:p>
        </w:tc>
        <w:tc>
          <w:tcPr>
            <w:tcW w:w="1064"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2场次</w:t>
            </w:r>
          </w:p>
        </w:tc>
        <w:tc>
          <w:tcPr>
            <w:tcW w:w="44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426"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3828"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40"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17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2583"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增强干部素质，加强联络员队伍建设，完善联络员制度</w:t>
            </w:r>
          </w:p>
        </w:tc>
        <w:tc>
          <w:tcPr>
            <w:tcW w:w="72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定性</w:t>
            </w:r>
          </w:p>
        </w:tc>
        <w:tc>
          <w:tcPr>
            <w:tcW w:w="942"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优良中低差</w:t>
            </w:r>
          </w:p>
        </w:tc>
        <w:tc>
          <w:tcPr>
            <w:tcW w:w="75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64"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100%</w:t>
            </w:r>
          </w:p>
        </w:tc>
        <w:tc>
          <w:tcPr>
            <w:tcW w:w="44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26"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3828"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40"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17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2583"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完成时间</w:t>
            </w:r>
          </w:p>
        </w:tc>
        <w:tc>
          <w:tcPr>
            <w:tcW w:w="72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42"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2022</w:t>
            </w:r>
          </w:p>
        </w:tc>
        <w:tc>
          <w:tcPr>
            <w:tcW w:w="75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年</w:t>
            </w:r>
          </w:p>
        </w:tc>
        <w:tc>
          <w:tcPr>
            <w:tcW w:w="1064"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2022年</w:t>
            </w:r>
          </w:p>
        </w:tc>
        <w:tc>
          <w:tcPr>
            <w:tcW w:w="44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26"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3828"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40"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17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2583"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开展两纲业务培训、宣传成本</w:t>
            </w:r>
          </w:p>
        </w:tc>
        <w:tc>
          <w:tcPr>
            <w:tcW w:w="72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42"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5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064"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5万元</w:t>
            </w:r>
          </w:p>
        </w:tc>
        <w:tc>
          <w:tcPr>
            <w:tcW w:w="44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426"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3828"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40"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17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社会效益指标</w:t>
            </w:r>
          </w:p>
        </w:tc>
        <w:tc>
          <w:tcPr>
            <w:tcW w:w="2583"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推动全县妇女儿童工作</w:t>
            </w:r>
          </w:p>
        </w:tc>
        <w:tc>
          <w:tcPr>
            <w:tcW w:w="72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定性</w:t>
            </w:r>
          </w:p>
        </w:tc>
        <w:tc>
          <w:tcPr>
            <w:tcW w:w="942"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优良</w:t>
            </w:r>
            <w:r>
              <w:rPr>
                <w:rFonts w:hint="eastAsia" w:ascii="Courier New" w:hAnsi="Courier New" w:cs="Courier New"/>
                <w:color w:val="000000"/>
                <w:kern w:val="0"/>
                <w:sz w:val="18"/>
                <w:szCs w:val="18"/>
              </w:rPr>
              <w:t>中低</w:t>
            </w:r>
            <w:r>
              <w:rPr>
                <w:rFonts w:hint="eastAsia" w:ascii="宋体" w:hAnsi="宋体" w:cs="宋体"/>
                <w:color w:val="000000"/>
                <w:kern w:val="0"/>
                <w:sz w:val="18"/>
                <w:szCs w:val="18"/>
              </w:rPr>
              <w:t>差</w:t>
            </w:r>
          </w:p>
        </w:tc>
        <w:tc>
          <w:tcPr>
            <w:tcW w:w="75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64"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100%</w:t>
            </w:r>
          </w:p>
        </w:tc>
        <w:tc>
          <w:tcPr>
            <w:tcW w:w="44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426"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3828"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40"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17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服务对象满意度指标</w:t>
            </w:r>
          </w:p>
        </w:tc>
        <w:tc>
          <w:tcPr>
            <w:tcW w:w="2583"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部门满意度</w:t>
            </w:r>
          </w:p>
        </w:tc>
        <w:tc>
          <w:tcPr>
            <w:tcW w:w="72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42"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75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64"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95%</w:t>
            </w:r>
          </w:p>
        </w:tc>
        <w:tc>
          <w:tcPr>
            <w:tcW w:w="44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26"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3828"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27" w:hRule="atLeast"/>
        </w:trPr>
        <w:tc>
          <w:tcPr>
            <w:tcW w:w="9770"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44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26"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3828" w:type="dxa"/>
            <w:gridSpan w:val="3"/>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27" w:hRule="atLeast"/>
        </w:trPr>
        <w:tc>
          <w:tcPr>
            <w:tcW w:w="798" w:type="dxa"/>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评价</w:t>
            </w:r>
            <w:r>
              <w:rPr>
                <w:rFonts w:hint="eastAsia" w:ascii="Courier New" w:hAnsi="Courier New" w:cs="Courier New"/>
                <w:color w:val="000000"/>
                <w:kern w:val="0"/>
                <w:sz w:val="18"/>
                <w:szCs w:val="18"/>
              </w:rPr>
              <w:t>结论</w:t>
            </w:r>
          </w:p>
        </w:tc>
        <w:tc>
          <w:tcPr>
            <w:tcW w:w="13673" w:type="dxa"/>
            <w:gridSpan w:val="20"/>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两纲工作经费自评等分100分。认真贯彻落实男女平等基本国策和儿童优先原则，增强干部素质，加强联络员队伍建设，完善联络员制度，推动全县妇女儿童工作更上一个台阶。</w:t>
            </w:r>
          </w:p>
        </w:tc>
      </w:tr>
      <w:tr>
        <w:tblPrEx>
          <w:tblCellMar>
            <w:top w:w="0" w:type="dxa"/>
            <w:left w:w="108" w:type="dxa"/>
            <w:bottom w:w="0" w:type="dxa"/>
            <w:right w:w="108" w:type="dxa"/>
          </w:tblCellMar>
        </w:tblPrEx>
        <w:trPr>
          <w:trHeight w:val="227" w:hRule="atLeast"/>
        </w:trPr>
        <w:tc>
          <w:tcPr>
            <w:tcW w:w="798" w:type="dxa"/>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存在</w:t>
            </w:r>
            <w:r>
              <w:rPr>
                <w:rFonts w:hint="eastAsia" w:ascii="Courier New" w:hAnsi="Courier New" w:cs="Courier New"/>
                <w:color w:val="000000"/>
                <w:kern w:val="0"/>
                <w:sz w:val="18"/>
                <w:szCs w:val="18"/>
              </w:rPr>
              <w:t>问题</w:t>
            </w:r>
          </w:p>
        </w:tc>
        <w:tc>
          <w:tcPr>
            <w:tcW w:w="13673" w:type="dxa"/>
            <w:gridSpan w:val="20"/>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 xml:space="preserve">     无</w:t>
            </w:r>
          </w:p>
        </w:tc>
      </w:tr>
      <w:tr>
        <w:tblPrEx>
          <w:tblCellMar>
            <w:top w:w="0" w:type="dxa"/>
            <w:left w:w="108" w:type="dxa"/>
            <w:bottom w:w="0" w:type="dxa"/>
            <w:right w:w="108" w:type="dxa"/>
          </w:tblCellMar>
        </w:tblPrEx>
        <w:trPr>
          <w:trHeight w:val="227" w:hRule="atLeast"/>
        </w:trPr>
        <w:tc>
          <w:tcPr>
            <w:tcW w:w="798" w:type="dxa"/>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13673" w:type="dxa"/>
            <w:gridSpan w:val="20"/>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 xml:space="preserve">    无</w:t>
            </w:r>
          </w:p>
        </w:tc>
      </w:tr>
      <w:tr>
        <w:tblPrEx>
          <w:tblCellMar>
            <w:top w:w="0" w:type="dxa"/>
            <w:left w:w="108" w:type="dxa"/>
            <w:bottom w:w="0" w:type="dxa"/>
            <w:right w:w="108" w:type="dxa"/>
          </w:tblCellMar>
        </w:tblPrEx>
        <w:trPr>
          <w:trHeight w:val="227" w:hRule="atLeast"/>
        </w:trPr>
        <w:tc>
          <w:tcPr>
            <w:tcW w:w="700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项目负责人：刘懿</w:t>
            </w:r>
          </w:p>
        </w:tc>
        <w:tc>
          <w:tcPr>
            <w:tcW w:w="7464" w:type="dxa"/>
            <w:gridSpan w:val="13"/>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财务负责人：缑春秀</w:t>
            </w:r>
          </w:p>
        </w:tc>
      </w:tr>
    </w:tbl>
    <w:p>
      <w:pPr>
        <w:overflowPunct w:val="0"/>
        <w:autoSpaceDE w:val="0"/>
        <w:autoSpaceDN w:val="0"/>
        <w:spacing w:line="200" w:lineRule="exact"/>
        <w:ind w:left="-105" w:leftChars="-50" w:right="-105" w:rightChars="-50"/>
        <w:jc w:val="center"/>
        <w:rPr>
          <w:rFonts w:ascii="Courier New" w:hAnsi="Courier New" w:cs="Courier New"/>
          <w:color w:val="000000"/>
          <w:kern w:val="0"/>
          <w:sz w:val="18"/>
          <w:szCs w:val="18"/>
        </w:rPr>
      </w:pPr>
    </w:p>
    <w:tbl>
      <w:tblPr>
        <w:tblStyle w:val="14"/>
        <w:tblW w:w="14471" w:type="dxa"/>
        <w:tblInd w:w="96" w:type="dxa"/>
        <w:tblLayout w:type="fixed"/>
        <w:tblCellMar>
          <w:top w:w="0" w:type="dxa"/>
          <w:left w:w="108" w:type="dxa"/>
          <w:bottom w:w="0" w:type="dxa"/>
          <w:right w:w="108" w:type="dxa"/>
        </w:tblCellMar>
      </w:tblPr>
      <w:tblGrid>
        <w:gridCol w:w="798"/>
        <w:gridCol w:w="1722"/>
        <w:gridCol w:w="1177"/>
        <w:gridCol w:w="2583"/>
        <w:gridCol w:w="727"/>
        <w:gridCol w:w="1226"/>
        <w:gridCol w:w="473"/>
        <w:gridCol w:w="377"/>
        <w:gridCol w:w="1067"/>
        <w:gridCol w:w="510"/>
        <w:gridCol w:w="560"/>
        <w:gridCol w:w="3251"/>
      </w:tblGrid>
      <w:tr>
        <w:tblPrEx>
          <w:tblCellMar>
            <w:top w:w="0" w:type="dxa"/>
            <w:left w:w="108" w:type="dxa"/>
            <w:bottom w:w="0" w:type="dxa"/>
            <w:right w:w="108" w:type="dxa"/>
          </w:tblCellMar>
        </w:tblPrEx>
        <w:trPr>
          <w:trHeight w:val="340" w:hRule="atLeast"/>
        </w:trPr>
        <w:tc>
          <w:tcPr>
            <w:tcW w:w="14471"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560" w:lineRule="exact"/>
              <w:jc w:val="center"/>
              <w:rPr>
                <w:rFonts w:ascii="黑体" w:hAnsi="黑体" w:eastAsia="黑体" w:cs="宋体"/>
                <w:b/>
                <w:bCs/>
                <w:color w:val="000000"/>
                <w:kern w:val="0"/>
                <w:sz w:val="30"/>
                <w:szCs w:val="30"/>
              </w:rPr>
            </w:pPr>
            <w:r>
              <w:rPr>
                <w:rFonts w:hint="eastAsia" w:ascii="方正小标宋简体" w:hAnsi="方正小标宋简体" w:eastAsia="方正小标宋简体" w:cs="方正小标宋简体"/>
                <w:b/>
                <w:bCs/>
                <w:color w:val="000000"/>
                <w:kern w:val="0"/>
                <w:sz w:val="40"/>
                <w:szCs w:val="40"/>
              </w:rPr>
              <w:t>部门预算项目支出绩效自评表（2022年度）</w:t>
            </w:r>
          </w:p>
        </w:tc>
      </w:tr>
      <w:tr>
        <w:tblPrEx>
          <w:tblCellMar>
            <w:top w:w="0" w:type="dxa"/>
            <w:left w:w="108" w:type="dxa"/>
            <w:bottom w:w="0" w:type="dxa"/>
            <w:right w:w="108" w:type="dxa"/>
          </w:tblCellMar>
        </w:tblPrEx>
        <w:trPr>
          <w:trHeight w:val="340" w:hRule="atLeast"/>
        </w:trPr>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11951" w:type="dxa"/>
            <w:gridSpan w:val="10"/>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51082322T000005316648-贫困妇女“两癌”救助</w:t>
            </w:r>
          </w:p>
        </w:tc>
      </w:tr>
      <w:tr>
        <w:tblPrEx>
          <w:tblCellMar>
            <w:top w:w="0" w:type="dxa"/>
            <w:left w:w="108" w:type="dxa"/>
            <w:bottom w:w="0" w:type="dxa"/>
            <w:right w:w="108" w:type="dxa"/>
          </w:tblCellMar>
        </w:tblPrEx>
        <w:trPr>
          <w:trHeight w:val="340" w:hRule="atLeast"/>
        </w:trPr>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6186" w:type="dxa"/>
            <w:gridSpan w:val="5"/>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剑阁县妇女联合会本级</w:t>
            </w:r>
          </w:p>
        </w:tc>
        <w:tc>
          <w:tcPr>
            <w:tcW w:w="1444" w:type="dxa"/>
            <w:gridSpan w:val="2"/>
            <w:tcBorders>
              <w:top w:val="nil"/>
              <w:left w:val="nil"/>
              <w:bottom w:val="nil"/>
              <w:right w:val="nil"/>
            </w:tcBorders>
            <w:shd w:val="clear" w:color="auto" w:fill="auto"/>
            <w:vAlign w:val="center"/>
          </w:tcPr>
          <w:p>
            <w:pPr>
              <w:overflowPunct w:val="0"/>
              <w:autoSpaceDE w:val="0"/>
              <w:autoSpaceDN w:val="0"/>
              <w:spacing w:line="200" w:lineRule="exact"/>
              <w:ind w:left="-105" w:leftChars="-50" w:right="-105" w:rightChars="-50"/>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实施单位（盖章）</w:t>
            </w:r>
          </w:p>
        </w:tc>
        <w:tc>
          <w:tcPr>
            <w:tcW w:w="4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剑阁县妇女联合会</w:t>
            </w:r>
          </w:p>
        </w:tc>
      </w:tr>
      <w:tr>
        <w:tblPrEx>
          <w:tblCellMar>
            <w:top w:w="0" w:type="dxa"/>
            <w:left w:w="108" w:type="dxa"/>
            <w:bottom w:w="0" w:type="dxa"/>
            <w:right w:w="108" w:type="dxa"/>
          </w:tblCellMar>
        </w:tblPrEx>
        <w:trPr>
          <w:trHeight w:val="340" w:hRule="atLeast"/>
        </w:trPr>
        <w:tc>
          <w:tcPr>
            <w:tcW w:w="798"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72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6186" w:type="dxa"/>
            <w:gridSpan w:val="5"/>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5765" w:type="dxa"/>
            <w:gridSpan w:val="5"/>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340"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6186" w:type="dxa"/>
            <w:gridSpan w:val="5"/>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争取省级“两癌”救助金，为患病妇女送去</w:t>
            </w:r>
            <w:r>
              <w:rPr>
                <w:rFonts w:hint="eastAsia" w:ascii="宋体" w:hAnsi="宋体" w:cs="宋体"/>
                <w:color w:val="000000"/>
                <w:kern w:val="0"/>
                <w:sz w:val="18"/>
                <w:szCs w:val="18"/>
                <w:lang w:eastAsia="zh-CN"/>
              </w:rPr>
              <w:t>县委、县政府</w:t>
            </w:r>
            <w:r>
              <w:rPr>
                <w:rFonts w:hint="eastAsia" w:ascii="宋体" w:hAnsi="宋体" w:cs="宋体"/>
                <w:color w:val="000000"/>
                <w:kern w:val="0"/>
                <w:sz w:val="18"/>
                <w:szCs w:val="18"/>
              </w:rPr>
              <w:t>的关心、关爱。</w:t>
            </w:r>
          </w:p>
        </w:tc>
        <w:tc>
          <w:tcPr>
            <w:tcW w:w="5765" w:type="dxa"/>
            <w:gridSpan w:val="5"/>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Courier New" w:hAnsi="Courier New" w:cs="Courier New"/>
                <w:color w:val="000000"/>
                <w:kern w:val="0"/>
                <w:sz w:val="18"/>
                <w:szCs w:val="18"/>
              </w:rPr>
            </w:pPr>
            <w:r>
              <w:rPr>
                <w:rFonts w:ascii="Courier New" w:hAnsi="Courier New" w:cs="Courier New"/>
                <w:color w:val="000000"/>
                <w:kern w:val="0"/>
                <w:sz w:val="18"/>
                <w:szCs w:val="18"/>
              </w:rPr>
              <w:t>争取省级“两癌”救助金2万元，并在资金到位及时发放给两癌妇女。</w:t>
            </w:r>
          </w:p>
        </w:tc>
      </w:tr>
      <w:tr>
        <w:tblPrEx>
          <w:tblCellMar>
            <w:top w:w="0" w:type="dxa"/>
            <w:left w:w="108" w:type="dxa"/>
            <w:bottom w:w="0" w:type="dxa"/>
            <w:right w:w="108" w:type="dxa"/>
          </w:tblCellMar>
        </w:tblPrEx>
        <w:trPr>
          <w:trHeight w:val="340"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11951" w:type="dxa"/>
            <w:gridSpan w:val="10"/>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通过宣传，让患病妇女主动申请救助，协调相关部门核实病情和对象类别。按照省、市妇联的要求及时上报资料，争取救助金2万元。</w:t>
            </w:r>
          </w:p>
        </w:tc>
      </w:tr>
      <w:tr>
        <w:tblPrEx>
          <w:tblCellMar>
            <w:top w:w="0" w:type="dxa"/>
            <w:left w:w="108" w:type="dxa"/>
            <w:bottom w:w="0" w:type="dxa"/>
            <w:right w:w="108" w:type="dxa"/>
          </w:tblCellMar>
        </w:tblPrEx>
        <w:trPr>
          <w:trHeight w:val="340" w:hRule="atLeast"/>
        </w:trPr>
        <w:tc>
          <w:tcPr>
            <w:tcW w:w="798"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117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2583"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2803" w:type="dxa"/>
            <w:gridSpan w:val="4"/>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06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预算执行率</w:t>
            </w:r>
          </w:p>
        </w:tc>
        <w:tc>
          <w:tcPr>
            <w:tcW w:w="51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权重</w:t>
            </w:r>
          </w:p>
        </w:tc>
        <w:tc>
          <w:tcPr>
            <w:tcW w:w="56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得分</w:t>
            </w:r>
          </w:p>
        </w:tc>
        <w:tc>
          <w:tcPr>
            <w:tcW w:w="325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40"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117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2.00</w:t>
            </w:r>
          </w:p>
        </w:tc>
        <w:tc>
          <w:tcPr>
            <w:tcW w:w="2583"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2.00</w:t>
            </w:r>
          </w:p>
        </w:tc>
        <w:tc>
          <w:tcPr>
            <w:tcW w:w="2803" w:type="dxa"/>
            <w:gridSpan w:val="4"/>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2.00</w:t>
            </w:r>
          </w:p>
        </w:tc>
        <w:tc>
          <w:tcPr>
            <w:tcW w:w="106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1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6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3251"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340"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117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2.00</w:t>
            </w:r>
          </w:p>
        </w:tc>
        <w:tc>
          <w:tcPr>
            <w:tcW w:w="2583"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2.00</w:t>
            </w:r>
          </w:p>
        </w:tc>
        <w:tc>
          <w:tcPr>
            <w:tcW w:w="2803" w:type="dxa"/>
            <w:gridSpan w:val="4"/>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2.00</w:t>
            </w:r>
          </w:p>
        </w:tc>
        <w:tc>
          <w:tcPr>
            <w:tcW w:w="106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1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251"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40"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117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583"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803" w:type="dxa"/>
            <w:gridSpan w:val="4"/>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6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1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251"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40"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117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583"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803" w:type="dxa"/>
            <w:gridSpan w:val="4"/>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6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1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251"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40"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117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2583"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2803" w:type="dxa"/>
            <w:gridSpan w:val="4"/>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6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1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251"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283" w:hRule="atLeast"/>
        </w:trPr>
        <w:tc>
          <w:tcPr>
            <w:tcW w:w="798"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117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2583"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72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1226"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850"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度量</w:t>
            </w:r>
            <w:r>
              <w:rPr>
                <w:rFonts w:hint="eastAsia" w:ascii="Courier New" w:hAnsi="Courier New" w:cs="Courier New"/>
                <w:color w:val="000000"/>
                <w:kern w:val="0"/>
                <w:sz w:val="18"/>
                <w:szCs w:val="18"/>
              </w:rPr>
              <w:t>单位</w:t>
            </w:r>
          </w:p>
        </w:tc>
        <w:tc>
          <w:tcPr>
            <w:tcW w:w="106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1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权重</w:t>
            </w:r>
          </w:p>
        </w:tc>
        <w:tc>
          <w:tcPr>
            <w:tcW w:w="56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得分</w:t>
            </w:r>
          </w:p>
        </w:tc>
        <w:tc>
          <w:tcPr>
            <w:tcW w:w="325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283"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17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2583"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救助人数</w:t>
            </w:r>
          </w:p>
        </w:tc>
        <w:tc>
          <w:tcPr>
            <w:tcW w:w="72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226"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850"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06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2人</w:t>
            </w:r>
          </w:p>
        </w:tc>
        <w:tc>
          <w:tcPr>
            <w:tcW w:w="51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56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325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3"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17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2583"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救助一名妇女，挽救一个家庭</w:t>
            </w:r>
          </w:p>
        </w:tc>
        <w:tc>
          <w:tcPr>
            <w:tcW w:w="72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定性</w:t>
            </w:r>
          </w:p>
        </w:tc>
        <w:tc>
          <w:tcPr>
            <w:tcW w:w="1226"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优良中低差</w:t>
            </w:r>
          </w:p>
        </w:tc>
        <w:tc>
          <w:tcPr>
            <w:tcW w:w="850"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6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100%</w:t>
            </w:r>
          </w:p>
        </w:tc>
        <w:tc>
          <w:tcPr>
            <w:tcW w:w="51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56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325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3"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17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2583"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1人1万元</w:t>
            </w:r>
          </w:p>
        </w:tc>
        <w:tc>
          <w:tcPr>
            <w:tcW w:w="72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226"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850"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06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2万元</w:t>
            </w:r>
          </w:p>
        </w:tc>
        <w:tc>
          <w:tcPr>
            <w:tcW w:w="51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6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325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3"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17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2583"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完成时间</w:t>
            </w:r>
          </w:p>
        </w:tc>
        <w:tc>
          <w:tcPr>
            <w:tcW w:w="72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226"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2022</w:t>
            </w:r>
          </w:p>
        </w:tc>
        <w:tc>
          <w:tcPr>
            <w:tcW w:w="850"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年</w:t>
            </w:r>
          </w:p>
        </w:tc>
        <w:tc>
          <w:tcPr>
            <w:tcW w:w="106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2022年</w:t>
            </w:r>
          </w:p>
        </w:tc>
        <w:tc>
          <w:tcPr>
            <w:tcW w:w="51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6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325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3"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17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社会效益指标</w:t>
            </w:r>
          </w:p>
        </w:tc>
        <w:tc>
          <w:tcPr>
            <w:tcW w:w="2583"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受助妇女满意</w:t>
            </w:r>
          </w:p>
        </w:tc>
        <w:tc>
          <w:tcPr>
            <w:tcW w:w="72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定性</w:t>
            </w:r>
          </w:p>
        </w:tc>
        <w:tc>
          <w:tcPr>
            <w:tcW w:w="1226"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优良中低差</w:t>
            </w:r>
          </w:p>
        </w:tc>
        <w:tc>
          <w:tcPr>
            <w:tcW w:w="850"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6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100%</w:t>
            </w:r>
          </w:p>
        </w:tc>
        <w:tc>
          <w:tcPr>
            <w:tcW w:w="51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56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325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3"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22"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17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服务对象满意度指标</w:t>
            </w:r>
          </w:p>
        </w:tc>
        <w:tc>
          <w:tcPr>
            <w:tcW w:w="2583"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受助两癌妇女满意</w:t>
            </w:r>
          </w:p>
        </w:tc>
        <w:tc>
          <w:tcPr>
            <w:tcW w:w="72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226"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98</w:t>
            </w:r>
          </w:p>
        </w:tc>
        <w:tc>
          <w:tcPr>
            <w:tcW w:w="850"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67"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98%</w:t>
            </w:r>
          </w:p>
        </w:tc>
        <w:tc>
          <w:tcPr>
            <w:tcW w:w="51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6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325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3" w:hRule="atLeast"/>
        </w:trPr>
        <w:tc>
          <w:tcPr>
            <w:tcW w:w="1015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1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56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325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40" w:hRule="atLeast"/>
        </w:trPr>
        <w:tc>
          <w:tcPr>
            <w:tcW w:w="798" w:type="dxa"/>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13673" w:type="dxa"/>
            <w:gridSpan w:val="11"/>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贫困妇女“两癌”救助项目自评得分100分。县妇联积极争取省级“两癌”救助金2万元，资金到县财政，严格按照预算管理办法编制项目绩效申报表，在规定的时间内及时发放给两癌妇女。</w:t>
            </w:r>
          </w:p>
        </w:tc>
      </w:tr>
      <w:tr>
        <w:tblPrEx>
          <w:tblCellMar>
            <w:top w:w="0" w:type="dxa"/>
            <w:left w:w="108" w:type="dxa"/>
            <w:bottom w:w="0" w:type="dxa"/>
            <w:right w:w="108" w:type="dxa"/>
          </w:tblCellMar>
        </w:tblPrEx>
        <w:trPr>
          <w:trHeight w:val="340" w:hRule="atLeast"/>
        </w:trPr>
        <w:tc>
          <w:tcPr>
            <w:tcW w:w="798" w:type="dxa"/>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13673" w:type="dxa"/>
            <w:gridSpan w:val="11"/>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无</w:t>
            </w:r>
          </w:p>
        </w:tc>
      </w:tr>
      <w:tr>
        <w:tblPrEx>
          <w:tblCellMar>
            <w:top w:w="0" w:type="dxa"/>
            <w:left w:w="108" w:type="dxa"/>
            <w:bottom w:w="0" w:type="dxa"/>
            <w:right w:w="108" w:type="dxa"/>
          </w:tblCellMar>
        </w:tblPrEx>
        <w:trPr>
          <w:trHeight w:val="340" w:hRule="atLeast"/>
        </w:trPr>
        <w:tc>
          <w:tcPr>
            <w:tcW w:w="798" w:type="dxa"/>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13673" w:type="dxa"/>
            <w:gridSpan w:val="11"/>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无</w:t>
            </w:r>
          </w:p>
        </w:tc>
      </w:tr>
      <w:tr>
        <w:tblPrEx>
          <w:tblCellMar>
            <w:top w:w="0" w:type="dxa"/>
            <w:left w:w="108" w:type="dxa"/>
            <w:bottom w:w="0" w:type="dxa"/>
            <w:right w:w="108" w:type="dxa"/>
          </w:tblCellMar>
        </w:tblPrEx>
        <w:trPr>
          <w:trHeight w:val="340" w:hRule="atLeast"/>
        </w:trPr>
        <w:tc>
          <w:tcPr>
            <w:tcW w:w="70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项目负责人：缑春秀</w:t>
            </w:r>
          </w:p>
        </w:tc>
        <w:tc>
          <w:tcPr>
            <w:tcW w:w="7464" w:type="dxa"/>
            <w:gridSpan w:val="7"/>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财务负责人：缑春秀</w:t>
            </w:r>
          </w:p>
        </w:tc>
      </w:tr>
    </w:tbl>
    <w:p>
      <w:pPr>
        <w:overflowPunct w:val="0"/>
        <w:autoSpaceDE w:val="0"/>
        <w:autoSpaceDN w:val="0"/>
        <w:spacing w:line="200" w:lineRule="exact"/>
        <w:jc w:val="left"/>
        <w:rPr>
          <w:rFonts w:ascii="宋体" w:hAnsi="宋体" w:cs="宋体"/>
          <w:kern w:val="0"/>
          <w:sz w:val="18"/>
          <w:szCs w:val="18"/>
        </w:rPr>
      </w:pPr>
      <w:r>
        <w:rPr>
          <w:rFonts w:hint="eastAsia" w:ascii="宋体" w:hAnsi="宋体" w:cs="宋体"/>
          <w:kern w:val="0"/>
          <w:sz w:val="18"/>
          <w:szCs w:val="18"/>
        </w:rPr>
        <w:t>　</w:t>
      </w:r>
    </w:p>
    <w:p>
      <w:pPr>
        <w:overflowPunct w:val="0"/>
        <w:autoSpaceDE w:val="0"/>
        <w:autoSpaceDN w:val="0"/>
        <w:spacing w:line="200" w:lineRule="exact"/>
        <w:jc w:val="left"/>
        <w:rPr>
          <w:rFonts w:ascii="宋体" w:hAnsi="宋体" w:cs="宋体"/>
          <w:kern w:val="0"/>
          <w:sz w:val="18"/>
          <w:szCs w:val="18"/>
        </w:rPr>
      </w:pPr>
      <w:r>
        <w:rPr>
          <w:rFonts w:hint="eastAsia" w:ascii="宋体" w:hAnsi="宋体" w:cs="宋体"/>
          <w:kern w:val="0"/>
          <w:sz w:val="18"/>
          <w:szCs w:val="18"/>
        </w:rPr>
        <w:t>　</w:t>
      </w:r>
    </w:p>
    <w:tbl>
      <w:tblPr>
        <w:tblStyle w:val="14"/>
        <w:tblW w:w="14329" w:type="dxa"/>
        <w:tblInd w:w="96" w:type="dxa"/>
        <w:tblLayout w:type="fixed"/>
        <w:tblCellMar>
          <w:top w:w="0" w:type="dxa"/>
          <w:left w:w="108" w:type="dxa"/>
          <w:bottom w:w="0" w:type="dxa"/>
          <w:right w:w="108" w:type="dxa"/>
        </w:tblCellMar>
      </w:tblPr>
      <w:tblGrid>
        <w:gridCol w:w="798"/>
        <w:gridCol w:w="1740"/>
        <w:gridCol w:w="1159"/>
        <w:gridCol w:w="2641"/>
        <w:gridCol w:w="700"/>
        <w:gridCol w:w="1280"/>
        <w:gridCol w:w="460"/>
        <w:gridCol w:w="447"/>
        <w:gridCol w:w="995"/>
        <w:gridCol w:w="423"/>
        <w:gridCol w:w="568"/>
        <w:gridCol w:w="3118"/>
      </w:tblGrid>
      <w:tr>
        <w:tblPrEx>
          <w:tblCellMar>
            <w:top w:w="0" w:type="dxa"/>
            <w:left w:w="108" w:type="dxa"/>
            <w:bottom w:w="0" w:type="dxa"/>
            <w:right w:w="108" w:type="dxa"/>
          </w:tblCellMar>
        </w:tblPrEx>
        <w:trPr>
          <w:trHeight w:val="340" w:hRule="atLeast"/>
        </w:trPr>
        <w:tc>
          <w:tcPr>
            <w:tcW w:w="14329"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560" w:lineRule="exact"/>
              <w:jc w:val="center"/>
              <w:rPr>
                <w:rFonts w:ascii="黑体" w:hAnsi="黑体" w:eastAsia="黑体" w:cs="宋体"/>
                <w:b/>
                <w:bCs/>
                <w:color w:val="000000"/>
                <w:kern w:val="0"/>
                <w:sz w:val="30"/>
                <w:szCs w:val="30"/>
              </w:rPr>
            </w:pPr>
            <w:r>
              <w:rPr>
                <w:rFonts w:hint="eastAsia" w:ascii="方正小标宋简体" w:hAnsi="方正小标宋简体" w:eastAsia="方正小标宋简体" w:cs="方正小标宋简体"/>
                <w:b/>
                <w:bCs/>
                <w:color w:val="000000"/>
                <w:kern w:val="0"/>
                <w:sz w:val="40"/>
                <w:szCs w:val="40"/>
              </w:rPr>
              <w:t>部门预算项目支出绩效自评表（2022年度）</w:t>
            </w:r>
          </w:p>
        </w:tc>
      </w:tr>
      <w:tr>
        <w:tblPrEx>
          <w:tblCellMar>
            <w:top w:w="0" w:type="dxa"/>
            <w:left w:w="108" w:type="dxa"/>
            <w:bottom w:w="0" w:type="dxa"/>
            <w:right w:w="108" w:type="dxa"/>
          </w:tblCellMar>
        </w:tblPrEx>
        <w:trPr>
          <w:trHeight w:val="283" w:hRule="atLeast"/>
        </w:trPr>
        <w:tc>
          <w:tcPr>
            <w:tcW w:w="25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11791" w:type="dxa"/>
            <w:gridSpan w:val="10"/>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51082322T000005948523-项目争取经费</w:t>
            </w:r>
          </w:p>
        </w:tc>
      </w:tr>
      <w:tr>
        <w:tblPrEx>
          <w:tblCellMar>
            <w:top w:w="0" w:type="dxa"/>
            <w:left w:w="108" w:type="dxa"/>
            <w:bottom w:w="0" w:type="dxa"/>
            <w:right w:w="108" w:type="dxa"/>
          </w:tblCellMar>
        </w:tblPrEx>
        <w:trPr>
          <w:trHeight w:val="283" w:hRule="atLeast"/>
        </w:trPr>
        <w:tc>
          <w:tcPr>
            <w:tcW w:w="25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6240" w:type="dxa"/>
            <w:gridSpan w:val="5"/>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剑阁县妇女联合会本级</w:t>
            </w:r>
          </w:p>
        </w:tc>
        <w:tc>
          <w:tcPr>
            <w:tcW w:w="1442" w:type="dxa"/>
            <w:gridSpan w:val="2"/>
            <w:tcBorders>
              <w:top w:val="nil"/>
              <w:left w:val="nil"/>
              <w:bottom w:val="nil"/>
              <w:right w:val="nil"/>
            </w:tcBorders>
            <w:shd w:val="clear" w:color="auto" w:fill="auto"/>
            <w:vAlign w:val="center"/>
          </w:tcPr>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实施单位（盖章）</w:t>
            </w:r>
          </w:p>
        </w:tc>
        <w:tc>
          <w:tcPr>
            <w:tcW w:w="41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剑阁县妇女联合会</w:t>
            </w:r>
          </w:p>
        </w:tc>
      </w:tr>
      <w:tr>
        <w:tblPrEx>
          <w:tblCellMar>
            <w:top w:w="0" w:type="dxa"/>
            <w:left w:w="108" w:type="dxa"/>
            <w:bottom w:w="0" w:type="dxa"/>
            <w:right w:w="108" w:type="dxa"/>
          </w:tblCellMar>
        </w:tblPrEx>
        <w:trPr>
          <w:trHeight w:val="283" w:hRule="atLeast"/>
        </w:trPr>
        <w:tc>
          <w:tcPr>
            <w:tcW w:w="798"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740"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6240" w:type="dxa"/>
            <w:gridSpan w:val="5"/>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5551" w:type="dxa"/>
            <w:gridSpan w:val="5"/>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283"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40"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6240" w:type="dxa"/>
            <w:gridSpan w:val="5"/>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向全国、省、市妇联争取母亲水窖、两癌、依波救助等项目工作经费。</w:t>
            </w:r>
          </w:p>
        </w:tc>
        <w:tc>
          <w:tcPr>
            <w:tcW w:w="5551" w:type="dxa"/>
            <w:gridSpan w:val="5"/>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县妇联领导多措并举，完成招商引资项目落地，武连镇孔荣村的养牛场项目主体圈舍已建成，到位资金910万元；争取依波集团助学金10万元；全国妇联低收入妇女“两癌”（宫颈癌和乳腺癌）救助项目资金22万元。</w:t>
            </w:r>
          </w:p>
        </w:tc>
      </w:tr>
      <w:tr>
        <w:tblPrEx>
          <w:tblCellMar>
            <w:top w:w="0" w:type="dxa"/>
            <w:left w:w="108" w:type="dxa"/>
            <w:bottom w:w="0" w:type="dxa"/>
            <w:right w:w="108" w:type="dxa"/>
          </w:tblCellMar>
        </w:tblPrEx>
        <w:trPr>
          <w:trHeight w:val="283"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11791" w:type="dxa"/>
            <w:gridSpan w:val="10"/>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县妇联成立领导小组，采取走出去的方式，向全国、省、市妇联对接，完成招商引资项目落地，武连镇孔荣村的养牛场项目主体圈舍已建成，到位资金910万元；争取依波集团助学金10万元；全国妇联低收入妇女“两癌”（宫颈癌和乳腺癌）救助项目资金22万元。</w:t>
            </w:r>
          </w:p>
        </w:tc>
      </w:tr>
      <w:tr>
        <w:tblPrEx>
          <w:tblCellMar>
            <w:top w:w="0" w:type="dxa"/>
            <w:left w:w="108" w:type="dxa"/>
            <w:bottom w:w="0" w:type="dxa"/>
            <w:right w:w="108" w:type="dxa"/>
          </w:tblCellMar>
        </w:tblPrEx>
        <w:trPr>
          <w:trHeight w:val="283" w:hRule="atLeast"/>
        </w:trPr>
        <w:tc>
          <w:tcPr>
            <w:tcW w:w="798"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预算执行情况</w:t>
            </w:r>
          </w:p>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（10分）</w:t>
            </w:r>
          </w:p>
        </w:tc>
        <w:tc>
          <w:tcPr>
            <w:tcW w:w="174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1159"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264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2887" w:type="dxa"/>
            <w:gridSpan w:val="4"/>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995"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423"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568"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3118"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283"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1159"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264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2887" w:type="dxa"/>
            <w:gridSpan w:val="4"/>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995"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423"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68"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3118"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283"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1159"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264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2887" w:type="dxa"/>
            <w:gridSpan w:val="4"/>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995"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423"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8"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11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283"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1159"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64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887" w:type="dxa"/>
            <w:gridSpan w:val="4"/>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995"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423"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8"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11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283"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1159"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64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887" w:type="dxa"/>
            <w:gridSpan w:val="4"/>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995"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423"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8"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11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283"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1159"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264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2887" w:type="dxa"/>
            <w:gridSpan w:val="4"/>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995"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423"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8"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11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283" w:hRule="atLeast"/>
        </w:trPr>
        <w:tc>
          <w:tcPr>
            <w:tcW w:w="798"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绩效</w:t>
            </w:r>
          </w:p>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指标</w:t>
            </w:r>
          </w:p>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（90分）</w:t>
            </w:r>
          </w:p>
        </w:tc>
        <w:tc>
          <w:tcPr>
            <w:tcW w:w="174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1159"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264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70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128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90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995"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423"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568"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3118"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283"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40"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159"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264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省、市妇联协调项目资金4次</w:t>
            </w:r>
          </w:p>
        </w:tc>
        <w:tc>
          <w:tcPr>
            <w:tcW w:w="70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28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90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995"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4次</w:t>
            </w:r>
          </w:p>
        </w:tc>
        <w:tc>
          <w:tcPr>
            <w:tcW w:w="423"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568"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3118"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3"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40"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159"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264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完成向上争取任务</w:t>
            </w:r>
          </w:p>
        </w:tc>
        <w:tc>
          <w:tcPr>
            <w:tcW w:w="70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28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90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995"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20万元</w:t>
            </w:r>
          </w:p>
        </w:tc>
        <w:tc>
          <w:tcPr>
            <w:tcW w:w="423"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568"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3118"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3"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40"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159"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264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2022年</w:t>
            </w:r>
          </w:p>
        </w:tc>
        <w:tc>
          <w:tcPr>
            <w:tcW w:w="70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28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2022</w:t>
            </w:r>
          </w:p>
        </w:tc>
        <w:tc>
          <w:tcPr>
            <w:tcW w:w="90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年</w:t>
            </w:r>
          </w:p>
        </w:tc>
        <w:tc>
          <w:tcPr>
            <w:tcW w:w="995"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2022年</w:t>
            </w:r>
          </w:p>
        </w:tc>
        <w:tc>
          <w:tcPr>
            <w:tcW w:w="423"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568"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3118"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3"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40"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159"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264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1万元</w:t>
            </w:r>
          </w:p>
        </w:tc>
        <w:tc>
          <w:tcPr>
            <w:tcW w:w="70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28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90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995"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1万元</w:t>
            </w:r>
          </w:p>
        </w:tc>
        <w:tc>
          <w:tcPr>
            <w:tcW w:w="423"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568"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3118"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3"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159"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社会效益指标</w:t>
            </w:r>
          </w:p>
        </w:tc>
        <w:tc>
          <w:tcPr>
            <w:tcW w:w="264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帮助困难两癌妇女、儿童走出困境</w:t>
            </w:r>
          </w:p>
        </w:tc>
        <w:tc>
          <w:tcPr>
            <w:tcW w:w="70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定性</w:t>
            </w:r>
          </w:p>
        </w:tc>
        <w:tc>
          <w:tcPr>
            <w:tcW w:w="128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优良中低差</w:t>
            </w:r>
          </w:p>
        </w:tc>
        <w:tc>
          <w:tcPr>
            <w:tcW w:w="90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批</w:t>
            </w:r>
          </w:p>
        </w:tc>
        <w:tc>
          <w:tcPr>
            <w:tcW w:w="995"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22人</w:t>
            </w:r>
          </w:p>
        </w:tc>
        <w:tc>
          <w:tcPr>
            <w:tcW w:w="423"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568"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3118"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3" w:hRule="atLeast"/>
        </w:trPr>
        <w:tc>
          <w:tcPr>
            <w:tcW w:w="798" w:type="dxa"/>
            <w:vMerge w:val="continue"/>
            <w:tcBorders>
              <w:top w:val="nil"/>
              <w:left w:val="single" w:color="000000" w:sz="4" w:space="0"/>
              <w:bottom w:val="single" w:color="000000" w:sz="4" w:space="0"/>
              <w:right w:val="single" w:color="000000" w:sz="4" w:space="0"/>
            </w:tcBorders>
            <w:vAlign w:val="center"/>
          </w:tcPr>
          <w:p>
            <w:pPr>
              <w:overflowPunct w:val="0"/>
              <w:autoSpaceDE w:val="0"/>
              <w:autoSpaceDN w:val="0"/>
              <w:spacing w:line="200" w:lineRule="exact"/>
              <w:jc w:val="left"/>
              <w:rPr>
                <w:rFonts w:ascii="宋体" w:hAnsi="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159"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服务对象满意度指标</w:t>
            </w:r>
          </w:p>
        </w:tc>
        <w:tc>
          <w:tcPr>
            <w:tcW w:w="2641"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受助妇女、儿童满意</w:t>
            </w:r>
          </w:p>
        </w:tc>
        <w:tc>
          <w:tcPr>
            <w:tcW w:w="70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280"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907" w:type="dxa"/>
            <w:gridSpan w:val="2"/>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95"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95%</w:t>
            </w:r>
          </w:p>
        </w:tc>
        <w:tc>
          <w:tcPr>
            <w:tcW w:w="423"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68"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3118"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3" w:hRule="atLeast"/>
        </w:trPr>
        <w:tc>
          <w:tcPr>
            <w:tcW w:w="1022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423"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568"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3118" w:type="dxa"/>
            <w:tcBorders>
              <w:top w:val="nil"/>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3" w:hRule="atLeast"/>
        </w:trPr>
        <w:tc>
          <w:tcPr>
            <w:tcW w:w="798" w:type="dxa"/>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13531" w:type="dxa"/>
            <w:gridSpan w:val="11"/>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项目争取经费自评等分100分。县妇联领导多措并举，完成招商引资项目落地，武连镇孔荣村的养牛场项目主体圈舍已建成，到位资金910万元；争取依波集团助学金10万元；全国妇联低收入妇女“两癌”（宫颈癌和乳腺癌）救助项目资金22万元。</w:t>
            </w:r>
          </w:p>
        </w:tc>
      </w:tr>
      <w:tr>
        <w:tblPrEx>
          <w:tblCellMar>
            <w:top w:w="0" w:type="dxa"/>
            <w:left w:w="108" w:type="dxa"/>
            <w:bottom w:w="0" w:type="dxa"/>
            <w:right w:w="108" w:type="dxa"/>
          </w:tblCellMar>
        </w:tblPrEx>
        <w:trPr>
          <w:trHeight w:val="283" w:hRule="atLeast"/>
        </w:trPr>
        <w:tc>
          <w:tcPr>
            <w:tcW w:w="798" w:type="dxa"/>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13531" w:type="dxa"/>
            <w:gridSpan w:val="11"/>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无</w:t>
            </w:r>
          </w:p>
        </w:tc>
      </w:tr>
      <w:tr>
        <w:tblPrEx>
          <w:tblCellMar>
            <w:top w:w="0" w:type="dxa"/>
            <w:left w:w="108" w:type="dxa"/>
            <w:bottom w:w="0" w:type="dxa"/>
            <w:right w:w="108" w:type="dxa"/>
          </w:tblCellMar>
        </w:tblPrEx>
        <w:trPr>
          <w:trHeight w:val="283" w:hRule="atLeast"/>
        </w:trPr>
        <w:tc>
          <w:tcPr>
            <w:tcW w:w="798" w:type="dxa"/>
            <w:tcBorders>
              <w:top w:val="nil"/>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13531" w:type="dxa"/>
            <w:gridSpan w:val="11"/>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无</w:t>
            </w:r>
          </w:p>
        </w:tc>
      </w:tr>
      <w:tr>
        <w:tblPrEx>
          <w:tblCellMar>
            <w:top w:w="0" w:type="dxa"/>
            <w:left w:w="108" w:type="dxa"/>
            <w:bottom w:w="0" w:type="dxa"/>
            <w:right w:w="108" w:type="dxa"/>
          </w:tblCellMar>
        </w:tblPrEx>
        <w:trPr>
          <w:trHeight w:val="283" w:hRule="atLeast"/>
        </w:trPr>
        <w:tc>
          <w:tcPr>
            <w:tcW w:w="70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项目负责人：贾哲军</w:t>
            </w:r>
          </w:p>
        </w:tc>
        <w:tc>
          <w:tcPr>
            <w:tcW w:w="7291" w:type="dxa"/>
            <w:gridSpan w:val="7"/>
            <w:tcBorders>
              <w:top w:val="single" w:color="000000" w:sz="4" w:space="0"/>
              <w:left w:val="nil"/>
              <w:bottom w:val="single" w:color="000000" w:sz="4" w:space="0"/>
              <w:right w:val="single" w:color="000000" w:sz="4" w:space="0"/>
            </w:tcBorders>
            <w:shd w:val="clear" w:color="auto" w:fill="auto"/>
            <w:vAlign w:val="center"/>
          </w:tcPr>
          <w:p>
            <w:pPr>
              <w:overflowPunct w:val="0"/>
              <w:autoSpaceDE w:val="0"/>
              <w:autoSpaceDN w:val="0"/>
              <w:spacing w:line="200" w:lineRule="exact"/>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财务负责人：缑春秀</w:t>
            </w:r>
          </w:p>
        </w:tc>
      </w:tr>
    </w:tbl>
    <w:p>
      <w:pPr>
        <w:pStyle w:val="2"/>
        <w:spacing w:before="93"/>
        <w:rPr>
          <w:lang w:val="zh-CN"/>
        </w:rPr>
        <w:sectPr>
          <w:pgSz w:w="16838" w:h="11906" w:orient="landscape"/>
          <w:pgMar w:top="1417" w:right="1417" w:bottom="1417" w:left="1417" w:header="851" w:footer="1134" w:gutter="0"/>
          <w:cols w:space="0" w:num="1"/>
          <w:docGrid w:type="lines" w:linePitch="312" w:charSpace="0"/>
        </w:sect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sectPr>
          <w:pgSz w:w="11906" w:h="16838"/>
          <w:pgMar w:top="1440" w:right="1800" w:bottom="1440" w:left="1800" w:header="851" w:footer="992" w:gutter="0"/>
          <w:pgNumType w:start="1"/>
          <w:cols w:space="425" w:num="1"/>
          <w:titlePg/>
          <w:docGrid w:type="lines" w:linePitch="312" w:charSpace="0"/>
        </w:sectPr>
      </w:pPr>
    </w:p>
    <w:p>
      <w:pPr>
        <w:spacing w:line="600" w:lineRule="exact"/>
        <w:jc w:val="center"/>
        <w:outlineLvl w:val="0"/>
        <w:rPr>
          <w:rFonts w:ascii="方正小标宋简体" w:hAnsi="方正小标宋简体" w:eastAsia="方正小标宋简体" w:cs="方正小标宋简体"/>
          <w:b/>
          <w:bCs/>
          <w:sz w:val="44"/>
          <w:szCs w:val="44"/>
        </w:rPr>
      </w:pPr>
      <w:bookmarkStart w:id="53" w:name="_Toc15396618"/>
      <w:r>
        <w:rPr>
          <w:rFonts w:hint="eastAsia" w:ascii="方正小标宋简体" w:hAnsi="方正小标宋简体" w:eastAsia="方正小标宋简体" w:cs="方正小标宋简体"/>
          <w:b/>
          <w:bCs/>
          <w:sz w:val="44"/>
          <w:szCs w:val="44"/>
        </w:rPr>
        <w:t>第</w:t>
      </w:r>
      <w:r>
        <w:rPr>
          <w:rStyle w:val="19"/>
          <w:rFonts w:hint="eastAsia" w:ascii="方正小标宋简体" w:hAnsi="方正小标宋简体" w:eastAsia="方正小标宋简体" w:cs="方正小标宋简体"/>
        </w:rPr>
        <w:t>五部分   附表</w:t>
      </w:r>
      <w:bookmarkEnd w:id="52"/>
      <w:bookmarkEnd w:id="53"/>
      <w:bookmarkStart w:id="54" w:name="_Toc15396619"/>
    </w:p>
    <w:p>
      <w:pPr>
        <w:pStyle w:val="4"/>
        <w:keepLines w:val="0"/>
        <w:overflowPunct w:val="0"/>
        <w:autoSpaceDE w:val="0"/>
        <w:autoSpaceDN w:val="0"/>
        <w:spacing w:before="0" w:after="0" w:line="576" w:lineRule="exact"/>
        <w:rPr>
          <w:rFonts w:ascii="仿宋_GB2312" w:hAnsi="仿宋_GB2312" w:eastAsia="仿宋_GB2312" w:cs="仿宋_GB2312"/>
          <w:b w:val="0"/>
        </w:rPr>
      </w:pPr>
    </w:p>
    <w:p>
      <w:pPr>
        <w:pStyle w:val="4"/>
        <w:keepLines w:val="0"/>
        <w:overflowPunct w:val="0"/>
        <w:autoSpaceDE w:val="0"/>
        <w:autoSpaceDN w:val="0"/>
        <w:spacing w:before="0" w:after="0" w:line="576" w:lineRule="exact"/>
        <w:rPr>
          <w:rFonts w:ascii="仿宋_GB2312" w:hAnsi="仿宋_GB2312" w:eastAsia="仿宋_GB2312" w:cs="仿宋_GB2312"/>
        </w:rPr>
      </w:pPr>
      <w:r>
        <w:rPr>
          <w:rFonts w:hint="eastAsia" w:ascii="仿宋_GB2312" w:hAnsi="仿宋_GB2312" w:eastAsia="仿宋_GB2312" w:cs="仿宋_GB2312"/>
          <w:b w:val="0"/>
        </w:rPr>
        <w:t>一、收</w:t>
      </w:r>
      <w:r>
        <w:rPr>
          <w:rStyle w:val="20"/>
          <w:rFonts w:hint="eastAsia" w:ascii="仿宋_GB2312" w:hAnsi="仿宋_GB2312" w:eastAsia="仿宋_GB2312" w:cs="仿宋_GB2312"/>
          <w:b w:val="0"/>
          <w:bCs w:val="0"/>
        </w:rPr>
        <w:t>入支出决算总表</w:t>
      </w:r>
      <w:bookmarkEnd w:id="54"/>
    </w:p>
    <w:p>
      <w:pPr>
        <w:pStyle w:val="4"/>
        <w:keepLines w:val="0"/>
        <w:overflowPunct w:val="0"/>
        <w:autoSpaceDE w:val="0"/>
        <w:autoSpaceDN w:val="0"/>
        <w:spacing w:before="0" w:after="0" w:line="576" w:lineRule="exact"/>
        <w:rPr>
          <w:rFonts w:ascii="仿宋_GB2312" w:hAnsi="仿宋_GB2312" w:eastAsia="仿宋_GB2312" w:cs="仿宋_GB2312"/>
        </w:rPr>
      </w:pPr>
      <w:bookmarkStart w:id="55" w:name="_Toc15396620"/>
      <w:r>
        <w:rPr>
          <w:rFonts w:hint="eastAsia" w:ascii="仿宋_GB2312" w:hAnsi="仿宋_GB2312" w:eastAsia="仿宋_GB2312" w:cs="仿宋_GB2312"/>
          <w:b w:val="0"/>
        </w:rPr>
        <w:t>二、收</w:t>
      </w:r>
      <w:r>
        <w:rPr>
          <w:rStyle w:val="20"/>
          <w:rFonts w:hint="eastAsia" w:ascii="仿宋_GB2312" w:hAnsi="仿宋_GB2312" w:eastAsia="仿宋_GB2312" w:cs="仿宋_GB2312"/>
          <w:b w:val="0"/>
          <w:bCs w:val="0"/>
        </w:rPr>
        <w:t>入决算表</w:t>
      </w:r>
      <w:bookmarkEnd w:id="55"/>
    </w:p>
    <w:p>
      <w:pPr>
        <w:pStyle w:val="4"/>
        <w:keepLines w:val="0"/>
        <w:overflowPunct w:val="0"/>
        <w:autoSpaceDE w:val="0"/>
        <w:autoSpaceDN w:val="0"/>
        <w:spacing w:before="0" w:after="0" w:line="576" w:lineRule="exact"/>
        <w:rPr>
          <w:rFonts w:ascii="仿宋_GB2312" w:hAnsi="仿宋_GB2312" w:eastAsia="仿宋_GB2312" w:cs="仿宋_GB2312"/>
        </w:rPr>
      </w:pPr>
      <w:bookmarkStart w:id="56" w:name="_Toc15396621"/>
      <w:r>
        <w:rPr>
          <w:rStyle w:val="20"/>
          <w:rFonts w:hint="eastAsia" w:ascii="仿宋_GB2312" w:hAnsi="仿宋_GB2312" w:eastAsia="仿宋_GB2312" w:cs="仿宋_GB2312"/>
          <w:b w:val="0"/>
          <w:bCs w:val="0"/>
        </w:rPr>
        <w:t>三、</w:t>
      </w:r>
      <w:r>
        <w:rPr>
          <w:rFonts w:hint="eastAsia" w:ascii="仿宋_GB2312" w:hAnsi="仿宋_GB2312" w:eastAsia="仿宋_GB2312" w:cs="仿宋_GB2312"/>
          <w:b w:val="0"/>
        </w:rPr>
        <w:t>支</w:t>
      </w:r>
      <w:r>
        <w:rPr>
          <w:rStyle w:val="20"/>
          <w:rFonts w:hint="eastAsia" w:ascii="仿宋_GB2312" w:hAnsi="仿宋_GB2312" w:eastAsia="仿宋_GB2312" w:cs="仿宋_GB2312"/>
          <w:b w:val="0"/>
          <w:bCs w:val="0"/>
        </w:rPr>
        <w:t>出决算表</w:t>
      </w:r>
      <w:bookmarkEnd w:id="56"/>
    </w:p>
    <w:p>
      <w:pPr>
        <w:pStyle w:val="4"/>
        <w:keepLines w:val="0"/>
        <w:overflowPunct w:val="0"/>
        <w:autoSpaceDE w:val="0"/>
        <w:autoSpaceDN w:val="0"/>
        <w:spacing w:before="0" w:after="0" w:line="576" w:lineRule="exact"/>
        <w:rPr>
          <w:rFonts w:ascii="仿宋_GB2312" w:hAnsi="仿宋_GB2312" w:eastAsia="仿宋_GB2312" w:cs="仿宋_GB2312"/>
          <w:b w:val="0"/>
        </w:rPr>
      </w:pPr>
      <w:bookmarkStart w:id="57" w:name="_Toc15396622"/>
      <w:r>
        <w:rPr>
          <w:rStyle w:val="20"/>
          <w:rFonts w:hint="eastAsia" w:ascii="仿宋_GB2312" w:hAnsi="仿宋_GB2312" w:eastAsia="仿宋_GB2312" w:cs="仿宋_GB2312"/>
          <w:b w:val="0"/>
          <w:bCs w:val="0"/>
        </w:rPr>
        <w:t>四、</w:t>
      </w:r>
      <w:r>
        <w:rPr>
          <w:rFonts w:hint="eastAsia" w:ascii="仿宋_GB2312" w:hAnsi="仿宋_GB2312" w:eastAsia="仿宋_GB2312" w:cs="仿宋_GB2312"/>
          <w:b w:val="0"/>
        </w:rPr>
        <w:t>财</w:t>
      </w:r>
      <w:r>
        <w:rPr>
          <w:rStyle w:val="20"/>
          <w:rFonts w:hint="eastAsia" w:ascii="仿宋_GB2312" w:hAnsi="仿宋_GB2312" w:eastAsia="仿宋_GB2312" w:cs="仿宋_GB2312"/>
          <w:b w:val="0"/>
          <w:bCs w:val="0"/>
        </w:rPr>
        <w:t>政拨款收入支出决算总表</w:t>
      </w:r>
      <w:bookmarkEnd w:id="57"/>
    </w:p>
    <w:p>
      <w:pPr>
        <w:pStyle w:val="4"/>
        <w:keepLines w:val="0"/>
        <w:overflowPunct w:val="0"/>
        <w:autoSpaceDE w:val="0"/>
        <w:autoSpaceDN w:val="0"/>
        <w:spacing w:before="0" w:after="0" w:line="576" w:lineRule="exact"/>
        <w:rPr>
          <w:rStyle w:val="20"/>
          <w:rFonts w:ascii="仿宋_GB2312" w:hAnsi="仿宋_GB2312" w:eastAsia="仿宋_GB2312" w:cs="仿宋_GB2312"/>
          <w:b w:val="0"/>
          <w:bCs w:val="0"/>
        </w:rPr>
      </w:pPr>
      <w:bookmarkStart w:id="58" w:name="_Toc15396623"/>
      <w:r>
        <w:rPr>
          <w:rStyle w:val="20"/>
          <w:rFonts w:hint="eastAsia" w:ascii="仿宋_GB2312" w:hAnsi="仿宋_GB2312" w:eastAsia="仿宋_GB2312" w:cs="仿宋_GB2312"/>
          <w:b w:val="0"/>
          <w:bCs w:val="0"/>
        </w:rPr>
        <w:t>五、</w:t>
      </w:r>
      <w:r>
        <w:rPr>
          <w:rFonts w:hint="eastAsia" w:ascii="仿宋_GB2312" w:hAnsi="仿宋_GB2312" w:eastAsia="仿宋_GB2312" w:cs="仿宋_GB2312"/>
          <w:b w:val="0"/>
        </w:rPr>
        <w:t>财</w:t>
      </w:r>
      <w:r>
        <w:rPr>
          <w:rStyle w:val="20"/>
          <w:rFonts w:hint="eastAsia" w:ascii="仿宋_GB2312" w:hAnsi="仿宋_GB2312" w:eastAsia="仿宋_GB2312" w:cs="仿宋_GB2312"/>
          <w:b w:val="0"/>
          <w:bCs w:val="0"/>
        </w:rPr>
        <w:t>政拨款支出决算明细表</w:t>
      </w:r>
      <w:bookmarkEnd w:id="58"/>
      <w:bookmarkStart w:id="59" w:name="_Toc15396624"/>
    </w:p>
    <w:p>
      <w:pPr>
        <w:pStyle w:val="4"/>
        <w:keepLines w:val="0"/>
        <w:overflowPunct w:val="0"/>
        <w:autoSpaceDE w:val="0"/>
        <w:autoSpaceDN w:val="0"/>
        <w:spacing w:before="0" w:after="0" w:line="576" w:lineRule="exact"/>
        <w:rPr>
          <w:rFonts w:ascii="仿宋_GB2312" w:hAnsi="仿宋_GB2312" w:eastAsia="仿宋_GB2312" w:cs="仿宋_GB2312"/>
        </w:rPr>
      </w:pPr>
      <w:r>
        <w:rPr>
          <w:rStyle w:val="20"/>
          <w:rFonts w:hint="eastAsia" w:ascii="仿宋_GB2312" w:hAnsi="仿宋_GB2312" w:eastAsia="仿宋_GB2312" w:cs="仿宋_GB2312"/>
          <w:b w:val="0"/>
          <w:bCs w:val="0"/>
        </w:rPr>
        <w:t>六、</w:t>
      </w:r>
      <w:r>
        <w:rPr>
          <w:rFonts w:hint="eastAsia" w:ascii="仿宋_GB2312" w:hAnsi="仿宋_GB2312" w:eastAsia="仿宋_GB2312" w:cs="仿宋_GB2312"/>
          <w:b w:val="0"/>
        </w:rPr>
        <w:t>一</w:t>
      </w:r>
      <w:r>
        <w:rPr>
          <w:rStyle w:val="20"/>
          <w:rFonts w:hint="eastAsia" w:ascii="仿宋_GB2312" w:hAnsi="仿宋_GB2312" w:eastAsia="仿宋_GB2312" w:cs="仿宋_GB2312"/>
          <w:b w:val="0"/>
          <w:bCs w:val="0"/>
        </w:rPr>
        <w:t>般公共预算财政拨款支出决算表</w:t>
      </w:r>
      <w:bookmarkEnd w:id="59"/>
    </w:p>
    <w:p>
      <w:pPr>
        <w:pStyle w:val="4"/>
        <w:keepLines w:val="0"/>
        <w:overflowPunct w:val="0"/>
        <w:autoSpaceDE w:val="0"/>
        <w:autoSpaceDN w:val="0"/>
        <w:spacing w:before="0" w:after="0" w:line="576" w:lineRule="exact"/>
        <w:rPr>
          <w:rFonts w:ascii="仿宋_GB2312" w:hAnsi="仿宋_GB2312" w:eastAsia="仿宋_GB2312" w:cs="仿宋_GB2312"/>
        </w:rPr>
      </w:pPr>
      <w:bookmarkStart w:id="60" w:name="_Toc15396625"/>
      <w:r>
        <w:rPr>
          <w:rStyle w:val="20"/>
          <w:rFonts w:hint="eastAsia" w:ascii="仿宋_GB2312" w:hAnsi="仿宋_GB2312" w:eastAsia="仿宋_GB2312" w:cs="仿宋_GB2312"/>
          <w:b w:val="0"/>
          <w:bCs w:val="0"/>
        </w:rPr>
        <w:t>七、</w:t>
      </w:r>
      <w:r>
        <w:rPr>
          <w:rFonts w:hint="eastAsia" w:ascii="仿宋_GB2312" w:hAnsi="仿宋_GB2312" w:eastAsia="仿宋_GB2312" w:cs="仿宋_GB2312"/>
          <w:b w:val="0"/>
        </w:rPr>
        <w:t>一</w:t>
      </w:r>
      <w:r>
        <w:rPr>
          <w:rStyle w:val="20"/>
          <w:rFonts w:hint="eastAsia" w:ascii="仿宋_GB2312" w:hAnsi="仿宋_GB2312" w:eastAsia="仿宋_GB2312" w:cs="仿宋_GB2312"/>
          <w:b w:val="0"/>
          <w:bCs w:val="0"/>
        </w:rPr>
        <w:t>般公共预算财政拨款支出决算明细表</w:t>
      </w:r>
      <w:bookmarkEnd w:id="60"/>
    </w:p>
    <w:p>
      <w:pPr>
        <w:pStyle w:val="4"/>
        <w:keepLines w:val="0"/>
        <w:overflowPunct w:val="0"/>
        <w:autoSpaceDE w:val="0"/>
        <w:autoSpaceDN w:val="0"/>
        <w:spacing w:before="0" w:after="0" w:line="576" w:lineRule="exact"/>
        <w:rPr>
          <w:rFonts w:ascii="仿宋_GB2312" w:hAnsi="仿宋_GB2312" w:eastAsia="仿宋_GB2312" w:cs="仿宋_GB2312"/>
        </w:rPr>
      </w:pPr>
      <w:bookmarkStart w:id="61" w:name="_Toc15396626"/>
      <w:r>
        <w:rPr>
          <w:rStyle w:val="20"/>
          <w:rFonts w:hint="eastAsia" w:ascii="仿宋_GB2312" w:hAnsi="仿宋_GB2312" w:eastAsia="仿宋_GB2312" w:cs="仿宋_GB2312"/>
          <w:b w:val="0"/>
          <w:bCs w:val="0"/>
        </w:rPr>
        <w:t>八、</w:t>
      </w:r>
      <w:r>
        <w:rPr>
          <w:rFonts w:hint="eastAsia" w:ascii="仿宋_GB2312" w:hAnsi="仿宋_GB2312" w:eastAsia="仿宋_GB2312" w:cs="仿宋_GB2312"/>
          <w:b w:val="0"/>
        </w:rPr>
        <w:t>一</w:t>
      </w:r>
      <w:r>
        <w:rPr>
          <w:rStyle w:val="20"/>
          <w:rFonts w:hint="eastAsia" w:ascii="仿宋_GB2312" w:hAnsi="仿宋_GB2312" w:eastAsia="仿宋_GB2312" w:cs="仿宋_GB2312"/>
          <w:b w:val="0"/>
          <w:bCs w:val="0"/>
        </w:rPr>
        <w:t>般公共预算财政拨款基本支出决算表</w:t>
      </w:r>
      <w:bookmarkEnd w:id="61"/>
    </w:p>
    <w:p>
      <w:pPr>
        <w:pStyle w:val="4"/>
        <w:keepLines w:val="0"/>
        <w:overflowPunct w:val="0"/>
        <w:autoSpaceDE w:val="0"/>
        <w:autoSpaceDN w:val="0"/>
        <w:spacing w:before="0" w:after="0" w:line="576" w:lineRule="exact"/>
        <w:rPr>
          <w:rFonts w:ascii="仿宋_GB2312" w:hAnsi="仿宋_GB2312" w:eastAsia="仿宋_GB2312" w:cs="仿宋_GB2312"/>
        </w:rPr>
      </w:pPr>
      <w:bookmarkStart w:id="62" w:name="_Toc15396627"/>
      <w:r>
        <w:rPr>
          <w:rStyle w:val="20"/>
          <w:rFonts w:hint="eastAsia" w:ascii="仿宋_GB2312" w:hAnsi="仿宋_GB2312" w:eastAsia="仿宋_GB2312" w:cs="仿宋_GB2312"/>
          <w:b w:val="0"/>
          <w:bCs w:val="0"/>
        </w:rPr>
        <w:t>九、</w:t>
      </w:r>
      <w:r>
        <w:rPr>
          <w:rFonts w:hint="eastAsia" w:ascii="仿宋_GB2312" w:hAnsi="仿宋_GB2312" w:eastAsia="仿宋_GB2312" w:cs="仿宋_GB2312"/>
          <w:b w:val="0"/>
        </w:rPr>
        <w:t>一</w:t>
      </w:r>
      <w:r>
        <w:rPr>
          <w:rStyle w:val="20"/>
          <w:rFonts w:hint="eastAsia" w:ascii="仿宋_GB2312" w:hAnsi="仿宋_GB2312" w:eastAsia="仿宋_GB2312" w:cs="仿宋_GB2312"/>
          <w:b w:val="0"/>
          <w:bCs w:val="0"/>
        </w:rPr>
        <w:t>般公共预算财政拨款项目支出决算表</w:t>
      </w:r>
      <w:bookmarkEnd w:id="62"/>
    </w:p>
    <w:p>
      <w:pPr>
        <w:pStyle w:val="4"/>
        <w:keepLines w:val="0"/>
        <w:overflowPunct w:val="0"/>
        <w:autoSpaceDE w:val="0"/>
        <w:autoSpaceDN w:val="0"/>
        <w:spacing w:before="0" w:after="0" w:line="576" w:lineRule="exact"/>
        <w:rPr>
          <w:rFonts w:ascii="仿宋_GB2312" w:hAnsi="仿宋_GB2312" w:eastAsia="仿宋_GB2312" w:cs="仿宋_GB2312"/>
        </w:rPr>
      </w:pPr>
      <w:bookmarkStart w:id="63" w:name="_Toc15396628"/>
      <w:r>
        <w:rPr>
          <w:rStyle w:val="20"/>
          <w:rFonts w:hint="eastAsia" w:ascii="仿宋_GB2312" w:hAnsi="仿宋_GB2312" w:eastAsia="仿宋_GB2312" w:cs="仿宋_GB2312"/>
          <w:b w:val="0"/>
          <w:bCs w:val="0"/>
        </w:rPr>
        <w:t>十、</w:t>
      </w:r>
      <w:bookmarkEnd w:id="63"/>
      <w:r>
        <w:rPr>
          <w:rFonts w:hint="eastAsia" w:ascii="仿宋_GB2312" w:hAnsi="仿宋_GB2312" w:eastAsia="仿宋_GB2312" w:cs="仿宋_GB2312"/>
          <w:b w:val="0"/>
        </w:rPr>
        <w:t>政</w:t>
      </w:r>
      <w:r>
        <w:rPr>
          <w:rStyle w:val="20"/>
          <w:rFonts w:hint="eastAsia" w:ascii="仿宋_GB2312" w:hAnsi="仿宋_GB2312" w:eastAsia="仿宋_GB2312" w:cs="仿宋_GB2312"/>
          <w:b w:val="0"/>
          <w:bCs w:val="0"/>
        </w:rPr>
        <w:t>府性基金预算财政拨款收入支出决算表</w:t>
      </w:r>
    </w:p>
    <w:p>
      <w:pPr>
        <w:pStyle w:val="4"/>
        <w:keepLines w:val="0"/>
        <w:overflowPunct w:val="0"/>
        <w:autoSpaceDE w:val="0"/>
        <w:autoSpaceDN w:val="0"/>
        <w:spacing w:before="0" w:after="0" w:line="576" w:lineRule="exact"/>
        <w:rPr>
          <w:rFonts w:ascii="仿宋_GB2312" w:hAnsi="仿宋_GB2312" w:eastAsia="仿宋_GB2312" w:cs="仿宋_GB2312"/>
        </w:rPr>
      </w:pPr>
      <w:bookmarkStart w:id="64" w:name="_Toc15396629"/>
      <w:r>
        <w:rPr>
          <w:rStyle w:val="20"/>
          <w:rFonts w:hint="eastAsia" w:ascii="仿宋_GB2312" w:hAnsi="仿宋_GB2312" w:eastAsia="仿宋_GB2312" w:cs="仿宋_GB2312"/>
          <w:b w:val="0"/>
          <w:bCs w:val="0"/>
        </w:rPr>
        <w:t>十一、</w:t>
      </w:r>
      <w:bookmarkEnd w:id="64"/>
      <w:r>
        <w:rPr>
          <w:rFonts w:hint="eastAsia" w:ascii="仿宋_GB2312" w:hAnsi="仿宋_GB2312" w:eastAsia="仿宋_GB2312" w:cs="仿宋_GB2312"/>
          <w:b w:val="0"/>
        </w:rPr>
        <w:t>国</w:t>
      </w:r>
      <w:r>
        <w:rPr>
          <w:rStyle w:val="20"/>
          <w:rFonts w:hint="eastAsia" w:ascii="仿宋_GB2312" w:hAnsi="仿宋_GB2312" w:eastAsia="仿宋_GB2312" w:cs="仿宋_GB2312"/>
          <w:b w:val="0"/>
          <w:bCs w:val="0"/>
        </w:rPr>
        <w:t>有资本经营预算财政拨款收入支出决算表</w:t>
      </w:r>
    </w:p>
    <w:p>
      <w:pPr>
        <w:pStyle w:val="4"/>
        <w:keepLines w:val="0"/>
        <w:overflowPunct w:val="0"/>
        <w:autoSpaceDE w:val="0"/>
        <w:autoSpaceDN w:val="0"/>
        <w:spacing w:before="0" w:after="0" w:line="576" w:lineRule="exact"/>
        <w:rPr>
          <w:rFonts w:ascii="仿宋_GB2312" w:hAnsi="仿宋_GB2312" w:eastAsia="仿宋_GB2312" w:cs="仿宋_GB2312"/>
        </w:rPr>
      </w:pPr>
      <w:bookmarkStart w:id="65" w:name="_Toc15396630"/>
      <w:r>
        <w:rPr>
          <w:rStyle w:val="20"/>
          <w:rFonts w:hint="eastAsia" w:ascii="仿宋_GB2312" w:hAnsi="仿宋_GB2312" w:eastAsia="仿宋_GB2312" w:cs="仿宋_GB2312"/>
          <w:b w:val="0"/>
          <w:bCs w:val="0"/>
        </w:rPr>
        <w:t>十二、</w:t>
      </w:r>
      <w:bookmarkEnd w:id="65"/>
      <w:r>
        <w:rPr>
          <w:rStyle w:val="20"/>
          <w:rFonts w:hint="eastAsia" w:ascii="仿宋_GB2312" w:hAnsi="仿宋_GB2312" w:eastAsia="仿宋_GB2312" w:cs="仿宋_GB2312"/>
          <w:b w:val="0"/>
          <w:bCs w:val="0"/>
        </w:rPr>
        <w:t>国有资本经营预算财政拨款支出决算表</w:t>
      </w:r>
    </w:p>
    <w:p>
      <w:pPr>
        <w:pStyle w:val="4"/>
        <w:keepLines w:val="0"/>
        <w:overflowPunct w:val="0"/>
        <w:autoSpaceDE w:val="0"/>
        <w:autoSpaceDN w:val="0"/>
        <w:spacing w:before="0" w:after="0" w:line="576" w:lineRule="exact"/>
        <w:rPr>
          <w:rStyle w:val="20"/>
          <w:rFonts w:ascii="仿宋_GB2312" w:hAnsi="仿宋_GB2312" w:eastAsia="仿宋_GB2312" w:cs="仿宋_GB2312"/>
          <w:b w:val="0"/>
          <w:bCs w:val="0"/>
        </w:rPr>
      </w:pPr>
      <w:bookmarkStart w:id="66" w:name="_Toc15396631"/>
      <w:r>
        <w:rPr>
          <w:rStyle w:val="20"/>
          <w:rFonts w:hint="eastAsia" w:ascii="仿宋_GB2312" w:hAnsi="仿宋_GB2312" w:eastAsia="仿宋_GB2312" w:cs="仿宋_GB2312"/>
          <w:b w:val="0"/>
          <w:bCs w:val="0"/>
        </w:rPr>
        <w:t>十三、</w:t>
      </w:r>
      <w:bookmarkEnd w:id="66"/>
      <w:r>
        <w:rPr>
          <w:rStyle w:val="20"/>
          <w:rFonts w:hint="eastAsia" w:ascii="仿宋_GB2312" w:hAnsi="仿宋_GB2312" w:eastAsia="仿宋_GB2312" w:cs="仿宋_GB2312"/>
          <w:b w:val="0"/>
          <w:bCs w:val="0"/>
        </w:rPr>
        <w:t>财政拨款“三公”经费支出决算表</w:t>
      </w:r>
    </w:p>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sectPr>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9"/>
                  <w:ind w:left="420" w:leftChars="200" w:right="420" w:right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7891397"/>
      <w:docPartObj>
        <w:docPartGallery w:val="autotext"/>
      </w:docPartObj>
    </w:sdtPr>
    <w:sdtContent>
      <w:p>
        <w:pPr>
          <w:pStyle w:val="9"/>
          <w:jc w:val="center"/>
        </w:pPr>
        <w:r>
          <w:rPr>
            <w:rFonts w:hint="eastAsia" w:ascii="宋体" w:hAnsi="宋体"/>
            <w:sz w:val="24"/>
            <w:szCs w:val="24"/>
          </w:rPr>
          <w:t>3</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1</w:t>
        </w:r>
        <w:r>
          <w:rPr>
            <w:rFonts w:ascii="宋体" w:hAnsi="宋体"/>
            <w:sz w:val="24"/>
            <w:szCs w:val="24"/>
          </w:rPr>
          <w:fldChar w:fldCharType="end"/>
        </w:r>
      </w:p>
    </w:sdtContent>
  </w:sdt>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9"/>
                  <w:ind w:left="420" w:leftChars="200" w:right="420" w:right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UyYTMyNWEyZTJiMjZkNDBkOGQ3NmYxOGQ3MjU2NDIifQ=="/>
  </w:docVars>
  <w:rsids>
    <w:rsidRoot w:val="00F1361C"/>
    <w:rsid w:val="00001ABE"/>
    <w:rsid w:val="000222C6"/>
    <w:rsid w:val="0002549F"/>
    <w:rsid w:val="000468DB"/>
    <w:rsid w:val="0006487A"/>
    <w:rsid w:val="00065F8F"/>
    <w:rsid w:val="00070074"/>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24CC"/>
    <w:rsid w:val="001C0962"/>
    <w:rsid w:val="001C47E3"/>
    <w:rsid w:val="001D7531"/>
    <w:rsid w:val="001E737D"/>
    <w:rsid w:val="001F0592"/>
    <w:rsid w:val="001F7506"/>
    <w:rsid w:val="002006CD"/>
    <w:rsid w:val="00202B36"/>
    <w:rsid w:val="00204B7A"/>
    <w:rsid w:val="00204CDE"/>
    <w:rsid w:val="0021101A"/>
    <w:rsid w:val="00220536"/>
    <w:rsid w:val="00235629"/>
    <w:rsid w:val="00240277"/>
    <w:rsid w:val="00253CE0"/>
    <w:rsid w:val="00260C38"/>
    <w:rsid w:val="002616C0"/>
    <w:rsid w:val="00265372"/>
    <w:rsid w:val="002662AA"/>
    <w:rsid w:val="00280496"/>
    <w:rsid w:val="00294DC9"/>
    <w:rsid w:val="00295495"/>
    <w:rsid w:val="002A31DE"/>
    <w:rsid w:val="002B2613"/>
    <w:rsid w:val="002C4688"/>
    <w:rsid w:val="002D1BF3"/>
    <w:rsid w:val="002D6D05"/>
    <w:rsid w:val="002F1818"/>
    <w:rsid w:val="002F567B"/>
    <w:rsid w:val="003216A9"/>
    <w:rsid w:val="00335A74"/>
    <w:rsid w:val="00342F6E"/>
    <w:rsid w:val="00357D1A"/>
    <w:rsid w:val="0036561B"/>
    <w:rsid w:val="0037013F"/>
    <w:rsid w:val="00380C92"/>
    <w:rsid w:val="00381BB6"/>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5150"/>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078E0"/>
    <w:rsid w:val="00512FDA"/>
    <w:rsid w:val="00520DA0"/>
    <w:rsid w:val="005664BB"/>
    <w:rsid w:val="00566FFA"/>
    <w:rsid w:val="00571355"/>
    <w:rsid w:val="0057481D"/>
    <w:rsid w:val="00582987"/>
    <w:rsid w:val="0058486E"/>
    <w:rsid w:val="005850E6"/>
    <w:rsid w:val="00585B33"/>
    <w:rsid w:val="0059014D"/>
    <w:rsid w:val="005B5C64"/>
    <w:rsid w:val="005C5337"/>
    <w:rsid w:val="005C6BD0"/>
    <w:rsid w:val="005D1C8B"/>
    <w:rsid w:val="005D2A80"/>
    <w:rsid w:val="005D468D"/>
    <w:rsid w:val="005D5CED"/>
    <w:rsid w:val="005F1A4C"/>
    <w:rsid w:val="00605688"/>
    <w:rsid w:val="006070AF"/>
    <w:rsid w:val="006071AE"/>
    <w:rsid w:val="00607E6C"/>
    <w:rsid w:val="006101B1"/>
    <w:rsid w:val="00614E44"/>
    <w:rsid w:val="0062270A"/>
    <w:rsid w:val="00622830"/>
    <w:rsid w:val="00623DA0"/>
    <w:rsid w:val="00630AEF"/>
    <w:rsid w:val="006325F8"/>
    <w:rsid w:val="00633463"/>
    <w:rsid w:val="00634C9A"/>
    <w:rsid w:val="006432F8"/>
    <w:rsid w:val="006440E4"/>
    <w:rsid w:val="0066343B"/>
    <w:rsid w:val="00664777"/>
    <w:rsid w:val="006748A4"/>
    <w:rsid w:val="00681A31"/>
    <w:rsid w:val="00683E73"/>
    <w:rsid w:val="006A3141"/>
    <w:rsid w:val="006A5E34"/>
    <w:rsid w:val="006B2422"/>
    <w:rsid w:val="006B2B9A"/>
    <w:rsid w:val="006B5A99"/>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94C11"/>
    <w:rsid w:val="007B6CD8"/>
    <w:rsid w:val="007D1682"/>
    <w:rsid w:val="007D312A"/>
    <w:rsid w:val="007D3F19"/>
    <w:rsid w:val="007E23B0"/>
    <w:rsid w:val="007E23E5"/>
    <w:rsid w:val="007F1991"/>
    <w:rsid w:val="007F2C2F"/>
    <w:rsid w:val="007F55FC"/>
    <w:rsid w:val="007F5665"/>
    <w:rsid w:val="00800112"/>
    <w:rsid w:val="00813348"/>
    <w:rsid w:val="00821EEF"/>
    <w:rsid w:val="008253BB"/>
    <w:rsid w:val="0083706E"/>
    <w:rsid w:val="008408F6"/>
    <w:rsid w:val="008423A5"/>
    <w:rsid w:val="0084446E"/>
    <w:rsid w:val="00850625"/>
    <w:rsid w:val="0085314B"/>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447D"/>
    <w:rsid w:val="00935C98"/>
    <w:rsid w:val="00940FD4"/>
    <w:rsid w:val="00946945"/>
    <w:rsid w:val="00951248"/>
    <w:rsid w:val="0095152F"/>
    <w:rsid w:val="00954C49"/>
    <w:rsid w:val="00955E37"/>
    <w:rsid w:val="0097099F"/>
    <w:rsid w:val="00971997"/>
    <w:rsid w:val="00971FFC"/>
    <w:rsid w:val="0098660A"/>
    <w:rsid w:val="009931C3"/>
    <w:rsid w:val="00993AEE"/>
    <w:rsid w:val="009B2C43"/>
    <w:rsid w:val="009B4EAE"/>
    <w:rsid w:val="009B7573"/>
    <w:rsid w:val="009C22F4"/>
    <w:rsid w:val="009C2A4B"/>
    <w:rsid w:val="009C2E98"/>
    <w:rsid w:val="009D3447"/>
    <w:rsid w:val="009D4711"/>
    <w:rsid w:val="009F1185"/>
    <w:rsid w:val="009F18CD"/>
    <w:rsid w:val="009F2A13"/>
    <w:rsid w:val="009F7527"/>
    <w:rsid w:val="00A01150"/>
    <w:rsid w:val="00A01C7C"/>
    <w:rsid w:val="00A04EB0"/>
    <w:rsid w:val="00A13CC1"/>
    <w:rsid w:val="00A16847"/>
    <w:rsid w:val="00A237D8"/>
    <w:rsid w:val="00A268C4"/>
    <w:rsid w:val="00A307CD"/>
    <w:rsid w:val="00A331C8"/>
    <w:rsid w:val="00A40A00"/>
    <w:rsid w:val="00A4142F"/>
    <w:rsid w:val="00A422EB"/>
    <w:rsid w:val="00A45BB7"/>
    <w:rsid w:val="00A45F1C"/>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1968"/>
    <w:rsid w:val="00BB4DF0"/>
    <w:rsid w:val="00BC289F"/>
    <w:rsid w:val="00BC2D50"/>
    <w:rsid w:val="00BC5361"/>
    <w:rsid w:val="00BC5460"/>
    <w:rsid w:val="00BC6B50"/>
    <w:rsid w:val="00BD0E25"/>
    <w:rsid w:val="00BD7E74"/>
    <w:rsid w:val="00BF5BD6"/>
    <w:rsid w:val="00C03E31"/>
    <w:rsid w:val="00C171BB"/>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B6610"/>
    <w:rsid w:val="00CC09B6"/>
    <w:rsid w:val="00CC666F"/>
    <w:rsid w:val="00CD1E3F"/>
    <w:rsid w:val="00CD380E"/>
    <w:rsid w:val="00CD54BB"/>
    <w:rsid w:val="00CE44F6"/>
    <w:rsid w:val="00CE49DA"/>
    <w:rsid w:val="00CE7B61"/>
    <w:rsid w:val="00D00095"/>
    <w:rsid w:val="00D102BD"/>
    <w:rsid w:val="00D114F0"/>
    <w:rsid w:val="00D20620"/>
    <w:rsid w:val="00D254F7"/>
    <w:rsid w:val="00D26091"/>
    <w:rsid w:val="00D2685C"/>
    <w:rsid w:val="00D34E7C"/>
    <w:rsid w:val="00D35489"/>
    <w:rsid w:val="00D36AFE"/>
    <w:rsid w:val="00D51276"/>
    <w:rsid w:val="00D7035F"/>
    <w:rsid w:val="00D77E12"/>
    <w:rsid w:val="00DA634F"/>
    <w:rsid w:val="00DA65AC"/>
    <w:rsid w:val="00DB1913"/>
    <w:rsid w:val="00DC410D"/>
    <w:rsid w:val="00DC5A81"/>
    <w:rsid w:val="00DC68CA"/>
    <w:rsid w:val="00DC7CBA"/>
    <w:rsid w:val="00DD73B7"/>
    <w:rsid w:val="00DF28BC"/>
    <w:rsid w:val="00DF34B9"/>
    <w:rsid w:val="00E01053"/>
    <w:rsid w:val="00E07ACF"/>
    <w:rsid w:val="00E233A4"/>
    <w:rsid w:val="00E331A1"/>
    <w:rsid w:val="00E33202"/>
    <w:rsid w:val="00E336A9"/>
    <w:rsid w:val="00E472B1"/>
    <w:rsid w:val="00E50624"/>
    <w:rsid w:val="00E550CD"/>
    <w:rsid w:val="00E568DF"/>
    <w:rsid w:val="00E64269"/>
    <w:rsid w:val="00E82267"/>
    <w:rsid w:val="00E853CE"/>
    <w:rsid w:val="00E85E85"/>
    <w:rsid w:val="00E867B6"/>
    <w:rsid w:val="00E90265"/>
    <w:rsid w:val="00E92F5D"/>
    <w:rsid w:val="00EA010F"/>
    <w:rsid w:val="00EA0F31"/>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5D70"/>
    <w:rsid w:val="00F36D8F"/>
    <w:rsid w:val="00F417B1"/>
    <w:rsid w:val="00F45853"/>
    <w:rsid w:val="00F51A48"/>
    <w:rsid w:val="00F602DF"/>
    <w:rsid w:val="00F754A1"/>
    <w:rsid w:val="00F81FD9"/>
    <w:rsid w:val="00F841AA"/>
    <w:rsid w:val="00F84A94"/>
    <w:rsid w:val="00F87E96"/>
    <w:rsid w:val="00FA23E8"/>
    <w:rsid w:val="00FA3F4C"/>
    <w:rsid w:val="00FC67EF"/>
    <w:rsid w:val="00FD3CC1"/>
    <w:rsid w:val="00FF1E02"/>
    <w:rsid w:val="00FF30B4"/>
    <w:rsid w:val="015975B8"/>
    <w:rsid w:val="02143E91"/>
    <w:rsid w:val="066E0107"/>
    <w:rsid w:val="07996F6E"/>
    <w:rsid w:val="0A2032A3"/>
    <w:rsid w:val="0F98263C"/>
    <w:rsid w:val="101860EC"/>
    <w:rsid w:val="10C055FF"/>
    <w:rsid w:val="118107EC"/>
    <w:rsid w:val="13D50BC4"/>
    <w:rsid w:val="16BB723D"/>
    <w:rsid w:val="193A3401"/>
    <w:rsid w:val="1BE8440E"/>
    <w:rsid w:val="1D155CEE"/>
    <w:rsid w:val="1FF35744"/>
    <w:rsid w:val="23860B96"/>
    <w:rsid w:val="240371BF"/>
    <w:rsid w:val="29FD04D3"/>
    <w:rsid w:val="2C8A61B5"/>
    <w:rsid w:val="2DF04E50"/>
    <w:rsid w:val="2EC15979"/>
    <w:rsid w:val="2F040D46"/>
    <w:rsid w:val="319F7F4E"/>
    <w:rsid w:val="3304709D"/>
    <w:rsid w:val="36AA5135"/>
    <w:rsid w:val="376D39B2"/>
    <w:rsid w:val="37E16F03"/>
    <w:rsid w:val="38D469F0"/>
    <w:rsid w:val="3C3E433F"/>
    <w:rsid w:val="3D98207C"/>
    <w:rsid w:val="3E78745D"/>
    <w:rsid w:val="44E268DA"/>
    <w:rsid w:val="4A627F82"/>
    <w:rsid w:val="4A8B321C"/>
    <w:rsid w:val="4B0E749A"/>
    <w:rsid w:val="4B4F25DA"/>
    <w:rsid w:val="4BE068DB"/>
    <w:rsid w:val="4D577224"/>
    <w:rsid w:val="4EAB630A"/>
    <w:rsid w:val="4ECE2238"/>
    <w:rsid w:val="537E6D0A"/>
    <w:rsid w:val="5AF92295"/>
    <w:rsid w:val="5CD71FC4"/>
    <w:rsid w:val="61BF8777"/>
    <w:rsid w:val="6C4A05C8"/>
    <w:rsid w:val="6E7E3605"/>
    <w:rsid w:val="6FF5CC65"/>
    <w:rsid w:val="715C0E4B"/>
    <w:rsid w:val="72734D90"/>
    <w:rsid w:val="73AD73D5"/>
    <w:rsid w:val="73B6EB34"/>
    <w:rsid w:val="744731E5"/>
    <w:rsid w:val="76E3355F"/>
    <w:rsid w:val="778769C8"/>
    <w:rsid w:val="7787EC3E"/>
    <w:rsid w:val="79EE5BA4"/>
    <w:rsid w:val="7A894339"/>
    <w:rsid w:val="7EEF11D3"/>
    <w:rsid w:val="7F5FF489"/>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qFormat/>
    <w:uiPriority w:val="99"/>
    <w:pPr>
      <w:spacing w:beforeLines="30"/>
    </w:pPr>
    <w:rPr>
      <w:rFonts w:ascii="仿宋_GB2312" w:eastAsia="仿宋_GB2312"/>
      <w:kern w:val="0"/>
      <w:sz w:val="30"/>
    </w:rPr>
  </w:style>
  <w:style w:type="paragraph" w:styleId="6">
    <w:name w:val="Body Text Indent"/>
    <w:basedOn w:val="1"/>
    <w:link w:val="22"/>
    <w:qFormat/>
    <w:uiPriority w:val="0"/>
    <w:pPr>
      <w:spacing w:after="120"/>
      <w:ind w:left="200"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3"/>
    <w:semiHidden/>
    <w:unhideWhenUsed/>
    <w:qFormat/>
    <w:uiPriority w:val="99"/>
    <w:rPr>
      <w:sz w:val="18"/>
      <w:szCs w:val="18"/>
    </w:rPr>
  </w:style>
  <w:style w:type="paragraph" w:styleId="9">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5"/>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Body Text First Indent 2"/>
    <w:basedOn w:val="6"/>
    <w:link w:val="26"/>
    <w:unhideWhenUsed/>
    <w:qFormat/>
    <w:uiPriority w:val="99"/>
    <w:pPr>
      <w:ind w:firstLine="420" w:firstLine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rPr>
  </w:style>
  <w:style w:type="character" w:customStyle="1" w:styleId="18">
    <w:name w:val="正文文本 Char"/>
    <w:link w:val="2"/>
    <w:qFormat/>
    <w:locked/>
    <w:uiPriority w:val="99"/>
    <w:rPr>
      <w:rFonts w:ascii="仿宋_GB2312" w:hAnsi="Times New Roman" w:eastAsia="仿宋_GB2312"/>
      <w:sz w:val="24"/>
    </w:rPr>
  </w:style>
  <w:style w:type="character" w:customStyle="1" w:styleId="19">
    <w:name w:val="标题 1 Char"/>
    <w:basedOn w:val="15"/>
    <w:link w:val="3"/>
    <w:qFormat/>
    <w:uiPriority w:val="9"/>
    <w:rPr>
      <w:rFonts w:ascii="Times New Roman" w:hAnsi="Times New Roman"/>
      <w:b/>
      <w:bCs/>
      <w:kern w:val="44"/>
      <w:sz w:val="44"/>
      <w:szCs w:val="44"/>
    </w:rPr>
  </w:style>
  <w:style w:type="character" w:customStyle="1" w:styleId="20">
    <w:name w:val="标题 2 Char"/>
    <w:basedOn w:val="15"/>
    <w:link w:val="4"/>
    <w:qFormat/>
    <w:uiPriority w:val="9"/>
    <w:rPr>
      <w:rFonts w:asciiTheme="majorHAnsi" w:hAnsiTheme="majorHAnsi" w:eastAsiaTheme="majorEastAsia" w:cstheme="majorBidi"/>
      <w:b/>
      <w:bCs/>
      <w:kern w:val="2"/>
      <w:sz w:val="32"/>
      <w:szCs w:val="32"/>
    </w:rPr>
  </w:style>
  <w:style w:type="character" w:customStyle="1" w:styleId="21">
    <w:name w:val="标题 3 Char"/>
    <w:basedOn w:val="15"/>
    <w:link w:val="5"/>
    <w:qFormat/>
    <w:uiPriority w:val="9"/>
    <w:rPr>
      <w:rFonts w:ascii="Times New Roman" w:hAnsi="Times New Roman"/>
      <w:b/>
      <w:bCs/>
      <w:kern w:val="2"/>
      <w:sz w:val="32"/>
      <w:szCs w:val="32"/>
    </w:rPr>
  </w:style>
  <w:style w:type="character" w:customStyle="1" w:styleId="22">
    <w:name w:val="正文文本缩进 Char"/>
    <w:basedOn w:val="15"/>
    <w:link w:val="6"/>
    <w:qFormat/>
    <w:uiPriority w:val="0"/>
    <w:rPr>
      <w:rFonts w:ascii="仿宋_GB2312" w:hAnsi="Times New Roman" w:eastAsia="宋体" w:cs="Times New Roman"/>
      <w:kern w:val="2"/>
      <w:sz w:val="21"/>
      <w:szCs w:val="32"/>
    </w:rPr>
  </w:style>
  <w:style w:type="character" w:customStyle="1" w:styleId="23">
    <w:name w:val="批注框文本 Char"/>
    <w:basedOn w:val="15"/>
    <w:link w:val="8"/>
    <w:semiHidden/>
    <w:qFormat/>
    <w:uiPriority w:val="99"/>
    <w:rPr>
      <w:rFonts w:ascii="Times New Roman" w:hAnsi="Times New Roman"/>
      <w:kern w:val="2"/>
      <w:sz w:val="18"/>
      <w:szCs w:val="18"/>
    </w:rPr>
  </w:style>
  <w:style w:type="character" w:customStyle="1" w:styleId="24">
    <w:name w:val="页脚 Char"/>
    <w:link w:val="9"/>
    <w:qFormat/>
    <w:locked/>
    <w:uiPriority w:val="99"/>
    <w:rPr>
      <w:sz w:val="18"/>
    </w:rPr>
  </w:style>
  <w:style w:type="character" w:customStyle="1" w:styleId="25">
    <w:name w:val="页眉 Char"/>
    <w:link w:val="10"/>
    <w:semiHidden/>
    <w:qFormat/>
    <w:locked/>
    <w:uiPriority w:val="99"/>
    <w:rPr>
      <w:sz w:val="18"/>
    </w:rPr>
  </w:style>
  <w:style w:type="character" w:customStyle="1" w:styleId="26">
    <w:name w:val="正文首行缩进 2 Char"/>
    <w:basedOn w:val="22"/>
    <w:link w:val="13"/>
    <w:qFormat/>
    <w:uiPriority w:val="99"/>
  </w:style>
  <w:style w:type="paragraph" w:customStyle="1" w:styleId="27">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8">
    <w:name w:val="Header Char"/>
    <w:basedOn w:val="15"/>
    <w:semiHidden/>
    <w:qFormat/>
    <w:uiPriority w:val="99"/>
    <w:rPr>
      <w:rFonts w:ascii="Times New Roman" w:hAnsi="Times New Roman"/>
      <w:sz w:val="18"/>
      <w:szCs w:val="18"/>
    </w:rPr>
  </w:style>
  <w:style w:type="character" w:customStyle="1" w:styleId="29">
    <w:name w:val="Footer Char"/>
    <w:basedOn w:val="15"/>
    <w:semiHidden/>
    <w:qFormat/>
    <w:uiPriority w:val="99"/>
    <w:rPr>
      <w:rFonts w:ascii="Times New Roman" w:hAnsi="Times New Roman"/>
      <w:sz w:val="18"/>
      <w:szCs w:val="18"/>
    </w:rPr>
  </w:style>
  <w:style w:type="character" w:customStyle="1" w:styleId="30">
    <w:name w:val="Body Text Char"/>
    <w:basedOn w:val="15"/>
    <w:semiHidden/>
    <w:qFormat/>
    <w:uiPriority w:val="99"/>
    <w:rPr>
      <w:rFonts w:ascii="Times New Roman" w:hAnsi="Times New Roman"/>
      <w:szCs w:val="24"/>
    </w:rPr>
  </w:style>
  <w:style w:type="paragraph" w:customStyle="1" w:styleId="31">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2">
    <w:name w:val="List Paragraph"/>
    <w:basedOn w:val="1"/>
    <w:qFormat/>
    <w:uiPriority w:val="34"/>
    <w:pPr>
      <w:ind w:firstLine="420" w:firstLineChars="200"/>
    </w:pPr>
  </w:style>
  <w:style w:type="paragraph" w:customStyle="1" w:styleId="33">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5">
    <w:name w:val="四号正文"/>
    <w:basedOn w:val="1"/>
    <w:qFormat/>
    <w:uiPriority w:val="0"/>
    <w:pPr>
      <w:spacing w:line="360" w:lineRule="auto"/>
    </w:pPr>
    <w:rPr>
      <w:rFonts w:ascii="??" w:hAnsi="??"/>
      <w:color w:val="000000"/>
      <w:kern w:val="0"/>
      <w:sz w:val="28"/>
      <w:szCs w:val="21"/>
      <w:lang w:val="zh-CN"/>
    </w:rPr>
  </w:style>
  <w:style w:type="paragraph" w:customStyle="1" w:styleId="3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7">
    <w:name w:val="xl6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18"/>
      <w:szCs w:val="18"/>
    </w:rPr>
  </w:style>
  <w:style w:type="paragraph" w:customStyle="1" w:styleId="38">
    <w:name w:val="xl68"/>
    <w:basedOn w:val="1"/>
    <w:qFormat/>
    <w:uiPriority w:val="0"/>
    <w:pPr>
      <w:widowControl/>
      <w:spacing w:before="100" w:beforeAutospacing="1" w:after="100" w:afterAutospacing="1"/>
      <w:jc w:val="left"/>
    </w:pPr>
    <w:rPr>
      <w:rFonts w:ascii="Courier New" w:hAnsi="Courier New" w:cs="Courier New"/>
      <w:color w:val="000000"/>
      <w:kern w:val="0"/>
      <w:sz w:val="18"/>
      <w:szCs w:val="18"/>
    </w:rPr>
  </w:style>
  <w:style w:type="paragraph" w:customStyle="1" w:styleId="39">
    <w:name w:val="xl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0">
    <w:name w:val="xl7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1">
    <w:name w:val="xl7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2">
    <w:name w:val="xl7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cs="宋体"/>
      <w:i/>
      <w:iCs/>
      <w:color w:val="000000"/>
      <w:kern w:val="0"/>
      <w:sz w:val="16"/>
      <w:szCs w:val="16"/>
    </w:rPr>
  </w:style>
  <w:style w:type="paragraph" w:customStyle="1" w:styleId="43">
    <w:name w:val="xl73"/>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4">
    <w:name w:val="xl7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cs="宋体"/>
      <w:color w:val="000000"/>
      <w:kern w:val="0"/>
      <w:sz w:val="16"/>
      <w:szCs w:val="16"/>
    </w:rPr>
  </w:style>
  <w:style w:type="paragraph" w:customStyle="1" w:styleId="45">
    <w:name w:val="xl7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cs="宋体"/>
      <w:color w:val="000000"/>
      <w:kern w:val="0"/>
      <w:sz w:val="16"/>
      <w:szCs w:val="16"/>
    </w:rPr>
  </w:style>
  <w:style w:type="paragraph" w:customStyle="1" w:styleId="46">
    <w:name w:val="xl7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7">
    <w:name w:val="xl7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ourier New" w:hAnsi="Courier New" w:cs="Courier New"/>
      <w:color w:val="000000"/>
      <w:kern w:val="0"/>
      <w:sz w:val="18"/>
      <w:szCs w:val="18"/>
    </w:rPr>
  </w:style>
  <w:style w:type="paragraph" w:customStyle="1" w:styleId="48">
    <w:name w:val="xl7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Courier New" w:hAnsi="Courier New" w:cs="Courier New"/>
      <w:i/>
      <w:iCs/>
      <w:color w:val="000000"/>
      <w:kern w:val="0"/>
      <w:sz w:val="18"/>
      <w:szCs w:val="18"/>
    </w:rPr>
  </w:style>
  <w:style w:type="paragraph" w:customStyle="1" w:styleId="49">
    <w:name w:val="xl7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16"/>
      <w:szCs w:val="16"/>
    </w:rPr>
  </w:style>
  <w:style w:type="paragraph" w:customStyle="1" w:styleId="50">
    <w:name w:val="xl8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Courier New" w:hAnsi="Courier New" w:cs="Courier New"/>
      <w:color w:val="000000"/>
      <w:kern w:val="0"/>
      <w:sz w:val="18"/>
      <w:szCs w:val="18"/>
    </w:rPr>
  </w:style>
  <w:style w:type="paragraph" w:customStyle="1" w:styleId="51">
    <w:name w:val="xl8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i/>
      <w:iCs/>
      <w:color w:val="000000"/>
      <w:kern w:val="0"/>
      <w:sz w:val="16"/>
      <w:szCs w:val="16"/>
    </w:rPr>
  </w:style>
  <w:style w:type="paragraph" w:customStyle="1" w:styleId="52">
    <w:name w:val="xl8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16"/>
      <w:szCs w:val="16"/>
    </w:rPr>
  </w:style>
  <w:style w:type="paragraph" w:customStyle="1" w:styleId="53">
    <w:name w:val="xl8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黑体" w:hAnsi="黑体" w:eastAsia="黑体" w:cs="宋体"/>
      <w:b/>
      <w:bCs/>
      <w:color w:val="000000"/>
      <w:kern w:val="0"/>
      <w:sz w:val="30"/>
      <w:szCs w:val="30"/>
    </w:rPr>
  </w:style>
  <w:style w:type="paragraph" w:customStyle="1" w:styleId="54">
    <w:name w:val="xl84"/>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pPr>
    <w:rPr>
      <w:rFonts w:ascii="Courier New" w:hAnsi="Courier New" w:cs="Courier New"/>
      <w:color w:val="000000"/>
      <w:kern w:val="0"/>
      <w:sz w:val="18"/>
      <w:szCs w:val="18"/>
    </w:rPr>
  </w:style>
  <w:style w:type="paragraph" w:customStyle="1" w:styleId="55">
    <w:name w:val="xl85"/>
    <w:basedOn w:val="1"/>
    <w:qFormat/>
    <w:uiPriority w:val="0"/>
    <w:pPr>
      <w:widowControl/>
      <w:pBdr>
        <w:top w:val="single" w:color="000000" w:sz="4" w:space="0"/>
        <w:bottom w:val="single" w:color="000000" w:sz="4" w:space="0"/>
      </w:pBdr>
      <w:spacing w:before="100" w:beforeAutospacing="1" w:after="100" w:afterAutospacing="1"/>
      <w:jc w:val="left"/>
    </w:pPr>
    <w:rPr>
      <w:rFonts w:ascii="Courier New" w:hAnsi="Courier New" w:cs="Courier New"/>
      <w:color w:val="000000"/>
      <w:kern w:val="0"/>
      <w:sz w:val="18"/>
      <w:szCs w:val="18"/>
    </w:rPr>
  </w:style>
  <w:style w:type="paragraph" w:customStyle="1" w:styleId="56">
    <w:name w:val="xl86"/>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pPr>
    <w:rPr>
      <w:rFonts w:ascii="Courier New" w:hAnsi="Courier New" w:cs="Courier New"/>
      <w:color w:val="000000"/>
      <w:kern w:val="0"/>
      <w:sz w:val="18"/>
      <w:szCs w:val="18"/>
    </w:rPr>
  </w:style>
  <w:style w:type="paragraph" w:customStyle="1" w:styleId="57">
    <w:name w:val="xl87"/>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黑体" w:hAnsi="黑体" w:eastAsia="黑体" w:cs="宋体"/>
      <w:b/>
      <w:bCs/>
      <w:color w:val="000000"/>
      <w:kern w:val="0"/>
      <w:sz w:val="30"/>
      <w:szCs w:val="30"/>
    </w:rPr>
  </w:style>
  <w:style w:type="paragraph" w:customStyle="1" w:styleId="58">
    <w:name w:val="xl88"/>
    <w:basedOn w:val="1"/>
    <w:qFormat/>
    <w:uiPriority w:val="0"/>
    <w:pPr>
      <w:widowControl/>
      <w:pBdr>
        <w:top w:val="single" w:color="000000" w:sz="4" w:space="0"/>
        <w:bottom w:val="single" w:color="000000" w:sz="4" w:space="0"/>
      </w:pBdr>
      <w:spacing w:before="100" w:beforeAutospacing="1" w:after="100" w:afterAutospacing="1"/>
      <w:jc w:val="center"/>
    </w:pPr>
    <w:rPr>
      <w:rFonts w:ascii="黑体" w:hAnsi="黑体" w:eastAsia="黑体" w:cs="宋体"/>
      <w:b/>
      <w:bCs/>
      <w:color w:val="000000"/>
      <w:kern w:val="0"/>
      <w:sz w:val="30"/>
      <w:szCs w:val="30"/>
    </w:rPr>
  </w:style>
  <w:style w:type="paragraph" w:customStyle="1" w:styleId="59">
    <w:name w:val="xl89"/>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黑体" w:hAnsi="黑体" w:eastAsia="黑体" w:cs="宋体"/>
      <w:b/>
      <w:bCs/>
      <w:color w:val="000000"/>
      <w:kern w:val="0"/>
      <w:sz w:val="30"/>
      <w:szCs w:val="30"/>
    </w:rPr>
  </w:style>
  <w:style w:type="paragraph" w:customStyle="1" w:styleId="60">
    <w:name w:val="xl90"/>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pPr>
    <w:rPr>
      <w:rFonts w:ascii="宋体" w:hAnsi="宋体" w:cs="宋体"/>
      <w:color w:val="000000"/>
      <w:kern w:val="0"/>
      <w:sz w:val="18"/>
      <w:szCs w:val="18"/>
    </w:rPr>
  </w:style>
  <w:style w:type="paragraph" w:customStyle="1" w:styleId="61">
    <w:name w:val="xl91"/>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18"/>
      <w:szCs w:val="18"/>
    </w:rPr>
  </w:style>
  <w:style w:type="paragraph" w:customStyle="1" w:styleId="62">
    <w:name w:val="xl92"/>
    <w:basedOn w:val="1"/>
    <w:qFormat/>
    <w:uiPriority w:val="0"/>
    <w:pPr>
      <w:widowControl/>
      <w:pBdr>
        <w:top w:val="single" w:color="000000" w:sz="4" w:space="0"/>
        <w:bottom w:val="single" w:color="000000" w:sz="4" w:space="0"/>
      </w:pBdr>
      <w:spacing w:before="100" w:beforeAutospacing="1" w:after="100" w:afterAutospacing="1"/>
      <w:jc w:val="left"/>
    </w:pPr>
    <w:rPr>
      <w:rFonts w:ascii="宋体" w:hAnsi="宋体" w:cs="宋体"/>
      <w:color w:val="000000"/>
      <w:kern w:val="0"/>
      <w:sz w:val="18"/>
      <w:szCs w:val="18"/>
    </w:rPr>
  </w:style>
  <w:style w:type="paragraph" w:customStyle="1" w:styleId="63">
    <w:name w:val="xl9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64">
    <w:name w:val="xl94"/>
    <w:basedOn w:val="1"/>
    <w:qFormat/>
    <w:uiPriority w:val="0"/>
    <w:pPr>
      <w:widowControl/>
      <w:pBdr>
        <w:top w:val="single" w:color="000000" w:sz="4" w:space="0"/>
        <w:bottom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65">
    <w:name w:val="xl95"/>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66">
    <w:name w:val="xl96"/>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pPr>
    <w:rPr>
      <w:rFonts w:ascii="微软雅黑" w:hAnsi="微软雅黑" w:eastAsia="微软雅黑" w:cs="宋体"/>
      <w:color w:val="000000"/>
      <w:kern w:val="0"/>
      <w:sz w:val="16"/>
      <w:szCs w:val="16"/>
    </w:rPr>
  </w:style>
  <w:style w:type="paragraph" w:customStyle="1" w:styleId="67">
    <w:name w:val="xl97"/>
    <w:basedOn w:val="1"/>
    <w:qFormat/>
    <w:uiPriority w:val="0"/>
    <w:pPr>
      <w:widowControl/>
      <w:pBdr>
        <w:top w:val="single" w:color="000000" w:sz="4" w:space="0"/>
        <w:bottom w:val="single" w:color="000000" w:sz="4" w:space="0"/>
      </w:pBdr>
      <w:spacing w:before="100" w:beforeAutospacing="1" w:after="100" w:afterAutospacing="1"/>
      <w:jc w:val="left"/>
    </w:pPr>
    <w:rPr>
      <w:rFonts w:ascii="微软雅黑" w:hAnsi="微软雅黑" w:eastAsia="微软雅黑" w:cs="宋体"/>
      <w:color w:val="000000"/>
      <w:kern w:val="0"/>
      <w:sz w:val="16"/>
      <w:szCs w:val="16"/>
    </w:rPr>
  </w:style>
  <w:style w:type="paragraph" w:customStyle="1" w:styleId="68">
    <w:name w:val="xl98"/>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16"/>
      <w:szCs w:val="16"/>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844;&#24320;&#21450;&#25209;&#22797;&#26448;&#26009;&#65288;&#20379;&#21442;&#32771;&#65289;\&#30465;&#26412;&#32423;\&#20844;&#24320;&#26448;&#26009;\&#20915;&#31639;&#20844;&#24320;&#25554;&#22270;&#21046;&#20316;&#31034;&#2036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844;&#24320;&#21450;&#25209;&#22797;&#26448;&#26009;&#65288;&#20379;&#21442;&#32771;&#65289;\&#30465;&#26412;&#32423;\&#20844;&#24320;&#26448;&#26009;\&#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844;&#24320;&#21450;&#25209;&#22797;&#26448;&#26009;&#65288;&#20379;&#21442;&#32771;&#65289;\&#30465;&#26412;&#32423;\&#20844;&#24320;&#26448;&#26009;\&#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844;&#24320;&#21450;&#25209;&#22797;&#26448;&#26009;&#65288;&#20379;&#21442;&#32771;&#65289;\&#30465;&#26412;&#32423;\&#20844;&#24320;&#26448;&#26009;\&#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844;&#24320;&#21450;&#25209;&#22797;&#26448;&#26009;&#65288;&#20379;&#21442;&#32771;&#65289;\&#30465;&#26412;&#32423;\&#20844;&#24320;&#26448;&#26009;\&#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844;&#24320;&#21450;&#25209;&#22797;&#26448;&#26009;&#65288;&#20379;&#21442;&#32771;&#65289;\&#30465;&#26412;&#32423;\&#20844;&#24320;&#26448;&#26009;\&#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844;&#24320;&#21450;&#25209;&#22797;&#26448;&#26009;&#65288;&#20379;&#21442;&#32771;&#65289;\&#30465;&#26412;&#32423;\&#20844;&#24320;&#26448;&#26009;\&#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spPr>
            <a:solidFill>
              <a:schemeClr val="accent1"/>
            </a:solidFill>
          </c:spPr>
          <c:invertIfNegative val="false"/>
          <c:dPt>
            <c:idx val="1"/>
            <c:invertIfNegative val="false"/>
            <c:bubble3D val="false"/>
            <c:spPr>
              <a:solidFill>
                <a:srgbClr val="FFC000"/>
              </a:solidFill>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图一!$A$1:$B$1</c:f>
              <c:strCache>
                <c:ptCount val="2"/>
                <c:pt idx="0">
                  <c:v>2021年</c:v>
                </c:pt>
                <c:pt idx="1">
                  <c:v>2022年</c:v>
                </c:pt>
              </c:strCache>
            </c:strRef>
          </c:cat>
          <c:val>
            <c:numRef>
              <c:f>图一!$A$2:$B$2</c:f>
              <c:numCache>
                <c:formatCode>General</c:formatCode>
                <c:ptCount val="2"/>
                <c:pt idx="0">
                  <c:v>128.71</c:v>
                </c:pt>
                <c:pt idx="1">
                  <c:v>139.58</c:v>
                </c:pt>
              </c:numCache>
            </c:numRef>
          </c:val>
        </c:ser>
        <c:dLbls>
          <c:showLegendKey val="false"/>
          <c:showVal val="true"/>
          <c:showCatName val="false"/>
          <c:showSerName val="false"/>
          <c:showPercent val="false"/>
          <c:showBubbleSize val="false"/>
        </c:dLbls>
        <c:gapWidth val="150"/>
        <c:axId val="74760192"/>
        <c:axId val="74762880"/>
      </c:barChart>
      <c:catAx>
        <c:axId val="74760192"/>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74762880"/>
        <c:crosses val="autoZero"/>
        <c:auto val="true"/>
        <c:lblAlgn val="ctr"/>
        <c:lblOffset val="100"/>
        <c:noMultiLvlLbl val="false"/>
      </c:catAx>
      <c:valAx>
        <c:axId val="74762880"/>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74760192"/>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overlay val="false"/>
      <c:spPr>
        <a:noFill/>
        <a:ln>
          <a:noFill/>
        </a:ln>
        <a:effectLst/>
      </c:spPr>
    </c:title>
    <c:autoTitleDeleted val="false"/>
    <c:plotArea>
      <c:layout>
        <c:manualLayout>
          <c:layoutTarget val="inner"/>
          <c:xMode val="edge"/>
          <c:yMode val="edge"/>
          <c:x val="0.34201388888889"/>
          <c:y val="0.176388888888889"/>
          <c:w val="0.324305555555557"/>
          <c:h val="0.540509259259259"/>
        </c:manualLayout>
      </c:layout>
      <c:pieChart>
        <c:varyColors val="true"/>
        <c:ser>
          <c:idx val="0"/>
          <c:order val="0"/>
          <c:explosion val="0"/>
          <c:dLbls>
            <c:delete val="true"/>
          </c:dLbls>
          <c:cat>
            <c:strRef>
              <c:f>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图二!$B$1:$B$6</c:f>
            </c:numRef>
          </c:val>
        </c:ser>
        <c:ser>
          <c:idx val="1"/>
          <c:order val="1"/>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Pt>
            <c:idx val="4"/>
            <c:bubble3D val="false"/>
            <c:spPr>
              <a:solidFill>
                <a:schemeClr val="accent5"/>
              </a:solidFill>
              <a:ln w="19050">
                <a:solidFill>
                  <a:schemeClr val="lt1"/>
                </a:solidFill>
              </a:ln>
              <a:effectLst/>
            </c:spPr>
          </c:dPt>
          <c:dPt>
            <c:idx val="5"/>
            <c:bubble3D val="false"/>
            <c:spPr>
              <a:solidFill>
                <a:schemeClr val="accent6"/>
              </a:solidFill>
              <a:ln w="19050">
                <a:solidFill>
                  <a:schemeClr val="lt1"/>
                </a:solidFill>
              </a:ln>
              <a:effectLst/>
            </c:spPr>
          </c:dPt>
          <c:dLbls>
            <c:dLbl>
              <c:idx val="1"/>
              <c:layout>
                <c:manualLayout>
                  <c:x val="0.0321654287916653"/>
                  <c:y val="-0.149790274585539"/>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图二!$C$1:$C$6</c:f>
              <c:numCache>
                <c:formatCode>0.00%</c:formatCode>
                <c:ptCount val="6"/>
                <c:pt idx="0">
                  <c:v>1</c:v>
                </c:pt>
                <c:pt idx="1">
                  <c:v>0</c:v>
                </c:pt>
                <c:pt idx="2">
                  <c:v>0</c:v>
                </c:pt>
                <c:pt idx="3">
                  <c:v>0</c:v>
                </c:pt>
                <c:pt idx="4">
                  <c:v>0</c:v>
                </c:pt>
                <c:pt idx="5">
                  <c:v>0</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ayout>
        <c:manualLayout>
          <c:xMode val="edge"/>
          <c:yMode val="edge"/>
          <c:x val="0.450525675375275"/>
          <c:y val="0.69273572192578"/>
          <c:w val="0.541232698810123"/>
          <c:h val="0.281222617702334"/>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69224846894138"/>
          <c:y val="0.150462962962963"/>
          <c:w val="0.566371172353458"/>
          <c:h val="0.689814814814817"/>
        </c:manualLayout>
      </c:layout>
      <c:pieChart>
        <c:varyColors val="true"/>
        <c:ser>
          <c:idx val="0"/>
          <c:order val="0"/>
          <c:explosion val="0"/>
          <c:dPt>
            <c:idx val="0"/>
            <c:bubble3D val="false"/>
          </c:dPt>
          <c:dPt>
            <c:idx val="1"/>
            <c:bubble3D val="false"/>
          </c:dPt>
          <c:dLbls>
            <c:dLbl>
              <c:idx val="0"/>
              <c:layout>
                <c:manualLayout>
                  <c:x val="0.0848707349081365"/>
                  <c:y val="-0.171573344998542"/>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286458880139982"/>
                  <c:y val="0.140147273257509"/>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图三!$A$2:$B$2</c:f>
              <c:strCache>
                <c:ptCount val="2"/>
                <c:pt idx="0">
                  <c:v>基本支出</c:v>
                </c:pt>
                <c:pt idx="1">
                  <c:v>项目支出</c:v>
                </c:pt>
              </c:strCache>
            </c:strRef>
          </c:cat>
          <c:val>
            <c:numRef>
              <c:f>图三!$A$3:$B$3</c:f>
              <c:numCache>
                <c:formatCode>0.00%</c:formatCode>
                <c:ptCount val="2"/>
                <c:pt idx="0">
                  <c:v>1.2859</c:v>
                </c:pt>
                <c:pt idx="1">
                  <c:v>0.1099</c:v>
                </c:pt>
              </c:numCache>
            </c:numRef>
          </c:val>
        </c:ser>
        <c:dLbls>
          <c:showLegendKey val="false"/>
          <c:showVal val="true"/>
          <c:showCatName val="false"/>
          <c:showSerName val="false"/>
          <c:showPercent val="false"/>
          <c:showBubbleSize val="false"/>
          <c:showLeaderLines val="true"/>
        </c:dLbls>
        <c:firstSliceAng val="15"/>
      </c:pieChart>
      <c:spPr>
        <a:noFill/>
        <a:ln>
          <a:noFill/>
        </a:ln>
        <a:effectLst/>
      </c:spPr>
    </c:plotArea>
    <c:legend>
      <c:legendPos val="r"/>
      <c:layout>
        <c:manualLayout>
          <c:xMode val="edge"/>
          <c:yMode val="edge"/>
          <c:x val="0.777043088363957"/>
          <c:y val="0.43480132691747"/>
          <c:w val="0.186845800524934"/>
          <c:h val="0.1674343832021"/>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19668853893263"/>
          <c:y val="0.0514005540974045"/>
          <c:w val="0.587929790026247"/>
          <c:h val="0.824965368912217"/>
        </c:manualLayout>
      </c:layout>
      <c:barChart>
        <c:barDir val="col"/>
        <c:grouping val="clustered"/>
        <c:varyColors val="false"/>
        <c:ser>
          <c:idx val="0"/>
          <c:order val="0"/>
          <c:invertIfNegative val="false"/>
          <c:dPt>
            <c:idx val="1"/>
            <c:invertIfNegative val="false"/>
            <c:bubble3D val="false"/>
            <c:spPr>
              <a:solidFill>
                <a:srgbClr val="C00000"/>
              </a:solidFill>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'图4 '!$A$1:$B$1</c:f>
              <c:strCache>
                <c:ptCount val="2"/>
                <c:pt idx="0">
                  <c:v>2021年</c:v>
                </c:pt>
                <c:pt idx="1">
                  <c:v>2022年</c:v>
                </c:pt>
              </c:strCache>
            </c:strRef>
          </c:cat>
          <c:val>
            <c:numRef>
              <c:f>'图4 '!$A$2:$B$2</c:f>
              <c:numCache>
                <c:formatCode>General</c:formatCode>
                <c:ptCount val="2"/>
                <c:pt idx="0">
                  <c:v>128.71</c:v>
                </c:pt>
                <c:pt idx="1">
                  <c:v>139.58</c:v>
                </c:pt>
              </c:numCache>
            </c:numRef>
          </c:val>
        </c:ser>
        <c:dLbls>
          <c:showLegendKey val="false"/>
          <c:showVal val="true"/>
          <c:showCatName val="false"/>
          <c:showSerName val="false"/>
          <c:showPercent val="false"/>
          <c:showBubbleSize val="false"/>
        </c:dLbls>
        <c:gapWidth val="150"/>
        <c:axId val="113057792"/>
        <c:axId val="113060096"/>
      </c:barChart>
      <c:catAx>
        <c:axId val="113057792"/>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600" b="0" i="0" u="none" strike="noStrike" kern="1200" baseline="0">
                <a:solidFill>
                  <a:schemeClr val="tx1"/>
                </a:solidFill>
                <a:latin typeface="+mn-lt"/>
                <a:ea typeface="+mn-ea"/>
                <a:cs typeface="+mn-cs"/>
              </a:defRPr>
            </a:pPr>
          </a:p>
        </c:txPr>
        <c:crossAx val="113060096"/>
        <c:crosses val="autoZero"/>
        <c:auto val="true"/>
        <c:lblAlgn val="ctr"/>
        <c:lblOffset val="100"/>
        <c:noMultiLvlLbl val="false"/>
      </c:catAx>
      <c:valAx>
        <c:axId val="113060096"/>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13057792"/>
        <c:crosses val="autoZero"/>
        <c:crossBetween val="between"/>
      </c:valAx>
    </c:plotArea>
    <c:legend>
      <c:legendPos val="r"/>
      <c:layout>
        <c:manualLayout>
          <c:xMode val="edge"/>
          <c:yMode val="edge"/>
          <c:x val="0.763154199475066"/>
          <c:y val="0.360343394575678"/>
          <c:w val="0.220179133858268"/>
          <c:h val="0.279313210848645"/>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98571741032371"/>
          <c:y val="0.168676727909011"/>
          <c:w val="0.606249125109361"/>
          <c:h val="0.679911417322838"/>
        </c:manualLayout>
      </c:layout>
      <c:barChart>
        <c:barDir val="col"/>
        <c:grouping val="clustered"/>
        <c:varyColors val="false"/>
        <c:ser>
          <c:idx val="0"/>
          <c:order val="0"/>
          <c:invertIfNegative val="false"/>
          <c:dPt>
            <c:idx val="1"/>
            <c:invertIfNegative val="false"/>
            <c:bubble3D val="false"/>
            <c:spPr>
              <a:solidFill>
                <a:srgbClr val="FF0000"/>
              </a:solidFill>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图5!$A$1:$B$1</c:f>
              <c:strCache>
                <c:ptCount val="2"/>
                <c:pt idx="0">
                  <c:v>2021年</c:v>
                </c:pt>
                <c:pt idx="1">
                  <c:v>2022年</c:v>
                </c:pt>
              </c:strCache>
            </c:strRef>
          </c:cat>
          <c:val>
            <c:numRef>
              <c:f>图5!$A$2:$B$2</c:f>
              <c:numCache>
                <c:formatCode>General</c:formatCode>
                <c:ptCount val="2"/>
                <c:pt idx="0">
                  <c:v>128.71</c:v>
                </c:pt>
                <c:pt idx="1">
                  <c:v>139.58</c:v>
                </c:pt>
              </c:numCache>
            </c:numRef>
          </c:val>
        </c:ser>
        <c:dLbls>
          <c:showLegendKey val="false"/>
          <c:showVal val="true"/>
          <c:showCatName val="false"/>
          <c:showSerName val="false"/>
          <c:showPercent val="false"/>
          <c:showBubbleSize val="false"/>
        </c:dLbls>
        <c:gapWidth val="150"/>
        <c:axId val="84399232"/>
        <c:axId val="84400768"/>
      </c:barChart>
      <c:catAx>
        <c:axId val="84399232"/>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600" b="0" i="0" u="none" strike="noStrike" kern="1200" baseline="0">
                <a:solidFill>
                  <a:schemeClr val="tx1"/>
                </a:solidFill>
                <a:latin typeface="+mn-lt"/>
                <a:ea typeface="+mn-ea"/>
                <a:cs typeface="+mn-cs"/>
              </a:defRPr>
            </a:pPr>
          </a:p>
        </c:txPr>
        <c:crossAx val="84400768"/>
        <c:crosses val="autoZero"/>
        <c:auto val="true"/>
        <c:lblAlgn val="ctr"/>
        <c:lblOffset val="100"/>
        <c:noMultiLvlLbl val="false"/>
      </c:catAx>
      <c:valAx>
        <c:axId val="84400768"/>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84399232"/>
        <c:crosses val="autoZero"/>
        <c:crossBetween val="between"/>
      </c:valAx>
    </c:plotArea>
    <c:legend>
      <c:legendPos val="tr"/>
      <c:layout>
        <c:manualLayout>
          <c:xMode val="edge"/>
          <c:yMode val="edge"/>
          <c:x val="0.765931977252845"/>
          <c:y val="0.236111111111111"/>
          <c:w val="0.211845800524934"/>
          <c:h val="0.45523913677457"/>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explosion val="0"/>
          <c:dPt>
            <c:idx val="0"/>
            <c:bubble3D val="false"/>
            <c:spPr>
              <a:solidFill>
                <a:schemeClr val="tx2">
                  <a:lumMod val="40000"/>
                  <a:lumOff val="60000"/>
                </a:schemeClr>
              </a:solidFill>
            </c:spPr>
          </c:dPt>
          <c:dPt>
            <c:idx val="1"/>
            <c:bubble3D val="false"/>
          </c:dPt>
          <c:dPt>
            <c:idx val="2"/>
            <c:bubble3D val="false"/>
          </c:dPt>
          <c:dPt>
            <c:idx val="3"/>
            <c:bubble3D val="false"/>
          </c:dPt>
          <c:dLbls>
            <c:dLbl>
              <c:idx val="0"/>
              <c:layout>
                <c:manualLayout>
                  <c:x val="0.0483216316710413"/>
                  <c:y val="0.0977380431612718"/>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546208442694663"/>
                  <c:y val="-0.0359631087780696"/>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100951443569554"/>
                  <c:y val="-0.132278361038204"/>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166543197725284"/>
                  <c:y val="-0.108673447069116"/>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图6!$A$2:$A$5</c:f>
              <c:strCache>
                <c:ptCount val="4"/>
                <c:pt idx="0">
                  <c:v>一般公共服务（类）支出</c:v>
                </c:pt>
                <c:pt idx="1">
                  <c:v>社会保障和就业（类）支出</c:v>
                </c:pt>
                <c:pt idx="2">
                  <c:v>卫生健康(类)支出</c:v>
                </c:pt>
                <c:pt idx="3">
                  <c:v>住房保障（类）支出</c:v>
                </c:pt>
              </c:strCache>
            </c:strRef>
          </c:cat>
          <c:val>
            <c:numRef>
              <c:f>图6!$B$2:$B$5</c:f>
              <c:numCache>
                <c:formatCode>General</c:formatCode>
                <c:ptCount val="4"/>
                <c:pt idx="0">
                  <c:v>116.33</c:v>
                </c:pt>
                <c:pt idx="1">
                  <c:v>9.45</c:v>
                </c:pt>
                <c:pt idx="2">
                  <c:v>6.72</c:v>
                </c:pt>
                <c:pt idx="3">
                  <c:v>7.08</c:v>
                </c:pt>
              </c:numCache>
            </c:numRef>
          </c:val>
        </c:ser>
        <c:dLbls>
          <c:showLegendKey val="false"/>
          <c:showVal val="true"/>
          <c:showCatName val="false"/>
          <c:showSerName val="false"/>
          <c:showPercent val="false"/>
          <c:showBubbleSize val="false"/>
          <c:showLeaderLines val="true"/>
        </c:dLbls>
        <c:firstSliceAng val="15"/>
      </c:pieChart>
      <c:spPr>
        <a:no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explosion val="0"/>
          <c:dPt>
            <c:idx val="0"/>
            <c:bubble3D val="false"/>
          </c:dPt>
          <c:dPt>
            <c:idx val="1"/>
            <c:bubble3D val="false"/>
          </c:dPt>
          <c:dPt>
            <c:idx val="2"/>
            <c:bubble3D val="false"/>
          </c:dPt>
          <c:dLbls>
            <c:dLbl>
              <c:idx val="0"/>
              <c:layout>
                <c:manualLayout>
                  <c:x val="-0.0677309711286092"/>
                  <c:y val="-0.0625896762904637"/>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112130139982502"/>
                  <c:y val="-0.0498581948089825"/>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179491251093613"/>
                  <c:y val="0.0549697433654127"/>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图7!$A$2:$A$4</c:f>
              <c:strCache>
                <c:ptCount val="3"/>
                <c:pt idx="0">
                  <c:v>因公出国（境）费支出</c:v>
                </c:pt>
                <c:pt idx="1">
                  <c:v>公务用车购置及运行维护费支出</c:v>
                </c:pt>
                <c:pt idx="2">
                  <c:v>公务接待费支出</c:v>
                </c:pt>
              </c:strCache>
            </c:strRef>
          </c:cat>
          <c:val>
            <c:numRef>
              <c:f>图7!$B$2:$B$4</c:f>
              <c:numCache>
                <c:formatCode>General</c:formatCode>
                <c:ptCount val="3"/>
                <c:pt idx="0">
                  <c:v>0</c:v>
                </c:pt>
                <c:pt idx="1">
                  <c:v>0</c:v>
                </c:pt>
                <c:pt idx="2">
                  <c:v>1.2</c:v>
                </c:pt>
              </c:numCache>
            </c:numRef>
          </c:val>
        </c:ser>
        <c:dLbls>
          <c:showLegendKey val="false"/>
          <c:showVal val="true"/>
          <c:showCatName val="false"/>
          <c:showSerName val="false"/>
          <c:showPercent val="false"/>
          <c:showBubbleSize val="false"/>
          <c:showLeaderLines val="true"/>
        </c:dLbls>
        <c:firstSliceAng val="15"/>
      </c:pieChart>
      <c:spPr>
        <a:noFill/>
        <a:ln>
          <a:noFill/>
        </a:ln>
        <a:effectLst/>
      </c:spPr>
    </c:plotArea>
    <c:legend>
      <c:legendPos val="r"/>
      <c:layout>
        <c:manualLayout>
          <c:xMode val="edge"/>
          <c:yMode val="edge"/>
          <c:x val="0.66492009431491"/>
          <c:y val="0.341517389739564"/>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35</Pages>
  <Words>2876</Words>
  <Characters>16398</Characters>
  <Lines>136</Lines>
  <Paragraphs>38</Paragraphs>
  <TotalTime>12</TotalTime>
  <ScaleCrop>false</ScaleCrop>
  <LinksUpToDate>false</LinksUpToDate>
  <CharactersWithSpaces>19236</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2020-08-06T01:49:00Z</dcterms:created>
  <dc:creator>曹颖</dc:creator>
  <cp:lastModifiedBy>user</cp:lastModifiedBy>
  <cp:lastPrinted>2023-10-24T07:12:00Z</cp:lastPrinted>
  <dcterms:modified xsi:type="dcterms:W3CDTF">2023-11-30T09:37:29Z</dcterms:modified>
  <dc:title>四川省***</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6B716579516F400D9F43FFEFF4A1010E_12</vt:lpwstr>
  </property>
</Properties>
</file>