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77193"/>
      <w:bookmarkStart w:id="2" w:name="_Toc15396475"/>
      <w:bookmarkStart w:id="3" w:name="_Toc15377425"/>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bookmarkEnd w:id="5"/>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中国人民政治协商会议</w:t>
      </w:r>
      <w:r>
        <w:rPr>
          <w:rFonts w:hint="eastAsia" w:ascii="方正小标宋简体" w:hAnsi="方正小标宋简体" w:eastAsia="方正小标宋简体" w:cs="方正小标宋简体"/>
          <w:sz w:val="72"/>
          <w:szCs w:val="72"/>
          <w:lang w:eastAsia="zh-CN"/>
        </w:rPr>
        <w:t>四川省</w:t>
      </w:r>
      <w:r>
        <w:rPr>
          <w:rFonts w:hint="eastAsia" w:ascii="方正小标宋简体" w:hAnsi="方正小标宋简体" w:eastAsia="方正小标宋简体" w:cs="方正小标宋简体"/>
          <w:sz w:val="72"/>
          <w:szCs w:val="72"/>
        </w:rPr>
        <w:t>剑阁县委员会办公室</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bookmarkStart w:id="63" w:name="_GoBack"/>
      <w:bookmarkEnd w:id="63"/>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3"/>
        <w:adjustRightInd w:val="0"/>
        <w:snapToGrid w:val="0"/>
        <w:spacing w:line="440" w:lineRule="exact"/>
        <w:jc w:val="left"/>
        <w:rPr>
          <w:sz w:val="24"/>
        </w:rPr>
      </w:pPr>
      <w:r>
        <w:rPr>
          <w:rFonts w:hint="eastAsia"/>
          <w:sz w:val="24"/>
        </w:rPr>
        <w:t>一、部门职责及重点</w:t>
      </w:r>
      <w:r>
        <w:rPr>
          <w:sz w:val="24"/>
        </w:rPr>
        <w:t>工作</w:t>
      </w:r>
    </w:p>
    <w:p>
      <w:pPr>
        <w:pStyle w:val="13"/>
        <w:adjustRightInd w:val="0"/>
        <w:snapToGrid w:val="0"/>
        <w:spacing w:line="440" w:lineRule="exact"/>
        <w:jc w:val="left"/>
        <w:rPr>
          <w:rFonts w:hint="eastAsia"/>
          <w:sz w:val="24"/>
        </w:rPr>
      </w:pPr>
      <w:r>
        <w:rPr>
          <w:rFonts w:hint="eastAsia"/>
          <w:sz w:val="24"/>
        </w:rPr>
        <w:t>(一)部门职责</w:t>
      </w:r>
    </w:p>
    <w:p>
      <w:pPr>
        <w:pStyle w:val="13"/>
        <w:adjustRightInd w:val="0"/>
        <w:snapToGrid w:val="0"/>
        <w:spacing w:line="440" w:lineRule="exact"/>
        <w:jc w:val="left"/>
        <w:rPr>
          <w:rFonts w:hint="eastAsia"/>
          <w:sz w:val="24"/>
        </w:rPr>
      </w:pPr>
      <w:r>
        <w:rPr>
          <w:rFonts w:hint="eastAsia"/>
          <w:sz w:val="24"/>
        </w:rPr>
        <w:t>（二）2022年重点工作完成情况</w:t>
      </w:r>
    </w:p>
    <w:p>
      <w:pPr>
        <w:pStyle w:val="13"/>
        <w:adjustRightInd w:val="0"/>
        <w:snapToGrid w:val="0"/>
        <w:spacing w:line="440" w:lineRule="exact"/>
        <w:jc w:val="left"/>
        <w:rPr>
          <w:rFonts w:ascii="仿宋" w:hAnsi="仿宋" w:eastAsia="仿宋" w:cstheme="minorBidi"/>
          <w:sz w:val="24"/>
        </w:rPr>
      </w:pPr>
      <w:r>
        <w:rPr>
          <w:rFonts w:hint="eastAsia"/>
          <w:sz w:val="24"/>
        </w:rPr>
        <w:t>二、机构设置</w:t>
      </w:r>
    </w:p>
    <w:p>
      <w:pPr>
        <w:pStyle w:val="12"/>
        <w:adjustRightInd w:val="0"/>
        <w:snapToGrid w:val="0"/>
        <w:spacing w:before="0" w:line="440" w:lineRule="exact"/>
        <w:jc w:val="left"/>
        <w:rPr>
          <w:sz w:val="24"/>
          <w:szCs w:val="24"/>
        </w:rPr>
      </w:pPr>
      <w:r>
        <w:rPr>
          <w:rFonts w:hint="eastAsia"/>
          <w:sz w:val="24"/>
        </w:rPr>
        <w:t>第二部分 2022年度部门决算情况说明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3"/>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9"/>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p>
    <w:p>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3"/>
        <w:adjustRightInd w:val="0"/>
        <w:snapToGrid w:val="0"/>
        <w:spacing w:line="440" w:lineRule="exact"/>
        <w:jc w:val="left"/>
        <w:rPr>
          <w:sz w:val="24"/>
        </w:rPr>
      </w:pPr>
      <w:r>
        <w:rPr>
          <w:rFonts w:hint="eastAsia"/>
          <w:sz w:val="24"/>
        </w:rPr>
        <w:t>一、收入支出决算总表</w:t>
      </w:r>
    </w:p>
    <w:p>
      <w:pPr>
        <w:pStyle w:val="13"/>
        <w:adjustRightInd w:val="0"/>
        <w:snapToGrid w:val="0"/>
        <w:spacing w:line="440" w:lineRule="exact"/>
        <w:jc w:val="left"/>
        <w:rPr>
          <w:sz w:val="24"/>
        </w:rPr>
      </w:pPr>
      <w:r>
        <w:rPr>
          <w:rFonts w:hint="eastAsia"/>
          <w:sz w:val="24"/>
        </w:rPr>
        <w:t>二、收入决算表</w:t>
      </w:r>
    </w:p>
    <w:p>
      <w:pPr>
        <w:pStyle w:val="13"/>
        <w:adjustRightInd w:val="0"/>
        <w:snapToGrid w:val="0"/>
        <w:spacing w:line="440" w:lineRule="exact"/>
        <w:jc w:val="left"/>
        <w:rPr>
          <w:sz w:val="24"/>
        </w:rPr>
      </w:pPr>
      <w:r>
        <w:rPr>
          <w:rFonts w:hint="eastAsia"/>
          <w:sz w:val="24"/>
        </w:rPr>
        <w:t>三、支出决算表</w:t>
      </w:r>
    </w:p>
    <w:p>
      <w:pPr>
        <w:pStyle w:val="13"/>
        <w:adjustRightInd w:val="0"/>
        <w:snapToGrid w:val="0"/>
        <w:spacing w:line="440" w:lineRule="exact"/>
        <w:jc w:val="left"/>
        <w:rPr>
          <w:sz w:val="24"/>
        </w:rPr>
      </w:pPr>
      <w:r>
        <w:rPr>
          <w:rFonts w:hint="eastAsia"/>
          <w:sz w:val="24"/>
        </w:rPr>
        <w:t>四、财政拨款收入支出决算总表</w:t>
      </w:r>
    </w:p>
    <w:p>
      <w:pPr>
        <w:pStyle w:val="13"/>
        <w:adjustRightInd w:val="0"/>
        <w:snapToGrid w:val="0"/>
        <w:spacing w:line="440" w:lineRule="exact"/>
        <w:jc w:val="left"/>
        <w:rPr>
          <w:sz w:val="24"/>
        </w:rPr>
      </w:pPr>
      <w:r>
        <w:rPr>
          <w:rFonts w:hint="eastAsia"/>
          <w:sz w:val="24"/>
        </w:rPr>
        <w:t>五、财政拨款支出决算明细表</w:t>
      </w:r>
    </w:p>
    <w:p>
      <w:pPr>
        <w:pStyle w:val="13"/>
        <w:adjustRightInd w:val="0"/>
        <w:snapToGrid w:val="0"/>
        <w:spacing w:line="440" w:lineRule="exact"/>
        <w:jc w:val="left"/>
        <w:rPr>
          <w:sz w:val="24"/>
        </w:rPr>
      </w:pPr>
      <w:r>
        <w:rPr>
          <w:rFonts w:hint="eastAsia"/>
          <w:sz w:val="24"/>
        </w:rPr>
        <w:t>六、一般公共预算财政拨款支出决算表</w:t>
      </w:r>
    </w:p>
    <w:p>
      <w:pPr>
        <w:pStyle w:val="13"/>
        <w:adjustRightInd w:val="0"/>
        <w:snapToGrid w:val="0"/>
        <w:spacing w:line="440" w:lineRule="exact"/>
        <w:jc w:val="left"/>
        <w:rPr>
          <w:sz w:val="24"/>
        </w:rPr>
      </w:pPr>
      <w:r>
        <w:rPr>
          <w:rFonts w:hint="eastAsia"/>
          <w:sz w:val="24"/>
        </w:rPr>
        <w:t>七、一般公共预算财政拨款支出决算明细表</w:t>
      </w:r>
    </w:p>
    <w:p>
      <w:pPr>
        <w:pStyle w:val="13"/>
        <w:adjustRightInd w:val="0"/>
        <w:snapToGrid w:val="0"/>
        <w:spacing w:line="440" w:lineRule="exact"/>
        <w:jc w:val="left"/>
        <w:rPr>
          <w:sz w:val="24"/>
        </w:rPr>
      </w:pPr>
      <w:r>
        <w:rPr>
          <w:rFonts w:hint="eastAsia"/>
          <w:sz w:val="24"/>
        </w:rPr>
        <w:t>八、一般公共预算财政拨款基本支出决算明细表</w:t>
      </w:r>
    </w:p>
    <w:p>
      <w:pPr>
        <w:pStyle w:val="13"/>
        <w:adjustRightInd w:val="0"/>
        <w:snapToGrid w:val="0"/>
        <w:spacing w:line="440" w:lineRule="exact"/>
        <w:jc w:val="left"/>
        <w:rPr>
          <w:sz w:val="24"/>
        </w:rPr>
      </w:pPr>
      <w:r>
        <w:rPr>
          <w:rFonts w:hint="eastAsia"/>
          <w:sz w:val="24"/>
        </w:rPr>
        <w:t>九、一般公共预算财政拨款项目支出决算表</w:t>
      </w:r>
    </w:p>
    <w:p>
      <w:pPr>
        <w:pStyle w:val="13"/>
        <w:adjustRightInd w:val="0"/>
        <w:snapToGrid w:val="0"/>
        <w:spacing w:line="440" w:lineRule="exact"/>
        <w:jc w:val="left"/>
        <w:rPr>
          <w:sz w:val="24"/>
        </w:rPr>
      </w:pPr>
      <w:r>
        <w:rPr>
          <w:rFonts w:hint="eastAsia"/>
          <w:sz w:val="24"/>
        </w:rPr>
        <w:t>十、政府性基金预算财政拨款收入支出决算表</w:t>
      </w:r>
    </w:p>
    <w:p>
      <w:pPr>
        <w:pStyle w:val="13"/>
        <w:adjustRightInd w:val="0"/>
        <w:snapToGrid w:val="0"/>
        <w:spacing w:line="440" w:lineRule="exact"/>
        <w:jc w:val="left"/>
        <w:rPr>
          <w:sz w:val="24"/>
        </w:rPr>
      </w:pPr>
      <w:r>
        <w:rPr>
          <w:rFonts w:hint="eastAsia"/>
          <w:sz w:val="24"/>
        </w:rPr>
        <w:t>十一、国有资本经营预算财政拨款收入支出决算表</w:t>
      </w:r>
    </w:p>
    <w:p>
      <w:pPr>
        <w:pStyle w:val="13"/>
        <w:adjustRightInd w:val="0"/>
        <w:snapToGrid w:val="0"/>
        <w:spacing w:line="440" w:lineRule="exact"/>
        <w:jc w:val="left"/>
        <w:rPr>
          <w:sz w:val="24"/>
        </w:rPr>
      </w:pPr>
      <w:r>
        <w:rPr>
          <w:rFonts w:hint="eastAsia"/>
          <w:sz w:val="24"/>
        </w:rPr>
        <w:t>十二、国有资本经营预算财政拨款支出决算表</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6" w:name="_Toc15396599"/>
      <w:bookmarkStart w:id="7" w:name="_Toc15377196"/>
      <w:r>
        <w:rPr>
          <w:rFonts w:ascii="仿宋" w:hAnsi="仿宋" w:eastAsia="仿宋"/>
          <w:b/>
          <w:sz w:val="24"/>
        </w:rPr>
        <w:br w:type="page"/>
      </w:r>
    </w:p>
    <w:p>
      <w:pPr>
        <w:pStyle w:val="3"/>
        <w:jc w:val="center"/>
        <w:rPr>
          <w:rStyle w:val="31"/>
          <w:rFonts w:ascii="黑体" w:hAnsi="黑体" w:eastAsia="黑体"/>
          <w:b/>
          <w:bCs w:val="0"/>
        </w:rPr>
      </w:pPr>
      <w:r>
        <w:rPr>
          <w:rFonts w:hint="eastAsia" w:ascii="黑体" w:hAnsi="黑体" w:eastAsia="黑体"/>
          <w:b w:val="0"/>
        </w:rPr>
        <w:t xml:space="preserve">第一部分 </w:t>
      </w:r>
      <w:r>
        <w:rPr>
          <w:rStyle w:val="31"/>
          <w:rFonts w:hint="eastAsia" w:ascii="黑体" w:hAnsi="黑体" w:eastAsia="黑体"/>
          <w:b w:val="0"/>
          <w:bCs w:val="0"/>
        </w:rPr>
        <w:t>部门概况</w:t>
      </w:r>
      <w:bookmarkEnd w:id="6"/>
      <w:bookmarkEnd w:id="7"/>
    </w:p>
    <w:p>
      <w:pPr>
        <w:widowControl/>
        <w:jc w:val="left"/>
        <w:rPr>
          <w:rFonts w:ascii="黑体" w:eastAsia="黑体"/>
          <w:sz w:val="32"/>
          <w:szCs w:val="32"/>
        </w:rPr>
      </w:pPr>
    </w:p>
    <w:p>
      <w:pPr>
        <w:pStyle w:val="4"/>
        <w:numPr>
          <w:ilvl w:val="0"/>
          <w:numId w:val="1"/>
        </w:numPr>
        <w:rPr>
          <w:rFonts w:hint="eastAsia" w:ascii="黑体" w:hAnsi="黑体" w:eastAsia="黑体"/>
          <w:b w:val="0"/>
        </w:rPr>
      </w:pPr>
      <w:r>
        <w:rPr>
          <w:rFonts w:hint="eastAsia" w:ascii="黑体" w:hAnsi="黑体" w:eastAsia="黑体"/>
          <w:b w:val="0"/>
        </w:rPr>
        <w:t>部门职责及重点工作</w:t>
      </w:r>
    </w:p>
    <w:p>
      <w:pPr>
        <w:pStyle w:val="6"/>
        <w:keepNext w:val="0"/>
        <w:keepLines w:val="0"/>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outlineLvl w:val="2"/>
        <w:rPr>
          <w:rFonts w:hint="eastAsia" w:ascii="仿宋" w:hAnsi="仿宋" w:eastAsia="仿宋"/>
          <w:bCs/>
          <w:sz w:val="32"/>
          <w:szCs w:val="32"/>
        </w:rPr>
      </w:pPr>
      <w:bookmarkStart w:id="8" w:name="_Toc15378445"/>
      <w:bookmarkStart w:id="9" w:name="_Toc15377198"/>
      <w:r>
        <w:rPr>
          <w:rFonts w:hint="eastAsia" w:ascii="仿宋" w:hAnsi="仿宋" w:eastAsia="仿宋"/>
          <w:bCs/>
          <w:sz w:val="32"/>
          <w:szCs w:val="32"/>
        </w:rPr>
        <w:t>（一）部门职责</w:t>
      </w:r>
      <w:bookmarkEnd w:id="8"/>
      <w:bookmarkEnd w:id="9"/>
    </w:p>
    <w:p>
      <w:pPr>
        <w:pStyle w:val="6"/>
        <w:adjustRightInd w:val="0"/>
        <w:snapToGrid w:val="0"/>
        <w:spacing w:before="93" w:line="600" w:lineRule="exact"/>
        <w:ind w:firstLine="672" w:firstLineChars="210"/>
        <w:outlineLvl w:val="2"/>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剑阁县政协成立于1981年3月，属财政预算一级行政单位，执行政府会计制度，剑阁县政协主要职能职责是政治协商、民主监督和参政议政。</w:t>
      </w:r>
    </w:p>
    <w:p>
      <w:pPr>
        <w:pStyle w:val="6"/>
        <w:adjustRightInd w:val="0"/>
        <w:snapToGrid w:val="0"/>
        <w:spacing w:before="93" w:line="600" w:lineRule="exact"/>
        <w:ind w:firstLine="672" w:firstLineChars="210"/>
        <w:outlineLvl w:val="2"/>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1.负责组织本会各党派、团体和各族各界人士开展政治协商、民主监督、参政议政工作。</w:t>
      </w:r>
    </w:p>
    <w:p>
      <w:pPr>
        <w:pStyle w:val="6"/>
        <w:adjustRightInd w:val="0"/>
        <w:snapToGrid w:val="0"/>
        <w:spacing w:before="93" w:line="600" w:lineRule="exact"/>
        <w:ind w:firstLine="672" w:firstLineChars="210"/>
        <w:outlineLvl w:val="2"/>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2.负责政协剑阁县委员会全体会议、常委会议、主席会议和其它会议的筹备和会期服务工作。</w:t>
      </w:r>
    </w:p>
    <w:p>
      <w:pPr>
        <w:pStyle w:val="6"/>
        <w:adjustRightInd w:val="0"/>
        <w:snapToGrid w:val="0"/>
        <w:spacing w:before="93" w:line="600" w:lineRule="exact"/>
        <w:ind w:firstLine="672" w:firstLineChars="210"/>
        <w:outlineLvl w:val="2"/>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3.组织实施剑阁县政协委员会全体会议、常委会议、主席会议的决定、决议。</w:t>
      </w:r>
    </w:p>
    <w:p>
      <w:pPr>
        <w:pStyle w:val="6"/>
        <w:adjustRightInd w:val="0"/>
        <w:snapToGrid w:val="0"/>
        <w:spacing w:before="93" w:line="600" w:lineRule="exact"/>
        <w:ind w:firstLine="672" w:firstLineChars="210"/>
        <w:outlineLvl w:val="2"/>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4.组织实施政协章程规定的各项任务和全国、省、市政协所作的地区性的决议。</w:t>
      </w:r>
    </w:p>
    <w:p>
      <w:pPr>
        <w:pStyle w:val="6"/>
        <w:adjustRightInd w:val="0"/>
        <w:snapToGrid w:val="0"/>
        <w:spacing w:before="93" w:line="600" w:lineRule="exact"/>
        <w:ind w:firstLine="672" w:firstLineChars="210"/>
        <w:outlineLvl w:val="2"/>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5.组织政协委员参与我县政治、经济、文化等重要问题的调查研究，并提出意见和建议。</w:t>
      </w:r>
    </w:p>
    <w:p>
      <w:pPr>
        <w:pStyle w:val="6"/>
        <w:adjustRightInd w:val="0"/>
        <w:snapToGrid w:val="0"/>
        <w:spacing w:before="93" w:line="600" w:lineRule="exact"/>
        <w:ind w:firstLine="672" w:firstLineChars="210"/>
        <w:outlineLvl w:val="2"/>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6.负责委员视察、参观、调查、座谈、研讨等日常活动。</w:t>
      </w:r>
    </w:p>
    <w:p>
      <w:pPr>
        <w:pStyle w:val="6"/>
        <w:adjustRightInd w:val="0"/>
        <w:snapToGrid w:val="0"/>
        <w:spacing w:before="93" w:line="600" w:lineRule="exact"/>
        <w:ind w:firstLine="672" w:firstLineChars="210"/>
        <w:outlineLvl w:val="2"/>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7.承办县委、县政府安排的其它事项。</w:t>
      </w:r>
    </w:p>
    <w:p>
      <w:pPr>
        <w:pStyle w:val="6"/>
        <w:adjustRightInd w:val="0"/>
        <w:snapToGrid w:val="0"/>
        <w:spacing w:before="93" w:line="600" w:lineRule="exact"/>
        <w:ind w:firstLine="672" w:firstLineChars="210"/>
        <w:outlineLvl w:val="2"/>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（二）2022年重点工作完成情况</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1.始终保持政治定力，坚守政治方向，团结奋斗的思想政治基础更加牢固。始终坚定以习近平新时代中国特色社会主义思想为引领，引导参加人民政协的各党派团体和各界人士深入学习贯彻中共十九届历次全会精神，把学习宣传中共二十大精神作为首要政治任务，精心组织学习宣传，召开县政协全体会议1次、常委会议6次、党组会议10次、主席会议12次、党组中心理论组专题学习研讨会议3次，自觉做“两个确立”的坚决拥护者、“两个维护”的坚定践行者，增强“四个意识”，坚定“四个自信”，坚定不移在思想上政治上行动上同以习近平同志为核心的中共中央保持高度一致，确保全县政协工作始终沿着正确的政治方向前进。</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2.聚焦经济发展建言资政。坚持把拼经济搞建设冲在前作为履职第一要务，围绕全县重点项目建设、巩固拓展脱贫攻坚成果同乡村振兴有效衔接、工业园区建设运行、全县商会成立及健康发展等提出协商意见建议40余条，为县委县政府决策提供了重要依据。持续关注营商环境优化，围绕打造最优营商环境，促进我县经济健康发展开展专题民主监督，就打造“亲商、安商、护商”软环境提出意见建议6条，促进了全县营商环境不断优化提升。围绕加快工业园区“僵尸企业”处置、加快新县城人口集聚等提出意见建议20余条，得到了县委县政府和相关部门的重视和采纳。</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3.聚焦民生改善建言献策。围绕我县乡镇行政区划和村级建制调整改革便民服务中心运行、城市规划建设管理及环境优美旅游城市、县域医疗次中心建设等民生问题开展视察调研；围绕“樵店乡场镇群众饮水难饮水贵问题”“白龙镇场镇饮用水水质差及场镇生活污水治理”等民生类重点提案办理开展协商，创新“有事来协商”形式，邀请市政协提案法制委参加现场协商活动，确保民生类提案办理的质量和效果。深入开展“三联三促”双助专项活动，帮助基层、企业、群众排忧解难。发动委员开展“六送下乡”系列民生服务活动，积极为基层群众送温暖、办实事。</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4.聚焦重大决策民主监督。围绕我县打造“一小时到达县城”交通圈、实施乡村振兴战略、粮油产业园区建设发展、巩固天府旅游名县地位工作等开展视察监督，提出意见建议30余条，推动中央和省、市、县委重大决策部署和重点工作落地落实。常委会定期听取县政府、县纪委监委、县人民法院、县人民检察院以及县级相关部门工作情况通报，选派政协委员担任行风监督员等40余人次，人民政协民主监督作用得到有效发挥。</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5.聚焦重点工作履职担当。县政协主席、副主席全面强化“一线”意识，自觉服从县委统一安排部署，主动担当作为，自觉参与全县重点工作，分别担任河长、林长，担任工业经济、城市建设、三农工作、疫情防控等专班组长、或副组长，担任五指山旅游度假区、剑北粮油园、金剑工业园等园区建设工作组组长、或副组长，挂联乡镇5个、重点项目5个、重点产业7个，参与招商引资、信访接待、安全生产等工作，深入联系重点项目、产业调研指导80余次，常态化到挂联乡镇指导督导工作，定期到联系河段、林区开展巡河、森林防灭火等工作70余次，解决实际困难问题60余个，全力以赴助推县域经济发展、产业发展、乡村治理、社会稳定各项工作。</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6.聚焦提案办理回应民生关切。常委会坚持提案质量导向，狠抓提案立案和提案办理工作。对政协各参加单位和委员提交的133件提案，认真审查，立案128件，立案率96.2%。强化县级领导领衔督办提案工作，确定领衔督办重点提案10件。通过搭建“协商督办”平台，组织提办双方“面对面”进行协商办理，对重点提案开展协商督办，有28件提案已经解决或基本解决、92件提案列入计划逐步解决，委员对提案办理满意率达到100%。同时，我们拓展渠道收集社情民意信息23份，被市政协采用4份，省政协采用1份。</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7.坚持团结和民主两大主题，严格落实与各民主党派、工商联、无党派人士的走访联系制度，主席会议成员不定期走访各民主党派、县工商联，与他们采取谈心谈话等方式沟通交流，邀请参加政协全体会、常委会、调研视察和协商活动等，听取他们对政协工作的意见建议。全年采纳民主党派、工商联社情民意信息5篇，提交大会发言6篇、集体提案6件，有力彰显了民主党派在政协工作中的重要作用。建立委员联系界别群众制度，充分发挥委员主体作用，引导广大委员通过调研视察、“有事来协商”“三联三促”双助活动、委员读书活动等面向社会广泛传播共识，把党的主张转化为社会各界的共识和行动，协助党委政府做好协调关系、理顺情绪、化解矛盾工作。我县“10.11”本土疫情发生后，我们坚决落实县委有关疫情防控决策部署，迅速动员政协机关干部和广大政协委员逆行而上，积极投身疫情防控各条战线各个岗位，以各种形式支持、参与疫情防控，捐赠现金15万元和价值57万余元的防疫物资及生活用品，用行动诠释了初心使命和责任担当。完善县政协党组成员联系宗教界委员制度，深入联系走访少数民族界和宗教界委员，教育引导少数民族和宗教界群众爱党爱国，促进民族团结与宗教和睦，助推我市创建全国民族团结进步示范市贡献剑阁力量。发挥文史工作存史资政、团结育人作用，协助市政协完成《广元民俗文化》文史资料专辑剑阁部分编撰工作，完成《剑阁政协40年》文史资料出版任务。成立剑阁政协书画院，凝聚剑阁本土书画摄影等艺术人才力量，助推大蜀道大剑门文化旅游宣传工作。</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8.始终聚焦主责主业，彰显创新特色，“三项重点工作”推动落实更加深入。“三联三促”双助活动全面走深走实。“政协委员联户促巩固、政协专委会联产业促发展、政协组织联村促振兴”“三联三促”双助活动成效显著，受到省市政协主要领导的充分肯定。2022年，县政协围绕“五项助力”扎实推进“三联三促”双助活动，全县275名委员联系脱贫不稳定户、返贫致贫风险监测户572余户，7个专委会联系优质粮油、核桃等产业12个，主席会成员蹲点指导重点产业园5个，政协组织、民主党派、工商联联系重点村12个。通过“三联三促”双助活动，委员累计到户走访2264人次，开展帮扶活动568场次，销售农特产品68.5万元，帮助提供就业岗位186个，修建委员连心桥2座，捐赠爱心资金410.5万元；政协参加单位协商资金2500余万元，巩固提升村特色产业园108个，修建产业（便民）路13.2公里，改造水利基础设施18处。全市政协系统“三联三促”双助活动现场推进会议在我县召开，省政协以《剑阁县政协创新“1368”工作法 打造“三联三促”双助活动新样板》为题，对我县“三联三促”双助活动进行专题报道，县政协去年11月在全省政协系统“助力巩固脱贫 助推乡村振兴”专题活动总结交流会上作交流发言。县政协被省政协表彰为全省“双助”活动先进集体、1名委员被评为省政协先进个人，2名政协委员被表彰为市政协先进个人。</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9.“有事来协商”工作持续深入推进。对标市政协《深入推进“有事来协商”工作八条措施》，强化工作部署，不断完善“1+4+8+N”工作模式，创新建立“4321”精准协商机制，“有事来协商”工作得到全面深入系统化推进，基层协商平台不断完善、能力不断提升、程序不断规范、质量不断提高，协商工作走在全市前列。全县260名委员全覆盖联村，建立村（社区）协商议事室，建成标准统一的“有事来协商”协商议事室36个、委员之家1个、委员工作室6个。坚持“发展大事+关键小事”原则，既聚焦全县经济社会发展中的大事要事，又关注涉及群众切身利益的关键小事，围绕白龙镇水资源水环境水生态管理等开展协商301次，有效解决基层热难点问题及民生实事323个，参与委员达1293人次。受到省政协副主席杨克宁的充分肯定，1名乡镇委联委负责人受到省政协表彰，1个委员工作室、3个镇政协工作联络组、4个村（社区）协商议事室、4名政协委员得到市政协表扬。</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10.“书香政协”建设委员读书活动成效明显。印发《建设“书香政协”开展委员读书活动实施方案》，推出“1+N”阵地建设模式，整合县图书馆、乡镇文化站、委员工作室等平台，建成县政协机关阅览室和“委员阅览室”等政协委员读书平台4个，协调组织图书1000余册。开展“六个一”书香同行活动，主席会议成员发挥头雁效应，带头开展“书籍推荐”和“读书心得”分享活动，向政协委员推荐书籍16本，撰写心得体会20余篇。建立委员读书群，举办专题读书班、培训班、研讨会4次，开展学习沙龙、读书分享活动2次，实现委员全覆盖。举办“书香政协”大讲堂2期，推进“书香政协”建设。一批委员带头读书，示范引领广大委员通过读书活动明方向、聚共识、强本领、显担当，在全县政协系统营造了“多读书、读好书、善读书”的浓厚氛围。县政协被市政协评为“牢记使命﹒同心奋进”主题活动先进集体、1名委员和1名机关干部被表彰为先进个人。</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11.强化委员履职能力建设。聚焦“懂政协、会协商、善议政，守纪律、讲规矩、重品行”工作要求，开展政协领导走访看望委员活动，密切与委员的联系沟通；组织委员参加省政协、市政协和县委组织的各类培训学习，参加委员达150余人次。完善《委员履职规则》《优秀委员评选办法》《委员履职情况量化考评办法》，推动委员管理服务的规范化、常态化。建立委员履职档案，根据履职情况，会同县委组织部、统战部，调整委员6名，表彰优秀委员30名。在政协常委履职考核中，良好率达到95%，进一步激发委员履职的主动性和积极性。</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12.抓好政协机关自身建设。建立专委会履职清单，专委会基础作用更好发挥。抓好政协机关思想政治建设、组织建设和作风建设，规范机关干部学习培训、视察调研、考勤考核等制度，提高会务服务、文稿起草、老干部服务、后勤保障等工作效率。配合做好省委巡视组对县政协机关的巡视工作，支持县纪委监委派驻县政协机关纪检监察组履行职责，着力营造勤勉干事、风清气正的良好政治生态，机关干部精神面貌明显改观、工作作风明显进步、能力素质明显提高。</w:t>
      </w:r>
    </w:p>
    <w:p>
      <w:pPr>
        <w:pStyle w:val="4"/>
        <w:rPr>
          <w:rStyle w:val="32"/>
          <w:b w:val="0"/>
          <w:bCs w:val="0"/>
        </w:rPr>
      </w:pPr>
      <w:bookmarkStart w:id="10" w:name="_Toc15377200"/>
      <w:bookmarkStart w:id="11" w:name="_Toc15396601"/>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0"/>
      <w:bookmarkEnd w:id="11"/>
    </w:p>
    <w:p>
      <w:pPr>
        <w:ind w:firstLine="800" w:firstLineChars="250"/>
        <w:rPr>
          <w:rFonts w:ascii="仿宋" w:hAnsi="仿宋" w:eastAsia="仿宋"/>
          <w:kern w:val="0"/>
          <w:sz w:val="32"/>
          <w:szCs w:val="32"/>
        </w:rPr>
      </w:pPr>
      <w:r>
        <w:rPr>
          <w:rFonts w:hint="eastAsia" w:ascii="仿宋" w:hAnsi="仿宋" w:eastAsia="仿宋"/>
          <w:sz w:val="32"/>
          <w:szCs w:val="32"/>
          <w:lang w:eastAsia="zh-CN"/>
        </w:rPr>
        <w:t>政协剑阁县委员会办公室</w:t>
      </w:r>
      <w:r>
        <w:rPr>
          <w:rFonts w:hint="eastAsia" w:ascii="仿宋" w:hAnsi="仿宋" w:eastAsia="仿宋"/>
          <w:sz w:val="32"/>
          <w:szCs w:val="32"/>
        </w:rPr>
        <w:t>下属二级预算单位</w:t>
      </w:r>
      <w:r>
        <w:rPr>
          <w:rFonts w:hint="eastAsia" w:ascii="仿宋" w:hAnsi="仿宋" w:eastAsia="仿宋"/>
          <w:color w:val="auto"/>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1</w:t>
      </w:r>
      <w:r>
        <w:rPr>
          <w:rFonts w:hint="eastAsia" w:ascii="仿宋" w:hAnsi="仿宋" w:eastAsia="仿宋"/>
          <w:sz w:val="32"/>
          <w:szCs w:val="32"/>
        </w:rPr>
        <w:t>个。</w:t>
      </w:r>
      <w:r>
        <w:rPr>
          <w:rFonts w:ascii="仿宋" w:hAnsi="仿宋" w:eastAsia="仿宋"/>
          <w:sz w:val="32"/>
          <w:szCs w:val="32"/>
        </w:rPr>
        <w:br w:type="page"/>
      </w:r>
    </w:p>
    <w:p>
      <w:pPr>
        <w:pStyle w:val="3"/>
        <w:ind w:right="440"/>
        <w:jc w:val="center"/>
        <w:rPr>
          <w:rStyle w:val="31"/>
          <w:rFonts w:ascii="黑体" w:hAnsi="黑体" w:eastAsia="黑体"/>
          <w:b w:val="0"/>
          <w:bCs/>
        </w:rPr>
      </w:pPr>
      <w:bookmarkStart w:id="12" w:name="_Toc15377204"/>
      <w:bookmarkStart w:id="13" w:name="_Toc15396602"/>
      <w:r>
        <w:rPr>
          <w:rFonts w:hint="eastAsia" w:ascii="黑体" w:hAnsi="黑体" w:eastAsia="黑体"/>
          <w:b w:val="0"/>
        </w:rPr>
        <w:t>第二部分 2022年度</w:t>
      </w:r>
      <w:r>
        <w:rPr>
          <w:rStyle w:val="31"/>
          <w:rFonts w:hint="eastAsia" w:ascii="黑体" w:hAnsi="黑体" w:eastAsia="黑体"/>
          <w:b w:val="0"/>
          <w:bCs/>
        </w:rPr>
        <w:t>部门决算情况说明</w:t>
      </w:r>
      <w:bookmarkEnd w:id="12"/>
      <w:bookmarkEnd w:id="13"/>
    </w:p>
    <w:p/>
    <w:p>
      <w:pPr>
        <w:pStyle w:val="30"/>
        <w:numPr>
          <w:ilvl w:val="0"/>
          <w:numId w:val="2"/>
        </w:numPr>
        <w:spacing w:line="600" w:lineRule="exact"/>
        <w:ind w:firstLineChars="0"/>
        <w:outlineLvl w:val="1"/>
        <w:rPr>
          <w:rStyle w:val="32"/>
          <w:rFonts w:ascii="黑体" w:hAnsi="黑体" w:eastAsia="黑体"/>
          <w:b w:val="0"/>
        </w:rPr>
      </w:pPr>
      <w:bookmarkStart w:id="14" w:name="_Toc15396603"/>
      <w:bookmarkStart w:id="15" w:name="_Toc15377205"/>
      <w:r>
        <w:rPr>
          <w:rFonts w:hint="eastAsia" w:ascii="黑体" w:hAnsi="黑体" w:eastAsia="黑体"/>
          <w:sz w:val="32"/>
          <w:szCs w:val="32"/>
        </w:rPr>
        <w:t>收</w:t>
      </w:r>
      <w:r>
        <w:rPr>
          <w:rStyle w:val="32"/>
          <w:rFonts w:hint="eastAsia" w:ascii="黑体" w:hAnsi="黑体" w:eastAsia="黑体"/>
          <w:b w:val="0"/>
        </w:rPr>
        <w:t>入支出决算总体情况说明</w:t>
      </w:r>
      <w:bookmarkEnd w:id="14"/>
      <w:bookmarkEnd w:id="15"/>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761.14</w:t>
      </w:r>
      <w:r>
        <w:rPr>
          <w:rFonts w:hint="eastAsia" w:ascii="仿宋" w:hAnsi="仿宋" w:eastAsia="仿宋"/>
          <w:sz w:val="32"/>
          <w:szCs w:val="32"/>
        </w:rPr>
        <w:t>万元。与2021年相比，收、支总计各减少</w:t>
      </w:r>
      <w:r>
        <w:rPr>
          <w:rFonts w:hint="eastAsia" w:ascii="仿宋" w:hAnsi="仿宋" w:eastAsia="仿宋"/>
          <w:sz w:val="32"/>
          <w:szCs w:val="32"/>
          <w:lang w:val="en-US" w:eastAsia="zh-CN"/>
        </w:rPr>
        <w:t>108.47</w:t>
      </w:r>
      <w:r>
        <w:rPr>
          <w:rFonts w:hint="eastAsia" w:ascii="仿宋" w:hAnsi="仿宋" w:eastAsia="仿宋"/>
          <w:sz w:val="32"/>
          <w:szCs w:val="32"/>
        </w:rPr>
        <w:t>万元，下降</w:t>
      </w:r>
      <w:r>
        <w:rPr>
          <w:rFonts w:hint="eastAsia" w:ascii="仿宋" w:hAnsi="仿宋" w:eastAsia="仿宋"/>
          <w:sz w:val="32"/>
          <w:szCs w:val="32"/>
          <w:lang w:val="en-US" w:eastAsia="zh-CN"/>
        </w:rPr>
        <w:t>12.47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2022年项目资金减少</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420" w:firstLineChars="200"/>
        <w:jc w:val="left"/>
        <w:rPr>
          <w:rFonts w:ascii="仿宋_GB2312" w:eastAsia="仿宋_GB2312"/>
          <w:sz w:val="32"/>
          <w:szCs w:val="32"/>
        </w:rPr>
      </w:pPr>
      <w:r>
        <w:drawing>
          <wp:anchor distT="0" distB="0" distL="114300" distR="114300" simplePos="0" relativeHeight="251659264" behindDoc="0" locked="0" layoutInCell="1" allowOverlap="1">
            <wp:simplePos x="0" y="0"/>
            <wp:positionH relativeFrom="column">
              <wp:posOffset>194945</wp:posOffset>
            </wp:positionH>
            <wp:positionV relativeFrom="paragraph">
              <wp:posOffset>204470</wp:posOffset>
            </wp:positionV>
            <wp:extent cx="4572000" cy="2743200"/>
            <wp:effectExtent l="4445" t="4445" r="14605" b="1460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0"/>
        <w:rPr>
          <w:rFonts w:ascii="仿宋_GB2312" w:eastAsia="仿宋_GB2312"/>
          <w:sz w:val="32"/>
          <w:szCs w:val="32"/>
        </w:rPr>
      </w:pPr>
    </w:p>
    <w:p>
      <w:pPr>
        <w:rPr>
          <w:rFonts w:ascii="仿宋_GB2312" w:eastAsia="仿宋_GB2312"/>
          <w:sz w:val="32"/>
          <w:szCs w:val="32"/>
        </w:rPr>
      </w:pPr>
    </w:p>
    <w:p>
      <w:pPr>
        <w:pStyle w:val="20"/>
        <w:rPr>
          <w:rFonts w:ascii="仿宋_GB2312" w:eastAsia="仿宋_GB2312"/>
          <w:sz w:val="32"/>
          <w:szCs w:val="32"/>
        </w:rPr>
      </w:pPr>
    </w:p>
    <w:p>
      <w:pPr>
        <w:rPr>
          <w:rFonts w:ascii="仿宋_GB2312" w:eastAsia="仿宋_GB2312"/>
          <w:sz w:val="32"/>
          <w:szCs w:val="32"/>
        </w:rPr>
      </w:pPr>
    </w:p>
    <w:p>
      <w:pPr>
        <w:pStyle w:val="20"/>
        <w:rPr>
          <w:rFonts w:ascii="仿宋_GB2312" w:eastAsia="仿宋_GB2312"/>
          <w:sz w:val="32"/>
          <w:szCs w:val="32"/>
        </w:rPr>
      </w:pPr>
    </w:p>
    <w:p>
      <w:pPr>
        <w:rPr>
          <w:rFonts w:ascii="仿宋_GB2312" w:eastAsia="仿宋_GB2312"/>
          <w:sz w:val="32"/>
          <w:szCs w:val="32"/>
        </w:rPr>
      </w:pPr>
    </w:p>
    <w:p>
      <w:pPr>
        <w:pStyle w:val="20"/>
      </w:pPr>
    </w:p>
    <w:p>
      <w:pPr>
        <w:pStyle w:val="30"/>
        <w:numPr>
          <w:ilvl w:val="0"/>
          <w:numId w:val="2"/>
        </w:numPr>
        <w:spacing w:line="600" w:lineRule="exact"/>
        <w:ind w:firstLineChars="0"/>
        <w:outlineLvl w:val="1"/>
        <w:rPr>
          <w:rStyle w:val="32"/>
          <w:rFonts w:ascii="黑体" w:hAnsi="黑体" w:eastAsia="黑体"/>
          <w:b w:val="0"/>
        </w:rPr>
      </w:pPr>
      <w:bookmarkStart w:id="16" w:name="_Toc15377206"/>
      <w:bookmarkStart w:id="17" w:name="_Toc15396604"/>
      <w:r>
        <w:rPr>
          <w:rFonts w:hint="eastAsia" w:ascii="黑体" w:hAnsi="黑体" w:eastAsia="黑体"/>
          <w:sz w:val="32"/>
          <w:szCs w:val="32"/>
        </w:rPr>
        <w:t>收</w:t>
      </w:r>
      <w:r>
        <w:rPr>
          <w:rStyle w:val="32"/>
          <w:rFonts w:hint="eastAsia" w:ascii="黑体" w:hAnsi="黑体" w:eastAsia="黑体"/>
          <w:b w:val="0"/>
        </w:rPr>
        <w:t>入决算情况说明</w:t>
      </w:r>
      <w:bookmarkEnd w:id="16"/>
      <w:bookmarkEnd w:id="1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760.38</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760.38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420" w:firstLineChars="200"/>
        <w:rPr>
          <w:rFonts w:ascii="仿宋_GB2312" w:eastAsia="仿宋_GB2312"/>
          <w:sz w:val="32"/>
          <w:szCs w:val="32"/>
        </w:rPr>
      </w:pPr>
      <w:r>
        <w:drawing>
          <wp:anchor distT="0" distB="0" distL="114300" distR="114300" simplePos="0" relativeHeight="251660288" behindDoc="0" locked="0" layoutInCell="1" allowOverlap="1">
            <wp:simplePos x="0" y="0"/>
            <wp:positionH relativeFrom="column">
              <wp:posOffset>299720</wp:posOffset>
            </wp:positionH>
            <wp:positionV relativeFrom="paragraph">
              <wp:posOffset>147320</wp:posOffset>
            </wp:positionV>
            <wp:extent cx="4572000" cy="2743200"/>
            <wp:effectExtent l="4445" t="4445" r="14605" b="1460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0"/>
        <w:rPr>
          <w:rFonts w:ascii="仿宋_GB2312" w:eastAsia="仿宋_GB2312"/>
          <w:sz w:val="32"/>
          <w:szCs w:val="32"/>
        </w:rPr>
      </w:pPr>
    </w:p>
    <w:p>
      <w:pPr>
        <w:rPr>
          <w:rFonts w:ascii="仿宋_GB2312" w:eastAsia="仿宋_GB2312"/>
          <w:sz w:val="32"/>
          <w:szCs w:val="32"/>
        </w:rPr>
      </w:pPr>
    </w:p>
    <w:p>
      <w:pPr>
        <w:pStyle w:val="20"/>
        <w:rPr>
          <w:rFonts w:ascii="仿宋_GB2312" w:eastAsia="仿宋_GB2312"/>
          <w:sz w:val="32"/>
          <w:szCs w:val="32"/>
        </w:rPr>
      </w:pPr>
    </w:p>
    <w:p/>
    <w:p>
      <w:pPr>
        <w:rPr>
          <w:rFonts w:ascii="仿宋_GB2312" w:eastAsia="仿宋_GB2312"/>
          <w:sz w:val="32"/>
          <w:szCs w:val="32"/>
        </w:rPr>
      </w:pPr>
    </w:p>
    <w:p>
      <w:pPr>
        <w:pStyle w:val="20"/>
        <w:rPr>
          <w:rFonts w:ascii="仿宋_GB2312" w:eastAsia="仿宋_GB2312"/>
          <w:sz w:val="32"/>
          <w:szCs w:val="32"/>
        </w:rPr>
      </w:pPr>
    </w:p>
    <w:p>
      <w:pPr>
        <w:pStyle w:val="20"/>
        <w:ind w:left="0" w:leftChars="0" w:firstLine="0" w:firstLineChars="0"/>
      </w:pPr>
    </w:p>
    <w:p>
      <w:pPr>
        <w:pStyle w:val="30"/>
        <w:numPr>
          <w:ilvl w:val="0"/>
          <w:numId w:val="2"/>
        </w:numPr>
        <w:spacing w:line="600" w:lineRule="exact"/>
        <w:ind w:firstLineChars="0"/>
        <w:outlineLvl w:val="1"/>
        <w:rPr>
          <w:rStyle w:val="32"/>
          <w:rFonts w:ascii="黑体" w:hAnsi="黑体" w:eastAsia="黑体"/>
          <w:b w:val="0"/>
        </w:rPr>
      </w:pPr>
      <w:bookmarkStart w:id="18" w:name="_Toc15377207"/>
      <w:bookmarkStart w:id="19" w:name="_Toc15396605"/>
      <w:r>
        <w:rPr>
          <w:rFonts w:hint="eastAsia" w:ascii="黑体" w:hAnsi="黑体" w:eastAsia="黑体"/>
          <w:sz w:val="32"/>
          <w:szCs w:val="32"/>
        </w:rPr>
        <w:t>支</w:t>
      </w:r>
      <w:r>
        <w:rPr>
          <w:rStyle w:val="32"/>
          <w:rFonts w:hint="eastAsia" w:ascii="黑体" w:hAnsi="黑体" w:eastAsia="黑体"/>
          <w:b w:val="0"/>
        </w:rPr>
        <w:t>出决算情况说明</w:t>
      </w:r>
      <w:bookmarkEnd w:id="18"/>
      <w:bookmarkEnd w:id="1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761.14</w:t>
      </w:r>
      <w:r>
        <w:rPr>
          <w:rFonts w:hint="eastAsia" w:ascii="仿宋" w:hAnsi="仿宋" w:eastAsia="仿宋"/>
          <w:sz w:val="32"/>
          <w:szCs w:val="32"/>
        </w:rPr>
        <w:t>万元，其中：基本支出</w:t>
      </w:r>
      <w:r>
        <w:rPr>
          <w:rFonts w:hint="eastAsia" w:ascii="仿宋" w:hAnsi="仿宋" w:eastAsia="仿宋"/>
          <w:sz w:val="32"/>
          <w:szCs w:val="32"/>
          <w:lang w:val="en-US" w:eastAsia="zh-CN"/>
        </w:rPr>
        <w:t>761.14</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420" w:firstLineChars="200"/>
        <w:rPr>
          <w:rFonts w:ascii="仿宋" w:hAnsi="仿宋" w:eastAsia="仿宋"/>
          <w:sz w:val="32"/>
          <w:szCs w:val="32"/>
        </w:rPr>
      </w:pPr>
      <w:r>
        <w:drawing>
          <wp:anchor distT="0" distB="0" distL="114300" distR="114300" simplePos="0" relativeHeight="251661312" behindDoc="0" locked="0" layoutInCell="1" allowOverlap="1">
            <wp:simplePos x="0" y="0"/>
            <wp:positionH relativeFrom="column">
              <wp:posOffset>290195</wp:posOffset>
            </wp:positionH>
            <wp:positionV relativeFrom="paragraph">
              <wp:posOffset>42545</wp:posOffset>
            </wp:positionV>
            <wp:extent cx="4572000" cy="2743200"/>
            <wp:effectExtent l="4445" t="4445" r="14605" b="146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pStyle w:val="20"/>
        <w:rPr>
          <w:rFonts w:ascii="仿宋_GB2312" w:eastAsia="仿宋_GB2312"/>
          <w:sz w:val="32"/>
          <w:szCs w:val="32"/>
        </w:rPr>
      </w:pPr>
    </w:p>
    <w:p>
      <w:pPr>
        <w:rPr>
          <w:rFonts w:ascii="仿宋_GB2312" w:eastAsia="仿宋_GB2312"/>
          <w:sz w:val="32"/>
          <w:szCs w:val="32"/>
        </w:rPr>
      </w:pPr>
    </w:p>
    <w:p>
      <w:pPr>
        <w:pStyle w:val="20"/>
        <w:rPr>
          <w:rFonts w:ascii="仿宋_GB2312" w:eastAsia="仿宋_GB2312"/>
          <w:sz w:val="32"/>
          <w:szCs w:val="32"/>
        </w:rPr>
      </w:pPr>
    </w:p>
    <w:p>
      <w:pPr>
        <w:rPr>
          <w:rFonts w:ascii="仿宋_GB2312" w:eastAsia="仿宋_GB2312"/>
          <w:sz w:val="32"/>
          <w:szCs w:val="32"/>
        </w:rPr>
      </w:pPr>
    </w:p>
    <w:p>
      <w:pPr>
        <w:pStyle w:val="20"/>
        <w:rPr>
          <w:rFonts w:ascii="仿宋_GB2312" w:eastAsia="仿宋_GB2312"/>
          <w:sz w:val="32"/>
          <w:szCs w:val="32"/>
        </w:rPr>
      </w:pPr>
    </w:p>
    <w:p>
      <w:pPr>
        <w:spacing w:line="600" w:lineRule="exact"/>
        <w:ind w:firstLine="640" w:firstLineChars="200"/>
        <w:outlineLvl w:val="1"/>
        <w:rPr>
          <w:rStyle w:val="32"/>
          <w:rFonts w:ascii="黑体" w:hAnsi="黑体" w:eastAsia="黑体"/>
          <w:b w:val="0"/>
        </w:rPr>
      </w:pPr>
      <w:bookmarkStart w:id="20" w:name="_Toc15396606"/>
      <w:bookmarkStart w:id="21" w:name="_Toc15377208"/>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20"/>
      <w:bookmarkEnd w:id="2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761.14</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108.47</w:t>
      </w:r>
      <w:r>
        <w:rPr>
          <w:rFonts w:hint="eastAsia" w:ascii="仿宋" w:hAnsi="仿宋" w:eastAsia="仿宋"/>
          <w:sz w:val="32"/>
          <w:szCs w:val="32"/>
        </w:rPr>
        <w:t>万元，下降</w:t>
      </w:r>
      <w:r>
        <w:rPr>
          <w:rFonts w:hint="eastAsia" w:ascii="仿宋" w:hAnsi="仿宋" w:eastAsia="仿宋"/>
          <w:sz w:val="32"/>
          <w:szCs w:val="32"/>
          <w:lang w:val="en-US" w:eastAsia="zh-CN"/>
        </w:rPr>
        <w:t>12.47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2022年项目资金减少。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r>
        <w:drawing>
          <wp:anchor distT="0" distB="0" distL="114300" distR="114300" simplePos="0" relativeHeight="251662336" behindDoc="0" locked="0" layoutInCell="1" allowOverlap="1">
            <wp:simplePos x="0" y="0"/>
            <wp:positionH relativeFrom="column">
              <wp:posOffset>337820</wp:posOffset>
            </wp:positionH>
            <wp:positionV relativeFrom="paragraph">
              <wp:posOffset>200660</wp:posOffset>
            </wp:positionV>
            <wp:extent cx="4572000" cy="2743200"/>
            <wp:effectExtent l="4445" t="4445" r="14605" b="14605"/>
            <wp:wrapNone/>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0"/>
        <w:rPr>
          <w:rFonts w:ascii="仿宋" w:hAnsi="仿宋" w:eastAsia="仿宋"/>
          <w:b/>
          <w:sz w:val="32"/>
          <w:szCs w:val="32"/>
        </w:rPr>
      </w:pPr>
    </w:p>
    <w:p>
      <w:pPr>
        <w:rPr>
          <w:rFonts w:ascii="仿宋" w:hAnsi="仿宋" w:eastAsia="仿宋"/>
          <w:b/>
          <w:sz w:val="32"/>
          <w:szCs w:val="32"/>
        </w:rPr>
      </w:pPr>
    </w:p>
    <w:p>
      <w:pPr>
        <w:pStyle w:val="20"/>
        <w:rPr>
          <w:rFonts w:ascii="仿宋" w:hAnsi="仿宋" w:eastAsia="仿宋"/>
          <w:b/>
          <w:sz w:val="32"/>
          <w:szCs w:val="32"/>
        </w:rPr>
      </w:pPr>
    </w:p>
    <w:p>
      <w:pPr>
        <w:rPr>
          <w:rFonts w:ascii="仿宋" w:hAnsi="仿宋" w:eastAsia="仿宋"/>
          <w:b/>
          <w:sz w:val="32"/>
          <w:szCs w:val="32"/>
        </w:rPr>
      </w:pPr>
    </w:p>
    <w:p>
      <w:pPr>
        <w:pStyle w:val="20"/>
        <w:rPr>
          <w:rFonts w:ascii="仿宋" w:hAnsi="仿宋" w:eastAsia="仿宋"/>
          <w:b/>
          <w:sz w:val="32"/>
          <w:szCs w:val="32"/>
        </w:rPr>
      </w:pPr>
    </w:p>
    <w:p>
      <w:pPr>
        <w:rPr>
          <w:rFonts w:ascii="仿宋" w:hAnsi="仿宋" w:eastAsia="仿宋"/>
          <w:b/>
          <w:sz w:val="32"/>
          <w:szCs w:val="32"/>
        </w:rPr>
      </w:pPr>
    </w:p>
    <w:p>
      <w:pPr>
        <w:pStyle w:val="20"/>
        <w:rPr>
          <w:rFonts w:ascii="仿宋" w:hAnsi="仿宋" w:eastAsia="仿宋"/>
          <w:b/>
          <w:sz w:val="32"/>
          <w:szCs w:val="32"/>
        </w:rPr>
      </w:pPr>
    </w:p>
    <w:p>
      <w:pPr>
        <w:spacing w:line="600" w:lineRule="exact"/>
        <w:ind w:firstLine="640" w:firstLineChars="200"/>
        <w:outlineLvl w:val="1"/>
        <w:rPr>
          <w:rStyle w:val="32"/>
          <w:rFonts w:ascii="黑体" w:hAnsi="黑体" w:eastAsia="黑体"/>
          <w:b w:val="0"/>
        </w:rPr>
      </w:pPr>
      <w:bookmarkStart w:id="22" w:name="_Toc15377209"/>
      <w:bookmarkStart w:id="23" w:name="_Toc15396607"/>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22"/>
      <w:bookmarkEnd w:id="23"/>
    </w:p>
    <w:p>
      <w:pPr>
        <w:spacing w:line="600" w:lineRule="exact"/>
        <w:ind w:firstLine="643" w:firstLineChars="200"/>
        <w:outlineLvl w:val="2"/>
        <w:rPr>
          <w:rFonts w:ascii="仿宋" w:hAnsi="仿宋" w:eastAsia="仿宋"/>
          <w:b/>
          <w:sz w:val="32"/>
          <w:szCs w:val="32"/>
        </w:rPr>
      </w:pPr>
      <w:bookmarkStart w:id="24" w:name="_Toc15377210"/>
      <w:r>
        <w:rPr>
          <w:rFonts w:hint="eastAsia" w:ascii="仿宋" w:hAnsi="仿宋" w:eastAsia="仿宋"/>
          <w:b/>
          <w:sz w:val="32"/>
          <w:szCs w:val="32"/>
        </w:rPr>
        <w:t>（一）一般公共预算财政拨款支出决算总体情况</w:t>
      </w:r>
      <w:bookmarkEnd w:id="24"/>
    </w:p>
    <w:p>
      <w:pPr>
        <w:spacing w:line="600" w:lineRule="exact"/>
        <w:ind w:firstLine="640" w:firstLineChars="20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761.14</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107.71</w:t>
      </w:r>
      <w:r>
        <w:rPr>
          <w:rFonts w:hint="eastAsia" w:ascii="仿宋" w:hAnsi="仿宋" w:eastAsia="仿宋"/>
          <w:sz w:val="32"/>
          <w:szCs w:val="32"/>
        </w:rPr>
        <w:t>万元，下降</w:t>
      </w:r>
      <w:r>
        <w:rPr>
          <w:rFonts w:hint="eastAsia" w:ascii="仿宋" w:hAnsi="仿宋" w:eastAsia="仿宋"/>
          <w:sz w:val="32"/>
          <w:szCs w:val="32"/>
          <w:lang w:val="en-US" w:eastAsia="zh-CN"/>
        </w:rPr>
        <w:t>12.40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pStyle w:val="20"/>
        <w:rPr>
          <w:rFonts w:ascii="仿宋" w:hAnsi="仿宋" w:eastAsia="仿宋"/>
          <w:sz w:val="32"/>
          <w:szCs w:val="32"/>
        </w:rPr>
      </w:pPr>
    </w:p>
    <w:p>
      <w:pPr>
        <w:rPr>
          <w:rFonts w:ascii="仿宋" w:hAnsi="仿宋" w:eastAsia="仿宋"/>
          <w:sz w:val="32"/>
          <w:szCs w:val="32"/>
        </w:rPr>
      </w:pPr>
    </w:p>
    <w:p>
      <w:pPr>
        <w:pStyle w:val="20"/>
        <w:rPr>
          <w:rFonts w:ascii="仿宋" w:hAnsi="仿宋" w:eastAsia="仿宋"/>
          <w:sz w:val="32"/>
          <w:szCs w:val="32"/>
        </w:rPr>
      </w:pPr>
    </w:p>
    <w:p>
      <w:pPr>
        <w:rPr>
          <w:rFonts w:ascii="仿宋" w:hAnsi="仿宋" w:eastAsia="仿宋"/>
          <w:sz w:val="32"/>
          <w:szCs w:val="32"/>
        </w:rPr>
      </w:pPr>
      <w:r>
        <w:drawing>
          <wp:anchor distT="0" distB="0" distL="114300" distR="114300" simplePos="0" relativeHeight="251663360" behindDoc="0" locked="0" layoutInCell="1" allowOverlap="1">
            <wp:simplePos x="0" y="0"/>
            <wp:positionH relativeFrom="column">
              <wp:posOffset>394970</wp:posOffset>
            </wp:positionH>
            <wp:positionV relativeFrom="paragraph">
              <wp:posOffset>103505</wp:posOffset>
            </wp:positionV>
            <wp:extent cx="4572000" cy="2743200"/>
            <wp:effectExtent l="4445" t="4445" r="14605" b="14605"/>
            <wp:wrapNone/>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0"/>
      </w:pPr>
    </w:p>
    <w:p>
      <w:pPr>
        <w:pStyle w:val="20"/>
        <w:rPr>
          <w:rFonts w:ascii="仿宋" w:hAnsi="仿宋" w:eastAsia="仿宋"/>
          <w:sz w:val="32"/>
          <w:szCs w:val="32"/>
        </w:rPr>
      </w:pPr>
    </w:p>
    <w:p>
      <w:pPr>
        <w:rPr>
          <w:rFonts w:ascii="仿宋" w:hAnsi="仿宋" w:eastAsia="仿宋"/>
          <w:sz w:val="32"/>
          <w:szCs w:val="32"/>
        </w:rPr>
      </w:pPr>
    </w:p>
    <w:p>
      <w:pPr>
        <w:pStyle w:val="20"/>
        <w:rPr>
          <w:rFonts w:ascii="仿宋" w:hAnsi="仿宋" w:eastAsia="仿宋"/>
          <w:sz w:val="32"/>
          <w:szCs w:val="32"/>
        </w:rPr>
      </w:pPr>
    </w:p>
    <w:p>
      <w:pPr>
        <w:rPr>
          <w:rFonts w:ascii="仿宋" w:hAnsi="仿宋" w:eastAsia="仿宋"/>
          <w:sz w:val="32"/>
          <w:szCs w:val="32"/>
        </w:rPr>
      </w:pPr>
    </w:p>
    <w:p>
      <w:pPr>
        <w:pStyle w:val="2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25" w:name="_Toc15377211"/>
      <w:r>
        <w:rPr>
          <w:rFonts w:hint="eastAsia" w:ascii="仿宋" w:hAnsi="仿宋" w:eastAsia="仿宋"/>
          <w:b/>
          <w:sz w:val="32"/>
          <w:szCs w:val="32"/>
        </w:rPr>
        <w:t>（二）一般公共预算财政拨款支出决算结构情况</w:t>
      </w:r>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761.14</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642.77</w:t>
      </w:r>
      <w:r>
        <w:rPr>
          <w:rFonts w:hint="eastAsia" w:ascii="仿宋" w:hAnsi="仿宋" w:eastAsia="仿宋"/>
          <w:sz w:val="32"/>
          <w:szCs w:val="32"/>
        </w:rPr>
        <w:t>万元，占</w:t>
      </w:r>
      <w:r>
        <w:rPr>
          <w:rFonts w:hint="eastAsia" w:ascii="仿宋" w:hAnsi="仿宋" w:eastAsia="仿宋"/>
          <w:sz w:val="32"/>
          <w:szCs w:val="32"/>
          <w:lang w:val="en-US" w:eastAsia="zh-CN"/>
        </w:rPr>
        <w:t>84.45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52.70</w:t>
      </w:r>
      <w:r>
        <w:rPr>
          <w:rFonts w:hint="eastAsia" w:ascii="仿宋" w:hAnsi="仿宋" w:eastAsia="仿宋"/>
          <w:sz w:val="32"/>
          <w:szCs w:val="32"/>
        </w:rPr>
        <w:t>万元，占</w:t>
      </w:r>
      <w:r>
        <w:rPr>
          <w:rFonts w:hint="eastAsia" w:ascii="仿宋" w:hAnsi="仿宋" w:eastAsia="仿宋"/>
          <w:sz w:val="32"/>
          <w:szCs w:val="32"/>
          <w:lang w:val="en-US" w:eastAsia="zh-CN"/>
        </w:rPr>
        <w:t>6.92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26.36</w:t>
      </w:r>
      <w:r>
        <w:rPr>
          <w:rFonts w:hint="eastAsia" w:ascii="仿宋" w:hAnsi="仿宋" w:eastAsia="仿宋"/>
          <w:sz w:val="32"/>
          <w:szCs w:val="32"/>
        </w:rPr>
        <w:t>万元，占</w:t>
      </w:r>
      <w:r>
        <w:rPr>
          <w:rFonts w:hint="eastAsia" w:ascii="仿宋" w:hAnsi="仿宋" w:eastAsia="仿宋"/>
          <w:sz w:val="32"/>
          <w:szCs w:val="32"/>
          <w:lang w:val="en-US" w:eastAsia="zh-CN"/>
        </w:rPr>
        <w:t>3.46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39.32</w:t>
      </w:r>
      <w:r>
        <w:rPr>
          <w:rFonts w:hint="eastAsia" w:ascii="仿宋" w:hAnsi="仿宋" w:eastAsia="仿宋"/>
          <w:sz w:val="32"/>
          <w:szCs w:val="32"/>
        </w:rPr>
        <w:t>万元，占</w:t>
      </w:r>
      <w:r>
        <w:rPr>
          <w:rFonts w:hint="eastAsia" w:ascii="仿宋" w:hAnsi="仿宋" w:eastAsia="仿宋"/>
          <w:sz w:val="32"/>
          <w:szCs w:val="32"/>
          <w:lang w:val="en-US" w:eastAsia="zh-CN"/>
        </w:rPr>
        <w:t>5.17</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420" w:firstLineChars="200"/>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461645</wp:posOffset>
            </wp:positionH>
            <wp:positionV relativeFrom="paragraph">
              <wp:posOffset>128270</wp:posOffset>
            </wp:positionV>
            <wp:extent cx="4572000" cy="2743200"/>
            <wp:effectExtent l="4445" t="4445" r="14605" b="14605"/>
            <wp:wrapNone/>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0"/>
        <w:rPr>
          <w:rFonts w:ascii="仿宋" w:hAnsi="仿宋" w:eastAsia="仿宋"/>
          <w:sz w:val="32"/>
          <w:szCs w:val="32"/>
        </w:rPr>
      </w:pPr>
    </w:p>
    <w:p>
      <w:pPr>
        <w:rPr>
          <w:rFonts w:ascii="仿宋" w:hAnsi="仿宋" w:eastAsia="仿宋"/>
          <w:sz w:val="32"/>
          <w:szCs w:val="32"/>
        </w:rPr>
      </w:pPr>
    </w:p>
    <w:p>
      <w:pPr>
        <w:pStyle w:val="20"/>
        <w:rPr>
          <w:rFonts w:ascii="仿宋" w:hAnsi="仿宋" w:eastAsia="仿宋"/>
          <w:sz w:val="32"/>
          <w:szCs w:val="32"/>
        </w:rPr>
      </w:pPr>
    </w:p>
    <w:p>
      <w:pPr>
        <w:rPr>
          <w:rFonts w:ascii="仿宋" w:hAnsi="仿宋" w:eastAsia="仿宋"/>
          <w:sz w:val="32"/>
          <w:szCs w:val="32"/>
        </w:rPr>
      </w:pPr>
    </w:p>
    <w:p>
      <w:pPr>
        <w:pStyle w:val="20"/>
        <w:rPr>
          <w:rFonts w:ascii="仿宋" w:hAnsi="仿宋" w:eastAsia="仿宋"/>
          <w:sz w:val="32"/>
          <w:szCs w:val="32"/>
        </w:rPr>
      </w:pPr>
    </w:p>
    <w:p>
      <w:pPr>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26" w:name="_Toc15377212"/>
      <w:r>
        <w:rPr>
          <w:rFonts w:hint="eastAsia" w:ascii="仿宋" w:hAnsi="仿宋" w:eastAsia="仿宋"/>
          <w:b/>
          <w:sz w:val="32"/>
          <w:szCs w:val="32"/>
        </w:rPr>
        <w:t>（三）一般公共预算财政拨款支出决算具体情况</w:t>
      </w:r>
      <w:bookmarkEnd w:id="26"/>
    </w:p>
    <w:p>
      <w:pPr>
        <w:spacing w:line="600" w:lineRule="exact"/>
        <w:ind w:firstLine="643" w:firstLineChars="200"/>
        <w:outlineLvl w:val="2"/>
        <w:rPr>
          <w:rFonts w:ascii="仿宋" w:hAnsi="仿宋" w:eastAsia="仿宋"/>
          <w:sz w:val="32"/>
          <w:szCs w:val="32"/>
        </w:rPr>
      </w:pPr>
      <w:bookmarkStart w:id="27" w:name="_Toc15377213"/>
      <w:bookmarkStart w:id="28" w:name="_Toc15378460"/>
      <w:bookmarkStart w:id="29"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761.14万元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27"/>
      <w:bookmarkEnd w:id="28"/>
      <w:bookmarkEnd w:id="29"/>
    </w:p>
    <w:p>
      <w:pPr>
        <w:spacing w:line="600" w:lineRule="exact"/>
        <w:ind w:firstLine="643" w:firstLineChars="200"/>
        <w:rPr>
          <w:rStyle w:val="18"/>
          <w:rFonts w:hint="eastAsia" w:ascii="仿宋" w:hAnsi="仿宋" w:eastAsia="仿宋"/>
          <w:b w:val="0"/>
          <w:bCs/>
          <w:sz w:val="32"/>
          <w:szCs w:val="32"/>
        </w:rPr>
      </w:pPr>
      <w:r>
        <w:rPr>
          <w:rStyle w:val="18"/>
          <w:rFonts w:ascii="仿宋" w:hAnsi="仿宋" w:eastAsia="仿宋"/>
          <w:bCs/>
          <w:sz w:val="32"/>
          <w:szCs w:val="32"/>
        </w:rPr>
        <w:t>1.</w:t>
      </w:r>
      <w:r>
        <w:rPr>
          <w:rStyle w:val="18"/>
          <w:rFonts w:hint="eastAsia" w:ascii="仿宋" w:hAnsi="仿宋" w:eastAsia="仿宋"/>
          <w:bCs/>
          <w:sz w:val="32"/>
          <w:szCs w:val="32"/>
        </w:rPr>
        <w:t>一般公共服务（类）</w:t>
      </w:r>
      <w:r>
        <w:rPr>
          <w:rStyle w:val="18"/>
          <w:rFonts w:hint="eastAsia" w:ascii="仿宋" w:hAnsi="仿宋" w:eastAsia="仿宋"/>
          <w:bCs/>
          <w:sz w:val="32"/>
          <w:szCs w:val="32"/>
          <w:lang w:eastAsia="zh-CN"/>
        </w:rPr>
        <w:t>政协事务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行政运行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611.84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w:t>
      </w:r>
      <w:r>
        <w:rPr>
          <w:rStyle w:val="18"/>
          <w:rFonts w:hint="eastAsia" w:ascii="仿宋" w:hAnsi="仿宋" w:eastAsia="仿宋"/>
          <w:b w:val="0"/>
          <w:bCs/>
          <w:sz w:val="32"/>
          <w:szCs w:val="32"/>
          <w:lang w:eastAsia="zh-CN"/>
        </w:rPr>
        <w:t>与</w:t>
      </w:r>
      <w:r>
        <w:rPr>
          <w:rStyle w:val="18"/>
          <w:rFonts w:hint="eastAsia" w:ascii="仿宋" w:hAnsi="仿宋" w:eastAsia="仿宋"/>
          <w:b w:val="0"/>
          <w:bCs/>
          <w:sz w:val="32"/>
          <w:szCs w:val="32"/>
        </w:rPr>
        <w:t>预算数</w:t>
      </w:r>
      <w:r>
        <w:rPr>
          <w:rStyle w:val="18"/>
          <w:rFonts w:hint="eastAsia" w:ascii="仿宋" w:hAnsi="仿宋" w:eastAsia="仿宋"/>
          <w:b w:val="0"/>
          <w:bCs/>
          <w:sz w:val="32"/>
          <w:szCs w:val="32"/>
          <w:lang w:eastAsia="zh-CN"/>
        </w:rPr>
        <w:t>持平</w:t>
      </w:r>
      <w:r>
        <w:rPr>
          <w:rStyle w:val="18"/>
          <w:rFonts w:hint="eastAsia" w:ascii="仿宋" w:hAnsi="仿宋" w:eastAsia="仿宋"/>
          <w:b w:val="0"/>
          <w:bCs/>
          <w:sz w:val="32"/>
          <w:szCs w:val="32"/>
        </w:rPr>
        <w:t>。</w:t>
      </w:r>
    </w:p>
    <w:p>
      <w:pPr>
        <w:spacing w:line="600" w:lineRule="exact"/>
        <w:ind w:firstLine="643" w:firstLineChars="200"/>
        <w:rPr>
          <w:rStyle w:val="18"/>
          <w:rFonts w:hint="eastAsia" w:ascii="仿宋" w:hAnsi="仿宋" w:eastAsia="仿宋"/>
          <w:b w:val="0"/>
          <w:bCs/>
          <w:sz w:val="32"/>
          <w:szCs w:val="32"/>
        </w:rPr>
      </w:pPr>
      <w:r>
        <w:rPr>
          <w:rStyle w:val="18"/>
          <w:rFonts w:ascii="仿宋" w:hAnsi="仿宋" w:eastAsia="仿宋"/>
          <w:bCs/>
          <w:sz w:val="32"/>
          <w:szCs w:val="32"/>
        </w:rPr>
        <w:t>2.</w:t>
      </w:r>
      <w:r>
        <w:rPr>
          <w:rStyle w:val="18"/>
          <w:rFonts w:hint="eastAsia" w:ascii="仿宋" w:hAnsi="仿宋" w:eastAsia="仿宋"/>
          <w:bCs/>
          <w:sz w:val="32"/>
          <w:szCs w:val="32"/>
        </w:rPr>
        <w:t>一般公共服务（类）</w:t>
      </w:r>
      <w:r>
        <w:rPr>
          <w:rStyle w:val="18"/>
          <w:rFonts w:hint="eastAsia" w:ascii="仿宋" w:hAnsi="仿宋" w:eastAsia="仿宋"/>
          <w:bCs/>
          <w:sz w:val="32"/>
          <w:szCs w:val="32"/>
          <w:lang w:eastAsia="zh-CN"/>
        </w:rPr>
        <w:t>政协事务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事业运行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30.93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w:t>
      </w:r>
      <w:r>
        <w:rPr>
          <w:rStyle w:val="18"/>
          <w:rFonts w:hint="eastAsia" w:ascii="仿宋" w:hAnsi="仿宋" w:eastAsia="仿宋"/>
          <w:b w:val="0"/>
          <w:bCs/>
          <w:sz w:val="32"/>
          <w:szCs w:val="32"/>
          <w:lang w:eastAsia="zh-CN"/>
        </w:rPr>
        <w:t>与</w:t>
      </w:r>
      <w:r>
        <w:rPr>
          <w:rStyle w:val="18"/>
          <w:rFonts w:hint="eastAsia" w:ascii="仿宋" w:hAnsi="仿宋" w:eastAsia="仿宋"/>
          <w:b w:val="0"/>
          <w:bCs/>
          <w:sz w:val="32"/>
          <w:szCs w:val="32"/>
        </w:rPr>
        <w:t>预算数</w:t>
      </w:r>
      <w:r>
        <w:rPr>
          <w:rStyle w:val="18"/>
          <w:rFonts w:hint="eastAsia" w:ascii="仿宋" w:hAnsi="仿宋" w:eastAsia="仿宋"/>
          <w:b w:val="0"/>
          <w:bCs/>
          <w:sz w:val="32"/>
          <w:szCs w:val="32"/>
          <w:lang w:eastAsia="zh-CN"/>
        </w:rPr>
        <w:t>持平</w:t>
      </w:r>
      <w:r>
        <w:rPr>
          <w:rStyle w:val="18"/>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3</w:t>
      </w:r>
      <w:r>
        <w:rPr>
          <w:rStyle w:val="18"/>
          <w:rFonts w:ascii="仿宋" w:hAnsi="仿宋" w:eastAsia="仿宋"/>
          <w:bCs/>
          <w:sz w:val="32"/>
          <w:szCs w:val="32"/>
        </w:rPr>
        <w:t>.</w:t>
      </w:r>
      <w:r>
        <w:rPr>
          <w:rStyle w:val="18"/>
          <w:rFonts w:hint="eastAsia" w:ascii="仿宋" w:hAnsi="仿宋" w:eastAsia="仿宋"/>
          <w:bCs/>
          <w:sz w:val="32"/>
          <w:szCs w:val="32"/>
        </w:rPr>
        <w:t>社会保障和就业（类）</w:t>
      </w:r>
      <w:r>
        <w:rPr>
          <w:rStyle w:val="18"/>
          <w:rFonts w:hint="eastAsia" w:ascii="仿宋" w:hAnsi="仿宋" w:eastAsia="仿宋"/>
          <w:bCs/>
          <w:sz w:val="32"/>
          <w:szCs w:val="32"/>
          <w:lang w:eastAsia="zh-CN"/>
        </w:rPr>
        <w:t>行政事业单位养老支出</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机关事业单位基本养老保险缴费支出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52.70</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w:t>
      </w:r>
      <w:r>
        <w:rPr>
          <w:rStyle w:val="18"/>
          <w:rFonts w:hint="eastAsia" w:ascii="仿宋" w:hAnsi="仿宋" w:eastAsia="仿宋"/>
          <w:b w:val="0"/>
          <w:bCs/>
          <w:sz w:val="32"/>
          <w:szCs w:val="32"/>
          <w:lang w:eastAsia="zh-CN"/>
        </w:rPr>
        <w:t>与</w:t>
      </w:r>
      <w:r>
        <w:rPr>
          <w:rStyle w:val="18"/>
          <w:rFonts w:hint="eastAsia" w:ascii="仿宋" w:hAnsi="仿宋" w:eastAsia="仿宋"/>
          <w:b w:val="0"/>
          <w:bCs/>
          <w:sz w:val="32"/>
          <w:szCs w:val="32"/>
        </w:rPr>
        <w:t>预算数</w:t>
      </w:r>
      <w:r>
        <w:rPr>
          <w:rStyle w:val="18"/>
          <w:rFonts w:hint="eastAsia" w:ascii="仿宋" w:hAnsi="仿宋" w:eastAsia="仿宋"/>
          <w:b w:val="0"/>
          <w:bCs/>
          <w:sz w:val="32"/>
          <w:szCs w:val="32"/>
          <w:lang w:eastAsia="zh-CN"/>
        </w:rPr>
        <w:t>持平</w:t>
      </w:r>
      <w:r>
        <w:rPr>
          <w:rStyle w:val="18"/>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4</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行政事业单位医疗（</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行政单位医疗</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24.86</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w:t>
      </w:r>
      <w:r>
        <w:rPr>
          <w:rStyle w:val="18"/>
          <w:rFonts w:hint="eastAsia" w:ascii="仿宋" w:hAnsi="仿宋" w:eastAsia="仿宋"/>
          <w:b w:val="0"/>
          <w:bCs/>
          <w:sz w:val="32"/>
          <w:szCs w:val="32"/>
          <w:lang w:eastAsia="zh-CN"/>
        </w:rPr>
        <w:t>与</w:t>
      </w:r>
      <w:r>
        <w:rPr>
          <w:rStyle w:val="18"/>
          <w:rFonts w:hint="eastAsia" w:ascii="仿宋" w:hAnsi="仿宋" w:eastAsia="仿宋"/>
          <w:b w:val="0"/>
          <w:bCs/>
          <w:sz w:val="32"/>
          <w:szCs w:val="32"/>
        </w:rPr>
        <w:t>预算数</w:t>
      </w:r>
      <w:r>
        <w:rPr>
          <w:rStyle w:val="18"/>
          <w:rFonts w:hint="eastAsia" w:ascii="仿宋" w:hAnsi="仿宋" w:eastAsia="仿宋"/>
          <w:b w:val="0"/>
          <w:bCs/>
          <w:sz w:val="32"/>
          <w:szCs w:val="32"/>
          <w:lang w:eastAsia="zh-CN"/>
        </w:rPr>
        <w:t>持平</w:t>
      </w:r>
      <w:r>
        <w:rPr>
          <w:rStyle w:val="18"/>
          <w:rFonts w:hint="eastAsia" w:ascii="仿宋" w:hAnsi="仿宋" w:eastAsia="仿宋"/>
          <w:b w:val="0"/>
          <w:bCs/>
          <w:sz w:val="32"/>
          <w:szCs w:val="32"/>
        </w:rPr>
        <w:t>。</w:t>
      </w:r>
    </w:p>
    <w:p>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5</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行政事业单位医疗（</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事业单位医疗</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1.50</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w:t>
      </w:r>
      <w:r>
        <w:rPr>
          <w:rStyle w:val="18"/>
          <w:rFonts w:hint="eastAsia" w:ascii="仿宋" w:hAnsi="仿宋" w:eastAsia="仿宋"/>
          <w:b w:val="0"/>
          <w:bCs/>
          <w:sz w:val="32"/>
          <w:szCs w:val="32"/>
          <w:lang w:eastAsia="zh-CN"/>
        </w:rPr>
        <w:t>与</w:t>
      </w:r>
      <w:r>
        <w:rPr>
          <w:rStyle w:val="18"/>
          <w:rFonts w:hint="eastAsia" w:ascii="仿宋" w:hAnsi="仿宋" w:eastAsia="仿宋"/>
          <w:b w:val="0"/>
          <w:bCs/>
          <w:sz w:val="32"/>
          <w:szCs w:val="32"/>
        </w:rPr>
        <w:t>预算数</w:t>
      </w:r>
      <w:r>
        <w:rPr>
          <w:rStyle w:val="18"/>
          <w:rFonts w:hint="eastAsia" w:ascii="仿宋" w:hAnsi="仿宋" w:eastAsia="仿宋"/>
          <w:b w:val="0"/>
          <w:bCs/>
          <w:sz w:val="32"/>
          <w:szCs w:val="32"/>
          <w:lang w:eastAsia="zh-CN"/>
        </w:rPr>
        <w:t>持平</w:t>
      </w:r>
      <w:r>
        <w:rPr>
          <w:rStyle w:val="18"/>
          <w:rFonts w:hint="eastAsia" w:ascii="仿宋" w:hAnsi="仿宋" w:eastAsia="仿宋"/>
          <w:b w:val="0"/>
          <w:bCs/>
          <w:sz w:val="32"/>
          <w:szCs w:val="32"/>
        </w:rPr>
        <w:t>。</w:t>
      </w:r>
    </w:p>
    <w:p>
      <w:pPr>
        <w:spacing w:line="600" w:lineRule="exact"/>
        <w:ind w:firstLine="643" w:firstLineChars="200"/>
        <w:rPr>
          <w:rFonts w:ascii="仿宋" w:hAnsi="仿宋" w:eastAsia="仿宋"/>
          <w:sz w:val="32"/>
          <w:szCs w:val="32"/>
        </w:rPr>
      </w:pPr>
      <w:r>
        <w:rPr>
          <w:rStyle w:val="18"/>
          <w:rFonts w:hint="eastAsia" w:ascii="仿宋" w:hAnsi="仿宋" w:eastAsia="仿宋"/>
          <w:bCs/>
          <w:sz w:val="32"/>
          <w:szCs w:val="32"/>
          <w:lang w:val="en-US" w:eastAsia="zh-CN"/>
        </w:rPr>
        <w:t>6</w:t>
      </w:r>
      <w:r>
        <w:rPr>
          <w:rStyle w:val="18"/>
          <w:rFonts w:ascii="仿宋" w:hAnsi="仿宋" w:eastAsia="仿宋"/>
          <w:bCs/>
          <w:sz w:val="32"/>
          <w:szCs w:val="32"/>
        </w:rPr>
        <w:t>.</w:t>
      </w:r>
      <w:r>
        <w:rPr>
          <w:rFonts w:hint="eastAsia" w:ascii="仿宋" w:hAnsi="仿宋" w:eastAsia="仿宋"/>
          <w:b/>
          <w:bCs/>
          <w:sz w:val="32"/>
          <w:szCs w:val="32"/>
          <w:lang w:eastAsia="zh-CN"/>
        </w:rPr>
        <w:t>住房保障</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住房改革支出（</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住房公积金</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39.32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w:t>
      </w:r>
      <w:r>
        <w:rPr>
          <w:rStyle w:val="18"/>
          <w:rFonts w:hint="eastAsia" w:ascii="仿宋" w:hAnsi="仿宋" w:eastAsia="仿宋"/>
          <w:b w:val="0"/>
          <w:bCs/>
          <w:sz w:val="32"/>
          <w:szCs w:val="32"/>
          <w:lang w:eastAsia="zh-CN"/>
        </w:rPr>
        <w:t>与</w:t>
      </w:r>
      <w:r>
        <w:rPr>
          <w:rStyle w:val="18"/>
          <w:rFonts w:hint="eastAsia" w:ascii="仿宋" w:hAnsi="仿宋" w:eastAsia="仿宋"/>
          <w:b w:val="0"/>
          <w:bCs/>
          <w:sz w:val="32"/>
          <w:szCs w:val="32"/>
        </w:rPr>
        <w:t>预算数</w:t>
      </w:r>
      <w:r>
        <w:rPr>
          <w:rStyle w:val="18"/>
          <w:rFonts w:hint="eastAsia" w:ascii="仿宋" w:hAnsi="仿宋" w:eastAsia="仿宋"/>
          <w:b w:val="0"/>
          <w:bCs/>
          <w:sz w:val="32"/>
          <w:szCs w:val="32"/>
          <w:lang w:eastAsia="zh-CN"/>
        </w:rPr>
        <w:t>持平</w:t>
      </w:r>
      <w:r>
        <w:rPr>
          <w:rStyle w:val="18"/>
          <w:rFonts w:hint="eastAsia" w:ascii="仿宋" w:hAnsi="仿宋" w:eastAsia="仿宋"/>
          <w:b w:val="0"/>
          <w:bCs/>
          <w:sz w:val="32"/>
          <w:szCs w:val="32"/>
        </w:rPr>
        <w:t>。</w:t>
      </w:r>
    </w:p>
    <w:p>
      <w:pPr>
        <w:tabs>
          <w:tab w:val="right" w:pos="8306"/>
        </w:tabs>
        <w:spacing w:line="600" w:lineRule="exact"/>
        <w:ind w:firstLine="640"/>
        <w:outlineLvl w:val="1"/>
        <w:rPr>
          <w:rStyle w:val="32"/>
        </w:rPr>
      </w:pPr>
      <w:bookmarkStart w:id="30" w:name="_Toc15377214"/>
      <w:bookmarkStart w:id="3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30"/>
      <w:bookmarkEnd w:id="31"/>
      <w:r>
        <w:rPr>
          <w:rStyle w:val="32"/>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761.14</w:t>
      </w:r>
      <w:r>
        <w:rPr>
          <w:rFonts w:hint="eastAsia" w:ascii="仿宋" w:hAnsi="仿宋" w:eastAsia="仿宋"/>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647.58</w:t>
      </w:r>
      <w:r>
        <w:rPr>
          <w:rFonts w:hint="eastAsia" w:ascii="仿宋" w:hAnsi="仿宋" w:eastAsia="仿宋"/>
          <w:sz w:val="32"/>
          <w:szCs w:val="32"/>
        </w:rPr>
        <w:t>万元，主要包括：</w:t>
      </w:r>
      <w:r>
        <w:rPr>
          <w:rFonts w:hint="eastAsia" w:ascii="仿宋" w:hAnsi="仿宋" w:eastAsia="仿宋"/>
          <w:color w:val="auto"/>
          <w:sz w:val="32"/>
          <w:szCs w:val="32"/>
        </w:rPr>
        <w:t>基本工资、津贴补贴、奖金、绩效工资、机关事业单位基本养老保险缴费、职业年金缴费、其他社会保障缴费、其他工资福利支出、生活补助、奖励金、住房公积金、其他对个人和家庭的补助支出等。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113.56</w:t>
      </w:r>
      <w:r>
        <w:rPr>
          <w:rFonts w:hint="eastAsia" w:ascii="仿宋" w:hAnsi="仿宋" w:eastAsia="仿宋"/>
          <w:sz w:val="32"/>
          <w:szCs w:val="32"/>
        </w:rPr>
        <w:t>万元，主要包括：</w:t>
      </w:r>
      <w:r>
        <w:rPr>
          <w:rFonts w:hint="eastAsia" w:ascii="仿宋" w:hAnsi="仿宋" w:eastAsia="仿宋"/>
          <w:color w:val="auto"/>
          <w:sz w:val="32"/>
          <w:szCs w:val="32"/>
        </w:rPr>
        <w:t>办公费、印刷费、咨询费、手续费、水费、电费、邮电费、物业管理费、差旅费、维修（护）费、会议费、培训费、公务接待费、劳务费、工会经费、福利费、其他交通费、其他商品和服务支出</w:t>
      </w:r>
      <w:r>
        <w:rPr>
          <w:rFonts w:hint="eastAsia" w:ascii="仿宋" w:hAnsi="仿宋" w:eastAsia="仿宋"/>
          <w:sz w:val="32"/>
          <w:szCs w:val="32"/>
        </w:rPr>
        <w:t>等。</w:t>
      </w:r>
    </w:p>
    <w:p>
      <w:pPr>
        <w:spacing w:line="600" w:lineRule="exact"/>
        <w:ind w:firstLine="640"/>
        <w:outlineLvl w:val="1"/>
        <w:rPr>
          <w:rStyle w:val="32"/>
          <w:rFonts w:ascii="黑体" w:hAnsi="黑体" w:eastAsia="黑体"/>
          <w:b w:val="0"/>
        </w:rPr>
      </w:pPr>
      <w:bookmarkStart w:id="32" w:name="_Toc15377215"/>
      <w:bookmarkStart w:id="33" w:name="_Toc15396609"/>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32"/>
      <w:bookmarkEnd w:id="33"/>
    </w:p>
    <w:p>
      <w:pPr>
        <w:spacing w:line="600" w:lineRule="exact"/>
        <w:ind w:firstLine="640"/>
        <w:outlineLvl w:val="2"/>
        <w:rPr>
          <w:rFonts w:ascii="仿宋" w:hAnsi="仿宋" w:eastAsia="仿宋"/>
          <w:b/>
          <w:sz w:val="32"/>
          <w:szCs w:val="32"/>
        </w:rPr>
      </w:pPr>
      <w:bookmarkStart w:id="34" w:name="_Toc15377216"/>
      <w:r>
        <w:rPr>
          <w:rFonts w:hint="eastAsia" w:ascii="仿宋" w:hAnsi="仿宋" w:eastAsia="仿宋"/>
          <w:b/>
          <w:sz w:val="32"/>
          <w:szCs w:val="32"/>
        </w:rPr>
        <w:t>（一）“三公”经费财政拨款支出决算总体情况说明</w:t>
      </w:r>
      <w:bookmarkEnd w:id="3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9.12</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2.23</w:t>
      </w:r>
      <w:r>
        <w:rPr>
          <w:rFonts w:hint="eastAsia" w:ascii="仿宋" w:hAnsi="仿宋" w:eastAsia="仿宋"/>
          <w:sz w:val="32"/>
          <w:szCs w:val="32"/>
        </w:rPr>
        <w:t>万元，增长</w:t>
      </w:r>
      <w:r>
        <w:rPr>
          <w:rFonts w:hint="eastAsia" w:ascii="仿宋" w:hAnsi="仿宋" w:eastAsia="仿宋"/>
          <w:sz w:val="32"/>
          <w:szCs w:val="32"/>
          <w:lang w:val="en-US" w:eastAsia="zh-CN"/>
        </w:rPr>
        <w:t>32.42</w:t>
      </w:r>
      <w:r>
        <w:rPr>
          <w:rFonts w:hint="eastAsia" w:ascii="仿宋" w:hAnsi="仿宋" w:eastAsia="仿宋"/>
          <w:sz w:val="32"/>
          <w:szCs w:val="32"/>
        </w:rPr>
        <w:t>%。决算数</w:t>
      </w:r>
      <w:r>
        <w:rPr>
          <w:rFonts w:hint="eastAsia" w:ascii="仿宋" w:hAnsi="仿宋" w:eastAsia="仿宋"/>
          <w:sz w:val="32"/>
          <w:szCs w:val="32"/>
          <w:lang w:eastAsia="zh-CN"/>
        </w:rPr>
        <w:t>与</w:t>
      </w:r>
      <w:r>
        <w:rPr>
          <w:rFonts w:hint="eastAsia" w:ascii="仿宋" w:hAnsi="仿宋" w:eastAsia="仿宋"/>
          <w:sz w:val="32"/>
          <w:szCs w:val="32"/>
        </w:rPr>
        <w:t>预算数持平。</w:t>
      </w:r>
    </w:p>
    <w:p>
      <w:pPr>
        <w:spacing w:line="600" w:lineRule="exact"/>
        <w:ind w:firstLine="640"/>
        <w:outlineLvl w:val="2"/>
        <w:rPr>
          <w:rFonts w:ascii="仿宋" w:hAnsi="仿宋" w:eastAsia="仿宋"/>
          <w:b/>
          <w:sz w:val="32"/>
          <w:szCs w:val="32"/>
        </w:rPr>
      </w:pPr>
      <w:bookmarkStart w:id="35" w:name="_Toc15377217"/>
      <w:r>
        <w:rPr>
          <w:rFonts w:hint="eastAsia" w:ascii="仿宋" w:hAnsi="仿宋" w:eastAsia="仿宋"/>
          <w:b/>
          <w:sz w:val="32"/>
          <w:szCs w:val="32"/>
        </w:rPr>
        <w:t>（二）“三公”经费财政拨款支出决算具体情况说明</w:t>
      </w:r>
      <w:bookmarkEnd w:id="3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9.12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pStyle w:val="20"/>
        <w:ind w:left="0" w:leftChars="0" w:firstLine="0" w:firstLineChars="0"/>
        <w:jc w:val="center"/>
        <w:rPr>
          <w:rFonts w:hint="eastAsia" w:ascii="仿宋" w:hAnsi="仿宋" w:eastAsia="仿宋"/>
          <w:sz w:val="32"/>
          <w:szCs w:val="32"/>
        </w:rPr>
      </w:pPr>
      <w:r>
        <w:drawing>
          <wp:inline distT="0" distB="0" distL="114300" distR="114300">
            <wp:extent cx="4847590" cy="2695575"/>
            <wp:effectExtent l="4445" t="5080" r="5715" b="444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9.12</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2.23</w:t>
      </w:r>
      <w:r>
        <w:rPr>
          <w:rFonts w:hint="eastAsia" w:ascii="仿宋_GB2312" w:eastAsia="仿宋_GB2312"/>
          <w:sz w:val="32"/>
          <w:szCs w:val="32"/>
        </w:rPr>
        <w:t>万元，增长</w:t>
      </w:r>
      <w:r>
        <w:rPr>
          <w:rFonts w:hint="eastAsia" w:ascii="仿宋_GB2312" w:eastAsia="仿宋_GB2312"/>
          <w:sz w:val="32"/>
          <w:szCs w:val="32"/>
          <w:lang w:val="en-US" w:eastAsia="zh-CN"/>
        </w:rPr>
        <w:t>32.42</w:t>
      </w:r>
      <w:r>
        <w:rPr>
          <w:rFonts w:ascii="仿宋_GB2312" w:eastAsia="仿宋_GB2312"/>
          <w:sz w:val="32"/>
          <w:szCs w:val="32"/>
        </w:rPr>
        <w:t>%</w:t>
      </w:r>
      <w:r>
        <w:rPr>
          <w:rFonts w:hint="eastAsia" w:ascii="仿宋_GB2312" w:eastAsia="仿宋_GB2312"/>
          <w:sz w:val="32"/>
          <w:szCs w:val="32"/>
        </w:rPr>
        <w:t>。主要原因是接待批次增加，接待人员增加。其中：</w:t>
      </w:r>
    </w:p>
    <w:p>
      <w:pPr>
        <w:spacing w:line="576" w:lineRule="exact"/>
        <w:ind w:firstLine="643" w:firstLineChars="200"/>
        <w:rPr>
          <w:rFonts w:ascii="仿宋_GB2312" w:hAnsi="仿宋" w:eastAsia="仿宋_GB2312" w:cs="Times New Roman"/>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9.12</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189</w:t>
      </w:r>
      <w:r>
        <w:rPr>
          <w:rFonts w:hint="eastAsia" w:ascii="仿宋_GB2312" w:eastAsia="仿宋_GB2312"/>
          <w:sz w:val="32"/>
          <w:szCs w:val="32"/>
        </w:rPr>
        <w:t>批次，</w:t>
      </w:r>
      <w:r>
        <w:rPr>
          <w:rFonts w:hint="eastAsia" w:ascii="仿宋_GB2312" w:eastAsia="仿宋_GB2312"/>
          <w:sz w:val="32"/>
          <w:szCs w:val="32"/>
          <w:lang w:val="en-US" w:eastAsia="zh-CN"/>
        </w:rPr>
        <w:t>765</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9.12</w:t>
      </w:r>
      <w:r>
        <w:rPr>
          <w:rFonts w:hint="eastAsia" w:ascii="仿宋_GB2312" w:eastAsia="仿宋_GB2312"/>
          <w:sz w:val="32"/>
          <w:szCs w:val="32"/>
        </w:rPr>
        <w:t>万元，具体内容包括：</w:t>
      </w:r>
      <w:r>
        <w:rPr>
          <w:rFonts w:hint="eastAsia" w:ascii="仿宋_GB2312" w:hAnsi="仿宋" w:eastAsia="仿宋_GB2312" w:cs="仿宋_GB2312"/>
          <w:sz w:val="32"/>
          <w:szCs w:val="32"/>
        </w:rPr>
        <w:t>加强纵向对接联系，高质量接待省市政协领导来剑调研视察。加强横向交流联谊，接待山东、甘肃、陕西等省市县政协来剑考察学习</w:t>
      </w:r>
      <w:r>
        <w:rPr>
          <w:rFonts w:hint="eastAsia" w:ascii="仿宋_GB2312" w:hAnsi="仿宋" w:eastAsia="仿宋_GB2312" w:cs="仿宋_GB2312"/>
          <w:sz w:val="32"/>
          <w:szCs w:val="32"/>
          <w:lang w:eastAsia="zh-CN"/>
        </w:rPr>
        <w:t>等</w:t>
      </w:r>
      <w:r>
        <w:rPr>
          <w:rFonts w:hint="eastAsia" w:ascii="仿宋_GB2312" w:hAnsi="仿宋" w:eastAsia="仿宋_GB2312" w:cs="仿宋_GB2312"/>
          <w:spacing w:val="-8"/>
          <w:sz w:val="32"/>
          <w:szCs w:val="32"/>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Style w:val="32"/>
          <w:rFonts w:ascii="黑体" w:hAnsi="黑体" w:eastAsia="黑体"/>
        </w:rPr>
      </w:pPr>
      <w:bookmarkStart w:id="36" w:name="_Toc15377218"/>
      <w:bookmarkStart w:id="37" w:name="_Toc15396610"/>
      <w:r>
        <w:rPr>
          <w:rFonts w:hint="eastAsia" w:ascii="黑体" w:eastAsia="黑体"/>
          <w:sz w:val="32"/>
          <w:szCs w:val="32"/>
        </w:rPr>
        <w:t>八、</w:t>
      </w:r>
      <w:r>
        <w:rPr>
          <w:rStyle w:val="32"/>
          <w:rFonts w:hint="eastAsia" w:ascii="黑体" w:hAnsi="黑体" w:eastAsia="黑体"/>
          <w:b w:val="0"/>
        </w:rPr>
        <w:t>政府性基金预算支出决算情况说明</w:t>
      </w:r>
      <w:bookmarkEnd w:id="36"/>
      <w:bookmarkEnd w:id="3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2"/>
          <w:rFonts w:ascii="黑体" w:hAnsi="黑体" w:eastAsia="黑体"/>
          <w:b w:val="0"/>
        </w:rPr>
      </w:pPr>
      <w:bookmarkStart w:id="38" w:name="_Toc15396611"/>
      <w:bookmarkStart w:id="39" w:name="_Toc15377219"/>
      <w:r>
        <w:rPr>
          <w:rStyle w:val="32"/>
          <w:rFonts w:hint="eastAsia" w:ascii="黑体" w:hAnsi="黑体" w:eastAsia="黑体"/>
          <w:b w:val="0"/>
        </w:rPr>
        <w:t>国有资本经营预算支出决算情况说明</w:t>
      </w:r>
      <w:bookmarkEnd w:id="38"/>
      <w:bookmarkEnd w:id="3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2"/>
          <w:rFonts w:ascii="黑体" w:hAnsi="黑体" w:eastAsia="黑体"/>
          <w:b w:val="0"/>
        </w:rPr>
      </w:pPr>
      <w:bookmarkStart w:id="40" w:name="_Toc15396612"/>
      <w:bookmarkStart w:id="41" w:name="_Toc15377221"/>
      <w:r>
        <w:rPr>
          <w:rStyle w:val="32"/>
          <w:rFonts w:hint="eastAsia" w:ascii="黑体" w:hAnsi="黑体" w:eastAsia="黑体"/>
          <w:b w:val="0"/>
        </w:rPr>
        <w:t>其他重要事项的情况说明</w:t>
      </w:r>
      <w:bookmarkEnd w:id="40"/>
      <w:bookmarkEnd w:id="41"/>
    </w:p>
    <w:p>
      <w:pPr>
        <w:spacing w:line="600" w:lineRule="exact"/>
        <w:ind w:firstLine="643" w:firstLineChars="200"/>
        <w:outlineLvl w:val="2"/>
        <w:rPr>
          <w:rFonts w:ascii="仿宋" w:hAnsi="仿宋" w:eastAsia="仿宋"/>
          <w:sz w:val="32"/>
          <w:szCs w:val="32"/>
        </w:rPr>
      </w:pPr>
      <w:bookmarkStart w:id="42" w:name="_Toc15377222"/>
      <w:r>
        <w:rPr>
          <w:rFonts w:hint="eastAsia" w:ascii="仿宋" w:hAnsi="仿宋" w:eastAsia="仿宋"/>
          <w:b/>
          <w:sz w:val="32"/>
          <w:szCs w:val="32"/>
        </w:rPr>
        <w:t>（一）机关运行经费支出情况</w:t>
      </w:r>
      <w:bookmarkEnd w:id="42"/>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政协剑阁县委员会办公室</w:t>
      </w:r>
      <w:r>
        <w:rPr>
          <w:rFonts w:hint="eastAsia" w:ascii="仿宋_GB2312" w:eastAsia="仿宋_GB2312"/>
          <w:sz w:val="32"/>
          <w:szCs w:val="32"/>
        </w:rPr>
        <w:t>机关运行经费支出</w:t>
      </w:r>
      <w:r>
        <w:rPr>
          <w:rFonts w:hint="eastAsia" w:ascii="仿宋_GB2312" w:eastAsia="仿宋_GB2312"/>
          <w:sz w:val="32"/>
          <w:szCs w:val="32"/>
          <w:lang w:val="en-US" w:eastAsia="zh-CN"/>
        </w:rPr>
        <w:t>113.56</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4.23</w:t>
      </w:r>
      <w:r>
        <w:rPr>
          <w:rFonts w:hint="eastAsia" w:ascii="仿宋_GB2312" w:eastAsia="仿宋_GB2312"/>
          <w:sz w:val="32"/>
          <w:szCs w:val="32"/>
        </w:rPr>
        <w:t>万元，增长</w:t>
      </w:r>
      <w:r>
        <w:rPr>
          <w:rFonts w:hint="eastAsia" w:ascii="仿宋_GB2312" w:eastAsia="仿宋_GB2312"/>
          <w:sz w:val="32"/>
          <w:szCs w:val="32"/>
          <w:lang w:val="en-US" w:eastAsia="zh-CN"/>
        </w:rPr>
        <w:t>3.87</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主要原因是</w:t>
      </w:r>
      <w:r>
        <w:rPr>
          <w:rFonts w:hint="eastAsia" w:ascii="仿宋_GB2312" w:eastAsia="仿宋_GB2312"/>
          <w:sz w:val="32"/>
          <w:szCs w:val="32"/>
          <w:lang w:eastAsia="zh-CN"/>
        </w:rPr>
        <w:t>人员增加，日常公用经费增加</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3" w:name="_Toc15377223"/>
      <w:r>
        <w:rPr>
          <w:rFonts w:hint="eastAsia" w:ascii="仿宋" w:hAnsi="仿宋" w:eastAsia="仿宋"/>
          <w:b/>
          <w:sz w:val="32"/>
          <w:szCs w:val="32"/>
        </w:rPr>
        <w:t>（二）政府采购支出情况</w:t>
      </w:r>
      <w:bookmarkEnd w:id="4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政协剑阁县委员会办公室</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4" w:name="_Toc15377224"/>
      <w:r>
        <w:rPr>
          <w:rFonts w:hint="eastAsia" w:ascii="仿宋" w:hAnsi="仿宋" w:eastAsia="仿宋"/>
          <w:b/>
          <w:sz w:val="32"/>
          <w:szCs w:val="32"/>
        </w:rPr>
        <w:t>（三）国有资产占有使用情况</w:t>
      </w:r>
      <w:bookmarkEnd w:id="44"/>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政协剑阁县委员会办公室</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keepNext w:val="0"/>
        <w:keepLines w:val="0"/>
        <w:pageBreakBefore w:val="0"/>
        <w:kinsoku/>
        <w:wordWrap/>
        <w:overflowPunct/>
        <w:topLinePunct w:val="0"/>
        <w:autoSpaceDE w:val="0"/>
        <w:autoSpaceDN w:val="0"/>
        <w:bidi w:val="0"/>
        <w:adjustRightInd w:val="0"/>
        <w:snapToGrid/>
        <w:spacing w:line="600" w:lineRule="exact"/>
        <w:ind w:firstLine="643" w:firstLineChars="200"/>
        <w:jc w:val="both"/>
        <w:textAlignment w:val="auto"/>
        <w:outlineLvl w:val="2"/>
        <w:rPr>
          <w:rFonts w:ascii="仿宋" w:hAnsi="仿宋" w:eastAsia="仿宋"/>
          <w:b/>
          <w:sz w:val="32"/>
          <w:szCs w:val="32"/>
          <w:highlight w:val="none"/>
        </w:rPr>
      </w:pPr>
      <w:r>
        <w:rPr>
          <w:rFonts w:hint="eastAsia" w:ascii="仿宋" w:hAnsi="仿宋" w:eastAsia="仿宋"/>
          <w:b/>
          <w:sz w:val="32"/>
          <w:szCs w:val="32"/>
          <w:highlight w:val="none"/>
        </w:rPr>
        <w:t>（四）预算绩效管理情况</w:t>
      </w:r>
    </w:p>
    <w:p>
      <w:pPr>
        <w:keepNext w:val="0"/>
        <w:keepLines w:val="0"/>
        <w:pageBreakBefore w:val="0"/>
        <w:widowControl/>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根据预算绩效管理要求，组织对2022年度一般公共预算等全面开展绩效自评，形成</w:t>
      </w:r>
      <w:r>
        <w:rPr>
          <w:rFonts w:hint="eastAsia" w:ascii="仿宋_GB2312" w:hAnsi="仿宋_GB2312" w:eastAsia="仿宋_GB2312" w:cs="仿宋_GB2312"/>
          <w:sz w:val="32"/>
          <w:szCs w:val="32"/>
          <w:highlight w:val="none"/>
          <w:lang w:eastAsia="zh-CN"/>
        </w:rPr>
        <w:t>政协剑阁县委员会办公室</w:t>
      </w:r>
      <w:r>
        <w:rPr>
          <w:rFonts w:hint="eastAsia" w:ascii="仿宋_GB2312" w:hAnsi="仿宋_GB2312" w:eastAsia="仿宋_GB2312" w:cs="仿宋_GB2312"/>
          <w:sz w:val="32"/>
          <w:szCs w:val="32"/>
          <w:highlight w:val="none"/>
        </w:rPr>
        <w:t>部门整体绩效自评报告，</w:t>
      </w:r>
      <w:r>
        <w:rPr>
          <w:rFonts w:hint="eastAsia" w:ascii="仿宋_GB2312" w:hAnsi="仿宋_GB2312" w:eastAsia="仿宋_GB2312" w:cs="仿宋_GB2312"/>
          <w:color w:val="auto"/>
          <w:sz w:val="32"/>
          <w:szCs w:val="32"/>
          <w:highlight w:val="none"/>
        </w:rPr>
        <w:t>《2022年政协剑阁县委员会办公室部门整体绩效评价报告》</w:t>
      </w:r>
      <w:r>
        <w:rPr>
          <w:rFonts w:hint="eastAsia" w:ascii="仿宋_GB2312" w:hAnsi="仿宋_GB2312" w:eastAsia="仿宋_GB2312" w:cs="仿宋_GB2312"/>
          <w:sz w:val="32"/>
          <w:szCs w:val="32"/>
          <w:highlight w:val="none"/>
        </w:rPr>
        <w:t>详见附件。</w:t>
      </w:r>
    </w:p>
    <w:p>
      <w:pPr>
        <w:keepNext w:val="0"/>
        <w:keepLines w:val="0"/>
        <w:pageBreakBefore w:val="0"/>
        <w:widowControl/>
        <w:kinsoku/>
        <w:wordWrap/>
        <w:overflowPunct/>
        <w:topLinePunct w:val="0"/>
        <w:bidi w:val="0"/>
        <w:snapToGrid/>
        <w:spacing w:line="600" w:lineRule="exact"/>
        <w:ind w:firstLine="643" w:firstLineChars="200"/>
        <w:jc w:val="both"/>
        <w:textAlignment w:val="auto"/>
        <w:rPr>
          <w:rFonts w:ascii="仿宋_GB2312" w:eastAsia="仿宋_GB2312"/>
          <w:b/>
          <w:sz w:val="32"/>
          <w:szCs w:val="32"/>
          <w:highlight w:val="yellow"/>
        </w:rPr>
      </w:pPr>
      <w:r>
        <w:rPr>
          <w:rFonts w:ascii="仿宋_GB2312" w:eastAsia="仿宋_GB2312"/>
          <w:b/>
          <w:sz w:val="32"/>
          <w:szCs w:val="32"/>
          <w:highlight w:val="yellow"/>
        </w:rPr>
        <w:br w:type="page"/>
      </w:r>
    </w:p>
    <w:p>
      <w:pPr>
        <w:numPr>
          <w:ilvl w:val="0"/>
          <w:numId w:val="4"/>
        </w:numPr>
        <w:spacing w:line="600" w:lineRule="exact"/>
        <w:ind w:firstLine="660" w:firstLineChars="150"/>
        <w:jc w:val="center"/>
        <w:outlineLvl w:val="0"/>
        <w:rPr>
          <w:rStyle w:val="31"/>
          <w:rFonts w:ascii="黑体" w:hAnsi="黑体" w:eastAsia="黑体"/>
          <w:b w:val="0"/>
        </w:rPr>
      </w:pPr>
      <w:bookmarkStart w:id="45" w:name="_Toc15377225"/>
      <w:bookmarkStart w:id="46" w:name="_Toc15396613"/>
      <w:r>
        <w:rPr>
          <w:rFonts w:hint="eastAsia" w:ascii="黑体" w:hAnsi="黑体" w:eastAsia="黑体"/>
          <w:sz w:val="44"/>
          <w:szCs w:val="44"/>
        </w:rPr>
        <w:t>名</w:t>
      </w:r>
      <w:r>
        <w:rPr>
          <w:rStyle w:val="31"/>
          <w:rFonts w:hint="eastAsia" w:ascii="黑体" w:hAnsi="黑体" w:eastAsia="黑体"/>
          <w:b w:val="0"/>
        </w:rPr>
        <w:t>词解释</w:t>
      </w:r>
      <w:bookmarkEnd w:id="45"/>
      <w:bookmarkEnd w:id="46"/>
    </w:p>
    <w:p>
      <w:pPr>
        <w:spacing w:line="600" w:lineRule="exact"/>
        <w:jc w:val="left"/>
        <w:rPr>
          <w:rFonts w:ascii="宋体"/>
          <w:b/>
          <w:sz w:val="44"/>
          <w:szCs w:val="44"/>
        </w:rPr>
      </w:pPr>
    </w:p>
    <w:p>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年初结转和结余：指以前年度尚未完成、结转到本年按有关规定继续使用的资金。</w:t>
      </w:r>
    </w:p>
    <w:p>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.年末结转和结余：指单位按有关规定结转到下年或以后年度继续使用的资金。</w:t>
      </w:r>
    </w:p>
    <w:p>
      <w:pPr>
        <w:pStyle w:val="29"/>
        <w:keepNext w:val="0"/>
        <w:keepLines w:val="0"/>
        <w:pageBreakBefore w:val="0"/>
        <w:widowControl w:val="0"/>
        <w:kinsoku/>
        <w:wordWrap/>
        <w:overflowPunct/>
        <w:topLinePunct w:val="0"/>
        <w:autoSpaceDE w:val="0"/>
        <w:autoSpaceDN w:val="0"/>
        <w:bidi w:val="0"/>
        <w:adjustRightInd w:val="0"/>
        <w:snapToGrid/>
        <w:spacing w:before="95" w:beforeLines="3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一般公共服务（类）政协事务（款）行政运行（项）：指反映行政单位（包括实行公务员管理的事业单位）的基本支出。</w:t>
      </w:r>
    </w:p>
    <w:p>
      <w:pPr>
        <w:pStyle w:val="29"/>
        <w:keepNext w:val="0"/>
        <w:keepLines w:val="0"/>
        <w:pageBreakBefore w:val="0"/>
        <w:widowControl w:val="0"/>
        <w:kinsoku/>
        <w:wordWrap/>
        <w:overflowPunct/>
        <w:topLinePunct w:val="0"/>
        <w:autoSpaceDE w:val="0"/>
        <w:autoSpaceDN w:val="0"/>
        <w:bidi w:val="0"/>
        <w:adjustRightInd w:val="0"/>
        <w:snapToGrid/>
        <w:spacing w:before="95" w:beforeLines="3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一般公共服务（类）政协事务（款）</w:t>
      </w:r>
      <w:r>
        <w:rPr>
          <w:rFonts w:hint="eastAsia" w:ascii="仿宋_GB2312" w:eastAsia="仿宋_GB2312"/>
          <w:sz w:val="32"/>
          <w:szCs w:val="32"/>
          <w:lang w:eastAsia="zh-CN"/>
        </w:rPr>
        <w:t>一般行政管理事务</w:t>
      </w:r>
      <w:r>
        <w:rPr>
          <w:rFonts w:hint="eastAsia" w:ascii="仿宋_GB2312" w:eastAsia="仿宋_GB2312"/>
          <w:sz w:val="32"/>
          <w:szCs w:val="32"/>
        </w:rPr>
        <w:t>（项）：指反映行政单位（包括实行公务员管理的事业单位）</w:t>
      </w:r>
      <w:r>
        <w:rPr>
          <w:rFonts w:hint="eastAsia" w:ascii="仿宋_GB2312" w:eastAsia="仿宋_GB2312"/>
          <w:sz w:val="32"/>
          <w:szCs w:val="32"/>
          <w:lang w:eastAsia="zh-CN"/>
        </w:rPr>
        <w:t>未单独设置项级科目的其他项目</w:t>
      </w:r>
      <w:r>
        <w:rPr>
          <w:rFonts w:hint="eastAsia" w:ascii="仿宋_GB2312" w:eastAsia="仿宋_GB2312"/>
          <w:sz w:val="32"/>
          <w:szCs w:val="32"/>
        </w:rPr>
        <w:t>支出。</w:t>
      </w:r>
    </w:p>
    <w:p>
      <w:pPr>
        <w:pStyle w:val="29"/>
        <w:keepNext w:val="0"/>
        <w:keepLines w:val="0"/>
        <w:pageBreakBefore w:val="0"/>
        <w:widowControl w:val="0"/>
        <w:kinsoku/>
        <w:wordWrap/>
        <w:overflowPunct/>
        <w:topLinePunct w:val="0"/>
        <w:bidi w:val="0"/>
        <w:snapToGrid/>
        <w:spacing w:before="95" w:beforeLines="3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社会保障和就业（类）行政事业单位养老支出（款）机关事业单位基本养老保险缴费支出（项）：指机关事业单位实施养老保险制度由单位缴纳的基本养老保险费支出。</w:t>
      </w:r>
    </w:p>
    <w:p>
      <w:pPr>
        <w:pStyle w:val="29"/>
        <w:keepNext w:val="0"/>
        <w:keepLines w:val="0"/>
        <w:pageBreakBefore w:val="0"/>
        <w:widowControl w:val="0"/>
        <w:kinsoku/>
        <w:wordWrap/>
        <w:overflowPunct/>
        <w:topLinePunct w:val="0"/>
        <w:bidi w:val="0"/>
        <w:snapToGrid/>
        <w:spacing w:before="95" w:beforeLines="3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医疗卫生与计划生育（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pPr>
        <w:pStyle w:val="29"/>
        <w:keepNext w:val="0"/>
        <w:keepLines w:val="0"/>
        <w:pageBreakBefore w:val="0"/>
        <w:widowControl w:val="0"/>
        <w:kinsoku/>
        <w:wordWrap/>
        <w:overflowPunct/>
        <w:topLinePunct w:val="0"/>
        <w:bidi w:val="0"/>
        <w:snapToGrid/>
        <w:spacing w:before="95" w:beforeLines="3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．医疗卫生与计划生育（类）行政事业单位医疗（款）</w:t>
      </w:r>
      <w:r>
        <w:rPr>
          <w:rFonts w:hint="eastAsia" w:ascii="仿宋_GB2312" w:eastAsia="仿宋_GB2312"/>
          <w:sz w:val="32"/>
          <w:szCs w:val="32"/>
          <w:lang w:eastAsia="zh-CN"/>
        </w:rPr>
        <w:t>事业</w:t>
      </w:r>
      <w:r>
        <w:rPr>
          <w:rFonts w:hint="eastAsia" w:ascii="仿宋_GB2312" w:eastAsia="仿宋_GB2312"/>
          <w:sz w:val="32"/>
          <w:szCs w:val="32"/>
        </w:rPr>
        <w:t>单位医疗（项）：指财政部门安排的</w:t>
      </w:r>
      <w:r>
        <w:rPr>
          <w:rFonts w:hint="eastAsia" w:ascii="仿宋_GB2312" w:eastAsia="仿宋_GB2312"/>
          <w:sz w:val="32"/>
          <w:szCs w:val="32"/>
          <w:lang w:eastAsia="zh-CN"/>
        </w:rPr>
        <w:t>事业</w:t>
      </w:r>
      <w:r>
        <w:rPr>
          <w:rFonts w:hint="eastAsia" w:ascii="仿宋_GB2312" w:eastAsia="仿宋_GB2312"/>
          <w:sz w:val="32"/>
          <w:szCs w:val="32"/>
        </w:rPr>
        <w:t>单位基本医疗保险缴费经费，未参加医疗保险的</w:t>
      </w:r>
      <w:r>
        <w:rPr>
          <w:rFonts w:hint="eastAsia" w:ascii="仿宋_GB2312" w:eastAsia="仿宋_GB2312"/>
          <w:sz w:val="32"/>
          <w:szCs w:val="32"/>
          <w:lang w:eastAsia="zh-CN"/>
        </w:rPr>
        <w:t>事业</w:t>
      </w:r>
      <w:r>
        <w:rPr>
          <w:rFonts w:hint="eastAsia" w:ascii="仿宋_GB2312" w:eastAsia="仿宋_GB2312"/>
          <w:sz w:val="32"/>
          <w:szCs w:val="32"/>
        </w:rPr>
        <w:t>单位的公费医疗经费，按国家规定享受离休人员待遇的医疗经费。</w:t>
      </w:r>
    </w:p>
    <w:p>
      <w:pPr>
        <w:pStyle w:val="29"/>
        <w:keepNext w:val="0"/>
        <w:keepLines w:val="0"/>
        <w:pageBreakBefore w:val="0"/>
        <w:widowControl w:val="0"/>
        <w:kinsoku/>
        <w:wordWrap/>
        <w:overflowPunct/>
        <w:topLinePunct w:val="0"/>
        <w:bidi w:val="0"/>
        <w:snapToGrid/>
        <w:spacing w:before="95" w:beforeLines="3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．住房保障（类）住房改革支出（款）住房公积金（项）：指行政事业单位按人力资源和社会保障部、财政部规定的基本工资和津贴补贴以及规定比例为职工缴纳的住房公积金。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1"/>
          <w:rFonts w:ascii="黑体" w:hAnsi="黑体" w:eastAsia="黑体"/>
          <w:b w:val="0"/>
        </w:rPr>
      </w:pPr>
      <w:bookmarkStart w:id="47" w:name="_Toc15377226"/>
      <w:r>
        <w:rPr>
          <w:rFonts w:ascii="宋体"/>
          <w:b/>
          <w:sz w:val="44"/>
          <w:szCs w:val="44"/>
        </w:rPr>
        <w:br w:type="page"/>
      </w:r>
      <w:bookmarkStart w:id="48" w:name="_Toc15396614"/>
      <w:r>
        <w:rPr>
          <w:rFonts w:hint="eastAsia" w:ascii="黑体" w:hAnsi="黑体" w:eastAsia="黑体"/>
          <w:sz w:val="44"/>
          <w:szCs w:val="44"/>
        </w:rPr>
        <w:t>第</w:t>
      </w:r>
      <w:r>
        <w:rPr>
          <w:rStyle w:val="31"/>
          <w:rFonts w:hint="eastAsia" w:ascii="黑体" w:hAnsi="黑体" w:eastAsia="黑体"/>
          <w:b w:val="0"/>
        </w:rPr>
        <w:t>四部分 附件</w:t>
      </w:r>
      <w:bookmarkEnd w:id="48"/>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widowControl/>
        <w:spacing w:line="560" w:lineRule="exact"/>
        <w:contextualSpacing/>
        <w:jc w:val="center"/>
        <w:rPr>
          <w:rFonts w:hint="eastAsia" w:ascii="宋体" w:hAnsi="宋体"/>
          <w:b/>
          <w:sz w:val="36"/>
          <w:szCs w:val="36"/>
          <w:shd w:val="clear" w:color="auto" w:fill="FFFFFF"/>
        </w:rPr>
      </w:pPr>
      <w:r>
        <w:rPr>
          <w:rFonts w:hint="eastAsia" w:ascii="宋体" w:hAnsi="宋体"/>
          <w:b/>
          <w:sz w:val="36"/>
          <w:szCs w:val="36"/>
          <w:shd w:val="clear" w:color="auto" w:fill="FFFFFF"/>
        </w:rPr>
        <w:t>202</w:t>
      </w:r>
      <w:r>
        <w:rPr>
          <w:rFonts w:hint="eastAsia" w:ascii="宋体" w:hAnsi="宋体"/>
          <w:b/>
          <w:sz w:val="36"/>
          <w:szCs w:val="36"/>
          <w:shd w:val="clear" w:color="auto" w:fill="FFFFFF"/>
          <w:lang w:val="en-US" w:eastAsia="zh-CN"/>
        </w:rPr>
        <w:t>2</w:t>
      </w:r>
      <w:r>
        <w:rPr>
          <w:rFonts w:hint="eastAsia" w:ascii="宋体" w:hAnsi="宋体"/>
          <w:b/>
          <w:sz w:val="36"/>
          <w:szCs w:val="36"/>
          <w:shd w:val="clear" w:color="auto" w:fill="FFFFFF"/>
        </w:rPr>
        <w:t>年政协剑阁县委员会办公室</w:t>
      </w:r>
    </w:p>
    <w:p>
      <w:pPr>
        <w:widowControl/>
        <w:spacing w:line="560" w:lineRule="exact"/>
        <w:contextualSpacing/>
        <w:jc w:val="center"/>
        <w:rPr>
          <w:rFonts w:hint="eastAsia" w:ascii="宋体" w:hAnsi="宋体"/>
          <w:b/>
          <w:sz w:val="36"/>
          <w:szCs w:val="36"/>
          <w:shd w:val="clear" w:color="auto" w:fill="FFFFFF"/>
          <w:lang w:val="zh-CN"/>
        </w:rPr>
      </w:pPr>
      <w:r>
        <w:rPr>
          <w:rFonts w:hint="eastAsia" w:ascii="宋体" w:hAnsi="宋体"/>
          <w:b/>
          <w:sz w:val="36"/>
          <w:szCs w:val="36"/>
          <w:shd w:val="clear" w:color="auto" w:fill="FFFFFF"/>
        </w:rPr>
        <w:t>部门整体绩效评价报告</w:t>
      </w:r>
    </w:p>
    <w:p>
      <w:pPr>
        <w:widowControl/>
        <w:adjustRightInd w:val="0"/>
        <w:snapToGrid w:val="0"/>
        <w:spacing w:line="560" w:lineRule="exact"/>
        <w:contextualSpacing/>
        <w:jc w:val="left"/>
        <w:rPr>
          <w:rFonts w:ascii="黑体" w:hAnsi="宋体" w:eastAsia="黑体" w:cs="宋体"/>
          <w:kern w:val="0"/>
          <w:sz w:val="32"/>
          <w:szCs w:val="32"/>
          <w:shd w:val="clear" w:color="auto" w:fill="FFFFFF"/>
        </w:rPr>
      </w:pPr>
    </w:p>
    <w:p>
      <w:pPr>
        <w:widowControl/>
        <w:numPr>
          <w:ilvl w:val="0"/>
          <w:numId w:val="5"/>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widowControl/>
        <w:numPr>
          <w:ilvl w:val="0"/>
          <w:numId w:val="6"/>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pPr>
        <w:pStyle w:val="20"/>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Calibri" w:eastAsia="仿宋_GB2312" w:cs="仿宋"/>
          <w:b w:val="0"/>
          <w:bCs w:val="0"/>
          <w:color w:val="auto"/>
          <w:sz w:val="32"/>
          <w:szCs w:val="32"/>
          <w:lang w:val="zh-CN" w:eastAsia="zh-CN" w:bidi="ar-SA"/>
        </w:rPr>
      </w:pPr>
      <w:r>
        <w:rPr>
          <w:rFonts w:hint="eastAsia" w:ascii="仿宋_GB2312" w:hAnsi="Calibri" w:eastAsia="仿宋_GB2312" w:cs="仿宋"/>
          <w:b w:val="0"/>
          <w:bCs w:val="0"/>
          <w:color w:val="auto"/>
          <w:sz w:val="32"/>
          <w:szCs w:val="32"/>
          <w:lang w:val="en-US" w:eastAsia="zh-CN" w:bidi="ar-SA"/>
        </w:rPr>
        <w:t>政协剑阁县委员会办公室是政协剑阁县委员会的综合办事机构，在整个政协委员会机关工作中起着组织、协调、联络作用。下属二级单位1个，其中行政单位1个，参照公务员法管理的事业单位0个，其他事业单位0个。</w:t>
      </w:r>
    </w:p>
    <w:p>
      <w:pPr>
        <w:widowControl/>
        <w:numPr>
          <w:ilvl w:val="0"/>
          <w:numId w:val="6"/>
        </w:numPr>
        <w:adjustRightInd w:val="0"/>
        <w:snapToGrid w:val="0"/>
        <w:spacing w:line="560" w:lineRule="exact"/>
        <w:ind w:left="0" w:leftChars="0"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机构职能和人员概况。</w:t>
      </w:r>
    </w:p>
    <w:p>
      <w:pPr>
        <w:pStyle w:val="6"/>
        <w:keepNext w:val="0"/>
        <w:keepLines w:val="0"/>
        <w:pageBreakBefore w:val="0"/>
        <w:kinsoku/>
        <w:wordWrap/>
        <w:overflowPunct/>
        <w:topLinePunct w:val="0"/>
        <w:autoSpaceDE/>
        <w:autoSpaceDN/>
        <w:bidi w:val="0"/>
        <w:adjustRightInd w:val="0"/>
        <w:snapToGrid w:val="0"/>
        <w:spacing w:before="95" w:beforeLines="30" w:line="600" w:lineRule="exact"/>
        <w:ind w:firstLine="672" w:firstLineChars="210"/>
        <w:textAlignment w:val="auto"/>
        <w:outlineLvl w:val="2"/>
        <w:rPr>
          <w:rFonts w:hint="default"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1.机构职能</w:t>
      </w:r>
    </w:p>
    <w:p>
      <w:pPr>
        <w:pStyle w:val="6"/>
        <w:keepNext w:val="0"/>
        <w:keepLines w:val="0"/>
        <w:pageBreakBefore w:val="0"/>
        <w:kinsoku/>
        <w:wordWrap/>
        <w:overflowPunct/>
        <w:topLinePunct w:val="0"/>
        <w:autoSpaceDE/>
        <w:autoSpaceDN/>
        <w:bidi w:val="0"/>
        <w:adjustRightInd w:val="0"/>
        <w:snapToGrid w:val="0"/>
        <w:spacing w:before="95" w:beforeLines="30" w:line="600" w:lineRule="exact"/>
        <w:ind w:firstLine="672" w:firstLineChars="210"/>
        <w:textAlignment w:val="auto"/>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lang w:eastAsia="zh-CN"/>
        </w:rPr>
        <w:t>）负责组织本会各党派、团体和各族各界人士开展政治协商、民主监督、参政议政工作；</w:t>
      </w:r>
    </w:p>
    <w:p>
      <w:pPr>
        <w:pStyle w:val="6"/>
        <w:keepNext w:val="0"/>
        <w:keepLines w:val="0"/>
        <w:pageBreakBefore w:val="0"/>
        <w:kinsoku/>
        <w:wordWrap/>
        <w:overflowPunct/>
        <w:topLinePunct w:val="0"/>
        <w:autoSpaceDE/>
        <w:autoSpaceDN/>
        <w:bidi w:val="0"/>
        <w:adjustRightInd w:val="0"/>
        <w:snapToGrid w:val="0"/>
        <w:spacing w:before="95" w:beforeLines="30" w:line="600" w:lineRule="exact"/>
        <w:ind w:firstLine="672" w:firstLineChars="210"/>
        <w:textAlignment w:val="auto"/>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lang w:eastAsia="zh-CN"/>
        </w:rPr>
        <w:t>）负责政协剑阁县委员会全体会议、常委会议、主席会议和其它会议的筹备和会期服务工作；</w:t>
      </w:r>
    </w:p>
    <w:p>
      <w:pPr>
        <w:pStyle w:val="6"/>
        <w:keepNext w:val="0"/>
        <w:keepLines w:val="0"/>
        <w:pageBreakBefore w:val="0"/>
        <w:kinsoku/>
        <w:wordWrap/>
        <w:overflowPunct/>
        <w:topLinePunct w:val="0"/>
        <w:autoSpaceDE/>
        <w:autoSpaceDN/>
        <w:bidi w:val="0"/>
        <w:adjustRightInd w:val="0"/>
        <w:snapToGrid w:val="0"/>
        <w:spacing w:before="95" w:beforeLines="30" w:line="600" w:lineRule="exact"/>
        <w:ind w:firstLine="672" w:firstLineChars="210"/>
        <w:textAlignment w:val="auto"/>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lang w:eastAsia="zh-CN"/>
        </w:rPr>
        <w:t>）组织实施剑阁县政协委员会全体会议、常委会议、主席会议的决定、决议;</w:t>
      </w:r>
    </w:p>
    <w:p>
      <w:pPr>
        <w:pStyle w:val="6"/>
        <w:keepNext w:val="0"/>
        <w:keepLines w:val="0"/>
        <w:pageBreakBefore w:val="0"/>
        <w:kinsoku/>
        <w:wordWrap/>
        <w:overflowPunct/>
        <w:topLinePunct w:val="0"/>
        <w:autoSpaceDE/>
        <w:autoSpaceDN/>
        <w:bidi w:val="0"/>
        <w:adjustRightInd w:val="0"/>
        <w:snapToGrid w:val="0"/>
        <w:spacing w:before="95" w:beforeLines="30" w:line="600" w:lineRule="exact"/>
        <w:ind w:firstLine="672" w:firstLineChars="210"/>
        <w:textAlignment w:val="auto"/>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lang w:eastAsia="zh-CN"/>
        </w:rPr>
        <w:t>）组织实施政协章程规定的各项任务和全国、省、市政协所作的地区性的决议;</w:t>
      </w:r>
    </w:p>
    <w:p>
      <w:pPr>
        <w:pStyle w:val="6"/>
        <w:keepNext w:val="0"/>
        <w:keepLines w:val="0"/>
        <w:pageBreakBefore w:val="0"/>
        <w:kinsoku/>
        <w:wordWrap/>
        <w:overflowPunct/>
        <w:topLinePunct w:val="0"/>
        <w:autoSpaceDE/>
        <w:autoSpaceDN/>
        <w:bidi w:val="0"/>
        <w:adjustRightInd w:val="0"/>
        <w:snapToGrid w:val="0"/>
        <w:spacing w:before="95" w:beforeLines="30" w:line="600" w:lineRule="exact"/>
        <w:ind w:firstLine="672" w:firstLineChars="210"/>
        <w:textAlignment w:val="auto"/>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val="en-US" w:eastAsia="zh-CN"/>
        </w:rPr>
        <w:t>5</w:t>
      </w:r>
      <w:r>
        <w:rPr>
          <w:rFonts w:hint="eastAsia" w:ascii="仿宋" w:hAnsi="仿宋" w:eastAsia="仿宋"/>
          <w:bCs/>
          <w:color w:val="000000"/>
          <w:sz w:val="32"/>
          <w:szCs w:val="32"/>
          <w:lang w:eastAsia="zh-CN"/>
        </w:rPr>
        <w:t>）组织政协委员参与我县政治、经济、文化等重要问题的调查研究，并提出意见和建议;</w:t>
      </w:r>
    </w:p>
    <w:p>
      <w:pPr>
        <w:pStyle w:val="6"/>
        <w:keepNext w:val="0"/>
        <w:keepLines w:val="0"/>
        <w:pageBreakBefore w:val="0"/>
        <w:kinsoku/>
        <w:wordWrap/>
        <w:overflowPunct/>
        <w:topLinePunct w:val="0"/>
        <w:autoSpaceDE/>
        <w:autoSpaceDN/>
        <w:bidi w:val="0"/>
        <w:adjustRightInd w:val="0"/>
        <w:snapToGrid w:val="0"/>
        <w:spacing w:before="95" w:beforeLines="30" w:line="600" w:lineRule="exact"/>
        <w:ind w:firstLine="672" w:firstLineChars="210"/>
        <w:textAlignment w:val="auto"/>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val="en-US" w:eastAsia="zh-CN"/>
        </w:rPr>
        <w:t>6</w:t>
      </w:r>
      <w:r>
        <w:rPr>
          <w:rFonts w:hint="eastAsia" w:ascii="仿宋" w:hAnsi="仿宋" w:eastAsia="仿宋"/>
          <w:bCs/>
          <w:color w:val="000000"/>
          <w:sz w:val="32"/>
          <w:szCs w:val="32"/>
          <w:lang w:eastAsia="zh-CN"/>
        </w:rPr>
        <w:t>）负责委员视察、参观、调查、座谈、研讨等日常活动;</w:t>
      </w:r>
    </w:p>
    <w:p>
      <w:pPr>
        <w:keepNext w:val="0"/>
        <w:keepLines w:val="0"/>
        <w:pageBreakBefore w:val="0"/>
        <w:widowControl/>
        <w:kinsoku/>
        <w:wordWrap/>
        <w:overflowPunct/>
        <w:topLinePunct w:val="0"/>
        <w:autoSpaceDE/>
        <w:autoSpaceDN/>
        <w:bidi w:val="0"/>
        <w:adjustRightInd w:val="0"/>
        <w:snapToGrid w:val="0"/>
        <w:spacing w:before="95" w:beforeLines="30" w:line="600" w:lineRule="exact"/>
        <w:ind w:firstLine="640" w:firstLineChars="200"/>
        <w:contextualSpacing/>
        <w:jc w:val="left"/>
        <w:textAlignment w:val="auto"/>
        <w:rPr>
          <w:rFonts w:ascii="仿宋_GB2312" w:hAnsi="宋体" w:eastAsia="仿宋_GB2312" w:cs="宋体"/>
          <w:color w:val="000000"/>
          <w:kern w:val="0"/>
          <w:sz w:val="32"/>
          <w:szCs w:val="32"/>
          <w:shd w:val="clear" w:color="auto" w:fill="FFFFFF"/>
          <w:lang w:val="zh-CN"/>
        </w:rPr>
      </w:pP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val="en-US" w:eastAsia="zh-CN"/>
        </w:rPr>
        <w:t>7</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承办县委、县政府安排的其它事项。</w:t>
      </w:r>
    </w:p>
    <w:p>
      <w:pPr>
        <w:keepNext w:val="0"/>
        <w:keepLines w:val="0"/>
        <w:pageBreakBefore w:val="0"/>
        <w:widowControl/>
        <w:kinsoku/>
        <w:wordWrap/>
        <w:overflowPunct/>
        <w:topLinePunct w:val="0"/>
        <w:autoSpaceDE/>
        <w:autoSpaceDN/>
        <w:bidi w:val="0"/>
        <w:adjustRightInd w:val="0"/>
        <w:snapToGrid w:val="0"/>
        <w:spacing w:before="95" w:beforeLines="30" w:line="60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rPr>
        <w:t>人员概况。</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lang w:val="zh-CN"/>
        </w:rPr>
      </w:pPr>
      <w:r>
        <w:rPr>
          <w:rFonts w:hint="eastAsia" w:ascii="仿宋" w:hAnsi="仿宋" w:eastAsia="仿宋" w:cs="Times New Roman"/>
          <w:b w:val="0"/>
          <w:bCs w:val="0"/>
          <w:color w:val="000000"/>
          <w:kern w:val="0"/>
          <w:sz w:val="32"/>
          <w:szCs w:val="32"/>
          <w:lang w:val="en-US" w:eastAsia="zh-CN" w:bidi="ar-SA"/>
        </w:rPr>
        <w:t>政协剑阁县委员会办公室在职人员总数36人，其中行政人员29人，参公人员2人，事业人员3人，工勤人员2人；离休人员1人，退休人员35人，遗属补助1人。</w:t>
      </w:r>
    </w:p>
    <w:p>
      <w:pPr>
        <w:widowControl/>
        <w:numPr>
          <w:ilvl w:val="0"/>
          <w:numId w:val="6"/>
        </w:numPr>
        <w:adjustRightInd w:val="0"/>
        <w:snapToGrid w:val="0"/>
        <w:spacing w:line="560" w:lineRule="exact"/>
        <w:ind w:left="0" w:leftChars="0"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年度主要工作任务。</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1.始终保持政治定力，坚守政治方向。始终坚定以习近平新时代中国特色社会主义思想为引领，引导参加人民政协的各党派团体和各界人士深入学习贯彻中共十九届历次全会精神，把学习宣传中共二十大精神作为首要政治任务，精心组织学习宣传，自觉做“两个确立”的坚决拥护者、“两个维护”的坚定践行者，增强“四个意识”，坚定“四个自信”，坚定不移在思想上政治上行动上同以习近平同志为核心的中共中央保持高度一致，确保全县政协工作始终沿着正确的政治方向前进。</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2.聚焦经济发展、民生改善等方面建言资政。坚持把拼经济搞建设冲在前作为履职第一要务，围绕全县重点项目建设、巩固拓展脱贫攻坚成果同乡村振兴有效衔接、工业园区建设运行、全县商会成立及健康发展等提出协商意见建议40余条，为县委县政府决策提供了重要依据。围绕我县乡镇行政区划和村级建制调整改革便民服务中心运行、城市规划建设管理及环境优美旅游城市、县域医疗次中心建设等民生问题开展视察调研；围绕“樵店乡场镇群众饮水难饮水贵问题”“白龙镇场镇饮用水水质差及场镇生活污水治理”等民生类重点提案办理开展协商，创新“有事来协商”形式，邀请市政协提案法制委参加现场协商活动，确保民生类提案办理的质量和效果。</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3.聚焦重大决策民主监督。围绕我县打造“一小时到达县城”交通圈、实施乡村振兴战略、粮油产业园区建设发展、巩固天府旅游名县地位工作等开展视察监督，提出意见建议30余条，推动中央和省、市、县委重大决策部署和重点工作落地落实。常委会定期听取县政府、县纪委监委、县人民法院、县人民检察院以及县级相关部门工作情况通报，选派政协委员担任行风监督员等40余人次，人民政协民主监督作用得到有效发挥。</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4.聚焦提案办理回应民生关切。常委会坚持提案质量导向，狠抓提案立案和提案办理工作。对政协各参加单位和委员提交的133件提案，认真审查，立案128件，立案率96.2%。强化县级领导领衔督办提案工作，确定领衔督办重点提案10件。通过搭建“协商督办”平台，组织提办双方“面对面”进行协商办理，对重点提案开展协商督办，有28件提案已经解决或基本解决、92件提案列入计划逐步解决，委员对提案办理满意率达到100%。</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5.坚持团结和民主两大主题，建立委员联系界别群众制度，充分发挥委员主体作用，引导广大委员通过调研视察、“有事来协商”“三联三促”双助活动、委员读书活动等面向社会广泛传播共识，把党的主张转化为社会各界的共识和行动，协助党委政府做好协调关系、理顺情绪、化解矛盾工作。完善县政协党组成员联系宗教界委员制度，深入联系走访少数民族界和宗教界委员，教育引导少数民族和宗教界群众爱党爱国，促进民族团结与宗教和睦，助推我市创建全国民族团结进步示范市贡献剑阁力量。发挥文史工作存史资政、团结育人作用，成立剑阁政协书画院，凝聚剑阁本土书画摄影等艺术人才力量，助推大蜀道大剑门文化旅游宣传工作。</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6.聚焦主责主业，彰显创新特色，“三项重点工作”推动落实更加深入。“三联三促”双助活动全面走深走实，政协委员联户促巩固、政协专委会联产业促发展、政协组织联村促振兴”“三联三促”双助活动成效显著，受到省市政协主要领导的充分肯定。“有事来协商”工作持续深入推进。对标市政协《深入推进“有事来协商”工作八条措施》，强化工作部署，不断完善“1+4+8+N”工作模式，创新建立“4321”精准协商机制，“有事来协商”工作得到全面深入系统化推进，基层协商平台不断完善、能力不断提升、程序不断规范、质量不断提高，协商工作走在全市前列。“书香政协”建设委员读书活动成效明显。印发《建设“书香政协”开展委员读书活动实施方案》，推出“1+N”阵地建设模式，整合县图书馆、乡镇文化站、委员工作室等平台，建成县政协机关阅览室和“委员阅览室”等政协委员读书平台4个，协调组织图书1000余册。开展“六个一”书香同行活动，建立委员读书群，举办专题读书班、培训班、研讨会，实现委员全覆盖，示范引领广大委员通过读书活动明方向、聚共识、强本领、显担当，在全县政协系统营造了“多读书、读好书、善读书”的浓厚氛围。</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7.强化委员履职能力建设。聚焦“懂政协、会协商、善议政，守纪律、讲规矩、重品行”工作要求，开展政协领导走访看望委员活动，密切与委员的联系沟通；组织委员参加省政协、市政协和县委组织的各类培训学习。完善《委员履职规则》《优秀委员评选办法》《委员履职情况量化考评办法》，推动委员管理服务的规范化、常态化。建立委员履职档案，进一步激发委员履职的主动性和积极性。</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8.抓好政协机关自身建设。抓好政协机关思想政治建设、组织建设和作风建设，规范机关干部学习培训、视察调研、考勤考核等制度，提高会务服务、文稿起草、老干部服务、后勤保障等工作效率。配合做好省委巡视组对县政协机关的巡视工作，支持县纪委监委派驻县政协机关纪检监察组履行职责，着力营造勤勉干事、风清气正的良好政治生态，机关干部精神面貌明显改观、工作作风明显进步、能力素质明显提高。</w:t>
      </w:r>
    </w:p>
    <w:p>
      <w:pPr>
        <w:keepNext w:val="0"/>
        <w:keepLines w:val="0"/>
        <w:pageBreakBefore w:val="0"/>
        <w:widowControl/>
        <w:numPr>
          <w:ilvl w:val="0"/>
          <w:numId w:val="6"/>
        </w:numPr>
        <w:kinsoku/>
        <w:wordWrap/>
        <w:overflowPunct/>
        <w:topLinePunct w:val="0"/>
        <w:autoSpaceDE/>
        <w:autoSpaceDN/>
        <w:bidi w:val="0"/>
        <w:adjustRightInd w:val="0"/>
        <w:snapToGrid w:val="0"/>
        <w:spacing w:line="600" w:lineRule="exact"/>
        <w:ind w:left="0" w:leftChars="0" w:firstLine="643" w:firstLineChars="200"/>
        <w:contextualSpacing/>
        <w:jc w:val="left"/>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部门整体支出绩效目标。</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kern w:val="2"/>
          <w:sz w:val="32"/>
          <w:szCs w:val="32"/>
          <w:lang w:val="zh-CN" w:eastAsia="zh-CN" w:bidi="ar-SA"/>
        </w:rPr>
      </w:pPr>
      <w:r>
        <w:rPr>
          <w:rFonts w:hint="eastAsia" w:ascii="仿宋" w:hAnsi="仿宋" w:eastAsia="仿宋" w:cs="Times New Roman"/>
          <w:b w:val="0"/>
          <w:bCs w:val="0"/>
          <w:kern w:val="2"/>
          <w:sz w:val="32"/>
          <w:szCs w:val="32"/>
          <w:lang w:val="zh-CN" w:eastAsia="zh-CN" w:bidi="ar-SA"/>
        </w:rPr>
        <w:t>坚定以习近平新时代中国特色社会主义思想为指导，在中共剑阁县委的坚强领导下，始终坚持人民政协性质定位，把贯彻落实县委第十三次党代会、县委十三届三次全会和县委经济工作会议精神各项决策作为工作主线，把加强思想政治引领、广泛凝聚共识作为中心环节，认真履行政治协商、民主监督、参政议政职能，更好凝聚共识，为加快建设社会主义现代化剑阁贡献智慧和力量。</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60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pStyle w:val="20"/>
        <w:keepNext w:val="0"/>
        <w:keepLines w:val="0"/>
        <w:pageBreakBefore w:val="0"/>
        <w:kinsoku/>
        <w:wordWrap/>
        <w:overflowPunct/>
        <w:topLinePunct w:val="0"/>
        <w:autoSpaceDE/>
        <w:autoSpaceDN/>
        <w:bidi w:val="0"/>
        <w:spacing w:line="600" w:lineRule="exact"/>
        <w:textAlignment w:val="auto"/>
        <w:rPr>
          <w:rFonts w:hint="default"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2022年政协剑阁县委员会办公室财政拨款收入决算总额为761.14万元，其中，上年结转0.76万元，当年财政拨款为760.38万元。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2.部门总体支出情况</w:t>
      </w:r>
    </w:p>
    <w:p>
      <w:pPr>
        <w:pStyle w:val="20"/>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2022年政协剑阁县委员会办公室财政拨款支出决算761.14万元，其中，一般公共服务支出642.77万元，社会保障和就业支出52.70万元，卫生健康支出26.36万元，住房保障支出39.32万元。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3.部门总体结转结余情况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2022年政协剑阁县委员会办公室结转结余为零。</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1.部门财政拨款收入情况</w:t>
      </w:r>
    </w:p>
    <w:p>
      <w:pPr>
        <w:pStyle w:val="20"/>
        <w:keepNext w:val="0"/>
        <w:keepLines w:val="0"/>
        <w:pageBreakBefore w:val="0"/>
        <w:kinsoku/>
        <w:wordWrap/>
        <w:overflowPunct/>
        <w:topLinePunct w:val="0"/>
        <w:autoSpaceDE/>
        <w:autoSpaceDN/>
        <w:bidi w:val="0"/>
        <w:spacing w:line="600" w:lineRule="exact"/>
        <w:textAlignment w:val="auto"/>
      </w:pPr>
      <w:r>
        <w:rPr>
          <w:rFonts w:hint="eastAsia" w:ascii="仿宋_GB2312" w:hAnsi="仿宋_GB2312" w:eastAsia="仿宋_GB2312" w:cs="仿宋_GB2312"/>
          <w:b w:val="0"/>
          <w:bCs w:val="0"/>
          <w:kern w:val="0"/>
          <w:sz w:val="32"/>
          <w:szCs w:val="32"/>
          <w:shd w:val="clear" w:color="auto" w:fill="FFFFFF"/>
          <w:lang w:val="en-US" w:eastAsia="zh-CN" w:bidi="ar-SA"/>
        </w:rPr>
        <w:t>2022年政协剑阁县委员会办公室财政拨款收入决算总额为761.14万元，其中，上年结转0.76万元，当年财政拨款为760.38万元。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2.部门财政拨款支出情况</w:t>
      </w:r>
    </w:p>
    <w:p>
      <w:pPr>
        <w:pStyle w:val="20"/>
        <w:keepNext w:val="0"/>
        <w:keepLines w:val="0"/>
        <w:pageBreakBefore w:val="0"/>
        <w:kinsoku/>
        <w:wordWrap/>
        <w:overflowPunct/>
        <w:topLinePunct w:val="0"/>
        <w:autoSpaceDE/>
        <w:autoSpaceDN/>
        <w:bidi w:val="0"/>
        <w:spacing w:line="600" w:lineRule="exact"/>
        <w:textAlignment w:val="auto"/>
      </w:pPr>
      <w:r>
        <w:rPr>
          <w:rFonts w:hint="eastAsia" w:ascii="仿宋_GB2312" w:hAnsi="仿宋_GB2312" w:eastAsia="仿宋_GB2312" w:cs="仿宋_GB2312"/>
          <w:b w:val="0"/>
          <w:bCs w:val="0"/>
          <w:kern w:val="0"/>
          <w:sz w:val="32"/>
          <w:szCs w:val="32"/>
          <w:shd w:val="clear" w:color="auto" w:fill="FFFFFF"/>
          <w:lang w:val="en-US" w:eastAsia="zh-CN" w:bidi="ar-SA"/>
        </w:rPr>
        <w:t>2022年政协剑阁县委员会办公室财政拨款支出决算761.14万元，其中，一般公共服务支出642.77万元，社会保障和就业支出52.70万元，卫生健康支出26.36万元，住房保障支出39.32万元。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3.部门财政拨款结转结余情况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pPr>
      <w:r>
        <w:rPr>
          <w:rFonts w:hint="eastAsia" w:ascii="仿宋_GB2312" w:hAnsi="仿宋_GB2312" w:eastAsia="仿宋_GB2312" w:cs="仿宋_GB2312"/>
          <w:b w:val="0"/>
          <w:bCs w:val="0"/>
          <w:kern w:val="0"/>
          <w:sz w:val="32"/>
          <w:szCs w:val="32"/>
          <w:shd w:val="clear" w:color="auto" w:fill="FFFFFF"/>
          <w:lang w:val="en-US" w:eastAsia="zh-CN" w:bidi="ar-SA"/>
        </w:rPr>
        <w:t>2022年政协剑阁县委员会办公室结转结余为零。</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1.人员类项目绩效分析</w:t>
      </w:r>
    </w:p>
    <w:p>
      <w:pPr>
        <w:pStyle w:val="20"/>
        <w:keepNext w:val="0"/>
        <w:keepLines w:val="0"/>
        <w:pageBreakBefore w:val="0"/>
        <w:kinsoku/>
        <w:wordWrap/>
        <w:overflowPunct/>
        <w:topLinePunct w:val="0"/>
        <w:autoSpaceDE/>
        <w:autoSpaceDN/>
        <w:bidi w:val="0"/>
        <w:spacing w:line="600" w:lineRule="exact"/>
        <w:textAlignment w:val="auto"/>
      </w:pPr>
      <w:r>
        <w:rPr>
          <w:rFonts w:hint="eastAsia" w:ascii="仿宋_GB2312" w:hAnsi="仿宋_GB2312" w:eastAsia="仿宋_GB2312" w:cs="仿宋_GB2312"/>
          <w:b w:val="0"/>
          <w:bCs w:val="0"/>
          <w:kern w:val="0"/>
          <w:sz w:val="32"/>
          <w:szCs w:val="32"/>
          <w:shd w:val="clear" w:color="auto" w:fill="FFFFFF"/>
          <w:lang w:val="zh-CN" w:eastAsia="zh-CN" w:bidi="ar-SA"/>
        </w:rPr>
        <w:t>严格执行相关政策，保障工资及时发放、足额发放，预算编制科学合理，减少结余资金，按照有关标准实现，控制资金用途和执行进度，避免随意更改或调整支出预算，预算完成情况100%，无资金结余率和违规记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bidi="ar-SA"/>
        </w:rPr>
        <w:t>保障单位日常运转，提高预算编制质量，严格执行预算，预算完成进度100%，及时完成预算目标，合理控制运转类项目经费，</w:t>
      </w:r>
      <w:r>
        <w:rPr>
          <w:rFonts w:hint="eastAsia" w:ascii="仿宋_GB2312" w:hAnsi="仿宋_GB2312" w:eastAsia="仿宋_GB2312" w:cs="仿宋_GB2312"/>
          <w:kern w:val="0"/>
          <w:sz w:val="32"/>
          <w:szCs w:val="32"/>
          <w:shd w:val="clear" w:color="auto" w:fill="FFFFFF"/>
          <w:lang w:val="en-US" w:eastAsia="zh-CN"/>
        </w:rPr>
        <w:t>无资金结余率和违规记录。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无。</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kern w:val="0"/>
          <w:sz w:val="32"/>
          <w:szCs w:val="32"/>
          <w:highlight w:val="none"/>
          <w:shd w:val="clear" w:color="auto" w:fill="FFFFFF"/>
          <w:lang w:val="zh-CN"/>
        </w:rPr>
      </w:pPr>
      <w:r>
        <w:rPr>
          <w:rFonts w:hint="eastAsia" w:ascii="仿宋_GB2312" w:hAnsi="仿宋_GB2312" w:eastAsia="仿宋_GB2312" w:cs="仿宋_GB2312"/>
          <w:kern w:val="0"/>
          <w:sz w:val="32"/>
          <w:szCs w:val="32"/>
          <w:highlight w:val="none"/>
          <w:shd w:val="clear" w:color="auto" w:fill="FFFFFF"/>
          <w:lang w:val="en-US" w:eastAsia="zh-CN" w:bidi="ar-SA"/>
        </w:rPr>
        <w:t>2022年我办将继续坚持发扬民主和增进团结相互贯通、建言资政和凝聚共识双向发力，围绕各项目标任务，发挥协商民主重要渠道和专门协商机构作用，始终聚焦新思想、聚焦新定位、聚焦新目标、聚焦新期盼、聚焦新使命，做到凝聚智慧、凝聚力量、凝聚共识，努力干出新时代人民政协新样子，为推动剑阁县经济社会高质量发展，贡献政协力量和智慧。2022年通过绩效评价了解和掌握了项目资金的使用，系统的整理和分析了项目资金使用存在的问题，并改善资金管理使用，进一步提高了专项资金使用效益和科学化、精细化管理水平，为以后预算安排和预算管理提供了重要依据。</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_GB2312" w:eastAsia="仿宋_GB2312" w:cs="仿宋_GB2312"/>
          <w:b w:val="0"/>
          <w:bCs/>
          <w:sz w:val="32"/>
          <w:szCs w:val="32"/>
          <w:lang w:val="en-US" w:eastAsia="zh-CN"/>
        </w:rPr>
      </w:pPr>
      <w:r>
        <w:rPr>
          <w:rFonts w:hint="eastAsia" w:ascii="楷体_GB2312" w:hAnsi="楷体_GB2312" w:eastAsia="楷体_GB2312" w:cs="楷体_GB2312"/>
          <w:b/>
          <w:bCs/>
          <w:kern w:val="0"/>
          <w:sz w:val="32"/>
          <w:szCs w:val="32"/>
          <w:shd w:val="clear" w:color="auto" w:fill="FFFFFF"/>
          <w:lang w:val="zh-CN"/>
        </w:rPr>
        <w:t>（三）结果应用情况。</w:t>
      </w:r>
    </w:p>
    <w:p>
      <w:pPr>
        <w:keepNext w:val="0"/>
        <w:keepLines w:val="0"/>
        <w:pageBreakBefore w:val="0"/>
        <w:widowControl/>
        <w:kinsoku/>
        <w:wordWrap/>
        <w:overflowPunct/>
        <w:topLinePunct w:val="0"/>
        <w:autoSpaceDE/>
        <w:autoSpaceDN/>
        <w:bidi w:val="0"/>
        <w:adjustRightInd w:val="0"/>
        <w:snapToGrid w:val="0"/>
        <w:spacing w:before="95" w:beforeLines="30" w:line="600" w:lineRule="exact"/>
        <w:ind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val="0"/>
          <w:bCs/>
          <w:sz w:val="32"/>
          <w:szCs w:val="32"/>
          <w:lang w:val="en-US" w:eastAsia="zh-CN"/>
        </w:rPr>
        <w:t>我办将始终把资金管理放在重要的位置中，加强成本的控制，本着勤俭节约、保障运转的原则，进一步加强预算支出的审核、跟踪及预算执行到位情况，尽量能的做到预决算相衔接，科学执行绩效预算，优化绩效评价指标体系，加强对绩效评价结果的运用以及资金使用的监督，并定期对预算资金使用情况进行梳理，及时跟进项目完成进度。</w:t>
      </w:r>
    </w:p>
    <w:p>
      <w:pPr>
        <w:keepNext w:val="0"/>
        <w:keepLines w:val="0"/>
        <w:pageBreakBefore w:val="0"/>
        <w:widowControl/>
        <w:kinsoku/>
        <w:wordWrap/>
        <w:overflowPunct/>
        <w:topLinePunct w:val="0"/>
        <w:autoSpaceDE/>
        <w:autoSpaceDN/>
        <w:bidi w:val="0"/>
        <w:adjustRightInd w:val="0"/>
        <w:snapToGrid w:val="0"/>
        <w:spacing w:before="95" w:beforeLines="30" w:line="600" w:lineRule="exact"/>
        <w:ind w:firstLine="640" w:firstLineChars="200"/>
        <w:contextualSpacing/>
        <w:jc w:val="both"/>
        <w:textAlignment w:val="auto"/>
        <w:rPr>
          <w:rFonts w:ascii="仿宋_GB2312" w:hAnsi="宋体" w:eastAsia="仿宋_GB2312" w:cs="宋体"/>
          <w:kern w:val="0"/>
          <w:sz w:val="32"/>
          <w:szCs w:val="32"/>
          <w:shd w:val="clear" w:color="auto" w:fill="FFFFFF"/>
        </w:rPr>
      </w:pPr>
      <w:r>
        <w:rPr>
          <w:rFonts w:hint="eastAsia" w:ascii="仿宋" w:hAnsi="仿宋" w:eastAsia="仿宋"/>
          <w:bCs/>
          <w:color w:val="000000"/>
          <w:sz w:val="32"/>
          <w:szCs w:val="32"/>
          <w:lang w:eastAsia="zh-CN"/>
        </w:rPr>
        <w:t>我办</w:t>
      </w:r>
      <w:r>
        <w:rPr>
          <w:rFonts w:hint="eastAsia" w:ascii="仿宋" w:hAnsi="仿宋" w:eastAsia="仿宋"/>
          <w:bCs/>
          <w:color w:val="000000"/>
          <w:sz w:val="32"/>
          <w:szCs w:val="32"/>
        </w:rPr>
        <w:t>部门预算、部门整体支出绩效目标以及自评包括部门自评情况均按要求及时在《剑阁县人民政府公众信息网》进行了公开，自觉接受监督。针对评价报告中反应的问题，</w:t>
      </w:r>
      <w:r>
        <w:rPr>
          <w:rFonts w:hint="eastAsia" w:ascii="仿宋" w:hAnsi="仿宋" w:eastAsia="仿宋"/>
          <w:bCs/>
          <w:color w:val="000000"/>
          <w:sz w:val="32"/>
          <w:szCs w:val="32"/>
          <w:lang w:eastAsia="zh-CN"/>
        </w:rPr>
        <w:t>我办</w:t>
      </w:r>
      <w:r>
        <w:rPr>
          <w:rFonts w:hint="eastAsia" w:ascii="仿宋" w:hAnsi="仿宋" w:eastAsia="仿宋"/>
          <w:bCs/>
          <w:color w:val="000000"/>
          <w:sz w:val="32"/>
          <w:szCs w:val="32"/>
        </w:rPr>
        <w:t>认真开展自查自纠，不断加强学习，不断完善绩效评价指标体系，科学编制预算，严格预算执行，优化资源配置、控制节约成本、提高公共务服务质量和财政资金使用效益，充分发挥</w:t>
      </w:r>
      <w:r>
        <w:rPr>
          <w:rFonts w:hint="eastAsia" w:ascii="仿宋" w:hAnsi="仿宋" w:eastAsia="仿宋"/>
          <w:bCs/>
          <w:color w:val="000000"/>
          <w:sz w:val="32"/>
          <w:szCs w:val="32"/>
          <w:lang w:eastAsia="zh-CN"/>
        </w:rPr>
        <w:t>我办</w:t>
      </w:r>
      <w:r>
        <w:rPr>
          <w:rFonts w:hint="eastAsia" w:ascii="仿宋" w:hAnsi="仿宋" w:eastAsia="仿宋"/>
          <w:bCs/>
          <w:color w:val="000000"/>
          <w:sz w:val="32"/>
          <w:szCs w:val="32"/>
        </w:rPr>
        <w:t>的职能作用。</w:t>
      </w:r>
    </w:p>
    <w:p>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firstLine="643" w:firstLineChars="200"/>
        <w:contextualSpacing/>
        <w:jc w:val="left"/>
        <w:textAlignment w:val="auto"/>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2022年我办继续完善部门整体评价情况，部门整体自评较为客观准确，按照预算项目进行分类自评，完善指标考核体系，控制进度以及相关结果运用情况。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pStyle w:val="6"/>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textAlignment w:val="auto"/>
        <w:rPr>
          <w:rFonts w:hint="eastAsia" w:ascii="仿宋_GB2312" w:hAnsi="仿宋_GB2312" w:eastAsia="仿宋_GB2312" w:cs="仿宋_GB2312"/>
          <w:bCs/>
          <w:color w:val="000000"/>
          <w:kern w:val="2"/>
          <w:sz w:val="32"/>
          <w:szCs w:val="32"/>
          <w:lang w:val="zh-CN" w:eastAsia="zh-CN" w:bidi="ar-SA"/>
        </w:rPr>
      </w:pPr>
      <w:r>
        <w:rPr>
          <w:rFonts w:hint="eastAsia" w:ascii="仿宋_GB2312" w:hAnsi="仿宋_GB2312" w:eastAsia="仿宋_GB2312" w:cs="仿宋_GB2312"/>
          <w:bCs/>
          <w:color w:val="000000"/>
          <w:kern w:val="2"/>
          <w:sz w:val="32"/>
          <w:szCs w:val="32"/>
          <w:lang w:val="en-US" w:eastAsia="zh-CN" w:bidi="ar-SA"/>
        </w:rPr>
        <w:t>我</w:t>
      </w:r>
      <w:r>
        <w:rPr>
          <w:rFonts w:hint="eastAsia" w:hAnsi="仿宋_GB2312" w:cs="仿宋_GB2312"/>
          <w:bCs/>
          <w:color w:val="000000"/>
          <w:kern w:val="2"/>
          <w:sz w:val="32"/>
          <w:szCs w:val="32"/>
          <w:lang w:val="en-US" w:eastAsia="zh-CN" w:bidi="ar-SA"/>
        </w:rPr>
        <w:t>办</w:t>
      </w:r>
      <w:r>
        <w:rPr>
          <w:rFonts w:hint="eastAsia" w:ascii="仿宋_GB2312" w:hAnsi="仿宋_GB2312" w:eastAsia="仿宋_GB2312" w:cs="仿宋_GB2312"/>
          <w:bCs/>
          <w:color w:val="000000"/>
          <w:kern w:val="2"/>
          <w:sz w:val="32"/>
          <w:szCs w:val="32"/>
          <w:lang w:val="en-US" w:eastAsia="zh-CN" w:bidi="ar-SA"/>
        </w:rPr>
        <w:t>202</w:t>
      </w:r>
      <w:r>
        <w:rPr>
          <w:rFonts w:hint="eastAsia" w:hAnsi="仿宋_GB2312" w:cs="仿宋_GB2312"/>
          <w:bCs/>
          <w:color w:val="000000"/>
          <w:kern w:val="2"/>
          <w:sz w:val="32"/>
          <w:szCs w:val="32"/>
          <w:lang w:val="en-US" w:eastAsia="zh-CN" w:bidi="ar-SA"/>
        </w:rPr>
        <w:t>2</w:t>
      </w:r>
      <w:r>
        <w:rPr>
          <w:rFonts w:hint="eastAsia" w:ascii="仿宋_GB2312" w:hAnsi="仿宋_GB2312" w:eastAsia="仿宋_GB2312" w:cs="仿宋_GB2312"/>
          <w:bCs/>
          <w:color w:val="000000"/>
          <w:kern w:val="2"/>
          <w:sz w:val="32"/>
          <w:szCs w:val="32"/>
          <w:lang w:val="en-US" w:eastAsia="zh-CN" w:bidi="ar-SA"/>
        </w:rPr>
        <w:t>年度严格按照《中华人民共和国预算法》规定使用和管理财政预算资金，资金收支平衡。资金使用做到按程序上报和审批。严格执行财务制度，无挤占、挪用、虚列账务等违规情况，高效、优质地完成各项目标任务，确保单位正常运转。</w:t>
      </w:r>
    </w:p>
    <w:p>
      <w:pPr>
        <w:keepNext w:val="0"/>
        <w:keepLines w:val="0"/>
        <w:pageBreakBefore w:val="0"/>
        <w:widowControl/>
        <w:numPr>
          <w:ilvl w:val="0"/>
          <w:numId w:val="8"/>
        </w:numPr>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存在问题。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kern w:val="2"/>
          <w:sz w:val="32"/>
          <w:szCs w:val="32"/>
          <w:lang w:val="zh-CN" w:eastAsia="zh-CN" w:bidi="ar-SA"/>
        </w:rPr>
      </w:pPr>
      <w:r>
        <w:rPr>
          <w:rFonts w:hint="default" w:ascii="仿宋_GB2312" w:hAnsi="仿宋_GB2312" w:eastAsia="仿宋_GB2312" w:cs="仿宋_GB2312"/>
          <w:bCs/>
          <w:color w:val="000000"/>
          <w:kern w:val="2"/>
          <w:sz w:val="32"/>
          <w:szCs w:val="32"/>
          <w:lang w:val="en-US" w:eastAsia="zh-CN" w:bidi="ar-SA"/>
        </w:rPr>
        <w:t>资金管理制度还有待进一步细化,强化机关经费预算管理的刚性约束，项目支出按预算和工作进度执行，进一步规范各项支出。</w:t>
      </w:r>
    </w:p>
    <w:p>
      <w:pPr>
        <w:keepNext w:val="0"/>
        <w:keepLines w:val="0"/>
        <w:pageBreakBefore w:val="0"/>
        <w:widowControl/>
        <w:numPr>
          <w:ilvl w:val="0"/>
          <w:numId w:val="8"/>
        </w:numPr>
        <w:kinsoku/>
        <w:wordWrap/>
        <w:overflowPunct/>
        <w:topLinePunct w:val="0"/>
        <w:autoSpaceDE/>
        <w:autoSpaceDN/>
        <w:bidi w:val="0"/>
        <w:adjustRightInd w:val="0"/>
        <w:snapToGrid w:val="0"/>
        <w:spacing w:line="600" w:lineRule="exact"/>
        <w:ind w:left="0" w:leftChars="0" w:firstLine="643" w:firstLineChars="200"/>
        <w:contextualSpacing/>
        <w:jc w:val="left"/>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改进建议。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lang w:val="zh-CN"/>
        </w:rPr>
      </w:pPr>
      <w:r>
        <w:rPr>
          <w:rFonts w:hint="eastAsia" w:ascii="仿宋_GB2312" w:hAnsi="仿宋_GB2312" w:eastAsia="仿宋_GB2312" w:cs="仿宋_GB2312"/>
          <w:b w:val="0"/>
          <w:bCs/>
          <w:sz w:val="32"/>
          <w:szCs w:val="32"/>
          <w:lang w:val="en-US" w:eastAsia="zh-CN"/>
        </w:rPr>
        <w:t>继续加强成本控制，本着勤俭节约、保障运转的原则，进一步加强预算支出的审核、跟踪及预算执行到位情况，尽量做到预决算相衔接，科学执行绩效预算，优化绩效评价指标体系，加强对绩效评价结果的运用以及资金使用的监督，并定期对预算资金使用情况进行梳理，及时跟进项目完成进度。</w:t>
      </w:r>
    </w:p>
    <w:p>
      <w:pPr>
        <w:pStyle w:val="15"/>
        <w:keepNext w:val="0"/>
        <w:keepLines w:val="0"/>
        <w:pageBreakBefore w:val="0"/>
        <w:kinsoku/>
        <w:wordWrap/>
        <w:overflowPunct/>
        <w:topLinePunct w:val="0"/>
        <w:autoSpaceDE/>
        <w:autoSpaceDN/>
        <w:bidi w:val="0"/>
        <w:spacing w:line="600" w:lineRule="exact"/>
        <w:ind w:left="0" w:leftChars="0" w:firstLine="640"/>
        <w:textAlignment w:val="auto"/>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pStyle w:val="15"/>
        <w:keepNext w:val="0"/>
        <w:keepLines w:val="0"/>
        <w:pageBreakBefore w:val="0"/>
        <w:kinsoku/>
        <w:wordWrap/>
        <w:overflowPunct/>
        <w:topLinePunct w:val="0"/>
        <w:autoSpaceDE/>
        <w:autoSpaceDN/>
        <w:bidi w:val="0"/>
        <w:spacing w:line="600" w:lineRule="exact"/>
        <w:ind w:left="0" w:leftChars="0" w:firstLine="640"/>
        <w:textAlignment w:val="auto"/>
        <w:rPr>
          <w:rFonts w:hAnsi="仿宋_GB2312" w:eastAsia="仿宋_GB2312" w:cs="仿宋_GB2312"/>
          <w:sz w:val="32"/>
          <w:lang w:val="zh-CN"/>
        </w:rPr>
      </w:pPr>
      <w:r>
        <w:rPr>
          <w:rFonts w:hint="eastAsia" w:hAnsi="仿宋_GB2312" w:eastAsia="仿宋_GB2312" w:cs="仿宋_GB2312"/>
          <w:sz w:val="32"/>
        </w:rPr>
        <w:t>（备注：按照绩效自评工作安排，各部门已在预算管理一体化系统绩效自评模块上传“部门预算项目支出绩效自评表（2022年度）”，该表格应作为附表予以公开。）</w:t>
      </w:r>
    </w:p>
    <w:p>
      <w:pPr>
        <w:widowControl/>
        <w:jc w:val="left"/>
        <w:rPr>
          <w:rStyle w:val="31"/>
          <w:rFonts w:ascii="黑体" w:hAnsi="黑体" w:eastAsia="黑体"/>
          <w:b w:val="0"/>
        </w:rPr>
      </w:pPr>
      <w:r>
        <w:rPr>
          <w:rStyle w:val="31"/>
          <w:rFonts w:ascii="黑体" w:hAnsi="黑体" w:eastAsia="黑体"/>
          <w:b w:val="0"/>
        </w:rPr>
        <w:br w:type="page"/>
      </w:r>
    </w:p>
    <w:p>
      <w:pPr>
        <w:spacing w:line="600" w:lineRule="exact"/>
        <w:jc w:val="center"/>
        <w:outlineLvl w:val="0"/>
        <w:rPr>
          <w:rFonts w:ascii="仿宋" w:hAnsi="仿宋" w:eastAsia="仿宋"/>
        </w:rPr>
      </w:pPr>
      <w:bookmarkStart w:id="49" w:name="_Toc15396618"/>
      <w:r>
        <w:rPr>
          <w:rFonts w:hint="eastAsia" w:ascii="黑体" w:hAnsi="黑体" w:eastAsia="黑体"/>
          <w:sz w:val="44"/>
          <w:szCs w:val="44"/>
        </w:rPr>
        <w:t>第</w:t>
      </w:r>
      <w:r>
        <w:rPr>
          <w:rStyle w:val="31"/>
          <w:rFonts w:hint="eastAsia" w:ascii="黑体" w:hAnsi="黑体" w:eastAsia="黑体"/>
          <w:b w:val="0"/>
        </w:rPr>
        <w:t>五部分 附表</w:t>
      </w:r>
      <w:bookmarkEnd w:id="47"/>
      <w:bookmarkEnd w:id="49"/>
      <w:bookmarkStart w:id="50" w:name="_Toc15396619"/>
    </w:p>
    <w:p>
      <w:pPr>
        <w:pStyle w:val="4"/>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50"/>
    </w:p>
    <w:p>
      <w:pPr>
        <w:pStyle w:val="4"/>
        <w:rPr>
          <w:rFonts w:ascii="仿宋" w:hAnsi="仿宋" w:eastAsia="仿宋"/>
        </w:rPr>
      </w:pPr>
      <w:bookmarkStart w:id="51" w:name="_Toc15396620"/>
      <w:r>
        <w:rPr>
          <w:rFonts w:hint="eastAsia" w:ascii="仿宋" w:hAnsi="仿宋" w:eastAsia="仿宋"/>
          <w:b w:val="0"/>
        </w:rPr>
        <w:t>二、收</w:t>
      </w:r>
      <w:r>
        <w:rPr>
          <w:rStyle w:val="32"/>
          <w:rFonts w:hint="eastAsia" w:ascii="仿宋" w:hAnsi="仿宋" w:eastAsia="仿宋"/>
          <w:b w:val="0"/>
          <w:bCs w:val="0"/>
        </w:rPr>
        <w:t>入决算表</w:t>
      </w:r>
      <w:bookmarkEnd w:id="51"/>
    </w:p>
    <w:p>
      <w:pPr>
        <w:pStyle w:val="4"/>
        <w:rPr>
          <w:rFonts w:ascii="仿宋" w:hAnsi="仿宋" w:eastAsia="仿宋"/>
        </w:rPr>
      </w:pPr>
      <w:bookmarkStart w:id="52"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52"/>
    </w:p>
    <w:p>
      <w:pPr>
        <w:pStyle w:val="4"/>
        <w:rPr>
          <w:rFonts w:ascii="仿宋" w:hAnsi="仿宋" w:eastAsia="仿宋"/>
          <w:b w:val="0"/>
        </w:rPr>
      </w:pPr>
      <w:bookmarkStart w:id="53"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53"/>
    </w:p>
    <w:p>
      <w:pPr>
        <w:pStyle w:val="4"/>
        <w:rPr>
          <w:rStyle w:val="32"/>
          <w:rFonts w:ascii="仿宋" w:hAnsi="仿宋" w:eastAsia="仿宋"/>
          <w:b w:val="0"/>
          <w:bCs w:val="0"/>
        </w:rPr>
      </w:pPr>
      <w:bookmarkStart w:id="54"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54"/>
      <w:bookmarkStart w:id="55" w:name="_Toc15396624"/>
    </w:p>
    <w:p>
      <w:pPr>
        <w:pStyle w:val="4"/>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55"/>
    </w:p>
    <w:p>
      <w:pPr>
        <w:pStyle w:val="4"/>
        <w:rPr>
          <w:rFonts w:ascii="仿宋" w:hAnsi="仿宋" w:eastAsia="仿宋"/>
        </w:rPr>
      </w:pPr>
      <w:bookmarkStart w:id="56"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56"/>
    </w:p>
    <w:p>
      <w:pPr>
        <w:pStyle w:val="4"/>
        <w:rPr>
          <w:rFonts w:ascii="仿宋" w:hAnsi="仿宋" w:eastAsia="仿宋"/>
        </w:rPr>
      </w:pPr>
      <w:bookmarkStart w:id="57"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57"/>
    </w:p>
    <w:p>
      <w:pPr>
        <w:pStyle w:val="4"/>
        <w:rPr>
          <w:rFonts w:ascii="仿宋" w:hAnsi="仿宋" w:eastAsia="仿宋"/>
        </w:rPr>
      </w:pPr>
      <w:bookmarkStart w:id="58"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58"/>
    </w:p>
    <w:p>
      <w:pPr>
        <w:pStyle w:val="4"/>
        <w:rPr>
          <w:rFonts w:ascii="仿宋" w:hAnsi="仿宋" w:eastAsia="仿宋"/>
        </w:rPr>
      </w:pPr>
      <w:bookmarkStart w:id="59" w:name="_Toc15396628"/>
      <w:r>
        <w:rPr>
          <w:rStyle w:val="32"/>
          <w:rFonts w:hint="eastAsia" w:ascii="仿宋" w:hAnsi="仿宋" w:eastAsia="仿宋"/>
          <w:b w:val="0"/>
          <w:bCs w:val="0"/>
        </w:rPr>
        <w:t>十、</w:t>
      </w:r>
      <w:bookmarkEnd w:id="59"/>
      <w:r>
        <w:rPr>
          <w:rFonts w:hint="eastAsia" w:ascii="仿宋" w:hAnsi="仿宋" w:eastAsia="仿宋"/>
          <w:b w:val="0"/>
        </w:rPr>
        <w:t>政</w:t>
      </w:r>
      <w:r>
        <w:rPr>
          <w:rStyle w:val="32"/>
          <w:rFonts w:hint="eastAsia" w:ascii="仿宋" w:hAnsi="仿宋" w:eastAsia="仿宋"/>
          <w:b w:val="0"/>
          <w:bCs w:val="0"/>
        </w:rPr>
        <w:t>府性基金预算财政拨款收入支出决算表</w:t>
      </w:r>
    </w:p>
    <w:p>
      <w:pPr>
        <w:pStyle w:val="4"/>
        <w:rPr>
          <w:rFonts w:ascii="仿宋" w:hAnsi="仿宋" w:eastAsia="仿宋"/>
        </w:rPr>
      </w:pPr>
      <w:bookmarkStart w:id="60" w:name="_Toc15396629"/>
      <w:r>
        <w:rPr>
          <w:rStyle w:val="32"/>
          <w:rFonts w:hint="eastAsia" w:ascii="仿宋" w:hAnsi="仿宋" w:eastAsia="仿宋"/>
          <w:b w:val="0"/>
          <w:bCs w:val="0"/>
        </w:rPr>
        <w:t>十一、</w:t>
      </w:r>
      <w:bookmarkEnd w:id="60"/>
      <w:r>
        <w:rPr>
          <w:rFonts w:hint="eastAsia" w:ascii="仿宋" w:hAnsi="仿宋" w:eastAsia="仿宋"/>
          <w:b w:val="0"/>
        </w:rPr>
        <w:t>国</w:t>
      </w:r>
      <w:r>
        <w:rPr>
          <w:rStyle w:val="32"/>
          <w:rFonts w:hint="eastAsia" w:ascii="仿宋" w:hAnsi="仿宋" w:eastAsia="仿宋"/>
          <w:b w:val="0"/>
          <w:bCs w:val="0"/>
        </w:rPr>
        <w:t>有资本经营预算财政拨款收入支出决算表</w:t>
      </w:r>
    </w:p>
    <w:p>
      <w:pPr>
        <w:pStyle w:val="4"/>
        <w:rPr>
          <w:rFonts w:ascii="仿宋" w:hAnsi="仿宋" w:eastAsia="仿宋"/>
        </w:rPr>
      </w:pPr>
      <w:bookmarkStart w:id="61" w:name="_Toc15396630"/>
      <w:r>
        <w:rPr>
          <w:rStyle w:val="32"/>
          <w:rFonts w:hint="eastAsia" w:ascii="仿宋" w:hAnsi="仿宋" w:eastAsia="仿宋"/>
          <w:b w:val="0"/>
          <w:bCs w:val="0"/>
        </w:rPr>
        <w:t>十二、</w:t>
      </w:r>
      <w:bookmarkEnd w:id="61"/>
      <w:r>
        <w:rPr>
          <w:rStyle w:val="32"/>
          <w:rFonts w:hint="eastAsia" w:ascii="仿宋" w:hAnsi="仿宋" w:eastAsia="仿宋"/>
          <w:b w:val="0"/>
          <w:bCs w:val="0"/>
        </w:rPr>
        <w:t>国有资本经营预算财政拨款支出决算表</w:t>
      </w:r>
    </w:p>
    <w:p>
      <w:pPr>
        <w:pStyle w:val="4"/>
        <w:rPr>
          <w:rFonts w:eastAsia="仿宋"/>
        </w:rPr>
      </w:pPr>
      <w:bookmarkStart w:id="62" w:name="_Toc15396631"/>
      <w:r>
        <w:rPr>
          <w:rStyle w:val="32"/>
          <w:rFonts w:hint="eastAsia" w:ascii="仿宋" w:hAnsi="仿宋" w:eastAsia="仿宋"/>
          <w:b w:val="0"/>
          <w:bCs w:val="0"/>
        </w:rPr>
        <w:t>十三、</w:t>
      </w:r>
      <w:bookmarkEnd w:id="62"/>
      <w:r>
        <w:rPr>
          <w:rStyle w:val="32"/>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583E6"/>
    <w:multiLevelType w:val="singleLevel"/>
    <w:tmpl w:val="AAE583E6"/>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EBEF323"/>
    <w:multiLevelType w:val="singleLevel"/>
    <w:tmpl w:val="DEBEF323"/>
    <w:lvl w:ilvl="0" w:tentative="0">
      <w:start w:val="4"/>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0A9F37EC"/>
    <w:multiLevelType w:val="singleLevel"/>
    <w:tmpl w:val="0A9F37EC"/>
    <w:lvl w:ilvl="0" w:tentative="0">
      <w:start w:val="2"/>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1723908B"/>
    <w:multiLevelType w:val="singleLevel"/>
    <w:tmpl w:val="1723908B"/>
    <w:lvl w:ilvl="0" w:tentative="0">
      <w:start w:val="1"/>
      <w:numFmt w:val="chineseCounting"/>
      <w:suff w:val="nothing"/>
      <w:lvlText w:val="（%1）"/>
      <w:lvlJc w:val="left"/>
      <w:rPr>
        <w:rFonts w:hint="eastAsia"/>
      </w:rPr>
    </w:lvl>
  </w:abstractNum>
  <w:num w:numId="1">
    <w:abstractNumId w:val="0"/>
  </w:num>
  <w:num w:numId="2">
    <w:abstractNumId w:val="6"/>
  </w:num>
  <w:num w:numId="3">
    <w:abstractNumId w:val="1"/>
  </w:num>
  <w:num w:numId="4">
    <w:abstractNumId w:val="3"/>
  </w:num>
  <w:num w:numId="5">
    <w:abstractNumId w:val="4"/>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YTMyNWEyZTJiMjZkNDBkOGQ3NmYxOGQ3MjU2N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2143E91"/>
    <w:rsid w:val="03194A03"/>
    <w:rsid w:val="0351455E"/>
    <w:rsid w:val="04115E30"/>
    <w:rsid w:val="058A40EC"/>
    <w:rsid w:val="060E790E"/>
    <w:rsid w:val="066E0107"/>
    <w:rsid w:val="06734B80"/>
    <w:rsid w:val="07996F6E"/>
    <w:rsid w:val="07E6312F"/>
    <w:rsid w:val="084901E3"/>
    <w:rsid w:val="0A2032A3"/>
    <w:rsid w:val="0B600C0D"/>
    <w:rsid w:val="0B6831E5"/>
    <w:rsid w:val="0DF06AB6"/>
    <w:rsid w:val="0E9658AF"/>
    <w:rsid w:val="0F98263C"/>
    <w:rsid w:val="101860EC"/>
    <w:rsid w:val="10C055FF"/>
    <w:rsid w:val="11071547"/>
    <w:rsid w:val="118107EC"/>
    <w:rsid w:val="120D139F"/>
    <w:rsid w:val="13A10F7E"/>
    <w:rsid w:val="13D50BC4"/>
    <w:rsid w:val="13DA182D"/>
    <w:rsid w:val="157F6648"/>
    <w:rsid w:val="15A54FB8"/>
    <w:rsid w:val="16BB723D"/>
    <w:rsid w:val="16E66CA8"/>
    <w:rsid w:val="196A6C10"/>
    <w:rsid w:val="1BE8440E"/>
    <w:rsid w:val="1CB11BBF"/>
    <w:rsid w:val="1D155CEE"/>
    <w:rsid w:val="1D8900CF"/>
    <w:rsid w:val="1F7946A8"/>
    <w:rsid w:val="1FF35744"/>
    <w:rsid w:val="20BF1705"/>
    <w:rsid w:val="23860B96"/>
    <w:rsid w:val="23BA2A64"/>
    <w:rsid w:val="240371BF"/>
    <w:rsid w:val="291458F7"/>
    <w:rsid w:val="29485CC9"/>
    <w:rsid w:val="29C36A7A"/>
    <w:rsid w:val="29FD04D3"/>
    <w:rsid w:val="2A697EC4"/>
    <w:rsid w:val="2C1E6B6B"/>
    <w:rsid w:val="2C8A61B5"/>
    <w:rsid w:val="2DF04E50"/>
    <w:rsid w:val="2E0A283D"/>
    <w:rsid w:val="2E594427"/>
    <w:rsid w:val="2ECC2760"/>
    <w:rsid w:val="2EE601C9"/>
    <w:rsid w:val="2F040D46"/>
    <w:rsid w:val="319F7F4E"/>
    <w:rsid w:val="3304709D"/>
    <w:rsid w:val="335A208F"/>
    <w:rsid w:val="359C0C08"/>
    <w:rsid w:val="36AA5135"/>
    <w:rsid w:val="376D39B2"/>
    <w:rsid w:val="37E16F03"/>
    <w:rsid w:val="38D01133"/>
    <w:rsid w:val="38D469F0"/>
    <w:rsid w:val="3B41196C"/>
    <w:rsid w:val="3D8A1E0C"/>
    <w:rsid w:val="3D98207C"/>
    <w:rsid w:val="3DC44496"/>
    <w:rsid w:val="3E78745D"/>
    <w:rsid w:val="3FAA26B9"/>
    <w:rsid w:val="3FE94515"/>
    <w:rsid w:val="437454B8"/>
    <w:rsid w:val="44C508C0"/>
    <w:rsid w:val="44E268DA"/>
    <w:rsid w:val="46DD3E96"/>
    <w:rsid w:val="4A033F88"/>
    <w:rsid w:val="4A627F82"/>
    <w:rsid w:val="4AD666AF"/>
    <w:rsid w:val="4B0E749A"/>
    <w:rsid w:val="4B195314"/>
    <w:rsid w:val="4B40275B"/>
    <w:rsid w:val="4B4F25DA"/>
    <w:rsid w:val="4BE068DB"/>
    <w:rsid w:val="4D577224"/>
    <w:rsid w:val="4DE7524B"/>
    <w:rsid w:val="4EAB630A"/>
    <w:rsid w:val="4ECE2238"/>
    <w:rsid w:val="4FA37542"/>
    <w:rsid w:val="50D321B4"/>
    <w:rsid w:val="523D4F0B"/>
    <w:rsid w:val="537E6D0A"/>
    <w:rsid w:val="56064695"/>
    <w:rsid w:val="56574EF1"/>
    <w:rsid w:val="58430054"/>
    <w:rsid w:val="59800E24"/>
    <w:rsid w:val="5AF92295"/>
    <w:rsid w:val="5BC34621"/>
    <w:rsid w:val="5CD71FC4"/>
    <w:rsid w:val="5F6E0988"/>
    <w:rsid w:val="61665F59"/>
    <w:rsid w:val="61D92C5E"/>
    <w:rsid w:val="62F033F2"/>
    <w:rsid w:val="64F772C4"/>
    <w:rsid w:val="67053CB2"/>
    <w:rsid w:val="6AFC3B0D"/>
    <w:rsid w:val="6B174B22"/>
    <w:rsid w:val="6B5834A5"/>
    <w:rsid w:val="6C4A05C8"/>
    <w:rsid w:val="6D1F0443"/>
    <w:rsid w:val="6E7E3605"/>
    <w:rsid w:val="6FF5CC65"/>
    <w:rsid w:val="703025E3"/>
    <w:rsid w:val="715C0E4B"/>
    <w:rsid w:val="72734D90"/>
    <w:rsid w:val="73AD73D5"/>
    <w:rsid w:val="73B6EB34"/>
    <w:rsid w:val="744731E5"/>
    <w:rsid w:val="76E3355F"/>
    <w:rsid w:val="778769C8"/>
    <w:rsid w:val="78767001"/>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customStyle="1" w:styleId="2">
    <w:name w:val="BodyText"/>
    <w:basedOn w:val="1"/>
    <w:qFormat/>
    <w:uiPriority w:val="99"/>
    <w:pPr>
      <w:spacing w:after="120"/>
    </w:p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4"/>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99"/>
    <w:pPr>
      <w:spacing w:beforeAutospacing="1" w:afterAutospacing="1"/>
      <w:jc w:val="left"/>
    </w:pPr>
    <w:rPr>
      <w:kern w:val="0"/>
      <w:sz w:val="24"/>
      <w:szCs w:val="24"/>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Body Text First Indent 21"/>
    <w:basedOn w:val="21"/>
    <w:next w:val="1"/>
    <w:qFormat/>
    <w:uiPriority w:val="99"/>
    <w:pPr>
      <w:ind w:firstLine="420" w:firstLineChars="200"/>
    </w:pPr>
    <w:rPr>
      <w:rFonts w:ascii="Times New Roman" w:eastAsia="宋体" w:cs="Times New Roman"/>
    </w:rPr>
  </w:style>
  <w:style w:type="paragraph" w:customStyle="1" w:styleId="21">
    <w:name w:val="Body Text Indent1"/>
    <w:basedOn w:val="1"/>
    <w:qFormat/>
    <w:uiPriority w:val="99"/>
    <w:pPr>
      <w:spacing w:line="600" w:lineRule="atLeast"/>
      <w:ind w:firstLine="600"/>
    </w:pPr>
    <w:rPr>
      <w:rFonts w:ascii="仿宋_GB2312" w:hAnsi="Times New Roman" w:eastAsia="仿宋_GB2312" w:cs="仿宋_GB2312"/>
      <w:b/>
      <w:bCs/>
      <w:sz w:val="30"/>
      <w:szCs w:val="30"/>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7"/>
    <w:semiHidden/>
    <w:qFormat/>
    <w:uiPriority w:val="99"/>
    <w:rPr>
      <w:rFonts w:ascii="Times New Roman" w:hAnsi="Times New Roman"/>
      <w:sz w:val="18"/>
      <w:szCs w:val="18"/>
    </w:rPr>
  </w:style>
  <w:style w:type="character" w:customStyle="1" w:styleId="24">
    <w:name w:val="页眉 字符"/>
    <w:link w:val="11"/>
    <w:semiHidden/>
    <w:qFormat/>
    <w:locked/>
    <w:uiPriority w:val="99"/>
    <w:rPr>
      <w:sz w:val="18"/>
    </w:rPr>
  </w:style>
  <w:style w:type="character" w:customStyle="1" w:styleId="25">
    <w:name w:val="Footer Char"/>
    <w:basedOn w:val="17"/>
    <w:semiHidden/>
    <w:qFormat/>
    <w:uiPriority w:val="99"/>
    <w:rPr>
      <w:rFonts w:ascii="Times New Roman" w:hAnsi="Times New Roman"/>
      <w:sz w:val="18"/>
      <w:szCs w:val="18"/>
    </w:rPr>
  </w:style>
  <w:style w:type="character" w:customStyle="1" w:styleId="26">
    <w:name w:val="页脚 字符"/>
    <w:link w:val="10"/>
    <w:qFormat/>
    <w:locked/>
    <w:uiPriority w:val="99"/>
    <w:rPr>
      <w:sz w:val="18"/>
    </w:rPr>
  </w:style>
  <w:style w:type="character" w:customStyle="1" w:styleId="27">
    <w:name w:val="Body Text Char"/>
    <w:basedOn w:val="17"/>
    <w:semiHidden/>
    <w:qFormat/>
    <w:uiPriority w:val="99"/>
    <w:rPr>
      <w:rFonts w:ascii="Times New Roman" w:hAnsi="Times New Roman"/>
      <w:szCs w:val="24"/>
    </w:rPr>
  </w:style>
  <w:style w:type="character" w:customStyle="1" w:styleId="28">
    <w:name w:val="正文文本 字符"/>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7"/>
    <w:link w:val="3"/>
    <w:qFormat/>
    <w:uiPriority w:val="9"/>
    <w:rPr>
      <w:rFonts w:ascii="Times New Roman" w:hAnsi="Times New Roman"/>
      <w:b/>
      <w:bCs/>
      <w:kern w:val="44"/>
      <w:sz w:val="44"/>
      <w:szCs w:val="44"/>
    </w:rPr>
  </w:style>
  <w:style w:type="character" w:customStyle="1" w:styleId="32">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7"/>
    <w:link w:val="9"/>
    <w:semiHidden/>
    <w:qFormat/>
    <w:uiPriority w:val="99"/>
    <w:rPr>
      <w:rFonts w:ascii="Times New Roman" w:hAnsi="Times New Roman"/>
      <w:kern w:val="2"/>
      <w:sz w:val="18"/>
      <w:szCs w:val="18"/>
    </w:rPr>
  </w:style>
  <w:style w:type="character" w:customStyle="1" w:styleId="35">
    <w:name w:val="标题 3 字符"/>
    <w:basedOn w:val="17"/>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NormalCharacter"/>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AppData\Local\Temp\360zip$Temp\360$2\&#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AppData\Local\Temp\360zip$Temp\360$2\&#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AppData\Local\Temp\360zip$Temp\360$2\&#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AppData\Local\Temp\360zip$Temp\360$5\&#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AppData\Local\Temp\360zip$Temp\360$5\&#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AppData\Local\Temp\360zip$Temp\360$5\&#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AppData\Local\Temp\360zip$Temp\360$5\&#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869.61</c:v>
                </c:pt>
                <c:pt idx="1">
                  <c:v>761.14</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1</c:v>
                </c:pt>
                <c:pt idx="1">
                  <c:v>0</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869.61</c:v>
                </c:pt>
                <c:pt idx="1">
                  <c:v>761.14</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868.85</c:v>
                </c:pt>
                <c:pt idx="1">
                  <c:v>761.14</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一般公共服务（类）支出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642.77</c:v>
                </c:pt>
                <c:pt idx="1">
                  <c:v>52.7</c:v>
                </c:pt>
                <c:pt idx="2">
                  <c:v>26.36</c:v>
                </c:pt>
                <c:pt idx="3">
                  <c:v>39.32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9.12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22</TotalTime>
  <ScaleCrop>false</ScaleCrop>
  <LinksUpToDate>false</LinksUpToDate>
  <CharactersWithSpaces>8226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Chobi</cp:lastModifiedBy>
  <cp:lastPrinted>2023-07-31T02:35:00Z</cp:lastPrinted>
  <dcterms:modified xsi:type="dcterms:W3CDTF">2023-11-02T03:10:57Z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6B3C912053584738A8DB24378A1A0B9A_12</vt:lpwstr>
  </property>
</Properties>
</file>