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77425"/>
      <w:bookmarkStart w:id="3" w:name="_Toc1539647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598"/>
      <w:bookmarkStart w:id="8" w:name="_Toc15377426"/>
      <w:bookmarkStart w:id="9" w:name="_Toc15377194"/>
      <w:bookmarkStart w:id="10" w:name="_Toc15396476"/>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eastAsia="zh-CN"/>
        </w:rPr>
        <w:t>审计局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3"/>
        <w:adjustRightInd w:val="0"/>
        <w:snapToGrid w:val="0"/>
        <w:spacing w:line="440" w:lineRule="exact"/>
        <w:jc w:val="left"/>
        <w:rPr>
          <w:sz w:val="24"/>
        </w:rPr>
      </w:pPr>
      <w:r>
        <w:rPr>
          <w:rFonts w:hint="eastAsia"/>
          <w:sz w:val="24"/>
        </w:rPr>
        <w:t>一、部门职责及重点</w:t>
      </w:r>
      <w:r>
        <w:rPr>
          <w:sz w:val="24"/>
        </w:rPr>
        <w:t>工作</w:t>
      </w:r>
    </w:p>
    <w:p>
      <w:pPr>
        <w:pStyle w:val="4"/>
        <w:ind w:firstLine="600" w:firstLineChars="250"/>
      </w:pPr>
      <w:r>
        <w:rPr>
          <w:rFonts w:hint="eastAsia" w:ascii="Times New Roman" w:hAnsi="Times New Roman" w:eastAsia="宋体" w:cs="Times New Roman"/>
          <w:b w:val="0"/>
          <w:bCs w:val="0"/>
          <w:sz w:val="24"/>
          <w:szCs w:val="24"/>
        </w:rPr>
        <w:t>(一)部门</w:t>
      </w:r>
      <w:r>
        <w:rPr>
          <w:rFonts w:ascii="Times New Roman" w:hAnsi="Times New Roman" w:eastAsia="宋体" w:cs="Times New Roman"/>
          <w:b w:val="0"/>
          <w:bCs w:val="0"/>
          <w:sz w:val="24"/>
          <w:szCs w:val="24"/>
        </w:rPr>
        <w:t>职责</w:t>
      </w:r>
    </w:p>
    <w:p>
      <w:pPr>
        <w:pStyle w:val="13"/>
        <w:adjustRightInd w:val="0"/>
        <w:snapToGrid w:val="0"/>
        <w:spacing w:line="440" w:lineRule="exact"/>
        <w:jc w:val="left"/>
        <w:rPr>
          <w:rFonts w:ascii="仿宋" w:hAnsi="仿宋" w:eastAsia="仿宋"/>
          <w:sz w:val="24"/>
        </w:rPr>
      </w:pPr>
      <w:r>
        <w:rPr>
          <w:rFonts w:hint="eastAsia"/>
          <w:sz w:val="24"/>
        </w:rPr>
        <w:t>（二）2022年重点工作完成情况</w:t>
      </w:r>
    </w:p>
    <w:p>
      <w:pPr>
        <w:pStyle w:val="13"/>
        <w:adjustRightInd w:val="0"/>
        <w:snapToGrid w:val="0"/>
        <w:spacing w:line="440" w:lineRule="exact"/>
        <w:jc w:val="left"/>
        <w:rPr>
          <w:rFonts w:ascii="仿宋" w:hAnsi="仿宋" w:eastAsia="仿宋" w:cstheme="minorBidi"/>
          <w:sz w:val="24"/>
        </w:rPr>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2022年度部门决算情况说明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pStyle w:val="12"/>
        <w:rPr>
          <w:rFonts w:ascii="仿宋" w:hAnsi="仿宋" w:eastAsia="仿宋"/>
          <w:b/>
          <w:sz w:val="24"/>
        </w:rPr>
      </w:pPr>
      <w:r>
        <w:rPr>
          <w:rFonts w:ascii="仿宋" w:hAnsi="仿宋" w:eastAsia="仿宋"/>
          <w:b/>
          <w:sz w:val="24"/>
        </w:rPr>
        <w:br w:type="page"/>
      </w:r>
    </w:p>
    <w:p/>
    <w:p>
      <w:pPr>
        <w:pStyle w:val="3"/>
        <w:jc w:val="center"/>
        <w:rPr>
          <w:rFonts w:ascii="黑体" w:eastAsia="黑体"/>
          <w:sz w:val="32"/>
          <w:szCs w:val="32"/>
        </w:rPr>
      </w:pPr>
      <w:r>
        <w:rPr>
          <w:rFonts w:hint="eastAsia" w:ascii="黑体" w:hAnsi="黑体" w:eastAsia="黑体"/>
          <w:b w:val="0"/>
        </w:rPr>
        <w:t xml:space="preserve">第一部分 </w:t>
      </w:r>
      <w:r>
        <w:rPr>
          <w:rStyle w:val="36"/>
          <w:rFonts w:hint="eastAsia" w:ascii="黑体" w:hAnsi="黑体" w:eastAsia="黑体"/>
          <w:b w:val="0"/>
          <w:bCs w:val="0"/>
        </w:rPr>
        <w:t>部门单位概况</w:t>
      </w:r>
    </w:p>
    <w:p>
      <w:pPr>
        <w:pStyle w:val="15"/>
      </w:pPr>
    </w:p>
    <w:p/>
    <w:p>
      <w:pPr>
        <w:pStyle w:val="13"/>
        <w:adjustRightInd w:val="0"/>
        <w:snapToGrid w:val="0"/>
        <w:spacing w:line="440" w:lineRule="exact"/>
        <w:jc w:val="left"/>
        <w:rPr>
          <w:rFonts w:hint="eastAsia" w:ascii="黑体" w:hAnsi="黑体" w:eastAsia="黑体" w:cstheme="majorBidi"/>
          <w:b w:val="0"/>
          <w:bCs/>
          <w:kern w:val="2"/>
          <w:sz w:val="32"/>
          <w:szCs w:val="32"/>
          <w:lang w:val="en-US" w:eastAsia="zh-CN" w:bidi="ar-SA"/>
        </w:rPr>
      </w:pPr>
      <w:r>
        <w:rPr>
          <w:rFonts w:hint="eastAsia" w:ascii="黑体" w:hAnsi="黑体" w:eastAsia="黑体" w:cstheme="majorBidi"/>
          <w:b w:val="0"/>
          <w:bCs/>
          <w:kern w:val="2"/>
          <w:sz w:val="32"/>
          <w:szCs w:val="32"/>
          <w:lang w:val="en-US" w:eastAsia="zh-CN" w:bidi="ar-SA"/>
        </w:rPr>
        <w:t>一、部门职责及重点工作</w:t>
      </w:r>
    </w:p>
    <w:p>
      <w:pPr>
        <w:pStyle w:val="13"/>
        <w:adjustRightInd w:val="0"/>
        <w:snapToGrid w:val="0"/>
        <w:spacing w:line="440" w:lineRule="exact"/>
        <w:jc w:val="left"/>
        <w:rPr>
          <w:rFonts w:hint="eastAsia" w:ascii="黑体" w:hAnsi="黑体" w:eastAsia="黑体" w:cstheme="majorBidi"/>
          <w:b w:val="0"/>
          <w:bCs/>
          <w:kern w:val="2"/>
          <w:sz w:val="32"/>
          <w:szCs w:val="32"/>
          <w:lang w:val="en-US" w:eastAsia="zh-CN" w:bidi="ar-SA"/>
        </w:rPr>
      </w:pPr>
    </w:p>
    <w:p>
      <w:pPr>
        <w:pStyle w:val="13"/>
        <w:adjustRightInd w:val="0"/>
        <w:snapToGrid w:val="0"/>
        <w:spacing w:line="440" w:lineRule="exact"/>
        <w:jc w:val="left"/>
        <w:rPr>
          <w:rFonts w:hint="eastAsia" w:ascii="黑体" w:hAnsi="黑体" w:eastAsia="黑体" w:cstheme="majorBidi"/>
          <w:b w:val="0"/>
          <w:bCs/>
          <w:kern w:val="2"/>
          <w:sz w:val="32"/>
          <w:szCs w:val="32"/>
          <w:lang w:val="en-US" w:eastAsia="zh-CN" w:bidi="ar-SA"/>
        </w:rPr>
      </w:pPr>
      <w:r>
        <w:rPr>
          <w:rFonts w:hint="eastAsia" w:ascii="黑体" w:hAnsi="黑体" w:eastAsia="黑体" w:cstheme="majorBidi"/>
          <w:b w:val="0"/>
          <w:bCs/>
          <w:kern w:val="2"/>
          <w:sz w:val="32"/>
          <w:szCs w:val="32"/>
          <w:lang w:val="en-US" w:eastAsia="zh-CN" w:bidi="ar-SA"/>
        </w:rPr>
        <w:t>(一)部门职责</w:t>
      </w:r>
    </w:p>
    <w:p>
      <w:pPr>
        <w:spacing w:line="600" w:lineRule="exact"/>
        <w:ind w:firstLine="640"/>
        <w:rPr>
          <w:rFonts w:hint="eastAsia" w:ascii="仿宋" w:hAnsi="仿宋" w:eastAsia="仿宋" w:cs="Times New Roman"/>
          <w:sz w:val="32"/>
          <w:szCs w:val="32"/>
        </w:rPr>
      </w:pPr>
      <w:bookmarkStart w:id="12" w:name="_Toc15378445"/>
      <w:bookmarkStart w:id="13" w:name="_Toc15377198"/>
      <w:r>
        <w:rPr>
          <w:rFonts w:hint="eastAsia" w:ascii="仿宋" w:hAnsi="仿宋" w:eastAsia="仿宋"/>
          <w:bCs/>
          <w:sz w:val="32"/>
          <w:szCs w:val="32"/>
        </w:rPr>
        <w:t>（一）</w:t>
      </w:r>
      <w:r>
        <w:rPr>
          <w:rFonts w:hint="eastAsia" w:ascii="仿宋" w:hAnsi="仿宋" w:eastAsia="仿宋" w:cs="Times New Roman"/>
          <w:bCs/>
          <w:kern w:val="0"/>
          <w:sz w:val="32"/>
          <w:szCs w:val="32"/>
          <w:lang w:val="en-US" w:eastAsia="zh-CN" w:bidi="ar-SA"/>
        </w:rPr>
        <w:t>主要职能</w:t>
      </w:r>
      <w:r>
        <w:rPr>
          <w:rFonts w:hint="eastAsia" w:ascii="仿宋" w:hAnsi="仿宋" w:eastAsia="仿宋" w:cs="Times New Roman"/>
          <w:sz w:val="32"/>
          <w:szCs w:val="32"/>
        </w:rPr>
        <w:t>。</w:t>
      </w:r>
    </w:p>
    <w:p>
      <w:pPr>
        <w:spacing w:line="600" w:lineRule="exact"/>
        <w:ind w:firstLine="640"/>
        <w:rPr>
          <w:rFonts w:hint="eastAsia" w:ascii="仿宋" w:hAnsi="仿宋" w:eastAsia="仿宋" w:cs="Times New Roman"/>
          <w:bCs/>
          <w:kern w:val="0"/>
          <w:sz w:val="32"/>
          <w:szCs w:val="32"/>
          <w:lang w:val="en-US" w:eastAsia="zh-CN" w:bidi="ar-SA"/>
        </w:rPr>
      </w:pPr>
      <w:r>
        <w:rPr>
          <w:rFonts w:hint="eastAsia" w:ascii="仿宋" w:hAnsi="仿宋" w:eastAsia="仿宋" w:cs="Times New Roman"/>
          <w:sz w:val="32"/>
          <w:szCs w:val="32"/>
          <w:lang w:val="en-US" w:eastAsia="zh-CN"/>
        </w:rPr>
        <w:t>（1）、</w:t>
      </w:r>
      <w:r>
        <w:rPr>
          <w:rFonts w:hint="eastAsia" w:ascii="仿宋" w:hAnsi="仿宋" w:eastAsia="仿宋" w:cs="Times New Roman"/>
          <w:bCs/>
          <w:kern w:val="0"/>
          <w:sz w:val="32"/>
          <w:szCs w:val="32"/>
          <w:lang w:val="en-US" w:eastAsia="zh-CN" w:bidi="ar-SA"/>
        </w:rPr>
        <w:t>主管全县审计工作。负责对县级财政收支和法律法规规定属于审计监督范围的财务收支的真实、合法和效益进行审计监督，对公共资金、国有资产、国有资源和领导干部履行经济责任情况实行全覆盖，对领导干部实行自然资源资产离任审计，对国家、省、市、县有关重大政策措施贯彻落实情况进行跟踪审计。对审计、专项审计调查和核查社会审计机构相关审计报告的结果承担责任，并负有督促被审计单位整改的责任。</w:t>
      </w:r>
    </w:p>
    <w:p>
      <w:pPr>
        <w:spacing w:line="600" w:lineRule="exact"/>
        <w:ind w:firstLine="640"/>
        <w:rPr>
          <w:rFonts w:hint="eastAsia" w:ascii="仿宋" w:hAnsi="仿宋" w:eastAsia="仿宋" w:cs="Times New Roman"/>
          <w:bCs/>
          <w:kern w:val="0"/>
          <w:sz w:val="32"/>
          <w:szCs w:val="32"/>
          <w:lang w:val="en-US" w:eastAsia="zh-CN" w:bidi="ar-SA"/>
        </w:rPr>
      </w:pPr>
      <w:r>
        <w:rPr>
          <w:rFonts w:hint="eastAsia" w:ascii="仿宋" w:hAnsi="仿宋" w:eastAsia="仿宋" w:cs="Times New Roman"/>
          <w:sz w:val="32"/>
          <w:szCs w:val="32"/>
          <w:lang w:val="en-US" w:eastAsia="zh-CN"/>
        </w:rPr>
        <w:t>（2）、</w:t>
      </w:r>
      <w:r>
        <w:rPr>
          <w:rFonts w:hint="eastAsia" w:ascii="仿宋" w:hAnsi="仿宋" w:eastAsia="仿宋" w:cs="Times New Roman"/>
          <w:bCs/>
          <w:kern w:val="0"/>
          <w:sz w:val="32"/>
          <w:szCs w:val="32"/>
          <w:lang w:val="en-US" w:eastAsia="zh-CN" w:bidi="ar-SA"/>
        </w:rPr>
        <w:t>贯彻执行国家有关审计工作的方针政策和法律法规。</w:t>
      </w:r>
    </w:p>
    <w:p>
      <w:pPr>
        <w:spacing w:line="600" w:lineRule="exact"/>
        <w:ind w:firstLine="640"/>
        <w:rPr>
          <w:rFonts w:hint="eastAsia" w:ascii="仿宋" w:hAnsi="仿宋" w:eastAsia="仿宋" w:cs="Times New Roman"/>
          <w:bCs/>
          <w:kern w:val="0"/>
          <w:sz w:val="32"/>
          <w:szCs w:val="32"/>
          <w:lang w:val="en-US" w:eastAsia="zh-CN" w:bidi="ar-SA"/>
        </w:rPr>
      </w:pPr>
      <w:r>
        <w:rPr>
          <w:rFonts w:hint="eastAsia" w:ascii="仿宋" w:hAnsi="仿宋" w:eastAsia="仿宋" w:cs="Times New Roman"/>
          <w:sz w:val="32"/>
          <w:szCs w:val="32"/>
          <w:lang w:val="en-US" w:eastAsia="zh-CN"/>
        </w:rPr>
        <w:t>（3）、</w:t>
      </w:r>
      <w:r>
        <w:rPr>
          <w:rFonts w:hint="eastAsia" w:ascii="仿宋" w:hAnsi="仿宋" w:eastAsia="仿宋" w:cs="Times New Roman"/>
          <w:bCs/>
          <w:kern w:val="0"/>
          <w:sz w:val="32"/>
          <w:szCs w:val="32"/>
          <w:lang w:val="en-US" w:eastAsia="zh-CN" w:bidi="ar-SA"/>
        </w:rPr>
        <w:t>向县委审计委员会提出年度县级预算执行和其他财政支出情况审计报告。</w:t>
      </w:r>
    </w:p>
    <w:p>
      <w:pPr>
        <w:spacing w:line="600" w:lineRule="exact"/>
        <w:ind w:firstLine="640"/>
        <w:rPr>
          <w:rFonts w:hint="eastAsia" w:ascii="仿宋" w:hAnsi="仿宋" w:eastAsia="仿宋" w:cs="Times New Roman"/>
          <w:bCs/>
          <w:kern w:val="0"/>
          <w:sz w:val="32"/>
          <w:szCs w:val="32"/>
          <w:lang w:val="en-US" w:eastAsia="zh-CN" w:bidi="ar-SA"/>
        </w:rPr>
      </w:pPr>
      <w:r>
        <w:rPr>
          <w:rFonts w:hint="eastAsia" w:ascii="仿宋" w:hAnsi="仿宋" w:eastAsia="仿宋" w:cs="Times New Roman"/>
          <w:sz w:val="32"/>
          <w:szCs w:val="32"/>
          <w:lang w:val="en-US" w:eastAsia="zh-CN"/>
        </w:rPr>
        <w:t>（4）、</w:t>
      </w:r>
      <w:r>
        <w:rPr>
          <w:rFonts w:hint="eastAsia" w:ascii="仿宋" w:hAnsi="仿宋" w:eastAsia="仿宋" w:cs="Times New Roman"/>
          <w:bCs/>
          <w:kern w:val="0"/>
          <w:sz w:val="32"/>
          <w:szCs w:val="32"/>
          <w:lang w:val="en-US" w:eastAsia="zh-CN" w:bidi="ar-SA"/>
        </w:rPr>
        <w:t>直接审计下列事项，出具审计报告，在法定职权房屋内作出审计决定，包括国家、省、市、县有关重大政策措施贯彻落实情况。</w:t>
      </w:r>
    </w:p>
    <w:p>
      <w:pPr>
        <w:spacing w:line="600" w:lineRule="exact"/>
        <w:ind w:firstLine="64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w:t>
      </w:r>
      <w:r>
        <w:rPr>
          <w:rFonts w:hint="eastAsia" w:ascii="仿宋" w:hAnsi="仿宋" w:eastAsia="仿宋" w:cs="Times New Roman"/>
          <w:bCs/>
          <w:kern w:val="0"/>
          <w:sz w:val="32"/>
          <w:szCs w:val="32"/>
          <w:lang w:val="en-US" w:eastAsia="zh-CN" w:bidi="ar-SA"/>
        </w:rPr>
        <w:t>按规定对县管党政主要领导干部及其他单位主要负责人实施经济责任审计和自然资源资产离任审计。</w:t>
      </w:r>
    </w:p>
    <w:p>
      <w:pPr>
        <w:spacing w:line="600" w:lineRule="exact"/>
        <w:ind w:firstLine="640"/>
        <w:rPr>
          <w:rFonts w:hint="eastAsia" w:ascii="仿宋" w:hAnsi="仿宋" w:eastAsia="仿宋" w:cs="Times New Roman"/>
          <w:bCs/>
          <w:kern w:val="0"/>
          <w:sz w:val="32"/>
          <w:szCs w:val="32"/>
          <w:lang w:val="en-US" w:eastAsia="zh-CN" w:bidi="ar-SA"/>
        </w:rPr>
      </w:pPr>
      <w:r>
        <w:rPr>
          <w:rFonts w:hint="eastAsia" w:ascii="仿宋" w:hAnsi="仿宋" w:eastAsia="仿宋" w:cs="Times New Roman"/>
          <w:sz w:val="32"/>
          <w:szCs w:val="32"/>
          <w:lang w:val="en-US" w:eastAsia="zh-CN"/>
        </w:rPr>
        <w:t>（6）、</w:t>
      </w:r>
      <w:r>
        <w:rPr>
          <w:rFonts w:hint="eastAsia" w:ascii="仿宋" w:hAnsi="仿宋" w:eastAsia="仿宋" w:cs="Times New Roman"/>
          <w:bCs/>
          <w:kern w:val="0"/>
          <w:sz w:val="32"/>
          <w:szCs w:val="32"/>
          <w:lang w:val="en-US" w:eastAsia="zh-CN" w:bidi="ar-SA"/>
        </w:rPr>
        <w:t>组织实施对国家财经法律法规、规章、政策和宏观调控措施执行情况、财政预算管理及国有资产管理使用等与县级财政收支有关的特定事项进行专项审计调查。</w:t>
      </w:r>
    </w:p>
    <w:p>
      <w:pPr>
        <w:spacing w:line="600" w:lineRule="exact"/>
        <w:ind w:firstLine="640"/>
        <w:rPr>
          <w:rFonts w:hint="eastAsia" w:ascii="仿宋" w:hAnsi="仿宋" w:eastAsia="仿宋" w:cs="Times New Roman"/>
          <w:bCs/>
          <w:kern w:val="0"/>
          <w:sz w:val="32"/>
          <w:szCs w:val="32"/>
          <w:lang w:val="en-US" w:eastAsia="zh-CN" w:bidi="ar-SA"/>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lang w:eastAsia="zh-CN"/>
        </w:rPr>
        <w:t>）、</w:t>
      </w:r>
      <w:r>
        <w:rPr>
          <w:rFonts w:hint="eastAsia" w:ascii="仿宋" w:hAnsi="仿宋" w:eastAsia="仿宋" w:cs="Times New Roman"/>
          <w:bCs/>
          <w:kern w:val="0"/>
          <w:sz w:val="32"/>
          <w:szCs w:val="32"/>
          <w:lang w:val="en-US" w:eastAsia="zh-CN" w:bidi="ar-SA"/>
        </w:rPr>
        <w:t>依法检查审计决定执行情况，督促整改审计查出的问题，依法办理被审计单位对审计决定提请行政复议、行政诉讼或县政府裁决中的有关事项，协助配合有关部门查处相关重大案件。</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lang w:eastAsia="zh-CN"/>
        </w:rPr>
        <w:t>）、</w:t>
      </w:r>
      <w:r>
        <w:rPr>
          <w:rFonts w:hint="eastAsia" w:ascii="仿宋" w:hAnsi="仿宋" w:eastAsia="仿宋" w:cs="Times New Roman"/>
          <w:bCs/>
          <w:kern w:val="0"/>
          <w:sz w:val="32"/>
          <w:szCs w:val="32"/>
          <w:lang w:val="en-US" w:eastAsia="zh-CN" w:bidi="ar-SA"/>
        </w:rPr>
        <w:t>指导和监督内部审计工作，核查社会审计机构对依法属于审计监督对象的单位出具的相关审计报告。</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lang w:eastAsia="zh-CN"/>
        </w:rPr>
        <w:t>）、</w:t>
      </w:r>
      <w:r>
        <w:rPr>
          <w:rFonts w:hint="eastAsia" w:ascii="仿宋" w:hAnsi="仿宋" w:eastAsia="仿宋" w:cs="Times New Roman"/>
          <w:bCs/>
          <w:kern w:val="0"/>
          <w:sz w:val="32"/>
          <w:szCs w:val="32"/>
          <w:lang w:val="en-US" w:eastAsia="zh-CN" w:bidi="ar-SA"/>
        </w:rPr>
        <w:t>组织开展审计领域内的国际交流与合作。</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10</w:t>
      </w:r>
      <w:r>
        <w:rPr>
          <w:rFonts w:hint="eastAsia" w:ascii="仿宋" w:hAnsi="仿宋" w:eastAsia="仿宋" w:cs="Times New Roman"/>
          <w:sz w:val="32"/>
          <w:szCs w:val="32"/>
          <w:lang w:eastAsia="zh-CN"/>
        </w:rPr>
        <w:t>）、</w:t>
      </w:r>
      <w:r>
        <w:rPr>
          <w:rFonts w:hint="eastAsia" w:ascii="仿宋" w:hAnsi="仿宋" w:eastAsia="仿宋" w:cs="Times New Roman"/>
          <w:bCs/>
          <w:kern w:val="0"/>
          <w:sz w:val="32"/>
          <w:szCs w:val="32"/>
          <w:lang w:val="en-US" w:eastAsia="zh-CN" w:bidi="ar-SA"/>
        </w:rPr>
        <w:t>负责职责范围内的安全生产和职业健康、生态环境保护、审批服务便民化等工作。</w:t>
      </w:r>
    </w:p>
    <w:p>
      <w:pPr>
        <w:spacing w:line="600" w:lineRule="exact"/>
        <w:ind w:firstLine="64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11</w:t>
      </w:r>
      <w:r>
        <w:rPr>
          <w:rFonts w:hint="eastAsia" w:ascii="仿宋" w:hAnsi="仿宋" w:eastAsia="仿宋" w:cs="Times New Roman"/>
          <w:sz w:val="32"/>
          <w:szCs w:val="32"/>
          <w:lang w:eastAsia="zh-CN"/>
        </w:rPr>
        <w:t>）、</w:t>
      </w:r>
      <w:r>
        <w:rPr>
          <w:rFonts w:hint="eastAsia" w:ascii="仿宋" w:hAnsi="仿宋" w:eastAsia="仿宋" w:cs="Times New Roman"/>
          <w:bCs/>
          <w:kern w:val="0"/>
          <w:sz w:val="32"/>
          <w:szCs w:val="32"/>
          <w:lang w:val="en-US" w:eastAsia="zh-CN" w:bidi="ar-SA"/>
        </w:rPr>
        <w:t>完成县委、县政府交办的其他任务。</w:t>
      </w:r>
    </w:p>
    <w:p>
      <w:pPr>
        <w:spacing w:line="600" w:lineRule="exact"/>
        <w:ind w:firstLine="640"/>
        <w:rPr>
          <w:rFonts w:hint="default" w:ascii="仿宋" w:hAnsi="仿宋" w:eastAsia="仿宋" w:cs="Times New Roman"/>
          <w:bCs/>
          <w:kern w:val="0"/>
          <w:sz w:val="32"/>
          <w:szCs w:val="32"/>
          <w:lang w:val="en-US" w:eastAsia="zh-CN" w:bidi="ar-SA"/>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12</w:t>
      </w:r>
      <w:r>
        <w:rPr>
          <w:rFonts w:hint="eastAsia" w:ascii="仿宋" w:hAnsi="仿宋" w:eastAsia="仿宋" w:cs="Times New Roman"/>
          <w:sz w:val="32"/>
          <w:szCs w:val="32"/>
          <w:lang w:eastAsia="zh-CN"/>
        </w:rPr>
        <w:t>）、</w:t>
      </w:r>
      <w:r>
        <w:rPr>
          <w:rFonts w:hint="eastAsia" w:ascii="仿宋" w:hAnsi="仿宋" w:eastAsia="仿宋" w:cs="Times New Roman"/>
          <w:bCs/>
          <w:kern w:val="0"/>
          <w:sz w:val="32"/>
          <w:szCs w:val="32"/>
          <w:lang w:val="en-US" w:eastAsia="zh-CN" w:bidi="ar-SA"/>
        </w:rPr>
        <w:t>职能转变。</w:t>
      </w:r>
    </w:p>
    <w:bookmarkEnd w:id="12"/>
    <w:bookmarkEnd w:id="13"/>
    <w:p>
      <w:pPr>
        <w:pStyle w:val="13"/>
        <w:adjustRightInd w:val="0"/>
        <w:snapToGrid w:val="0"/>
        <w:spacing w:line="440" w:lineRule="exact"/>
        <w:jc w:val="left"/>
        <w:rPr>
          <w:rFonts w:hint="eastAsia" w:ascii="黑体" w:hAnsi="黑体" w:eastAsia="黑体" w:cstheme="majorBidi"/>
          <w:b w:val="0"/>
          <w:bCs/>
          <w:kern w:val="2"/>
          <w:sz w:val="32"/>
          <w:szCs w:val="32"/>
          <w:lang w:val="en-US" w:eastAsia="zh-CN" w:bidi="ar-SA"/>
        </w:rPr>
      </w:pPr>
    </w:p>
    <w:p>
      <w:pPr>
        <w:pStyle w:val="13"/>
        <w:adjustRightInd w:val="0"/>
        <w:snapToGrid w:val="0"/>
        <w:spacing w:line="440" w:lineRule="exact"/>
        <w:jc w:val="left"/>
        <w:rPr>
          <w:rFonts w:hint="eastAsia" w:ascii="Times New Roman" w:hAnsi="Times New Roman" w:eastAsia="宋体" w:cs="Times New Roman"/>
          <w:b w:val="0"/>
          <w:kern w:val="2"/>
          <w:sz w:val="24"/>
          <w:szCs w:val="24"/>
          <w:lang w:val="en-US" w:eastAsia="zh-CN" w:bidi="ar-SA"/>
        </w:rPr>
      </w:pPr>
      <w:r>
        <w:rPr>
          <w:rFonts w:hint="eastAsia" w:ascii="黑体" w:hAnsi="黑体" w:eastAsia="黑体" w:cstheme="majorBidi"/>
          <w:b w:val="0"/>
          <w:bCs/>
          <w:kern w:val="2"/>
          <w:sz w:val="32"/>
          <w:szCs w:val="32"/>
          <w:lang w:val="en-US" w:eastAsia="zh-CN" w:bidi="ar-SA"/>
        </w:rPr>
        <w:t>（二）2022年重点工作完成情况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坚持以习近平新时代中国特色社会主义思想为指导，增强“四个意识”、坚定“四个自信”、做到“两个维护”，深入学习领会十九届六中全会精神，把贯彻落实习近平总书记对审计工作的重要论述与剑阁县“1233”执政兴县引领高质量发展相结合，结合“十四五”经济发展规划，衔接好2022年审计工作。紧盯住房、教育、医疗、生态环境和乡村振兴等民生审计实事，重点关注国家各项政策执行成效和难点堵点，坚持促进发展，依法履行审计监督职责，做好“研究型”审计，提出审计建议为县委县政府管理和领导决策提供参考依据，当好合格参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主要开展以下方面工作：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1、中央和省市县重大政策措施落实情况跟踪审计（交通局、经济合作事务中心等单位）。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2、县财政局2021年度财政预算执行及决算（草案）编制审计。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3、县发展和改革局2021年度部门预算执行审计。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4、县乡村振兴局2021年度部门预算执行审计。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5、利州区耕地保护政策落实情况专项审计调查。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6、农村人居环境整治相关政策和资金专项审计调查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7、县发展和改革局履行政府投资宏观管理职责情况审计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8、剑阁县脱贫攻坚和乡村振兴项目建设单位履行竣工决（结）算办理职责情况专项审计调查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9、剑阁县鹤龄镇原党委书记李云辅同志自然资源资产离任（任中）审计。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10、原剑阁县扶贫开发局党组书记、局长郑东方同志经济责任审计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11、剑阁县鹤龄镇原党委书记李云辅同志、镇长苟绍强同志经济责任审计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12、剑阁县剑门关小学校2021年度财务收支审计。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13、剑阁县木马镇卫生院门诊综合楼竣工决算审计。</w:t>
      </w:r>
    </w:p>
    <w:p>
      <w:pPr>
        <w:pStyle w:val="13"/>
        <w:adjustRightInd w:val="0"/>
        <w:snapToGrid w:val="0"/>
        <w:spacing w:line="440" w:lineRule="exact"/>
        <w:jc w:val="left"/>
        <w:rPr>
          <w:rFonts w:hint="eastAsia" w:ascii="Times New Roman" w:hAnsi="Times New Roman" w:eastAsia="宋体" w:cs="Times New Roman"/>
          <w:b w:val="0"/>
          <w:kern w:val="2"/>
          <w:sz w:val="24"/>
          <w:szCs w:val="24"/>
          <w:lang w:val="en-US" w:eastAsia="zh-CN" w:bidi="ar-SA"/>
        </w:rPr>
      </w:pPr>
      <w:r>
        <w:rPr>
          <w:rFonts w:hint="eastAsia" w:ascii="黑体" w:hAnsi="黑体" w:eastAsia="黑体" w:cstheme="majorBidi"/>
          <w:b w:val="0"/>
          <w:bCs/>
          <w:kern w:val="2"/>
          <w:sz w:val="32"/>
          <w:szCs w:val="32"/>
          <w:lang w:val="en-US" w:eastAsia="zh-CN" w:bidi="ar-SA"/>
        </w:rPr>
        <w:t>二、机构设置</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剑阁县审计局无下属二级单位，其中行政单位1个，参照公务员法管理的事业单位1个（正科级），其他事业单位1个。纳入剑阁县审计局2022年度部门决算编制范围的决算单位包括：</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1、剑阁县审计局</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2、剑阁县财政监督检查事务中心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Times New Roman"/>
          <w:b w:val="0"/>
        </w:rPr>
      </w:pPr>
      <w:r>
        <w:rPr>
          <w:rFonts w:hint="eastAsia" w:ascii="仿宋" w:hAnsi="仿宋" w:eastAsia="仿宋" w:cs="Times New Roman"/>
          <w:b w:val="0"/>
          <w:bCs/>
          <w:kern w:val="0"/>
          <w:sz w:val="32"/>
          <w:szCs w:val="32"/>
          <w:lang w:val="en-US" w:eastAsia="zh-CN" w:bidi="ar-SA"/>
        </w:rPr>
        <w:t>3、剑阁县政府投资审计中心</w:t>
      </w:r>
    </w:p>
    <w:p>
      <w:pPr>
        <w:pStyle w:val="3"/>
        <w:ind w:right="440"/>
        <w:jc w:val="both"/>
        <w:rPr>
          <w:rFonts w:hint="eastAsia" w:ascii="黑体" w:hAnsi="黑体" w:eastAsia="黑体" w:cs="Times New Roman"/>
          <w:b w:val="0"/>
        </w:rPr>
      </w:pPr>
    </w:p>
    <w:p>
      <w:pPr>
        <w:pStyle w:val="3"/>
        <w:ind w:right="440"/>
        <w:jc w:val="both"/>
        <w:rPr>
          <w:rFonts w:hint="eastAsia" w:ascii="黑体" w:hAnsi="黑体" w:eastAsia="黑体" w:cs="Times New Roman"/>
          <w:b w:val="0"/>
        </w:rPr>
      </w:pPr>
    </w:p>
    <w:p>
      <w:pPr>
        <w:pStyle w:val="3"/>
        <w:ind w:right="440"/>
        <w:jc w:val="both"/>
        <w:rPr>
          <w:rFonts w:hint="eastAsia" w:ascii="黑体" w:hAnsi="黑体" w:eastAsia="黑体" w:cs="Times New Roman"/>
          <w:b w:val="0"/>
        </w:rPr>
      </w:pPr>
    </w:p>
    <w:p>
      <w:pPr>
        <w:pStyle w:val="3"/>
        <w:ind w:right="440"/>
        <w:jc w:val="both"/>
        <w:rPr>
          <w:rFonts w:hint="eastAsia" w:ascii="黑体" w:hAnsi="黑体" w:eastAsia="黑体" w:cs="Times New Roman"/>
          <w:b w:val="0"/>
        </w:rPr>
      </w:pPr>
    </w:p>
    <w:p>
      <w:pPr>
        <w:pStyle w:val="3"/>
        <w:ind w:right="440"/>
        <w:jc w:val="both"/>
        <w:rPr>
          <w:rFonts w:hint="eastAsia" w:ascii="黑体" w:hAnsi="黑体" w:eastAsia="黑体" w:cs="Times New Roman"/>
          <w:b w:val="0"/>
        </w:rPr>
      </w:pPr>
    </w:p>
    <w:p>
      <w:pPr>
        <w:pStyle w:val="3"/>
        <w:ind w:right="440"/>
        <w:jc w:val="both"/>
        <w:rPr>
          <w:rFonts w:hint="eastAsia" w:ascii="黑体" w:hAnsi="黑体" w:eastAsia="黑体" w:cs="Times New Roman"/>
          <w:b w:val="0"/>
        </w:rPr>
      </w:pPr>
    </w:p>
    <w:p>
      <w:pPr>
        <w:pStyle w:val="3"/>
        <w:ind w:right="440"/>
        <w:jc w:val="both"/>
        <w:rPr>
          <w:rFonts w:hint="eastAsia" w:ascii="黑体" w:hAnsi="黑体" w:eastAsia="黑体" w:cs="Times New Roman"/>
          <w:b w:val="0"/>
        </w:rPr>
      </w:pPr>
    </w:p>
    <w:p>
      <w:pPr>
        <w:pStyle w:val="3"/>
        <w:ind w:right="440"/>
        <w:jc w:val="both"/>
        <w:rPr>
          <w:rFonts w:hint="eastAsia" w:ascii="黑体" w:hAnsi="黑体" w:eastAsia="黑体" w:cs="Times New Roman"/>
          <w:b w:val="0"/>
        </w:rPr>
      </w:pPr>
    </w:p>
    <w:p>
      <w:pPr>
        <w:rPr>
          <w:rFonts w:hint="eastAsia" w:ascii="黑体" w:hAnsi="黑体" w:eastAsia="黑体" w:cs="Times New Roman"/>
          <w:b w:val="0"/>
        </w:rPr>
      </w:pPr>
    </w:p>
    <w:p>
      <w:pPr>
        <w:pStyle w:val="2"/>
        <w:rPr>
          <w:rFonts w:hint="eastAsia"/>
        </w:rPr>
      </w:pPr>
    </w:p>
    <w:p>
      <w:pPr>
        <w:pStyle w:val="3"/>
        <w:ind w:right="440"/>
        <w:jc w:val="both"/>
        <w:rPr>
          <w:rFonts w:hint="eastAsia" w:ascii="黑体" w:hAnsi="黑体" w:eastAsia="黑体" w:cs="Times New Roman"/>
          <w:b w:val="0"/>
        </w:rPr>
      </w:pPr>
      <w:r>
        <w:rPr>
          <w:rFonts w:hint="eastAsia" w:ascii="黑体" w:hAnsi="黑体" w:eastAsia="黑体" w:cs="Times New Roman"/>
          <w:b w:val="0"/>
        </w:rPr>
        <w:t>第二部分 2022年度部门决算情况说明</w:t>
      </w:r>
    </w:p>
    <w:p>
      <w:pPr>
        <w:pStyle w:val="13"/>
        <w:adjustRightInd w:val="0"/>
        <w:snapToGrid w:val="0"/>
        <w:spacing w:line="440" w:lineRule="exact"/>
        <w:jc w:val="left"/>
        <w:rPr>
          <w:rFonts w:hint="eastAsia"/>
          <w:sz w:val="24"/>
        </w:rPr>
      </w:pPr>
      <w:r>
        <w:rPr>
          <w:rFonts w:hint="eastAsia" w:ascii="黑体" w:hAnsi="黑体" w:eastAsia="黑体" w:cs="Times New Roman"/>
          <w:kern w:val="2"/>
          <w:sz w:val="32"/>
          <w:szCs w:val="32"/>
          <w:lang w:val="en-US" w:eastAsia="zh-CN" w:bidi="ar-SA"/>
        </w:rPr>
        <w:t>一、收入支出决算总体情况说明</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kern w:val="2"/>
          <w:sz w:val="32"/>
          <w:szCs w:val="32"/>
          <w:lang w:val="en-US" w:eastAsia="zh-CN" w:bidi="ar-SA"/>
        </w:rPr>
      </w:pPr>
      <w:r>
        <w:rPr>
          <w:rFonts w:hint="eastAsia" w:ascii="仿宋" w:hAnsi="仿宋" w:eastAsia="仿宋" w:cs="Times New Roman"/>
          <w:b w:val="0"/>
          <w:kern w:val="2"/>
          <w:sz w:val="32"/>
          <w:szCs w:val="32"/>
          <w:lang w:val="en-US" w:eastAsia="zh-CN" w:bidi="ar-SA"/>
        </w:rPr>
        <w:t>2022年度收、支总计538.43万元。与2021年相比，收、支总计各减少160.61万元，下降22.98%。主要变动原因是项目资金减少。</w:t>
      </w:r>
    </w:p>
    <w:p>
      <w:pPr>
        <w:pStyle w:val="13"/>
        <w:adjustRightInd w:val="0"/>
        <w:snapToGrid w:val="0"/>
        <w:spacing w:line="440" w:lineRule="exact"/>
        <w:jc w:val="lef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二、收入决算情况说明</w:t>
      </w:r>
    </w:p>
    <w:p>
      <w:pPr>
        <w:spacing w:line="600" w:lineRule="exact"/>
        <w:ind w:firstLine="640" w:firstLineChars="200"/>
        <w:outlineLvl w:val="1"/>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2022年本年收入合计538.43万元，其中：一般公共预算财政拨款收入538.43万元，占100%。政府性基金预算财政拨款收入0万元，占0%；国有资本经营预算财政拨款收入0万元，占0%；上级补助收入0万元，占0%；事业收入0万元，占0%；经营收入0万元，占0%；附属单位上缴收入0万元，占0%；其他收入0万元，占0%。</w:t>
      </w:r>
    </w:p>
    <w:p>
      <w:pPr>
        <w:pStyle w:val="13"/>
        <w:adjustRightInd w:val="0"/>
        <w:snapToGrid w:val="0"/>
        <w:spacing w:line="440" w:lineRule="exact"/>
        <w:jc w:val="lef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三、支出决算情况说明</w:t>
      </w:r>
    </w:p>
    <w:p>
      <w:pPr>
        <w:spacing w:line="600" w:lineRule="exact"/>
        <w:ind w:firstLine="640" w:firstLineChars="200"/>
        <w:outlineLvl w:val="1"/>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2022年本年支出合计538.43万元，其中：基本支出538.43万元，占100%；项目支出0万元，占0%。上缴上级支出0万元，占0%；经营支出0万元，占0%；对附属单位补助支出0万元，占0%。</w:t>
      </w:r>
    </w:p>
    <w:p>
      <w:pPr>
        <w:numPr>
          <w:ilvl w:val="0"/>
          <w:numId w:val="0"/>
        </w:numPr>
        <w:ind w:leftChars="200"/>
      </w:pPr>
    </w:p>
    <w:p>
      <w:pPr>
        <w:pStyle w:val="13"/>
        <w:adjustRightInd w:val="0"/>
        <w:snapToGrid w:val="0"/>
        <w:spacing w:line="440" w:lineRule="exact"/>
        <w:jc w:val="lef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四、财政拨款收入支出决算总体情况说明</w:t>
      </w:r>
    </w:p>
    <w:p>
      <w:pPr>
        <w:spacing w:line="600" w:lineRule="exact"/>
        <w:ind w:firstLine="640" w:firstLineChars="200"/>
        <w:rPr>
          <w:rFonts w:hint="eastAsia"/>
          <w:sz w:val="24"/>
        </w:rPr>
      </w:pPr>
      <w:r>
        <w:rPr>
          <w:rFonts w:hint="eastAsia" w:ascii="仿宋" w:hAnsi="仿宋" w:eastAsia="仿宋" w:cs="Times New Roman"/>
          <w:sz w:val="32"/>
          <w:szCs w:val="32"/>
          <w:lang w:val="en-US" w:eastAsia="zh-CN"/>
        </w:rPr>
        <w:t>2022年财政拨款收、支总计538.43万元。与2021年相比，财政拨款收、支总计各减少160.61万元，下降22.98%。主要变动原因是项目资金减少。</w:t>
      </w:r>
    </w:p>
    <w:p>
      <w:pPr>
        <w:pStyle w:val="13"/>
        <w:adjustRightInd w:val="0"/>
        <w:snapToGrid w:val="0"/>
        <w:spacing w:line="440" w:lineRule="exact"/>
        <w:jc w:val="lef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五、一般公共预算财政拨款支出决算情况说明</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2022年一般公共预算财政拨款支出538.43万元，占本年支出合计的100%。与2021年相比，一般公共预算财政拨款支出减少160.61万元，下降22.98%。主要变动原因是项目资金减少。</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p>
    <w:p>
      <w:pPr>
        <w:spacing w:line="600" w:lineRule="exact"/>
        <w:ind w:firstLine="64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2022年一般公共预算财政拨款支出538.43万元，主要用于以下方面:</w:t>
      </w:r>
      <w:r>
        <w:rPr>
          <w:rFonts w:hint="eastAsia" w:ascii="仿宋" w:hAnsi="仿宋" w:eastAsia="仿宋"/>
          <w:b/>
          <w:sz w:val="32"/>
          <w:szCs w:val="32"/>
        </w:rPr>
        <w:t>一般公共服务（类）</w:t>
      </w:r>
      <w:r>
        <w:rPr>
          <w:rFonts w:hint="eastAsia" w:ascii="仿宋" w:hAnsi="仿宋" w:eastAsia="仿宋" w:cs="Times New Roman"/>
          <w:sz w:val="32"/>
          <w:szCs w:val="32"/>
          <w:lang w:val="en-US" w:eastAsia="zh-CN"/>
        </w:rPr>
        <w:t>支出454.03万元，占84.32%；</w:t>
      </w:r>
      <w:r>
        <w:rPr>
          <w:rFonts w:hint="eastAsia" w:ascii="仿宋" w:hAnsi="仿宋" w:eastAsia="仿宋"/>
          <w:b/>
          <w:sz w:val="32"/>
          <w:szCs w:val="32"/>
        </w:rPr>
        <w:t>社会保障和就业（类）</w:t>
      </w:r>
      <w:r>
        <w:rPr>
          <w:rFonts w:hint="eastAsia" w:ascii="仿宋" w:hAnsi="仿宋" w:eastAsia="仿宋" w:cs="Times New Roman"/>
          <w:sz w:val="32"/>
          <w:szCs w:val="32"/>
          <w:lang w:val="en-US" w:eastAsia="zh-CN"/>
        </w:rPr>
        <w:t>支出37.51万元，占6.97%；</w:t>
      </w:r>
      <w:r>
        <w:rPr>
          <w:rFonts w:hint="eastAsia" w:ascii="仿宋" w:hAnsi="仿宋" w:eastAsia="仿宋"/>
          <w:b/>
          <w:bCs/>
          <w:sz w:val="32"/>
          <w:szCs w:val="32"/>
        </w:rPr>
        <w:t>卫生健康</w:t>
      </w:r>
      <w:r>
        <w:rPr>
          <w:rFonts w:hint="eastAsia" w:ascii="仿宋" w:hAnsi="仿宋" w:eastAsia="仿宋" w:cs="Times New Roman"/>
          <w:sz w:val="32"/>
          <w:szCs w:val="32"/>
          <w:lang w:val="en-US" w:eastAsia="zh-CN"/>
        </w:rPr>
        <w:t>支出18.75万元，占3.48%；住房保障支出28.13万元，占5.22%。</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538.43万元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p>
    <w:p>
      <w:pPr>
        <w:spacing w:line="600" w:lineRule="exact"/>
        <w:ind w:firstLine="643" w:firstLineChars="200"/>
        <w:rPr>
          <w:rFonts w:hint="eastAsia" w:ascii="仿宋" w:hAnsi="仿宋" w:eastAsia="仿宋" w:cs="Times New Roman"/>
          <w:sz w:val="32"/>
          <w:szCs w:val="32"/>
          <w:lang w:val="en-US" w:eastAsia="zh-CN"/>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Fonts w:hint="eastAsia" w:ascii="仿宋" w:hAnsi="仿宋" w:eastAsia="仿宋" w:cs="Times New Roman"/>
          <w:sz w:val="32"/>
          <w:szCs w:val="32"/>
          <w:lang w:val="en-US" w:eastAsia="zh-CN"/>
        </w:rPr>
        <w:t>审计事务</w:t>
      </w:r>
      <w:r>
        <w:rPr>
          <w:rStyle w:val="18"/>
          <w:rFonts w:hint="eastAsia" w:ascii="仿宋" w:hAnsi="仿宋" w:eastAsia="仿宋"/>
          <w:bCs/>
          <w:sz w:val="32"/>
          <w:szCs w:val="32"/>
        </w:rPr>
        <w:t>（款）</w:t>
      </w:r>
      <w:r>
        <w:rPr>
          <w:rFonts w:hint="eastAsia" w:ascii="仿宋" w:hAnsi="仿宋" w:eastAsia="仿宋" w:cs="Times New Roman"/>
          <w:sz w:val="32"/>
          <w:szCs w:val="32"/>
          <w:lang w:val="en-US" w:eastAsia="zh-CN"/>
        </w:rPr>
        <w:t>行政运行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仿宋" w:hAnsi="仿宋" w:eastAsia="仿宋" w:cs="Times New Roman"/>
          <w:sz w:val="32"/>
          <w:szCs w:val="32"/>
          <w:lang w:val="en-US" w:eastAsia="zh-CN"/>
        </w:rPr>
        <w:t>支出决算为332.65万元，完成预算100%。</w:t>
      </w:r>
    </w:p>
    <w:p>
      <w:pPr>
        <w:spacing w:line="600" w:lineRule="exact"/>
        <w:ind w:firstLine="643" w:firstLineChars="200"/>
        <w:rPr>
          <w:rStyle w:val="18"/>
          <w:rFonts w:hint="default" w:ascii="仿宋" w:hAnsi="仿宋" w:eastAsia="仿宋"/>
          <w:bCs/>
          <w:sz w:val="32"/>
          <w:szCs w:val="32"/>
          <w:lang w:val="en-US" w:eastAsia="zh-CN"/>
        </w:rPr>
      </w:pP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一般公共服务（类）</w:t>
      </w:r>
      <w:r>
        <w:rPr>
          <w:rFonts w:hint="eastAsia" w:ascii="仿宋" w:hAnsi="仿宋" w:eastAsia="仿宋" w:cs="Times New Roman"/>
          <w:sz w:val="32"/>
          <w:szCs w:val="32"/>
          <w:lang w:val="en-US" w:eastAsia="zh-CN"/>
        </w:rPr>
        <w:t>审计事务</w:t>
      </w:r>
      <w:r>
        <w:rPr>
          <w:rStyle w:val="18"/>
          <w:rFonts w:hint="eastAsia" w:ascii="仿宋" w:hAnsi="仿宋" w:eastAsia="仿宋"/>
          <w:bCs/>
          <w:sz w:val="32"/>
          <w:szCs w:val="32"/>
        </w:rPr>
        <w:t>（款）</w:t>
      </w:r>
      <w:r>
        <w:rPr>
          <w:rFonts w:hint="eastAsia" w:ascii="仿宋" w:hAnsi="仿宋" w:eastAsia="仿宋" w:cs="Times New Roman"/>
          <w:sz w:val="32"/>
          <w:szCs w:val="32"/>
          <w:lang w:val="en-US" w:eastAsia="zh-CN"/>
        </w:rPr>
        <w:t xml:space="preserve"> 事业运行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仿宋" w:hAnsi="仿宋" w:eastAsia="仿宋" w:cs="Times New Roman"/>
          <w:sz w:val="32"/>
          <w:szCs w:val="32"/>
          <w:lang w:val="en-US" w:eastAsia="zh-CN"/>
        </w:rPr>
        <w:t>支出决算为121.38万元，完成预算100%。</w:t>
      </w:r>
    </w:p>
    <w:p>
      <w:pPr>
        <w:spacing w:line="600" w:lineRule="exact"/>
        <w:ind w:firstLine="643" w:firstLineChars="200"/>
        <w:rPr>
          <w:rFonts w:hint="eastAsia" w:ascii="仿宋" w:hAnsi="仿宋" w:eastAsia="仿宋" w:cs="Times New Roman"/>
          <w:sz w:val="32"/>
          <w:szCs w:val="32"/>
          <w:lang w:val="en-US" w:eastAsia="zh-CN"/>
        </w:rPr>
      </w:pPr>
      <w:r>
        <w:rPr>
          <w:rStyle w:val="18"/>
          <w:rFonts w:hint="eastAsia" w:ascii="仿宋" w:hAnsi="仿宋" w:eastAsia="仿宋"/>
          <w:bCs/>
          <w:sz w:val="32"/>
          <w:szCs w:val="32"/>
          <w:lang w:val="en-US" w:eastAsia="zh-CN"/>
        </w:rPr>
        <w:t>3.</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val="en-US" w:eastAsia="zh-CN"/>
        </w:rPr>
        <w:t>行政事业单位养老支出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机关事业单位基本养老保险缴费支出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Fonts w:hint="eastAsia" w:ascii="仿宋" w:hAnsi="仿宋" w:eastAsia="仿宋" w:cs="Times New Roman"/>
          <w:sz w:val="32"/>
          <w:szCs w:val="32"/>
          <w:lang w:val="en-US" w:eastAsia="zh-CN"/>
        </w:rPr>
        <w:t>支出决算为37.51万元，完成预算100%。</w:t>
      </w:r>
    </w:p>
    <w:p>
      <w:pPr>
        <w:spacing w:line="600" w:lineRule="exact"/>
        <w:ind w:firstLine="643" w:firstLineChars="200"/>
        <w:rPr>
          <w:rFonts w:hint="eastAsia" w:ascii="仿宋" w:hAnsi="仿宋" w:eastAsia="仿宋" w:cs="Times New Roman"/>
          <w:sz w:val="32"/>
          <w:szCs w:val="32"/>
          <w:lang w:val="en-US" w:eastAsia="zh-CN"/>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行政单位医疗</w:t>
      </w:r>
      <w:r>
        <w:rPr>
          <w:rStyle w:val="18"/>
          <w:rFonts w:hint="eastAsia" w:ascii="仿宋" w:hAnsi="仿宋" w:eastAsia="仿宋"/>
          <w:bCs/>
          <w:sz w:val="32"/>
          <w:szCs w:val="32"/>
        </w:rPr>
        <w:t>（项）</w:t>
      </w:r>
      <w:r>
        <w:rPr>
          <w:rStyle w:val="18"/>
          <w:rFonts w:ascii="仿宋" w:hAnsi="仿宋" w:eastAsia="仿宋"/>
          <w:bCs/>
          <w:sz w:val="32"/>
          <w:szCs w:val="32"/>
        </w:rPr>
        <w:t>:</w:t>
      </w:r>
      <w:r>
        <w:rPr>
          <w:rFonts w:hint="eastAsia" w:ascii="仿宋" w:hAnsi="仿宋" w:eastAsia="仿宋" w:cs="Times New Roman"/>
          <w:sz w:val="32"/>
          <w:szCs w:val="32"/>
          <w:lang w:val="en-US" w:eastAsia="zh-CN"/>
        </w:rPr>
        <w:t>支出决算为12.89万元，完成预算100%。</w:t>
      </w:r>
    </w:p>
    <w:p>
      <w:pPr>
        <w:spacing w:line="600" w:lineRule="exact"/>
        <w:ind w:firstLine="643" w:firstLineChars="200"/>
        <w:rPr>
          <w:rStyle w:val="18"/>
          <w:rFonts w:hint="eastAsia" w:ascii="仿宋" w:hAnsi="仿宋" w:eastAsia="仿宋" w:cstheme="minorBidi"/>
          <w:bCs/>
          <w:sz w:val="32"/>
          <w:szCs w:val="32"/>
          <w:lang w:val="en-US" w:eastAsia="zh-CN"/>
        </w:rPr>
      </w:pPr>
      <w:r>
        <w:rPr>
          <w:rStyle w:val="18"/>
          <w:rFonts w:hint="eastAsia" w:ascii="仿宋" w:hAnsi="仿宋" w:eastAsia="仿宋" w:cstheme="minorBidi"/>
          <w:bCs/>
          <w:sz w:val="32"/>
          <w:szCs w:val="32"/>
          <w:lang w:val="en-US" w:eastAsia="zh-CN"/>
        </w:rPr>
        <w:t>5.</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事业单位医疗</w:t>
      </w:r>
      <w:r>
        <w:rPr>
          <w:rStyle w:val="18"/>
          <w:rFonts w:hint="eastAsia" w:ascii="仿宋" w:hAnsi="仿宋" w:eastAsia="仿宋"/>
          <w:bCs/>
          <w:sz w:val="32"/>
          <w:szCs w:val="32"/>
        </w:rPr>
        <w:t>（项）</w:t>
      </w:r>
      <w:r>
        <w:rPr>
          <w:rStyle w:val="18"/>
          <w:rFonts w:ascii="仿宋" w:hAnsi="仿宋" w:eastAsia="仿宋"/>
          <w:bCs/>
          <w:sz w:val="32"/>
          <w:szCs w:val="32"/>
        </w:rPr>
        <w:t>:</w:t>
      </w:r>
      <w:r>
        <w:rPr>
          <w:rFonts w:hint="eastAsia" w:ascii="仿宋" w:hAnsi="仿宋" w:eastAsia="仿宋" w:cs="Times New Roman"/>
          <w:sz w:val="32"/>
          <w:szCs w:val="32"/>
          <w:lang w:val="en-US" w:eastAsia="zh-CN"/>
        </w:rPr>
        <w:t>支出决算为5.87万元，完成预算100%。</w:t>
      </w:r>
    </w:p>
    <w:p>
      <w:pPr>
        <w:spacing w:line="600" w:lineRule="exact"/>
        <w:ind w:firstLine="640"/>
        <w:rPr>
          <w:rFonts w:hint="eastAsia"/>
          <w:sz w:val="24"/>
        </w:rPr>
      </w:pPr>
      <w:r>
        <w:rPr>
          <w:rStyle w:val="18"/>
          <w:rFonts w:hint="eastAsia" w:ascii="仿宋" w:hAnsi="仿宋" w:eastAsia="仿宋"/>
          <w:bCs/>
          <w:color w:val="000000"/>
          <w:sz w:val="32"/>
          <w:szCs w:val="32"/>
          <w:lang w:val="en-US" w:eastAsia="zh-CN"/>
        </w:rPr>
        <w:t>6.住房保障支出（类）住房改革支出（款）住房公积金（项）：</w:t>
      </w:r>
      <w:r>
        <w:rPr>
          <w:rFonts w:hint="eastAsia" w:ascii="仿宋" w:hAnsi="仿宋" w:eastAsia="仿宋" w:cs="Times New Roman"/>
          <w:sz w:val="32"/>
          <w:szCs w:val="32"/>
          <w:lang w:val="en-US" w:eastAsia="zh-CN"/>
        </w:rPr>
        <w:t>支出决算数为28.13万元，完成预算100%。</w:t>
      </w:r>
    </w:p>
    <w:p>
      <w:pPr>
        <w:pStyle w:val="13"/>
        <w:adjustRightInd w:val="0"/>
        <w:snapToGrid w:val="0"/>
        <w:spacing w:line="440" w:lineRule="exact"/>
        <w:jc w:val="lef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六、一般公共预算财政拨款基本支出决算情况说明</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年一般公共预算财政拨款基本支出</w:t>
      </w:r>
      <w:r>
        <w:rPr>
          <w:rFonts w:hint="eastAsia" w:ascii="仿宋" w:hAnsi="仿宋" w:eastAsia="仿宋" w:cs="Times New Roman"/>
          <w:sz w:val="32"/>
          <w:szCs w:val="32"/>
          <w:lang w:val="en-US" w:eastAsia="zh-CN"/>
        </w:rPr>
        <w:t>538.43</w:t>
      </w:r>
      <w:r>
        <w:rPr>
          <w:rFonts w:hint="eastAsia" w:ascii="仿宋" w:hAnsi="仿宋" w:eastAsia="仿宋" w:cs="Times New Roman"/>
          <w:sz w:val="32"/>
          <w:szCs w:val="32"/>
        </w:rPr>
        <w:t>万元，其中：</w:t>
      </w:r>
    </w:p>
    <w:p>
      <w:pPr>
        <w:spacing w:line="600" w:lineRule="exact"/>
        <w:ind w:firstLine="645"/>
        <w:rPr>
          <w:rFonts w:hint="eastAsia" w:ascii="仿宋" w:hAnsi="仿宋" w:eastAsia="仿宋" w:cs="Times New Roman"/>
          <w:sz w:val="32"/>
          <w:szCs w:val="32"/>
          <w:lang w:eastAsia="zh-CN"/>
        </w:rPr>
      </w:pPr>
      <w:r>
        <w:rPr>
          <w:rFonts w:hint="eastAsia" w:ascii="仿宋" w:hAnsi="仿宋" w:eastAsia="仿宋" w:cs="Times New Roman"/>
          <w:sz w:val="32"/>
          <w:szCs w:val="32"/>
        </w:rPr>
        <w:t>人员经费</w:t>
      </w:r>
      <w:r>
        <w:rPr>
          <w:rFonts w:hint="eastAsia" w:ascii="仿宋" w:hAnsi="仿宋" w:eastAsia="仿宋" w:cs="Times New Roman"/>
          <w:sz w:val="32"/>
          <w:szCs w:val="32"/>
          <w:lang w:val="en-US" w:eastAsia="zh-CN"/>
        </w:rPr>
        <w:t>485.14</w:t>
      </w:r>
      <w:r>
        <w:rPr>
          <w:rFonts w:hint="eastAsia" w:ascii="仿宋" w:hAnsi="仿宋" w:eastAsia="仿宋" w:cs="Times New Roman"/>
          <w:sz w:val="32"/>
          <w:szCs w:val="32"/>
        </w:rPr>
        <w:t>万元，主要包括：基本工资、津贴补贴、奖金、绩效工资、机关事业单位基本养老保险缴费、</w:t>
      </w:r>
      <w:r>
        <w:rPr>
          <w:rFonts w:hint="eastAsia" w:ascii="仿宋" w:hAnsi="仿宋" w:eastAsia="仿宋" w:cs="Times New Roman"/>
          <w:sz w:val="32"/>
          <w:szCs w:val="32"/>
          <w:lang w:eastAsia="zh-CN"/>
        </w:rPr>
        <w:t>职工基本医疗保险缴费、</w:t>
      </w:r>
      <w:r>
        <w:rPr>
          <w:rFonts w:hint="eastAsia" w:ascii="仿宋" w:hAnsi="仿宋" w:eastAsia="仿宋" w:cs="Times New Roman"/>
          <w:sz w:val="32"/>
          <w:szCs w:val="32"/>
        </w:rPr>
        <w:t>其他社会保障缴费、其他工资福利支出、生活补助、住房公积金支出等。</w:t>
      </w:r>
    </w:p>
    <w:p>
      <w:pPr>
        <w:spacing w:line="600" w:lineRule="exact"/>
        <w:ind w:firstLine="645"/>
        <w:rPr>
          <w:rFonts w:hint="eastAsia"/>
          <w:sz w:val="24"/>
        </w:rPr>
      </w:pPr>
      <w:r>
        <w:rPr>
          <w:rFonts w:hint="eastAsia" w:ascii="仿宋" w:hAnsi="仿宋" w:eastAsia="仿宋" w:cs="Times New Roman"/>
          <w:sz w:val="32"/>
          <w:szCs w:val="32"/>
        </w:rPr>
        <w:t>公用经费</w:t>
      </w:r>
      <w:r>
        <w:rPr>
          <w:rFonts w:hint="eastAsia" w:ascii="仿宋" w:hAnsi="仿宋" w:eastAsia="仿宋" w:cs="Times New Roman"/>
          <w:sz w:val="32"/>
          <w:szCs w:val="32"/>
          <w:lang w:val="en-US" w:eastAsia="zh-CN"/>
        </w:rPr>
        <w:t>53.29</w:t>
      </w:r>
      <w:r>
        <w:rPr>
          <w:rFonts w:hint="eastAsia" w:ascii="仿宋" w:hAnsi="仿宋" w:eastAsia="仿宋" w:cs="Times New Roman"/>
          <w:sz w:val="32"/>
          <w:szCs w:val="32"/>
        </w:rPr>
        <w:t>万元，主要包括：办公费、印刷费、水费、电费、邮电费、差旅费、维修（护）费、会议费、公务接待费、工会经费、福利费、其他交通费</w:t>
      </w:r>
      <w:r>
        <w:rPr>
          <w:rFonts w:hint="eastAsia" w:ascii="仿宋" w:hAnsi="仿宋" w:eastAsia="仿宋" w:cs="Times New Roman"/>
          <w:sz w:val="32"/>
          <w:szCs w:val="32"/>
          <w:lang w:eastAsia="zh-CN"/>
        </w:rPr>
        <w:t>支出</w:t>
      </w:r>
      <w:r>
        <w:rPr>
          <w:rFonts w:hint="eastAsia" w:ascii="仿宋" w:hAnsi="仿宋" w:eastAsia="仿宋" w:cs="Times New Roman"/>
          <w:sz w:val="32"/>
          <w:szCs w:val="32"/>
        </w:rPr>
        <w:t>等。</w:t>
      </w:r>
    </w:p>
    <w:p>
      <w:pPr>
        <w:pStyle w:val="13"/>
        <w:adjustRightInd w:val="0"/>
        <w:snapToGrid w:val="0"/>
        <w:spacing w:line="440" w:lineRule="exact"/>
        <w:jc w:val="lef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七、财政拨款“三公”经费支出决算情况说明</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年“三公”经费财政拨款支出决算为</w:t>
      </w:r>
      <w:r>
        <w:rPr>
          <w:rFonts w:hint="eastAsia" w:ascii="仿宋" w:hAnsi="仿宋" w:eastAsia="仿宋" w:cs="Times New Roman"/>
          <w:sz w:val="32"/>
          <w:szCs w:val="32"/>
          <w:lang w:val="en-US" w:eastAsia="zh-CN"/>
        </w:rPr>
        <w:t>5.27</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87.83</w:t>
      </w:r>
      <w:r>
        <w:rPr>
          <w:rFonts w:hint="eastAsia" w:ascii="仿宋" w:hAnsi="仿宋" w:eastAsia="仿宋" w:cs="Times New Roman"/>
          <w:sz w:val="32"/>
          <w:szCs w:val="32"/>
        </w:rPr>
        <w:t>%，决算数</w:t>
      </w:r>
      <w:r>
        <w:rPr>
          <w:rFonts w:hint="eastAsia" w:ascii="仿宋" w:hAnsi="仿宋" w:eastAsia="仿宋" w:cs="Times New Roman"/>
          <w:sz w:val="32"/>
          <w:szCs w:val="32"/>
          <w:lang w:eastAsia="zh-CN"/>
        </w:rPr>
        <w:t>小于</w:t>
      </w:r>
      <w:r>
        <w:rPr>
          <w:rFonts w:hint="eastAsia" w:ascii="仿宋" w:hAnsi="仿宋" w:eastAsia="仿宋" w:cs="Times New Roman"/>
          <w:sz w:val="32"/>
          <w:szCs w:val="32"/>
        </w:rPr>
        <w:t>预算数的主要原因是严格执行中央八项规定，厉行节约，从严控制“三公”经费开支。</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pPr>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年“三公”经费财政拨款支出决算中，因公出国（境）费支出决算</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%；公务用车购置及运行维护费支出决算</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%；公务接待费支出决算</w:t>
      </w:r>
      <w:r>
        <w:rPr>
          <w:rFonts w:hint="eastAsia" w:ascii="仿宋" w:hAnsi="仿宋" w:eastAsia="仿宋" w:cs="Times New Roman"/>
          <w:sz w:val="32"/>
          <w:szCs w:val="32"/>
          <w:lang w:val="en-US" w:eastAsia="zh-CN"/>
        </w:rPr>
        <w:t>5.27</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87.83</w:t>
      </w:r>
      <w:r>
        <w:rPr>
          <w:rFonts w:hint="eastAsia" w:ascii="仿宋" w:hAnsi="仿宋" w:eastAsia="仿宋" w:cs="Times New Roman"/>
          <w:sz w:val="32"/>
          <w:szCs w:val="32"/>
        </w:rPr>
        <w:t>%。具体情况如下：</w:t>
      </w:r>
    </w:p>
    <w:p>
      <w:pPr>
        <w:spacing w:line="600" w:lineRule="exact"/>
        <w:ind w:firstLine="640"/>
        <w:rPr>
          <w:rFonts w:hint="eastAsia" w:ascii="仿宋" w:hAnsi="仿宋" w:eastAsia="仿宋" w:cs="Times New Roman"/>
          <w:sz w:val="32"/>
          <w:szCs w:val="32"/>
          <w:lang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%。全年安排因公出国（境）团组</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次，出国（境）</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人。因公出国（境）支出决算</w:t>
      </w:r>
      <w:r>
        <w:rPr>
          <w:rFonts w:hint="eastAsia" w:ascii="仿宋" w:hAnsi="仿宋" w:eastAsia="仿宋" w:cs="Times New Roman"/>
          <w:sz w:val="32"/>
          <w:szCs w:val="32"/>
          <w:lang w:eastAsia="zh-CN"/>
        </w:rPr>
        <w:t>与</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年</w:t>
      </w:r>
      <w:r>
        <w:rPr>
          <w:rFonts w:hint="eastAsia" w:ascii="仿宋" w:hAnsi="仿宋" w:eastAsia="仿宋" w:cs="Times New Roman"/>
          <w:sz w:val="32"/>
          <w:szCs w:val="32"/>
          <w:lang w:eastAsia="zh-CN"/>
        </w:rPr>
        <w:t>持平</w:t>
      </w:r>
      <w:r>
        <w:rPr>
          <w:rFonts w:hint="eastAsia" w:ascii="仿宋" w:hAnsi="仿宋" w:eastAsia="仿宋" w:cs="Times New Roman"/>
          <w:sz w:val="32"/>
          <w:szCs w:val="32"/>
        </w:rPr>
        <w:t>。</w:t>
      </w:r>
    </w:p>
    <w:p>
      <w:pPr>
        <w:spacing w:line="600" w:lineRule="exact"/>
        <w:ind w:firstLine="640"/>
        <w:rPr>
          <w:rFonts w:hint="eastAsia" w:ascii="仿宋" w:hAnsi="仿宋" w:eastAsia="仿宋" w:cs="Times New Roman"/>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cs="Times New Roman"/>
          <w:sz w:val="32"/>
          <w:szCs w:val="32"/>
          <w:lang w:val="en-US" w:eastAsia="zh-CN"/>
        </w:rPr>
        <w:t>0万元,完成预算0%。公务用车购置及运行维护费支出决算与2021年持平。</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 w:hAnsi="仿宋" w:eastAsia="仿宋" w:cs="Times New Roman"/>
          <w:sz w:val="32"/>
          <w:szCs w:val="32"/>
          <w:lang w:val="en-US" w:eastAsia="zh-CN"/>
        </w:rPr>
        <w:t>0万元。全年按规定更新购置公务用车0辆，其中：轿车0辆、金额0万元，越野车0辆、金额0万元，载客汽车0辆、金额0万元。截至2021年12月底，单位共有公务用车0辆，其中：轿车0辆、越野车0辆、载客汽车0辆。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eastAsia" w:ascii="仿宋" w:hAnsi="仿宋" w:eastAsia="仿宋" w:cs="Times New Roman"/>
          <w:sz w:val="32"/>
          <w:szCs w:val="32"/>
          <w:lang w:val="en-US"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cs="Times New Roman"/>
          <w:sz w:val="32"/>
          <w:szCs w:val="32"/>
          <w:lang w:val="en-US" w:eastAsia="zh-CN"/>
        </w:rPr>
        <w:t>5.27万元，完成预算87.83%。公务接待费支出决算比2021年减少2.33万元，下降30.66%。主要原因</w:t>
      </w:r>
      <w:r>
        <w:rPr>
          <w:rFonts w:hint="eastAsia" w:ascii="仿宋" w:hAnsi="仿宋" w:eastAsia="仿宋" w:cs="Times New Roman"/>
          <w:sz w:val="32"/>
          <w:szCs w:val="32"/>
        </w:rPr>
        <w:t>是严格执行中央八项规定，厉行节约，从严控制“三公”经费开支。</w:t>
      </w:r>
      <w:r>
        <w:rPr>
          <w:rFonts w:hint="eastAsia" w:ascii="仿宋" w:hAnsi="仿宋" w:eastAsia="仿宋" w:cs="Times New Roman"/>
          <w:sz w:val="32"/>
          <w:szCs w:val="32"/>
          <w:lang w:val="en-US" w:eastAsia="zh-CN"/>
        </w:rPr>
        <w:t>其中：</w:t>
      </w:r>
    </w:p>
    <w:p>
      <w:pPr>
        <w:spacing w:line="600" w:lineRule="exact"/>
        <w:ind w:firstLine="640"/>
        <w:rPr>
          <w:rFonts w:hint="eastAsia" w:ascii="仿宋" w:hAnsi="仿宋" w:eastAsia="仿宋" w:cs="Times New Roman"/>
          <w:sz w:val="32"/>
          <w:szCs w:val="32"/>
          <w:lang w:val="en-US" w:eastAsia="zh-CN"/>
        </w:rPr>
      </w:pPr>
      <w:r>
        <w:rPr>
          <w:rFonts w:hint="eastAsia" w:ascii="仿宋" w:hAnsi="仿宋" w:eastAsia="仿宋"/>
          <w:b/>
          <w:sz w:val="32"/>
          <w:szCs w:val="32"/>
        </w:rPr>
        <w:t>国内公务接待支出</w:t>
      </w:r>
      <w:r>
        <w:rPr>
          <w:rFonts w:hint="eastAsia" w:ascii="仿宋" w:hAnsi="仿宋" w:eastAsia="仿宋" w:cs="Times New Roman"/>
          <w:sz w:val="32"/>
          <w:szCs w:val="32"/>
          <w:lang w:val="en-US" w:eastAsia="zh-CN"/>
        </w:rPr>
        <w:t>5.27万元，主要用于执行审计业务开支的住宿费、用餐费等。国内公务接待50批次，585人次（不包括陪同人员），共计支出5.27万元，具体内容包括：主要用于接待</w:t>
      </w:r>
      <w:r>
        <w:rPr>
          <w:rFonts w:hint="eastAsia" w:ascii="仿宋" w:hAnsi="仿宋" w:eastAsia="仿宋" w:cs="Times New Roman"/>
          <w:b w:val="0"/>
          <w:bCs/>
          <w:kern w:val="0"/>
          <w:sz w:val="32"/>
          <w:szCs w:val="32"/>
          <w:lang w:val="en-US" w:eastAsia="zh-CN" w:bidi="ar-SA"/>
        </w:rPr>
        <w:t>耕地保护政策落实情况专项</w:t>
      </w:r>
      <w:r>
        <w:rPr>
          <w:rFonts w:hint="eastAsia" w:ascii="仿宋" w:hAnsi="仿宋" w:eastAsia="仿宋" w:cs="Times New Roman"/>
          <w:sz w:val="32"/>
          <w:szCs w:val="32"/>
          <w:lang w:val="en-US" w:eastAsia="zh-CN"/>
        </w:rPr>
        <w:t>审计组，金额2.56万元；接待乡镇片区审计组等，金额2.71万元。</w:t>
      </w:r>
    </w:p>
    <w:p>
      <w:pPr>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b/>
          <w:sz w:val="32"/>
          <w:szCs w:val="32"/>
        </w:rPr>
        <w:t>外事接待支出</w:t>
      </w:r>
      <w:r>
        <w:rPr>
          <w:rFonts w:hint="eastAsia" w:ascii="仿宋" w:hAnsi="仿宋" w:eastAsia="仿宋" w:cs="Times New Roman"/>
          <w:sz w:val="32"/>
          <w:szCs w:val="32"/>
          <w:lang w:val="en-US" w:eastAsia="zh-CN"/>
        </w:rPr>
        <w:t>0万元，外事接待0批次，0人，共计支出0万元。</w:t>
      </w:r>
    </w:p>
    <w:p>
      <w:pPr>
        <w:pStyle w:val="13"/>
        <w:adjustRightInd w:val="0"/>
        <w:snapToGrid w:val="0"/>
        <w:spacing w:line="440" w:lineRule="exact"/>
        <w:jc w:val="left"/>
        <w:rPr>
          <w:rFonts w:hint="eastAsia"/>
          <w:sz w:val="24"/>
        </w:rPr>
      </w:pPr>
    </w:p>
    <w:p>
      <w:pPr>
        <w:pStyle w:val="13"/>
        <w:numPr>
          <w:ilvl w:val="0"/>
          <w:numId w:val="1"/>
        </w:numPr>
        <w:adjustRightInd w:val="0"/>
        <w:snapToGrid w:val="0"/>
        <w:spacing w:line="440" w:lineRule="exact"/>
        <w:jc w:val="lef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政府性基金预算支出决算情况说明</w:t>
      </w:r>
    </w:p>
    <w:p>
      <w:pPr>
        <w:numPr>
          <w:ilvl w:val="0"/>
          <w:numId w:val="0"/>
        </w:numPr>
        <w:ind w:firstLine="640" w:firstLineChars="200"/>
        <w:rPr>
          <w:rFonts w:hint="eastAsia"/>
          <w:lang w:val="en-US" w:eastAsia="zh-CN"/>
        </w:rPr>
      </w:pPr>
      <w:r>
        <w:rPr>
          <w:rFonts w:hint="eastAsia" w:ascii="仿宋" w:hAnsi="仿宋" w:eastAsia="仿宋" w:cs="Times New Roman"/>
          <w:sz w:val="32"/>
          <w:szCs w:val="32"/>
          <w:lang w:val="en-US" w:eastAsia="zh-CN"/>
        </w:rPr>
        <w:t>2022年政府性基金预算财政拨款支出0万元。</w:t>
      </w:r>
    </w:p>
    <w:p>
      <w:pPr>
        <w:pStyle w:val="13"/>
        <w:numPr>
          <w:ilvl w:val="0"/>
          <w:numId w:val="1"/>
        </w:numPr>
        <w:adjustRightInd w:val="0"/>
        <w:snapToGrid w:val="0"/>
        <w:spacing w:line="440" w:lineRule="exact"/>
        <w:ind w:left="420" w:leftChars="200" w:firstLine="0" w:firstLineChars="0"/>
        <w:jc w:val="lef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国有资本经营预算支出决算情况说明</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2022年国有资本经营预算财政拨款支出0万元。</w:t>
      </w:r>
    </w:p>
    <w:p>
      <w:pPr>
        <w:pStyle w:val="13"/>
        <w:adjustRightInd w:val="0"/>
        <w:snapToGrid w:val="0"/>
        <w:spacing w:line="440" w:lineRule="exact"/>
        <w:jc w:val="left"/>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十、其他重要事项的情况说明</w:t>
      </w:r>
    </w:p>
    <w:p>
      <w:pPr>
        <w:spacing w:line="600" w:lineRule="exact"/>
        <w:ind w:firstLine="321" w:firstLineChars="100"/>
        <w:outlineLvl w:val="2"/>
        <w:rPr>
          <w:rFonts w:ascii="仿宋" w:hAnsi="仿宋" w:eastAsia="仿宋"/>
          <w:sz w:val="32"/>
          <w:szCs w:val="32"/>
        </w:rPr>
      </w:pPr>
      <w:r>
        <w:rPr>
          <w:rFonts w:hint="eastAsia" w:ascii="仿宋" w:hAnsi="仿宋" w:eastAsia="仿宋"/>
          <w:b/>
          <w:sz w:val="32"/>
          <w:szCs w:val="32"/>
        </w:rPr>
        <w:t>（一）机关运行经费支出情况</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2022年，局机关运行经费支出53.29万元，比2021年减少5.41万元，下降9.22%。主要原因是</w:t>
      </w:r>
      <w:r>
        <w:rPr>
          <w:rFonts w:hint="eastAsia" w:ascii="仿宋" w:hAnsi="仿宋" w:eastAsia="仿宋" w:cs="Times New Roman"/>
          <w:sz w:val="32"/>
          <w:szCs w:val="32"/>
        </w:rPr>
        <w:t>厉行节约，从严控制经费开支</w:t>
      </w:r>
      <w:r>
        <w:rPr>
          <w:rFonts w:hint="eastAsia" w:ascii="仿宋" w:hAnsi="仿宋" w:eastAsia="仿宋" w:cs="Times New Roman"/>
          <w:sz w:val="32"/>
          <w:szCs w:val="32"/>
          <w:lang w:val="en-US" w:eastAsia="zh-CN"/>
        </w:rPr>
        <w:t>。</w:t>
      </w:r>
    </w:p>
    <w:p>
      <w:pPr>
        <w:autoSpaceDE w:val="0"/>
        <w:autoSpaceDN w:val="0"/>
        <w:adjustRightInd w:val="0"/>
        <w:spacing w:line="600" w:lineRule="exact"/>
        <w:ind w:firstLine="321" w:firstLineChars="100"/>
        <w:jc w:val="left"/>
        <w:outlineLvl w:val="2"/>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2022年，审计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bookmarkStart w:id="16" w:name="_GoBack"/>
      <w:bookmarkEnd w:id="16"/>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截至2022年12月31日，审计局共有车辆0辆，其中：主要领导干部用车0辆、机要通信用车0辆、应急保障用车0辆、其他用车0辆。单价50万元以上通用设备0台（套），单价100万元以上专用设备0台（套）。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根据预算绩效管理要求，本部门对2022年部门整体开展绩效自评，根据对我局2022年部门整体支出项目绩效评价指标体系和绩效情况的检查，2022年我局部门整体自评准确有效，整体绩效自评分100分，为“优”等级。《2022年剑阁县审计局部门整体绩效评价报告》见附件（第四部分）。</w:t>
      </w:r>
    </w:p>
    <w:p>
      <w:pPr>
        <w:spacing w:line="600" w:lineRule="exact"/>
        <w:rPr>
          <w:rFonts w:hint="eastAsia"/>
          <w:sz w:val="2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p>
    <w:p>
      <w:pPr>
        <w:numPr>
          <w:ilvl w:val="0"/>
          <w:numId w:val="0"/>
        </w:numPr>
        <w:spacing w:line="600" w:lineRule="exact"/>
        <w:ind w:firstLine="2200" w:firstLineChars="500"/>
        <w:jc w:val="both"/>
        <w:outlineLvl w:val="0"/>
        <w:rPr>
          <w:rFonts w:hint="eastAsia" w:ascii="黑体" w:hAnsi="黑体" w:eastAsia="黑体"/>
          <w:sz w:val="44"/>
          <w:szCs w:val="44"/>
        </w:rPr>
      </w:pPr>
      <w:r>
        <w:rPr>
          <w:rFonts w:hint="eastAsia" w:ascii="黑体" w:hAnsi="黑体" w:eastAsia="黑体"/>
          <w:sz w:val="44"/>
          <w:szCs w:val="44"/>
        </w:rPr>
        <w:t>第三部分 名词解释</w:t>
      </w: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hint="eastAsia" w:ascii="仿宋" w:hAnsi="仿宋" w:eastAsia="仿宋" w:cs="Times New Roman"/>
          <w:sz w:val="32"/>
          <w:szCs w:val="32"/>
          <w:lang w:val="en-US" w:eastAsia="zh-CN"/>
        </w:rPr>
      </w:pPr>
      <w:r>
        <w:rPr>
          <w:rFonts w:ascii="仿宋_GB2312" w:eastAsia="仿宋_GB2312"/>
          <w:color w:val="auto"/>
          <w:sz w:val="32"/>
          <w:szCs w:val="32"/>
        </w:rPr>
        <w:t>1.</w:t>
      </w:r>
      <w:r>
        <w:rPr>
          <w:rFonts w:hint="eastAsia" w:ascii="仿宋" w:hAnsi="仿宋" w:eastAsia="仿宋" w:cs="Times New Roman"/>
          <w:sz w:val="32"/>
          <w:szCs w:val="32"/>
          <w:lang w:val="en-US" w:eastAsia="zh-CN"/>
        </w:rPr>
        <w:t>财政拨款收入：指单位从同级财政部门取得的财政预算资金。</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2.事业收入：指事业单位开展专业业务活动及辅助活动取得的收入。</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3.经营收入：指事业单位在专业业务活动及其辅助活动之外开展非独立核算经营活动取得的收入。</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4.其他收入：指单位取得的除上述收入以外的各项收入。</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5.使用非财政拨款结余：指事业单位使用以前年度积累的非财政拨款结余弥补当年收支差额的金额。 </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6.年初结转和结余：指以前年度尚未完成、结转到本年按有关规定继续使用的资金。 </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7.结余分配：指事业单位按照会计制度规定缴纳的所得税、提取的专用结余以及转入非财政拨款结余的金额等。</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8、年末结转和结余：指单位按有关规定结转到下年或以后年度继续使用的资金。</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9.一般公共服务支出（类）审计事务（款）行政运行（项）：指用于保障机构正常运行、开展日常工作的基本支出。</w:t>
      </w:r>
    </w:p>
    <w:p>
      <w:pPr>
        <w:spacing w:line="60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一般公共服务支出（类）审计事务（款）事业运行（项）：指用于保障事业单位正常运行、开展日常工作的基本支出。</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10.社会保障和就业（类）行政事业单位离退休（款）机关事业单位基本养老保险缴费支出（项）：指部门实施养老保险制度由单位缴纳的养老保险费的支出。</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11.医疗卫生与计划生育（类）行政事业单位医疗（款）行政单位医疗（项）：指局机关及参公管理事业单位用于缴纳单位基本医疗保险支出。</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12.医疗卫生与计划生育（类）行政事业单位医疗（款）事业单位医疗（项）：指事业单位用于缴纳单位基本医疗保险支出。</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13.住房保障（类）住房改革支出（款）住房公积金（项）：指按照《住房公积金管理条例》的规定，由单位及其在职职工缴存的长期住房储金。</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14.基本支出：指为保障机构正常运转、完成日常工作任务而发生的人员支出和公用支出。</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15.项目支出：指在基本支出之外为完成特定行政任务和事业发展目标所发生的支出。 </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17.机关运行经费：为保障行政单位（含参照公务员法管理的事业单位）运行用于购买货物和服务的各项资金，包括办公费、印刷费、水费、电费、邮电费、差旅费、维修（护）费、会议费、培训费、公务接待费、工会经费、福利费、其他交通费支出等。</w:t>
      </w:r>
    </w:p>
    <w:p>
      <w:pPr>
        <w:spacing w:line="600" w:lineRule="exact"/>
        <w:ind w:firstLine="640" w:firstLineChars="200"/>
        <w:rPr>
          <w:rFonts w:hint="eastAsia" w:ascii="仿宋" w:hAnsi="仿宋" w:eastAsia="仿宋" w:cs="Times New Roman"/>
          <w:sz w:val="32"/>
          <w:szCs w:val="32"/>
          <w:lang w:val="en-US" w:eastAsia="zh-CN"/>
        </w:rPr>
      </w:pPr>
    </w:p>
    <w:p>
      <w:pPr>
        <w:pStyle w:val="12"/>
        <w:adjustRightInd w:val="0"/>
        <w:snapToGrid w:val="0"/>
        <w:spacing w:before="0" w:line="440" w:lineRule="exact"/>
        <w:jc w:val="left"/>
        <w:rPr>
          <w:rFonts w:hint="eastAsia"/>
          <w:sz w:val="24"/>
        </w:rPr>
      </w:pPr>
      <w:r>
        <w:rPr>
          <w:rFonts w:ascii="宋体"/>
          <w:b/>
          <w:sz w:val="44"/>
          <w:szCs w:val="44"/>
        </w:rPr>
        <w:br w:type="page"/>
      </w:r>
    </w:p>
    <w:p>
      <w:pPr>
        <w:pStyle w:val="12"/>
        <w:adjustRightInd w:val="0"/>
        <w:snapToGrid w:val="0"/>
        <w:spacing w:before="0" w:line="440" w:lineRule="exact"/>
        <w:jc w:val="left"/>
        <w:rPr>
          <w:rFonts w:hint="eastAsia"/>
          <w:sz w:val="24"/>
        </w:rPr>
      </w:pPr>
    </w:p>
    <w:p>
      <w:pPr>
        <w:spacing w:line="600" w:lineRule="exact"/>
        <w:jc w:val="center"/>
        <w:outlineLvl w:val="0"/>
        <w:rPr>
          <w:rStyle w:val="36"/>
          <w:rFonts w:ascii="黑体" w:hAnsi="黑体" w:eastAsia="黑体"/>
          <w:b w:val="0"/>
        </w:rPr>
      </w:pPr>
      <w:r>
        <w:rPr>
          <w:rFonts w:hint="eastAsia" w:ascii="黑体" w:hAnsi="黑体" w:eastAsia="黑体"/>
          <w:sz w:val="44"/>
          <w:szCs w:val="44"/>
        </w:rPr>
        <w:t>第</w:t>
      </w:r>
      <w:r>
        <w:rPr>
          <w:rStyle w:val="36"/>
          <w:rFonts w:hint="eastAsia" w:ascii="黑体" w:hAnsi="黑体" w:eastAsia="黑体"/>
          <w:b w:val="0"/>
        </w:rPr>
        <w:t>四部分 附件</w:t>
      </w:r>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lang w:eastAsia="zh-CN"/>
        </w:rPr>
        <w:t>剑阁县审计局</w:t>
      </w:r>
      <w:r>
        <w:rPr>
          <w:rFonts w:hint="eastAsia" w:ascii="方正小标宋简体" w:hAnsi="宋体" w:eastAsia="方正小标宋简体"/>
          <w:kern w:val="0"/>
          <w:sz w:val="40"/>
          <w:szCs w:val="44"/>
        </w:rPr>
        <w:t>202</w:t>
      </w:r>
      <w:r>
        <w:rPr>
          <w:rFonts w:hint="eastAsia" w:ascii="方正小标宋简体" w:hAnsi="宋体" w:eastAsia="方正小标宋简体"/>
          <w:kern w:val="0"/>
          <w:sz w:val="40"/>
          <w:szCs w:val="44"/>
          <w:lang w:val="en-US" w:eastAsia="zh-CN"/>
        </w:rPr>
        <w:t>2</w:t>
      </w:r>
      <w:r>
        <w:rPr>
          <w:rFonts w:hint="eastAsia" w:ascii="方正小标宋简体" w:hAnsi="宋体" w:eastAsia="方正小标宋简体"/>
          <w:kern w:val="0"/>
          <w:sz w:val="40"/>
          <w:szCs w:val="44"/>
        </w:rPr>
        <w:t>年部门整体绩效评价报告</w:t>
      </w:r>
    </w:p>
    <w:p>
      <w:pPr>
        <w:widowControl/>
        <w:adjustRightInd w:val="0"/>
        <w:snapToGrid w:val="0"/>
        <w:spacing w:line="572" w:lineRule="exact"/>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部门概况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sz w:val="32"/>
          <w:szCs w:val="32"/>
          <w:lang w:val="zh-CN" w:eastAsia="zh-CN"/>
        </w:rPr>
        <w:t>（一）机构组成。</w:t>
      </w:r>
      <w:r>
        <w:rPr>
          <w:rFonts w:hint="eastAsia" w:ascii="仿宋" w:hAnsi="仿宋" w:eastAsia="仿宋" w:cs="Times New Roman"/>
          <w:b w:val="0"/>
          <w:bCs/>
          <w:kern w:val="0"/>
          <w:sz w:val="32"/>
          <w:szCs w:val="32"/>
          <w:lang w:val="en-US" w:eastAsia="zh-CN" w:bidi="ar-SA"/>
        </w:rPr>
        <w:t>剑阁县审计局无下属二级单位，其中行政单位1个，参照公务员法管理的事业单位1个（正科级），其他事业单位1个。纳入剑阁县审计局2022年度部门决算编制范围的决算单位包括：</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1、剑阁县审计局</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2、剑阁县财政监督检查事务中心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3、剑阁县政府投资审计中心</w:t>
      </w:r>
    </w:p>
    <w:p>
      <w:pPr>
        <w:spacing w:line="600" w:lineRule="exact"/>
        <w:ind w:firstLine="640" w:firstLineChars="200"/>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（二）</w:t>
      </w:r>
      <w:r>
        <w:rPr>
          <w:rFonts w:hint="eastAsia" w:ascii="楷体_GB2312" w:hAnsi="楷体_GB2312" w:eastAsia="楷体_GB2312" w:cs="楷体_GB2312"/>
          <w:b/>
          <w:bCs/>
          <w:kern w:val="0"/>
          <w:sz w:val="32"/>
          <w:szCs w:val="32"/>
          <w:shd w:val="clear" w:color="auto" w:fill="FFFFFF"/>
          <w:lang w:val="zh-CN"/>
        </w:rPr>
        <w:t>机构职能和人员概况。</w:t>
      </w:r>
      <w:r>
        <w:rPr>
          <w:rFonts w:hint="eastAsia" w:ascii="仿宋" w:hAnsi="仿宋" w:eastAsia="仿宋" w:cs="Times New Roman"/>
          <w:sz w:val="32"/>
          <w:szCs w:val="32"/>
          <w:lang w:val="zh-CN" w:eastAsia="zh-CN"/>
        </w:rPr>
        <w:t>。</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主管全县审计工作。负责对县级财政收支和法律法规规定属于审计监督范围的财务收支的真实、合法和效益进行审计监督，对公共资金、国有资产、国有资源和领导干部履行经济责任情况实行全覆盖，对领导干部实行自然资源资产离任审计，对国家、省、市、县有关重大政策措施贯彻落实情况进行跟踪审计。对审计、专项审计调查和核查社会审计机构相关审计报告的结果承担责任，并负有督促被审计单位整改的责任。</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（2）、贯彻执行国家有关审计工作的方针政策和法律法规。</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（3）、向县委审计委员会提出年度县级预算执行和其他财政支出情况审计报告。</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（4）、直接审计下列事项，出具审计报告，在法定职权房屋内作出审计决定，包括国家、省、市、县有关重大政策措施贯彻落实情况。</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（5）、按规定对县管党政主要领导干部及其他单位主要负责人实施经济责任审计和自然资源资产离任审计。</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（6）、组织实施对国家财经法律法规、规章、政策和宏观调控措施执行情况、财政预算管理及国有资产管理使用等与县级财政收支有关的特定事项进行专项审计调查。</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（7）、依法检查审计决定执行情况，督促整改审计查出的问题，依法办理被审计单位对审计决定提请行政复议、行政诉讼或县政府裁决中的有关事项，协助配合有关部门查处相关重大案件。</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（8）、指导和监督内部审计工作，核查社会审计机构对依法属于审计监督对象的单位出具的相关审计报告。</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（9）、组织开展审计领域内的国际交流与合作。</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（10）、负责职责范围内的安全生产和职业健康、生态环境保护、审批服务便民化等工作。</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（11）、完成县委、县政府交办的其他任务。</w:t>
      </w:r>
    </w:p>
    <w:p>
      <w:pPr>
        <w:spacing w:line="600" w:lineRule="exact"/>
        <w:ind w:firstLine="640" w:firstLineChars="20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（12）、职能转变。</w:t>
      </w:r>
    </w:p>
    <w:p>
      <w:pPr>
        <w:spacing w:line="600" w:lineRule="exact"/>
        <w:ind w:firstLine="640" w:firstLineChars="20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剑阁县审计局总编制36名，其中行政编制15名，参公事业编制8人，事业编制11名，工勤编制2名。在职人员总数36人，其中行政人员17人，参公人员5人，事业人员12人，工勤人员2人。退休人员12人。临聘人员3人。</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Times New Roman"/>
          <w:b w:val="0"/>
          <w:bCs/>
          <w:kern w:val="0"/>
          <w:sz w:val="32"/>
          <w:szCs w:val="32"/>
          <w:lang w:val="en-US" w:eastAsia="zh-CN" w:bidi="ar-SA"/>
        </w:rPr>
      </w:pPr>
      <w:r>
        <w:rPr>
          <w:rFonts w:hint="eastAsia" w:ascii="楷体_GB2312" w:hAnsi="楷体_GB2312" w:eastAsia="楷体_GB2312" w:cs="楷体_GB2312"/>
          <w:b/>
          <w:bCs/>
          <w:kern w:val="0"/>
          <w:sz w:val="32"/>
          <w:szCs w:val="32"/>
          <w:shd w:val="clear" w:color="auto" w:fill="FFFFFF"/>
          <w:lang w:val="zh-CN"/>
        </w:rPr>
        <w:t>年度主要工作任务。</w:t>
      </w:r>
      <w:r>
        <w:rPr>
          <w:rFonts w:hint="eastAsia" w:ascii="仿宋" w:hAnsi="仿宋" w:eastAsia="仿宋" w:cs="Times New Roman"/>
          <w:b w:val="0"/>
          <w:bCs/>
          <w:kern w:val="0"/>
          <w:sz w:val="32"/>
          <w:szCs w:val="32"/>
          <w:lang w:val="en-US" w:eastAsia="zh-CN" w:bidi="ar-SA"/>
        </w:rPr>
        <w:t>2022年主要开展以下方面工作：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 xml:space="preserve"> 1、重大政策措施落实情况跟踪审计。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2、财政预算执行及决算（草案）编制审计。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3、耕地保护政策落实情况专项审计调查。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4、领导干部经济责任审计。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5、乡镇或部门主要领导干部自然资源资产离任（任中）审计。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6、固定资产投资审计。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7、重点专项审计。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8、民生审计。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9、县委、县政府、县纪委监委临时交办的事项。</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3" w:firstLineChars="200"/>
        <w:textAlignment w:val="auto"/>
        <w:rPr>
          <w:rFonts w:hint="eastAsia" w:ascii="仿宋" w:hAnsi="仿宋" w:eastAsia="仿宋" w:cs="Times New Roman"/>
          <w:b w:val="0"/>
          <w:bCs/>
          <w:kern w:val="0"/>
          <w:sz w:val="32"/>
          <w:szCs w:val="32"/>
          <w:lang w:val="zh-CN" w:eastAsia="zh-CN" w:bidi="ar-SA"/>
        </w:rPr>
      </w:pPr>
      <w:r>
        <w:rPr>
          <w:rFonts w:hint="eastAsia" w:ascii="楷体_GB2312" w:hAnsi="楷体_GB2312" w:eastAsia="楷体_GB2312" w:cs="楷体_GB2312"/>
          <w:b/>
          <w:bCs/>
          <w:kern w:val="0"/>
          <w:sz w:val="32"/>
          <w:szCs w:val="32"/>
          <w:shd w:val="clear" w:color="auto" w:fill="FFFFFF"/>
          <w:lang w:val="zh-CN"/>
        </w:rPr>
        <w:t>部门整体支出绩效目标。</w:t>
      </w:r>
      <w:r>
        <w:rPr>
          <w:rFonts w:hint="eastAsia" w:ascii="仿宋" w:hAnsi="仿宋" w:eastAsia="仿宋" w:cs="Times New Roman"/>
          <w:b w:val="0"/>
          <w:bCs/>
          <w:kern w:val="0"/>
          <w:sz w:val="32"/>
          <w:szCs w:val="32"/>
          <w:lang w:val="zh-CN" w:eastAsia="zh-CN" w:bidi="ar-SA"/>
        </w:rPr>
        <w:t>紧扣全县经济工作大局和总体要求安排年度审计项目，依法履行审计监督职责，充分发挥审计在推进国家治理体系和治理能力现代化中的职能作用。主要完成：</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 xml:space="preserve"> 1、中央和省市县重大政策措施落实情况跟踪审计（交通局、经济合作事务中心等单位）。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2、县财政局2021年度财政预算执行及决算（草案）编制审计。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3、县发展和改革局2021年度部门预算执行审计。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4、县乡村振兴局2021年度部门预算执行审计。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5、利州区耕地保护政策落实情况专项审计调查。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6、农村人居环境整治相关政策和资金专项审计调查。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7、县发展和改革局履行政府投资宏观管理职责情况审计。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8、剑阁县脱贫攻坚和乡村振兴项目建设单位履行竣工决（结）算办理职责情况专项审计调查。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9、剑阁县鹤龄镇原党委书记李云辅同志自然资源资产离任（任中）审计。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10、原剑阁县扶贫开发局党组书记、局长郑东方同志经济责任审计。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11、剑阁县鹤龄镇原党委书记李云辅同志、镇长苟绍强同志经济责任审计。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12、剑阁县剑门关小学校2021年度财务收支审计。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Times New Roman"/>
          <w:b w:val="0"/>
          <w:bCs/>
          <w:kern w:val="0"/>
          <w:sz w:val="32"/>
          <w:szCs w:val="32"/>
          <w:lang w:val="en-US" w:eastAsia="zh-CN" w:bidi="ar-SA"/>
        </w:rPr>
      </w:pPr>
      <w:r>
        <w:rPr>
          <w:rFonts w:hint="eastAsia" w:ascii="仿宋" w:hAnsi="仿宋" w:eastAsia="仿宋" w:cs="Times New Roman"/>
          <w:b w:val="0"/>
          <w:bCs/>
          <w:kern w:val="0"/>
          <w:sz w:val="32"/>
          <w:szCs w:val="32"/>
          <w:lang w:val="en-US" w:eastAsia="zh-CN" w:bidi="ar-SA"/>
        </w:rPr>
        <w:t>13、剑阁县木马镇卫生院门诊综合楼竣工决算审计。</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spacing w:line="600" w:lineRule="exact"/>
        <w:ind w:firstLine="640" w:firstLineChars="20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1.部门总体收入情况</w:t>
      </w:r>
      <w:r>
        <w:rPr>
          <w:rFonts w:hint="eastAsia" w:ascii="仿宋_GB2312" w:hAnsi="仿宋_GB2312" w:eastAsia="仿宋_GB2312" w:cs="仿宋_GB2312"/>
          <w:kern w:val="0"/>
          <w:sz w:val="32"/>
          <w:szCs w:val="32"/>
          <w:shd w:val="clear" w:color="auto" w:fill="FFFFFF"/>
          <w:lang w:eastAsia="zh-CN"/>
        </w:rPr>
        <w:t>。</w:t>
      </w:r>
      <w:r>
        <w:rPr>
          <w:rFonts w:hint="eastAsia" w:ascii="仿宋" w:hAnsi="仿宋" w:eastAsia="仿宋" w:cs="Times New Roman"/>
          <w:sz w:val="32"/>
          <w:szCs w:val="32"/>
          <w:lang w:val="en-US" w:eastAsia="zh-CN"/>
        </w:rPr>
        <w:t>2022年本年总收入合计538.43万元，其中：一般公共预算财政拨款收入538.43万元，占100%。</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2.部门总体支出情况</w:t>
      </w:r>
      <w:r>
        <w:rPr>
          <w:rFonts w:hint="eastAsia" w:ascii="仿宋_GB2312" w:hAnsi="仿宋_GB2312" w:eastAsia="仿宋_GB2312" w:cs="仿宋_GB2312"/>
          <w:kern w:val="0"/>
          <w:sz w:val="32"/>
          <w:szCs w:val="32"/>
          <w:shd w:val="clear" w:color="auto" w:fill="FFFFFF"/>
          <w:lang w:eastAsia="zh-CN"/>
        </w:rPr>
        <w:t>。</w:t>
      </w:r>
      <w:r>
        <w:rPr>
          <w:rFonts w:hint="eastAsia" w:ascii="仿宋" w:hAnsi="仿宋" w:eastAsia="仿宋" w:cs="Times New Roman"/>
          <w:sz w:val="32"/>
          <w:szCs w:val="32"/>
          <w:lang w:val="en-US" w:eastAsia="zh-CN"/>
        </w:rPr>
        <w:t>2022年本年总支出合计538.43万元，其中：基本支出538.43万元，占100%。</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3.部门总体结转结余情况</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2022年本年无</w:t>
      </w:r>
      <w:r>
        <w:rPr>
          <w:rFonts w:hint="eastAsia" w:ascii="仿宋_GB2312" w:hAnsi="仿宋_GB2312" w:eastAsia="仿宋_GB2312" w:cs="仿宋_GB2312"/>
          <w:kern w:val="0"/>
          <w:sz w:val="32"/>
          <w:szCs w:val="32"/>
          <w:shd w:val="clear" w:color="auto" w:fill="FFFFFF"/>
        </w:rPr>
        <w:t>结转结余</w:t>
      </w:r>
      <w:r>
        <w:rPr>
          <w:rFonts w:hint="eastAsia" w:ascii="仿宋_GB2312" w:hAnsi="仿宋_GB2312" w:eastAsia="仿宋_GB2312" w:cs="仿宋_GB2312"/>
          <w:kern w:val="0"/>
          <w:sz w:val="32"/>
          <w:szCs w:val="32"/>
          <w:shd w:val="clear" w:color="auto" w:fill="FFFFFF"/>
          <w:lang w:eastAsia="zh-CN"/>
        </w:rPr>
        <w:t>。</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spacing w:line="600" w:lineRule="exact"/>
        <w:ind w:firstLine="640" w:firstLineChars="20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1.部门财政拨款收入情况</w:t>
      </w:r>
      <w:r>
        <w:rPr>
          <w:rFonts w:hint="eastAsia" w:ascii="仿宋_GB2312" w:hAnsi="仿宋_GB2312" w:eastAsia="仿宋_GB2312" w:cs="仿宋_GB2312"/>
          <w:kern w:val="0"/>
          <w:sz w:val="32"/>
          <w:szCs w:val="32"/>
          <w:shd w:val="clear" w:color="auto" w:fill="FFFFFF"/>
          <w:lang w:eastAsia="zh-CN"/>
        </w:rPr>
        <w:t>。</w:t>
      </w:r>
      <w:r>
        <w:rPr>
          <w:rFonts w:hint="eastAsia" w:ascii="仿宋" w:hAnsi="仿宋" w:eastAsia="仿宋" w:cs="Times New Roman"/>
          <w:sz w:val="32"/>
          <w:szCs w:val="32"/>
          <w:lang w:val="en-US" w:eastAsia="zh-CN"/>
        </w:rPr>
        <w:t>2022年本年</w:t>
      </w:r>
      <w:r>
        <w:rPr>
          <w:rFonts w:hint="eastAsia" w:ascii="仿宋_GB2312" w:hAnsi="仿宋_GB2312" w:eastAsia="仿宋_GB2312" w:cs="仿宋_GB2312"/>
          <w:kern w:val="0"/>
          <w:sz w:val="32"/>
          <w:szCs w:val="32"/>
          <w:shd w:val="clear" w:color="auto" w:fill="FFFFFF"/>
        </w:rPr>
        <w:t>财政拨款收入</w:t>
      </w:r>
      <w:r>
        <w:rPr>
          <w:rFonts w:hint="eastAsia" w:ascii="仿宋" w:hAnsi="仿宋" w:eastAsia="仿宋" w:cs="Times New Roman"/>
          <w:sz w:val="32"/>
          <w:szCs w:val="32"/>
          <w:lang w:val="en-US" w:eastAsia="zh-CN"/>
        </w:rPr>
        <w:t>合计538.43万元，其中：一般公共预算财政拨款收入538.43万元，占100%。</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2.部门财政拨款支出情况</w:t>
      </w:r>
      <w:r>
        <w:rPr>
          <w:rFonts w:hint="eastAsia" w:ascii="仿宋_GB2312" w:hAnsi="仿宋_GB2312" w:eastAsia="仿宋_GB2312" w:cs="仿宋_GB2312"/>
          <w:kern w:val="0"/>
          <w:sz w:val="32"/>
          <w:szCs w:val="32"/>
          <w:shd w:val="clear" w:color="auto" w:fill="FFFFFF"/>
          <w:lang w:eastAsia="zh-CN"/>
        </w:rPr>
        <w:t>。</w:t>
      </w:r>
      <w:r>
        <w:rPr>
          <w:rFonts w:hint="eastAsia" w:ascii="仿宋" w:hAnsi="仿宋" w:eastAsia="仿宋" w:cs="Times New Roman"/>
          <w:sz w:val="32"/>
          <w:szCs w:val="32"/>
          <w:lang w:val="en-US" w:eastAsia="zh-CN"/>
        </w:rPr>
        <w:t>2022年本年</w:t>
      </w:r>
      <w:r>
        <w:rPr>
          <w:rFonts w:hint="eastAsia" w:ascii="仿宋_GB2312" w:hAnsi="仿宋_GB2312" w:eastAsia="仿宋_GB2312" w:cs="仿宋_GB2312"/>
          <w:kern w:val="0"/>
          <w:sz w:val="32"/>
          <w:szCs w:val="32"/>
          <w:shd w:val="clear" w:color="auto" w:fill="FFFFFF"/>
        </w:rPr>
        <w:t>财政拨款支出</w:t>
      </w:r>
      <w:r>
        <w:rPr>
          <w:rFonts w:hint="eastAsia" w:ascii="仿宋" w:hAnsi="仿宋" w:eastAsia="仿宋" w:cs="Times New Roman"/>
          <w:sz w:val="32"/>
          <w:szCs w:val="32"/>
          <w:lang w:val="en-US" w:eastAsia="zh-CN"/>
        </w:rPr>
        <w:t>合计538.43万元，其中：基本支出538.43万元，占100%。</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p>
    <w:p>
      <w:pPr>
        <w:widowControl/>
        <w:adjustRightInd w:val="0"/>
        <w:snapToGrid w:val="0"/>
        <w:spacing w:line="560" w:lineRule="exact"/>
        <w:ind w:firstLine="640" w:firstLineChars="200"/>
        <w:contextualSpacing/>
        <w:jc w:val="left"/>
        <w:rPr>
          <w:rFonts w:hint="eastAsia" w:ascii="仿宋" w:hAnsi="仿宋" w:eastAsia="仿宋" w:cs="Times New Roman"/>
          <w:sz w:val="32"/>
          <w:szCs w:val="32"/>
          <w:lang w:val="zh-CN" w:eastAsia="zh-CN"/>
        </w:rPr>
      </w:pPr>
      <w:r>
        <w:rPr>
          <w:rFonts w:hint="eastAsia" w:ascii="仿宋_GB2312" w:hAnsi="仿宋_GB2312" w:eastAsia="仿宋_GB2312" w:cs="仿宋_GB2312"/>
          <w:kern w:val="0"/>
          <w:sz w:val="32"/>
          <w:szCs w:val="32"/>
          <w:shd w:val="clear" w:color="auto" w:fill="FFFFFF"/>
        </w:rPr>
        <w:t>3.部门财政拨款结转结余情况</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2022年本年无</w:t>
      </w:r>
      <w:r>
        <w:rPr>
          <w:rFonts w:hint="eastAsia" w:ascii="仿宋_GB2312" w:hAnsi="仿宋_GB2312" w:eastAsia="仿宋_GB2312" w:cs="仿宋_GB2312"/>
          <w:kern w:val="0"/>
          <w:sz w:val="32"/>
          <w:szCs w:val="32"/>
          <w:shd w:val="clear" w:color="auto" w:fill="FFFFFF"/>
        </w:rPr>
        <w:t>结转结余</w:t>
      </w:r>
      <w:r>
        <w:rPr>
          <w:rFonts w:hint="eastAsia" w:ascii="仿宋_GB2312" w:hAnsi="仿宋_GB2312" w:eastAsia="仿宋_GB2312" w:cs="仿宋_GB2312"/>
          <w:kern w:val="0"/>
          <w:sz w:val="32"/>
          <w:szCs w:val="32"/>
          <w:shd w:val="clear" w:color="auto" w:fill="FFFFFF"/>
          <w:lang w:eastAsia="zh-CN"/>
        </w:rPr>
        <w:t>。</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1.人员类项目绩效分析。我局严格按照县财政局预算编制通知和有关要求，按时提交了部门预算草案并认真完成了预算管理软件数据报送工作，部门绩效目标制定合理，确保预算编制的全面性和科学性。</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2022年人员经费预算金额为485.14万元，年终实际支付485.14万元。2022年人员类项目绩效目标均已实现，预算完成率100%，资金结余率0%，</w:t>
      </w:r>
      <w:r>
        <w:rPr>
          <w:rFonts w:hint="eastAsia" w:ascii="仿宋" w:hAnsi="仿宋" w:eastAsia="仿宋" w:cs="Times New Roman"/>
          <w:sz w:val="32"/>
          <w:szCs w:val="32"/>
          <w:lang w:val="zh-CN" w:eastAsia="zh-CN"/>
        </w:rPr>
        <w:t>严格执行相关政策，保障工资及时、足额发放，社保及时、足额缴纳。</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运转类项目绩效分析。根据“统筹兼顾、勤俭节约、量力而行、收支平衡”的原则，我局严格按照财政部门2022年预算编制口径并结合我局实际情况对进行预算编制，并按要求填报预算绩效项目目标申报表。根据“先有预算、后有支出”原则，我局加强对预算支出管理的监督管理，按照预算均衡进行费用的列支。</w:t>
      </w:r>
    </w:p>
    <w:p>
      <w:pPr>
        <w:pStyle w:val="15"/>
        <w:numPr>
          <w:ilvl w:val="0"/>
          <w:numId w:val="0"/>
        </w:numPr>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运转类项目主要是办公费、印刷费、水电费、邮电费、公务接待费等，2022年预算金额53.29万元，年终实际支付53.29万元。</w:t>
      </w:r>
      <w:r>
        <w:rPr>
          <w:rFonts w:hint="eastAsia" w:ascii="仿宋" w:hAnsi="仿宋" w:eastAsia="仿宋" w:cs="Times New Roman"/>
          <w:sz w:val="32"/>
          <w:szCs w:val="32"/>
          <w:lang w:val="en-US" w:eastAsia="zh-CN"/>
        </w:rPr>
        <w:t>预算完成率100%，资金结余率0%，</w:t>
      </w:r>
      <w:r>
        <w:rPr>
          <w:rFonts w:hint="eastAsia" w:ascii="仿宋" w:hAnsi="仿宋" w:eastAsia="仿宋" w:cs="Times New Roman"/>
          <w:kern w:val="2"/>
          <w:sz w:val="32"/>
          <w:szCs w:val="32"/>
          <w:lang w:val="en-US" w:eastAsia="zh-CN" w:bidi="ar-SA"/>
        </w:rPr>
        <w:t>严格执行预算，保障单位日常运转。</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spacing w:line="600" w:lineRule="exact"/>
        <w:ind w:firstLine="640" w:firstLineChars="200"/>
        <w:rPr>
          <w:rFonts w:hint="eastAsia" w:ascii="仿宋" w:hAnsi="仿宋" w:eastAsia="仿宋" w:cs="Times New Roman"/>
          <w:sz w:val="32"/>
          <w:szCs w:val="32"/>
          <w:lang w:val="zh-CN" w:eastAsia="zh-CN"/>
        </w:rPr>
      </w:pPr>
      <w:r>
        <w:rPr>
          <w:rFonts w:hint="eastAsia" w:ascii="仿宋" w:hAnsi="仿宋" w:eastAsia="仿宋" w:cs="Times New Roman"/>
          <w:sz w:val="32"/>
          <w:szCs w:val="32"/>
          <w:lang w:val="en-US" w:eastAsia="zh-CN"/>
        </w:rPr>
        <w:t>我局严格按照县财政局预算编制通知和有关要求，按时提交了部门预算草案并认真完成了预算管理软件数据报送工作，部门绩效目标制定合理，确保预算编制的全面性和科学性。人员类、运转类项目绩效目标均已实现，2022年部门决算工作也在县财政局的指导下圆满完成。</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我局严格按照财政绩效管理要求管理编报预算绩效目标，且绩效目标真实、可行、科学，自评工作开展以来都按照上级安排及时报送、及时公开、对评价结果及时整改并运用，整体运行良好。本单位认真开展自查自纠，不断加强学习，不断完善绩效评价指标体系，科学编制预算，严格预算执行，优化资源配置、控制节约成本、提高财政资金使用效益，及时对存在的问题进行了整改。</w:t>
      </w:r>
    </w:p>
    <w:p>
      <w:pPr>
        <w:widowControl/>
        <w:numPr>
          <w:ilvl w:val="0"/>
          <w:numId w:val="3"/>
        </w:numPr>
        <w:adjustRightInd w:val="0"/>
        <w:snapToGrid w:val="0"/>
        <w:spacing w:line="560" w:lineRule="exact"/>
        <w:ind w:firstLine="643" w:firstLineChars="200"/>
        <w:contextualSpacing/>
        <w:jc w:val="left"/>
        <w:rPr>
          <w:rFonts w:hint="eastAsia" w:ascii="仿宋" w:hAnsi="仿宋" w:eastAsia="仿宋" w:cs="Times New Roman"/>
          <w:sz w:val="32"/>
          <w:szCs w:val="32"/>
          <w:lang w:val="zh-CN" w:eastAsia="zh-CN"/>
        </w:rPr>
      </w:pPr>
      <w:r>
        <w:rPr>
          <w:rFonts w:hint="eastAsia" w:ascii="楷体_GB2312" w:hAnsi="楷体_GB2312" w:eastAsia="楷体_GB2312" w:cs="楷体_GB2312"/>
          <w:b/>
          <w:bCs/>
          <w:kern w:val="0"/>
          <w:sz w:val="32"/>
          <w:szCs w:val="32"/>
          <w:shd w:val="clear" w:color="auto" w:fill="FFFFFF"/>
          <w:lang w:val="zh-CN"/>
        </w:rPr>
        <w:t>自评质量。</w:t>
      </w:r>
      <w:r>
        <w:rPr>
          <w:rFonts w:hint="eastAsia" w:ascii="仿宋" w:hAnsi="仿宋" w:eastAsia="仿宋" w:cs="Times New Roman"/>
          <w:sz w:val="32"/>
          <w:szCs w:val="32"/>
          <w:lang w:val="en-US" w:eastAsia="zh-CN"/>
        </w:rPr>
        <w:t>根据对我局2022年部门整体支出项目绩效评价指标体系和绩效情况的检查，2022年我局部门整体自评准确有效，整体绩效自评分100分，为“优”等级。</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spacing w:line="600" w:lineRule="exact"/>
        <w:ind w:firstLine="643" w:firstLineChars="200"/>
        <w:rPr>
          <w:rFonts w:hint="eastAsia" w:ascii="仿宋" w:hAnsi="仿宋" w:eastAsia="仿宋" w:cs="Times New Roman"/>
          <w:sz w:val="32"/>
          <w:szCs w:val="32"/>
          <w:lang w:val="zh-CN" w:eastAsia="zh-CN"/>
        </w:rPr>
      </w:pPr>
      <w:r>
        <w:rPr>
          <w:rFonts w:hint="eastAsia" w:ascii="楷体_GB2312" w:hAnsi="楷体_GB2312" w:eastAsia="楷体_GB2312" w:cs="楷体_GB2312"/>
          <w:b/>
          <w:bCs/>
          <w:kern w:val="0"/>
          <w:sz w:val="32"/>
          <w:szCs w:val="32"/>
          <w:shd w:val="clear" w:color="auto" w:fill="FFFFFF"/>
          <w:lang w:val="zh-CN"/>
        </w:rPr>
        <w:t>（一）评价结论。</w:t>
      </w:r>
      <w:r>
        <w:rPr>
          <w:rFonts w:hint="eastAsia" w:ascii="仿宋" w:hAnsi="仿宋" w:eastAsia="仿宋" w:cs="Times New Roman"/>
          <w:sz w:val="32"/>
          <w:szCs w:val="32"/>
          <w:lang w:val="zh-CN" w:eastAsia="zh-CN"/>
        </w:rPr>
        <w:t>综上所述，通过绩效自评，20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lang w:val="zh-CN" w:eastAsia="zh-CN"/>
        </w:rPr>
        <w:t xml:space="preserve">年审计局整体支出政策依据充分，目标制定明确；按照计划有序实施，资金到位及时，经费使用严格按照相关财务管理制度执行，对资金的使用监管有力有效，整个支出实施达到了预期的绩效目标。 </w:t>
      </w:r>
    </w:p>
    <w:p>
      <w:pPr>
        <w:spacing w:before="172" w:line="343" w:lineRule="auto"/>
        <w:ind w:left="14" w:right="239" w:firstLine="634"/>
        <w:rPr>
          <w:rFonts w:hint="eastAsia" w:ascii="仿宋" w:hAnsi="仿宋" w:eastAsia="仿宋" w:cs="Times New Roman"/>
          <w:sz w:val="32"/>
          <w:szCs w:val="32"/>
          <w:lang w:val="zh-CN" w:eastAsia="zh-CN"/>
        </w:rPr>
      </w:pPr>
      <w:r>
        <w:rPr>
          <w:rFonts w:hint="eastAsia" w:ascii="楷体_GB2312" w:hAnsi="楷体_GB2312" w:eastAsia="楷体_GB2312" w:cs="楷体_GB2312"/>
          <w:b/>
          <w:bCs/>
          <w:kern w:val="0"/>
          <w:sz w:val="32"/>
          <w:szCs w:val="32"/>
          <w:shd w:val="clear" w:color="auto" w:fill="FFFFFF"/>
          <w:lang w:val="zh-CN"/>
        </w:rPr>
        <w:t>（二）存在问题。</w:t>
      </w:r>
      <w:r>
        <w:rPr>
          <w:rFonts w:hint="eastAsia" w:ascii="仿宋" w:hAnsi="仿宋" w:eastAsia="仿宋" w:cs="Times New Roman"/>
          <w:sz w:val="32"/>
          <w:szCs w:val="32"/>
          <w:lang w:val="zh-CN" w:eastAsia="zh-CN"/>
        </w:rPr>
        <w:t>我局在预算绩效意识方面还需强化；预算绩效管理人员对绩效管理文件精神学习不够深入、内涵把握不够准确的问题。</w:t>
      </w:r>
    </w:p>
    <w:p>
      <w:pPr>
        <w:spacing w:before="172" w:line="343" w:lineRule="auto"/>
        <w:ind w:left="14" w:right="239" w:firstLine="634"/>
        <w:rPr>
          <w:rFonts w:hint="default" w:ascii="仿宋" w:hAnsi="仿宋" w:eastAsia="仿宋" w:cs="Times New Roman"/>
          <w:sz w:val="32"/>
          <w:szCs w:val="32"/>
          <w:lang w:val="zh-CN" w:eastAsia="zh-CN"/>
        </w:rPr>
      </w:pPr>
      <w:r>
        <w:rPr>
          <w:rFonts w:hint="eastAsia" w:ascii="楷体_GB2312" w:hAnsi="楷体_GB2312" w:eastAsia="楷体_GB2312" w:cs="楷体_GB2312"/>
          <w:b/>
          <w:bCs/>
          <w:kern w:val="0"/>
          <w:sz w:val="32"/>
          <w:szCs w:val="32"/>
          <w:shd w:val="clear" w:color="auto" w:fill="FFFFFF"/>
          <w:lang w:val="zh-CN"/>
        </w:rPr>
        <w:t>（三）改进建议。</w:t>
      </w:r>
      <w:r>
        <w:rPr>
          <w:rFonts w:hint="default" w:ascii="仿宋" w:hAnsi="仿宋" w:eastAsia="仿宋" w:cs="Times New Roman"/>
          <w:sz w:val="32"/>
          <w:szCs w:val="32"/>
          <w:lang w:val="zh-CN" w:eastAsia="zh-CN"/>
        </w:rPr>
        <w:t>我</w:t>
      </w:r>
      <w:r>
        <w:rPr>
          <w:rFonts w:hint="eastAsia" w:ascii="仿宋" w:hAnsi="仿宋" w:eastAsia="仿宋" w:cs="Times New Roman"/>
          <w:sz w:val="32"/>
          <w:szCs w:val="32"/>
          <w:lang w:val="zh-CN" w:eastAsia="zh-CN"/>
        </w:rPr>
        <w:t>局</w:t>
      </w:r>
      <w:r>
        <w:rPr>
          <w:rFonts w:hint="default" w:ascii="仿宋" w:hAnsi="仿宋" w:eastAsia="仿宋" w:cs="Times New Roman"/>
          <w:sz w:val="32"/>
          <w:szCs w:val="32"/>
          <w:lang w:val="zh-CN" w:eastAsia="zh-CN"/>
        </w:rPr>
        <w:t>将进一步提高预算绩效管理认识，一是加强财务管理，严格财务审查，做好项目资金管理。二是加强预算绩效动态监控管理，及时跟踪项目进度，细化预算编制工作，提高预算编制的合理性；三是坚持“花钱必问效”的理念，真正做到把钱花在刀刃上。</w:t>
      </w:r>
    </w:p>
    <w:p>
      <w:pPr>
        <w:spacing w:before="172" w:line="343" w:lineRule="auto"/>
        <w:ind w:left="14" w:right="239" w:firstLine="634"/>
        <w:rPr>
          <w:rFonts w:hint="eastAsia" w:ascii="仿宋" w:hAnsi="仿宋" w:eastAsia="仿宋" w:cs="Times New Roman"/>
          <w:sz w:val="32"/>
          <w:szCs w:val="32"/>
          <w:lang w:val="zh-CN" w:eastAsia="zh-CN"/>
        </w:rPr>
      </w:pPr>
    </w:p>
    <w:p>
      <w:pPr>
        <w:spacing w:before="172" w:line="343" w:lineRule="auto"/>
        <w:ind w:left="14" w:right="239" w:firstLine="634"/>
        <w:rPr>
          <w:rFonts w:hint="eastAsia" w:ascii="仿宋" w:hAnsi="仿宋" w:eastAsia="仿宋" w:cs="Times New Roman"/>
          <w:sz w:val="32"/>
          <w:szCs w:val="32"/>
          <w:lang w:val="zh-CN" w:eastAsia="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spacing w:line="600" w:lineRule="exact"/>
        <w:jc w:val="center"/>
        <w:outlineLvl w:val="0"/>
        <w:rPr>
          <w:rFonts w:hint="eastAsia" w:ascii="黑体" w:hAnsi="黑体" w:eastAsia="黑体"/>
          <w:sz w:val="44"/>
          <w:szCs w:val="44"/>
        </w:rPr>
      </w:pPr>
      <w:bookmarkStart w:id="14" w:name="_Toc15396599"/>
      <w:bookmarkStart w:id="15" w:name="_Toc1537719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p>
    <w:p>
      <w:pPr>
        <w:pStyle w:val="4"/>
        <w:rPr>
          <w:rFonts w:ascii="仿宋" w:hAnsi="仿宋" w:eastAsia="仿宋"/>
        </w:rPr>
      </w:pPr>
      <w:r>
        <w:rPr>
          <w:rFonts w:hint="eastAsia" w:ascii="仿宋" w:hAnsi="仿宋" w:eastAsia="仿宋"/>
          <w:b w:val="0"/>
        </w:rPr>
        <w:t>二、收</w:t>
      </w:r>
      <w:r>
        <w:rPr>
          <w:rStyle w:val="30"/>
          <w:rFonts w:hint="eastAsia" w:ascii="仿宋" w:hAnsi="仿宋" w:eastAsia="仿宋"/>
          <w:b w:val="0"/>
          <w:bCs w:val="0"/>
        </w:rPr>
        <w:t>入决算表</w:t>
      </w:r>
    </w:p>
    <w:p>
      <w:pPr>
        <w:pStyle w:val="4"/>
        <w:rPr>
          <w:rFonts w:ascii="仿宋" w:hAnsi="仿宋" w:eastAsia="仿宋"/>
        </w:rPr>
      </w:pPr>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p>
    <w:p>
      <w:pPr>
        <w:pStyle w:val="4"/>
        <w:rPr>
          <w:rFonts w:ascii="仿宋" w:hAnsi="仿宋" w:eastAsia="仿宋"/>
          <w:b w:val="0"/>
        </w:rPr>
      </w:pPr>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p>
    <w:p>
      <w:pPr>
        <w:pStyle w:val="4"/>
        <w:rPr>
          <w:rStyle w:val="30"/>
          <w:rFonts w:ascii="仿宋" w:hAnsi="仿宋" w:eastAsia="仿宋"/>
          <w:b w:val="0"/>
          <w:bCs w:val="0"/>
        </w:rPr>
      </w:pPr>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p>
    <w:p>
      <w:pPr>
        <w:pStyle w:val="4"/>
        <w:rPr>
          <w:rFonts w:ascii="仿宋" w:hAnsi="仿宋" w:eastAsia="仿宋"/>
        </w:rPr>
      </w:pPr>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p>
    <w:p>
      <w:pPr>
        <w:pStyle w:val="4"/>
        <w:rPr>
          <w:rFonts w:ascii="仿宋" w:hAnsi="仿宋" w:eastAsia="仿宋"/>
        </w:rPr>
      </w:pPr>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p>
    <w:p>
      <w:pPr>
        <w:pStyle w:val="4"/>
        <w:rPr>
          <w:rFonts w:ascii="仿宋" w:hAnsi="仿宋" w:eastAsia="仿宋"/>
        </w:rPr>
      </w:pPr>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p>
    <w:p>
      <w:pPr>
        <w:pStyle w:val="4"/>
        <w:rPr>
          <w:rFonts w:ascii="仿宋" w:hAnsi="仿宋" w:eastAsia="仿宋"/>
        </w:rPr>
      </w:pPr>
      <w:r>
        <w:rPr>
          <w:rStyle w:val="30"/>
          <w:rFonts w:hint="eastAsia" w:ascii="仿宋" w:hAnsi="仿宋" w:eastAsia="仿宋"/>
          <w:b w:val="0"/>
          <w:bCs w:val="0"/>
        </w:rPr>
        <w:t>十、</w:t>
      </w:r>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r>
        <w:rPr>
          <w:rStyle w:val="30"/>
          <w:rFonts w:hint="eastAsia" w:ascii="仿宋" w:hAnsi="仿宋" w:eastAsia="仿宋"/>
          <w:b w:val="0"/>
          <w:bCs w:val="0"/>
        </w:rPr>
        <w:t>十一、</w:t>
      </w:r>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r>
        <w:rPr>
          <w:rStyle w:val="30"/>
          <w:rFonts w:hint="eastAsia" w:ascii="仿宋" w:hAnsi="仿宋" w:eastAsia="仿宋"/>
          <w:b w:val="0"/>
          <w:bCs w:val="0"/>
        </w:rPr>
        <w:t>十二、国有资本经营预算财政拨款支出决算表</w:t>
      </w:r>
    </w:p>
    <w:p>
      <w:pPr>
        <w:pStyle w:val="4"/>
        <w:rPr>
          <w:rFonts w:eastAsia="仿宋"/>
        </w:rPr>
      </w:pPr>
      <w:r>
        <w:rPr>
          <w:rStyle w:val="30"/>
          <w:rFonts w:hint="eastAsia" w:ascii="仿宋" w:hAnsi="仿宋" w:eastAsia="仿宋"/>
          <w:b w:val="0"/>
          <w:bCs w:val="0"/>
        </w:rPr>
        <w:t>十三、财政拨款“三公”经费支出决算表</w:t>
      </w:r>
    </w:p>
    <w:bookmarkEnd w:id="14"/>
    <w:bookmarkEnd w:id="15"/>
    <w:p>
      <w:pPr>
        <w:widowControl/>
        <w:spacing w:line="440" w:lineRule="exact"/>
        <w:jc w:val="left"/>
        <w:rPr>
          <w:rFonts w:ascii="仿宋" w:hAnsi="仿宋" w:eastAsia="仿宋"/>
          <w:kern w:val="0"/>
          <w:sz w:val="32"/>
          <w:szCs w:val="32"/>
        </w:rPr>
      </w:pPr>
    </w:p>
    <w:p>
      <w:pPr>
        <w:pStyle w:val="4"/>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EF323"/>
    <w:multiLevelType w:val="singleLevel"/>
    <w:tmpl w:val="DEBEF323"/>
    <w:lvl w:ilvl="0" w:tentative="0">
      <w:start w:val="4"/>
      <w:numFmt w:val="chineseCounting"/>
      <w:suff w:val="nothing"/>
      <w:lvlText w:val="（%1）"/>
      <w:lvlJc w:val="left"/>
      <w:rPr>
        <w:rFonts w:hint="eastAsia"/>
      </w:rPr>
    </w:lvl>
  </w:abstractNum>
  <w:abstractNum w:abstractNumId="1">
    <w:nsid w:val="10615814"/>
    <w:multiLevelType w:val="singleLevel"/>
    <w:tmpl w:val="10615814"/>
    <w:lvl w:ilvl="0" w:tentative="0">
      <w:start w:val="8"/>
      <w:numFmt w:val="chineseCounting"/>
      <w:suff w:val="nothing"/>
      <w:lvlText w:val="%1、"/>
      <w:lvlJc w:val="left"/>
      <w:rPr>
        <w:rFonts w:hint="eastAsia"/>
      </w:rPr>
    </w:lvl>
  </w:abstractNum>
  <w:abstractNum w:abstractNumId="2">
    <w:nsid w:val="5896315F"/>
    <w:multiLevelType w:val="singleLevel"/>
    <w:tmpl w:val="5896315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03"/>
    <w:rsid w:val="005D468D"/>
    <w:rsid w:val="005D5CED"/>
    <w:rsid w:val="005F1A4C"/>
    <w:rsid w:val="00605688"/>
    <w:rsid w:val="006070AF"/>
    <w:rsid w:val="00607E6C"/>
    <w:rsid w:val="006101B1"/>
    <w:rsid w:val="00614E44"/>
    <w:rsid w:val="00615EA1"/>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4AC3"/>
    <w:rsid w:val="00E07ACF"/>
    <w:rsid w:val="00E32E21"/>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361D70"/>
    <w:rsid w:val="015975B8"/>
    <w:rsid w:val="02143E91"/>
    <w:rsid w:val="047D1717"/>
    <w:rsid w:val="05AC4062"/>
    <w:rsid w:val="066E0107"/>
    <w:rsid w:val="07131EBF"/>
    <w:rsid w:val="07996F6E"/>
    <w:rsid w:val="086A5B0F"/>
    <w:rsid w:val="08CC67C9"/>
    <w:rsid w:val="08F00C5F"/>
    <w:rsid w:val="09296B5B"/>
    <w:rsid w:val="0A2032A3"/>
    <w:rsid w:val="0A227CFB"/>
    <w:rsid w:val="0A375EC4"/>
    <w:rsid w:val="0A9F4195"/>
    <w:rsid w:val="0AD70FE7"/>
    <w:rsid w:val="0B15694E"/>
    <w:rsid w:val="0BB84D66"/>
    <w:rsid w:val="0BEB340A"/>
    <w:rsid w:val="0C497634"/>
    <w:rsid w:val="0CAA5073"/>
    <w:rsid w:val="0D3F3A0E"/>
    <w:rsid w:val="0E0B4644"/>
    <w:rsid w:val="0E22755E"/>
    <w:rsid w:val="0F1F50AF"/>
    <w:rsid w:val="0F98263C"/>
    <w:rsid w:val="101860EC"/>
    <w:rsid w:val="1052000A"/>
    <w:rsid w:val="10C055FF"/>
    <w:rsid w:val="113C38DE"/>
    <w:rsid w:val="118107EC"/>
    <w:rsid w:val="11A007F3"/>
    <w:rsid w:val="12403FFE"/>
    <w:rsid w:val="12BA7692"/>
    <w:rsid w:val="13C6324D"/>
    <w:rsid w:val="13D50BC4"/>
    <w:rsid w:val="14C668C3"/>
    <w:rsid w:val="158B41A9"/>
    <w:rsid w:val="16AD1682"/>
    <w:rsid w:val="16BB723D"/>
    <w:rsid w:val="174941E0"/>
    <w:rsid w:val="17D157A8"/>
    <w:rsid w:val="186A5785"/>
    <w:rsid w:val="190A2398"/>
    <w:rsid w:val="1A1D78F0"/>
    <w:rsid w:val="1B2A59B9"/>
    <w:rsid w:val="1B870B41"/>
    <w:rsid w:val="1BE8440E"/>
    <w:rsid w:val="1D155CEE"/>
    <w:rsid w:val="1D9C3CE5"/>
    <w:rsid w:val="1DCD471E"/>
    <w:rsid w:val="1E594203"/>
    <w:rsid w:val="1E6C3F37"/>
    <w:rsid w:val="1F0E1492"/>
    <w:rsid w:val="1F5B1998"/>
    <w:rsid w:val="1F952153"/>
    <w:rsid w:val="1FF35744"/>
    <w:rsid w:val="20391415"/>
    <w:rsid w:val="2188552B"/>
    <w:rsid w:val="21902632"/>
    <w:rsid w:val="22676060"/>
    <w:rsid w:val="22F96412"/>
    <w:rsid w:val="23603C82"/>
    <w:rsid w:val="23860B96"/>
    <w:rsid w:val="240371BF"/>
    <w:rsid w:val="255552F4"/>
    <w:rsid w:val="25F623DD"/>
    <w:rsid w:val="27455C6D"/>
    <w:rsid w:val="274A3287"/>
    <w:rsid w:val="27D76283"/>
    <w:rsid w:val="28B70AA4"/>
    <w:rsid w:val="29FD04D3"/>
    <w:rsid w:val="2A2C4823"/>
    <w:rsid w:val="2AA32A40"/>
    <w:rsid w:val="2BA94A1C"/>
    <w:rsid w:val="2BFA3C87"/>
    <w:rsid w:val="2C8A61B5"/>
    <w:rsid w:val="2D6F7214"/>
    <w:rsid w:val="2DA90D03"/>
    <w:rsid w:val="2DE03FF9"/>
    <w:rsid w:val="2DF04E50"/>
    <w:rsid w:val="2EF736DA"/>
    <w:rsid w:val="2F040D46"/>
    <w:rsid w:val="30450798"/>
    <w:rsid w:val="30E64054"/>
    <w:rsid w:val="31132938"/>
    <w:rsid w:val="319F7F4E"/>
    <w:rsid w:val="31C75BFC"/>
    <w:rsid w:val="32637EFE"/>
    <w:rsid w:val="326F5A60"/>
    <w:rsid w:val="3304709D"/>
    <w:rsid w:val="33674A0D"/>
    <w:rsid w:val="336851BD"/>
    <w:rsid w:val="338508A2"/>
    <w:rsid w:val="3403021D"/>
    <w:rsid w:val="340E47BD"/>
    <w:rsid w:val="34C535E8"/>
    <w:rsid w:val="35201994"/>
    <w:rsid w:val="36AA5135"/>
    <w:rsid w:val="374F5BC2"/>
    <w:rsid w:val="376D39B2"/>
    <w:rsid w:val="37DE2F58"/>
    <w:rsid w:val="37E16F03"/>
    <w:rsid w:val="38D469F0"/>
    <w:rsid w:val="39B7532B"/>
    <w:rsid w:val="39FE6173"/>
    <w:rsid w:val="3A4719C3"/>
    <w:rsid w:val="3BA270D2"/>
    <w:rsid w:val="3C9D609A"/>
    <w:rsid w:val="3D98207C"/>
    <w:rsid w:val="3E5330B3"/>
    <w:rsid w:val="3E78745D"/>
    <w:rsid w:val="3F8A0269"/>
    <w:rsid w:val="3FE61C4C"/>
    <w:rsid w:val="410D2F00"/>
    <w:rsid w:val="41230975"/>
    <w:rsid w:val="41362456"/>
    <w:rsid w:val="416E1B48"/>
    <w:rsid w:val="41EC2596"/>
    <w:rsid w:val="420C765B"/>
    <w:rsid w:val="42611755"/>
    <w:rsid w:val="433230F1"/>
    <w:rsid w:val="43A15B81"/>
    <w:rsid w:val="43B92ECB"/>
    <w:rsid w:val="4407632C"/>
    <w:rsid w:val="440A3726"/>
    <w:rsid w:val="44AC2D8E"/>
    <w:rsid w:val="44E268DA"/>
    <w:rsid w:val="45444E9C"/>
    <w:rsid w:val="46080139"/>
    <w:rsid w:val="479B74B7"/>
    <w:rsid w:val="47A13914"/>
    <w:rsid w:val="480A63EB"/>
    <w:rsid w:val="49D05863"/>
    <w:rsid w:val="49ED002F"/>
    <w:rsid w:val="4A5B7557"/>
    <w:rsid w:val="4A627F82"/>
    <w:rsid w:val="4A6A3171"/>
    <w:rsid w:val="4B0E749A"/>
    <w:rsid w:val="4B474412"/>
    <w:rsid w:val="4B4F25DA"/>
    <w:rsid w:val="4BDF193C"/>
    <w:rsid w:val="4BE068DB"/>
    <w:rsid w:val="4C75528F"/>
    <w:rsid w:val="4C8C02A6"/>
    <w:rsid w:val="4C8C275B"/>
    <w:rsid w:val="4D577224"/>
    <w:rsid w:val="4DE66AA0"/>
    <w:rsid w:val="4EAB630A"/>
    <w:rsid w:val="4ECE2238"/>
    <w:rsid w:val="4EDA5E4B"/>
    <w:rsid w:val="4F301206"/>
    <w:rsid w:val="4F8D61C2"/>
    <w:rsid w:val="508451DC"/>
    <w:rsid w:val="520B348B"/>
    <w:rsid w:val="522D3402"/>
    <w:rsid w:val="53037E32"/>
    <w:rsid w:val="537E6D0A"/>
    <w:rsid w:val="539A6209"/>
    <w:rsid w:val="53AC66A7"/>
    <w:rsid w:val="549C78B2"/>
    <w:rsid w:val="55756FAC"/>
    <w:rsid w:val="558828E4"/>
    <w:rsid w:val="5617131A"/>
    <w:rsid w:val="567057BC"/>
    <w:rsid w:val="577E200A"/>
    <w:rsid w:val="580A216C"/>
    <w:rsid w:val="580E5A83"/>
    <w:rsid w:val="58A957AC"/>
    <w:rsid w:val="5A0C5FF2"/>
    <w:rsid w:val="5A787A5B"/>
    <w:rsid w:val="5AF92295"/>
    <w:rsid w:val="5CD71FC4"/>
    <w:rsid w:val="5D0B433F"/>
    <w:rsid w:val="5D1139B0"/>
    <w:rsid w:val="5E391380"/>
    <w:rsid w:val="5E8F0FA0"/>
    <w:rsid w:val="5EA52572"/>
    <w:rsid w:val="5FBE6142"/>
    <w:rsid w:val="60671907"/>
    <w:rsid w:val="60911000"/>
    <w:rsid w:val="61893075"/>
    <w:rsid w:val="61A66D2D"/>
    <w:rsid w:val="61CF0031"/>
    <w:rsid w:val="61F07FA8"/>
    <w:rsid w:val="63A454EE"/>
    <w:rsid w:val="64874BF3"/>
    <w:rsid w:val="64A83A6C"/>
    <w:rsid w:val="64AE5A27"/>
    <w:rsid w:val="650C602D"/>
    <w:rsid w:val="651D40E0"/>
    <w:rsid w:val="6531690D"/>
    <w:rsid w:val="656960A7"/>
    <w:rsid w:val="65DF0A5F"/>
    <w:rsid w:val="662777FB"/>
    <w:rsid w:val="666B6D41"/>
    <w:rsid w:val="66F83B86"/>
    <w:rsid w:val="67007926"/>
    <w:rsid w:val="678C6FED"/>
    <w:rsid w:val="690D4335"/>
    <w:rsid w:val="6A8E035E"/>
    <w:rsid w:val="6B52582F"/>
    <w:rsid w:val="6BD54C99"/>
    <w:rsid w:val="6C384A25"/>
    <w:rsid w:val="6C4A05C8"/>
    <w:rsid w:val="6DA700B4"/>
    <w:rsid w:val="6E7E3605"/>
    <w:rsid w:val="6E86686D"/>
    <w:rsid w:val="6ED24CBD"/>
    <w:rsid w:val="6F843DA5"/>
    <w:rsid w:val="6FF5CC65"/>
    <w:rsid w:val="70271038"/>
    <w:rsid w:val="70672630"/>
    <w:rsid w:val="70673B2B"/>
    <w:rsid w:val="715C0E4B"/>
    <w:rsid w:val="717E2EDA"/>
    <w:rsid w:val="72734D90"/>
    <w:rsid w:val="734F6541"/>
    <w:rsid w:val="73912EA1"/>
    <w:rsid w:val="73AD73D5"/>
    <w:rsid w:val="73B6EB34"/>
    <w:rsid w:val="740C316E"/>
    <w:rsid w:val="74193D66"/>
    <w:rsid w:val="744731E5"/>
    <w:rsid w:val="7480288E"/>
    <w:rsid w:val="74EF608F"/>
    <w:rsid w:val="76E3355F"/>
    <w:rsid w:val="778769C8"/>
    <w:rsid w:val="78306EF8"/>
    <w:rsid w:val="792D7A1C"/>
    <w:rsid w:val="794E7543"/>
    <w:rsid w:val="79EE5BA4"/>
    <w:rsid w:val="7A894339"/>
    <w:rsid w:val="7B835C53"/>
    <w:rsid w:val="7C572CA5"/>
    <w:rsid w:val="7C7552A4"/>
    <w:rsid w:val="7D1D4F36"/>
    <w:rsid w:val="7EEF11D3"/>
    <w:rsid w:val="7F314C43"/>
    <w:rsid w:val="7F4E034F"/>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99"/>
    <w:rPr>
      <w:rFonts w:ascii="宋体" w:hAnsi="Courier New" w:eastAsia="仿宋_GB2312" w:cs="Courier New"/>
      <w:b/>
      <w:sz w:val="32"/>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6"/>
    <w:next w:val="1"/>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标题 1 Char"/>
    <w:basedOn w:val="17"/>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12</TotalTime>
  <ScaleCrop>false</ScaleCrop>
  <LinksUpToDate>false</LinksUpToDate>
  <CharactersWithSpaces>8226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Chobi</cp:lastModifiedBy>
  <cp:lastPrinted>2023-07-31T02:35:00Z</cp:lastPrinted>
  <dcterms:modified xsi:type="dcterms:W3CDTF">2023-11-03T03:42:16Z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05F1E63E31C74130950954D0A0D27C6C_13</vt:lpwstr>
  </property>
</Properties>
</file>