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bookmarkStart w:id="1" w:name="_Toc15377193"/>
      <w:bookmarkStart w:id="2" w:name="_Toc15378441"/>
      <w:bookmarkStart w:id="3" w:name="_Toc15396597"/>
      <w:bookmarkStart w:id="4" w:name="_Toc15377425"/>
      <w:bookmarkStart w:id="5" w:name="_Toc15396475"/>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7426"/>
      <w:bookmarkStart w:id="7" w:name="_Toc15377194"/>
      <w:bookmarkStart w:id="8" w:name="_Toc15396476"/>
      <w:bookmarkStart w:id="9" w:name="_Toc15378442"/>
      <w:bookmarkStart w:id="10" w:name="_Toc15396598"/>
      <w:r>
        <w:rPr>
          <w:rFonts w:hint="eastAsia" w:ascii="方正小标宋简体" w:hAnsi="方正小标宋简体" w:eastAsia="方正小标宋简体" w:cs="方正小标宋简体"/>
          <w:sz w:val="72"/>
          <w:szCs w:val="72"/>
        </w:rPr>
        <w:t>剑阁县</w:t>
      </w:r>
      <w:bookmarkEnd w:id="0"/>
      <w:bookmarkStart w:id="11" w:name="_Toc15306268"/>
      <w:r>
        <w:rPr>
          <w:rFonts w:hint="eastAsia" w:ascii="方正小标宋简体" w:hAnsi="方正小标宋简体" w:eastAsia="方正小标宋简体" w:cs="方正小标宋简体"/>
          <w:sz w:val="72"/>
          <w:szCs w:val="72"/>
          <w:lang w:eastAsia="zh-CN"/>
        </w:rPr>
        <w:t>民政局</w:t>
      </w: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方正小标宋简体" w:hAnsi="宋体" w:eastAsia="方正小标宋简体"/>
          <w:sz w:val="36"/>
          <w:szCs w:val="36"/>
        </w:rPr>
      </w:pPr>
      <w:r>
        <w:rPr>
          <w:rFonts w:ascii="方正小标宋简体" w:hAnsi="宋体" w:eastAsia="方正小标宋简体"/>
          <w:sz w:val="36"/>
          <w:szCs w:val="36"/>
        </w:rPr>
        <w:br w:type="page"/>
      </w:r>
    </w:p>
    <w:p>
      <w:pPr>
        <w:widowControl/>
        <w:jc w:val="center"/>
        <w:rPr>
          <w:rFonts w:cs="仿宋_GB2312" w:asciiTheme="minorEastAsia" w:hAnsiTheme="minorEastAsia" w:eastAsiaTheme="minorEastAsia"/>
          <w:b/>
          <w:bCs/>
          <w:color w:val="000000"/>
          <w:kern w:val="0"/>
          <w:sz w:val="52"/>
          <w:szCs w:val="52"/>
          <w:lang w:bidi="ar"/>
        </w:rPr>
      </w:pPr>
      <w:r>
        <w:rPr>
          <w:rFonts w:hint="eastAsia" w:cs="仿宋_GB2312" w:asciiTheme="minorEastAsia" w:hAnsiTheme="minorEastAsia" w:eastAsiaTheme="minorEastAsia"/>
          <w:b/>
          <w:bCs/>
          <w:color w:val="000000"/>
          <w:kern w:val="0"/>
          <w:sz w:val="52"/>
          <w:szCs w:val="52"/>
          <w:lang w:bidi="ar"/>
        </w:rPr>
        <w:t>目 录</w:t>
      </w:r>
    </w:p>
    <w:p>
      <w:pPr>
        <w:widowControl/>
        <w:jc w:val="center"/>
        <w:rPr>
          <w:rFonts w:hint="eastAsia" w:cs="楷体_GB2312" w:asciiTheme="minorEastAsia" w:hAnsiTheme="minorEastAsia" w:eastAsiaTheme="minorEastAsia"/>
          <w:color w:val="000000"/>
          <w:kern w:val="0"/>
          <w:sz w:val="28"/>
          <w:szCs w:val="28"/>
          <w:lang w:eastAsia="zh-CN" w:bidi="ar"/>
        </w:rPr>
      </w:pPr>
    </w:p>
    <w:p>
      <w:pPr>
        <w:widowControl/>
        <w:jc w:val="center"/>
        <w:rPr>
          <w:rFonts w:hint="default" w:ascii="仿宋" w:hAnsi="仿宋" w:eastAsia="仿宋" w:cs="Times New Roman"/>
          <w:color w:val="000000" w:themeColor="text1"/>
          <w:sz w:val="32"/>
          <w:szCs w:val="32"/>
          <w:lang w:val="en-US" w:eastAsia="zh-CN"/>
          <w14:textFill>
            <w14:solidFill>
              <w14:schemeClr w14:val="tx1"/>
            </w14:solidFill>
          </w14:textFill>
        </w:rPr>
      </w:pPr>
      <w:r>
        <w:rPr>
          <w:rFonts w:hint="eastAsia" w:ascii="仿宋" w:hAnsi="仿宋" w:eastAsia="仿宋" w:cs="Times New Roman"/>
          <w:color w:val="000000" w:themeColor="text1"/>
          <w:sz w:val="32"/>
          <w:szCs w:val="32"/>
          <w:lang w:val="en-US" w:eastAsia="zh-CN"/>
          <w14:textFill>
            <w14:solidFill>
              <w14:schemeClr w14:val="tx1"/>
            </w14:solidFill>
          </w14:textFill>
        </w:rPr>
        <w:t>公开时间：2023年10月25日</w:t>
      </w:r>
    </w:p>
    <w:p>
      <w:pPr>
        <w:widowControl/>
        <w:jc w:val="left"/>
        <w:rPr>
          <w:rFonts w:hint="eastAsia" w:cs="仿宋_GB2312" w:asciiTheme="minorEastAsia" w:hAnsiTheme="minorEastAsia" w:eastAsiaTheme="minorEastAsia"/>
          <w:b/>
          <w:bCs/>
          <w:color w:val="000000"/>
          <w:kern w:val="0"/>
          <w:sz w:val="18"/>
          <w:szCs w:val="18"/>
          <w:lang w:bidi="ar"/>
        </w:rPr>
      </w:pPr>
    </w:p>
    <w:p>
      <w:pPr>
        <w:widowControl/>
        <w:jc w:val="left"/>
        <w:rPr>
          <w:rFonts w:cs="仿宋_GB2312" w:asciiTheme="minorEastAsia" w:hAnsiTheme="minorEastAsia" w:eastAsiaTheme="minorEastAsia"/>
          <w:color w:val="000000"/>
          <w:kern w:val="0"/>
          <w:sz w:val="32"/>
          <w:szCs w:val="32"/>
          <w:lang w:bidi="ar"/>
        </w:rPr>
      </w:pPr>
      <w:r>
        <w:rPr>
          <w:rFonts w:hint="eastAsia" w:ascii="黑体" w:hAnsi="黑体" w:eastAsia="黑体" w:cs="黑体"/>
          <w:b/>
          <w:bCs/>
          <w:color w:val="000000"/>
          <w:kern w:val="0"/>
          <w:sz w:val="32"/>
          <w:szCs w:val="32"/>
          <w:lang w:bidi="ar"/>
        </w:rPr>
        <w:t xml:space="preserve">第一部分 </w:t>
      </w:r>
      <w:r>
        <w:rPr>
          <w:rFonts w:hint="eastAsia" w:ascii="黑体" w:hAnsi="黑体" w:eastAsia="黑体" w:cs="黑体"/>
          <w:b/>
          <w:bCs/>
          <w:color w:val="000000"/>
          <w:kern w:val="0"/>
          <w:sz w:val="32"/>
          <w:szCs w:val="32"/>
          <w:lang w:eastAsia="zh-CN" w:bidi="ar"/>
        </w:rPr>
        <w:t>单位</w:t>
      </w:r>
      <w:r>
        <w:rPr>
          <w:rFonts w:hint="eastAsia" w:ascii="黑体" w:hAnsi="黑体" w:eastAsia="黑体" w:cs="黑体"/>
          <w:b/>
          <w:bCs/>
          <w:color w:val="000000"/>
          <w:kern w:val="0"/>
          <w:sz w:val="32"/>
          <w:szCs w:val="32"/>
          <w:lang w:bidi="ar"/>
        </w:rPr>
        <w:t>概况</w:t>
      </w:r>
      <w:r>
        <w:rPr>
          <w:rFonts w:hint="eastAsia" w:ascii="黑体" w:hAnsi="黑体" w:eastAsia="黑体" w:cs="黑体"/>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bidi="ar"/>
        </w:rPr>
        <w:t xml:space="preserve"> .............................. 4 </w:t>
      </w:r>
    </w:p>
    <w:p>
      <w:pPr>
        <w:widowControl/>
        <w:jc w:val="left"/>
        <w:rPr>
          <w:rFonts w:hint="eastAsia" w:cs="仿宋_GB2312" w:asciiTheme="minorEastAsia" w:hAnsiTheme="minorEastAsia" w:eastAsiaTheme="minorEastAsia"/>
          <w:color w:val="000000"/>
          <w:kern w:val="0"/>
          <w:sz w:val="32"/>
          <w:szCs w:val="32"/>
          <w:lang w:bidi="ar"/>
        </w:rPr>
      </w:pPr>
      <w:r>
        <w:rPr>
          <w:rFonts w:hint="eastAsia" w:ascii="仿宋" w:hAnsi="仿宋" w:eastAsia="仿宋" w:cs="Times New Roman"/>
          <w:sz w:val="32"/>
          <w:szCs w:val="32"/>
          <w:lang w:val="en-US" w:eastAsia="zh-CN"/>
        </w:rPr>
        <w:t>一、主要</w:t>
      </w:r>
      <w:r>
        <w:rPr>
          <w:rFonts w:hint="eastAsia" w:ascii="仿宋" w:hAnsi="仿宋" w:eastAsia="仿宋" w:cs="Times New Roman"/>
          <w:b w:val="0"/>
          <w:bCs w:val="0"/>
          <w:sz w:val="32"/>
          <w:szCs w:val="32"/>
          <w:lang w:val="en-US" w:eastAsia="zh-CN"/>
        </w:rPr>
        <w:t>职责及重点</w:t>
      </w:r>
      <w:r>
        <w:rPr>
          <w:rFonts w:hint="eastAsia" w:ascii="仿宋" w:hAnsi="仿宋" w:eastAsia="仿宋" w:cs="Times New Roman"/>
          <w:sz w:val="32"/>
          <w:szCs w:val="32"/>
          <w:lang w:val="en-US" w:eastAsia="zh-CN"/>
        </w:rPr>
        <w:t>工作</w:t>
      </w:r>
      <w:r>
        <w:rPr>
          <w:rFonts w:hint="eastAsia" w:cs="仿宋_GB2312" w:asciiTheme="minorEastAsia" w:hAnsiTheme="minorEastAsia" w:eastAsiaTheme="minorEastAsia"/>
          <w:color w:val="000000"/>
          <w:kern w:val="0"/>
          <w:sz w:val="32"/>
          <w:szCs w:val="32"/>
          <w:lang w:bidi="ar"/>
        </w:rPr>
        <w:t xml:space="preserve"> ............................4 </w:t>
      </w:r>
    </w:p>
    <w:p>
      <w:pPr>
        <w:widowControl/>
        <w:jc w:val="left"/>
        <w:rPr>
          <w:rFonts w:hint="default" w:cs="仿宋_GB2312" w:asciiTheme="minorEastAsia" w:hAnsiTheme="minorEastAsia" w:eastAsiaTheme="minorEastAsia"/>
          <w:color w:val="000000"/>
          <w:kern w:val="0"/>
          <w:sz w:val="32"/>
          <w:szCs w:val="32"/>
          <w:lang w:val="en-US" w:eastAsia="zh-CN" w:bidi="ar"/>
        </w:rPr>
      </w:pPr>
      <w:r>
        <w:rPr>
          <w:rFonts w:hint="eastAsia" w:ascii="仿宋" w:hAnsi="仿宋" w:eastAsia="仿宋"/>
          <w:sz w:val="32"/>
          <w:szCs w:val="32"/>
          <w:lang w:val="en-US" w:eastAsia="zh-CN"/>
        </w:rPr>
        <w:t>（一）单位职责.</w:t>
      </w:r>
      <w:r>
        <w:rPr>
          <w:rFonts w:hint="eastAsia" w:cs="仿宋_GB2312" w:asciiTheme="minorEastAsia" w:hAnsiTheme="minorEastAsia" w:eastAsiaTheme="minorEastAsia"/>
          <w:color w:val="000000"/>
          <w:kern w:val="0"/>
          <w:sz w:val="32"/>
          <w:szCs w:val="32"/>
          <w:lang w:val="en-US" w:eastAsia="zh-CN" w:bidi="ar"/>
        </w:rPr>
        <w:t>....................................4</w:t>
      </w:r>
    </w:p>
    <w:p>
      <w:pPr>
        <w:widowControl/>
        <w:jc w:val="left"/>
        <w:rPr>
          <w:rFonts w:hint="default" w:cs="仿宋_GB2312" w:asciiTheme="minorEastAsia" w:hAnsiTheme="minorEastAsia" w:eastAsiaTheme="minorEastAsia"/>
          <w:color w:val="000000"/>
          <w:kern w:val="0"/>
          <w:sz w:val="32"/>
          <w:szCs w:val="32"/>
          <w:lang w:val="en-US" w:eastAsia="zh-CN" w:bidi="ar"/>
        </w:rPr>
      </w:pPr>
      <w:r>
        <w:rPr>
          <w:rFonts w:hint="eastAsia" w:ascii="仿宋" w:hAnsi="仿宋" w:eastAsia="仿宋" w:cs="Times New Roman"/>
          <w:sz w:val="32"/>
          <w:szCs w:val="32"/>
          <w:lang w:val="en-US" w:eastAsia="zh-CN"/>
        </w:rPr>
        <w:t>（二）2022年重点工作完成情况.</w:t>
      </w:r>
      <w:r>
        <w:rPr>
          <w:rFonts w:hint="eastAsia" w:cs="仿宋_GB2312" w:asciiTheme="minorEastAsia" w:hAnsiTheme="minorEastAsia" w:eastAsiaTheme="minorEastAsia"/>
          <w:color w:val="000000"/>
          <w:kern w:val="0"/>
          <w:sz w:val="32"/>
          <w:szCs w:val="32"/>
          <w:lang w:val="en-US" w:eastAsia="zh-CN" w:bidi="ar"/>
        </w:rPr>
        <w:t>.....................6</w:t>
      </w:r>
    </w:p>
    <w:p>
      <w:pPr>
        <w:widowControl/>
        <w:jc w:val="left"/>
        <w:rPr>
          <w:rFonts w:hint="eastAsia" w:cs="仿宋_GB2312" w:asciiTheme="minorEastAsia" w:hAnsiTheme="minorEastAsia" w:eastAsiaTheme="minorEastAsia"/>
          <w:color w:val="000000"/>
          <w:kern w:val="0"/>
          <w:sz w:val="32"/>
          <w:szCs w:val="32"/>
          <w:lang w:val="en-US" w:eastAsia="zh-CN" w:bidi="ar"/>
        </w:rPr>
      </w:pPr>
      <w:r>
        <w:rPr>
          <w:rFonts w:hint="eastAsia" w:ascii="仿宋" w:hAnsi="仿宋" w:eastAsia="仿宋" w:cs="Times New Roman"/>
          <w:sz w:val="32"/>
          <w:szCs w:val="32"/>
          <w:lang w:val="en-US" w:eastAsia="zh-CN"/>
        </w:rPr>
        <w:t>二、机构设置</w:t>
      </w:r>
      <w:r>
        <w:rPr>
          <w:rFonts w:hint="eastAsia" w:cs="仿宋_GB2312" w:asciiTheme="minorEastAsia" w:hAnsiTheme="minorEastAsia" w:eastAsiaTheme="minorEastAsia"/>
          <w:color w:val="000000"/>
          <w:kern w:val="0"/>
          <w:sz w:val="32"/>
          <w:szCs w:val="32"/>
          <w:lang w:bidi="ar"/>
        </w:rPr>
        <w:t xml:space="preserve"> .....................................</w:t>
      </w:r>
      <w:r>
        <w:rPr>
          <w:rFonts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val="en-US" w:eastAsia="zh-CN" w:bidi="ar"/>
        </w:rPr>
        <w:t>11</w:t>
      </w:r>
      <w:r>
        <w:rPr>
          <w:rFonts w:hint="eastAsia" w:ascii="黑体" w:hAnsi="黑体" w:eastAsia="黑体" w:cs="黑体"/>
          <w:b/>
          <w:bCs/>
          <w:color w:val="000000"/>
          <w:kern w:val="0"/>
          <w:sz w:val="32"/>
          <w:szCs w:val="32"/>
          <w:lang w:bidi="ar"/>
        </w:rPr>
        <w:t>第二部分 202</w:t>
      </w:r>
      <w:r>
        <w:rPr>
          <w:rFonts w:hint="eastAsia" w:ascii="黑体" w:hAnsi="黑体" w:eastAsia="黑体" w:cs="黑体"/>
          <w:b/>
          <w:bCs/>
          <w:color w:val="000000"/>
          <w:kern w:val="0"/>
          <w:sz w:val="32"/>
          <w:szCs w:val="32"/>
          <w:lang w:val="en-US" w:eastAsia="zh-CN" w:bidi="ar"/>
        </w:rPr>
        <w:t>2</w:t>
      </w:r>
      <w:r>
        <w:rPr>
          <w:rFonts w:hint="eastAsia" w:ascii="黑体" w:hAnsi="黑体" w:eastAsia="黑体" w:cs="黑体"/>
          <w:b/>
          <w:bCs/>
          <w:color w:val="000000"/>
          <w:kern w:val="0"/>
          <w:sz w:val="32"/>
          <w:szCs w:val="32"/>
          <w:lang w:bidi="ar"/>
        </w:rPr>
        <w:t xml:space="preserve"> 年度</w:t>
      </w:r>
      <w:r>
        <w:rPr>
          <w:rFonts w:hint="eastAsia" w:ascii="黑体" w:hAnsi="黑体" w:eastAsia="黑体" w:cs="黑体"/>
          <w:b/>
          <w:bCs/>
          <w:color w:val="000000"/>
          <w:kern w:val="0"/>
          <w:sz w:val="32"/>
          <w:szCs w:val="32"/>
          <w:lang w:eastAsia="zh-CN" w:bidi="ar"/>
        </w:rPr>
        <w:t>单位</w:t>
      </w:r>
      <w:r>
        <w:rPr>
          <w:rFonts w:hint="eastAsia" w:ascii="黑体" w:hAnsi="黑体" w:eastAsia="黑体" w:cs="黑体"/>
          <w:b/>
          <w:bCs/>
          <w:color w:val="000000"/>
          <w:kern w:val="0"/>
          <w:sz w:val="32"/>
          <w:szCs w:val="32"/>
          <w:lang w:bidi="ar"/>
        </w:rPr>
        <w:t>决算情况说明</w:t>
      </w:r>
      <w:r>
        <w:rPr>
          <w:rFonts w:hint="eastAsia" w:cs="仿宋_GB2312" w:asciiTheme="minorEastAsia" w:hAnsiTheme="minorEastAsia" w:eastAsiaTheme="minorEastAsia"/>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val="en-US" w:eastAsia="zh-CN" w:bidi="ar"/>
        </w:rPr>
        <w:t>.</w:t>
      </w:r>
      <w:r>
        <w:rPr>
          <w:rFonts w:hint="eastAsia" w:cs="仿宋_GB2312" w:asciiTheme="minorEastAsia" w:hAnsiTheme="minorEastAsia" w:eastAsiaTheme="minorEastAsia"/>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val="en-US" w:eastAsia="zh-CN" w:bidi="ar"/>
        </w:rPr>
        <w:t>12</w:t>
      </w:r>
      <w:r>
        <w:rPr>
          <w:rFonts w:hint="eastAsia" w:ascii="仿宋" w:hAnsi="仿宋" w:eastAsia="仿宋" w:cs="Times New Roman"/>
          <w:sz w:val="32"/>
          <w:szCs w:val="32"/>
          <w:lang w:val="en-US" w:eastAsia="zh-CN"/>
        </w:rPr>
        <w:t xml:space="preserve">一、收入支出决算总体情况说明 </w:t>
      </w:r>
      <w:r>
        <w:rPr>
          <w:rFonts w:hint="eastAsia" w:cs="仿宋_GB2312" w:asciiTheme="minorEastAsia" w:hAnsiTheme="minorEastAsia" w:eastAsiaTheme="minorEastAsia"/>
          <w:color w:val="000000"/>
          <w:kern w:val="0"/>
          <w:sz w:val="32"/>
          <w:szCs w:val="32"/>
          <w:lang w:bidi="ar"/>
        </w:rPr>
        <w:t>.....................</w:t>
      </w:r>
      <w:r>
        <w:rPr>
          <w:rFonts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12</w:t>
      </w:r>
      <w:r>
        <w:rPr>
          <w:rFonts w:hint="eastAsia" w:ascii="仿宋" w:hAnsi="仿宋" w:eastAsia="仿宋" w:cs="Times New Roman"/>
          <w:sz w:val="32"/>
          <w:szCs w:val="32"/>
          <w:lang w:val="en-US" w:eastAsia="zh-CN"/>
        </w:rPr>
        <w:t>二、收入决算情况说明</w:t>
      </w:r>
      <w:r>
        <w:rPr>
          <w:rFonts w:hint="eastAsia" w:cs="仿宋_GB2312" w:asciiTheme="minorEastAsia" w:hAnsiTheme="minorEastAsia" w:eastAsiaTheme="minorEastAsia"/>
          <w:color w:val="000000"/>
          <w:kern w:val="0"/>
          <w:sz w:val="32"/>
          <w:szCs w:val="32"/>
          <w:lang w:bidi="ar"/>
        </w:rPr>
        <w:t xml:space="preserve"> .............................</w:t>
      </w:r>
      <w:r>
        <w:rPr>
          <w:rFonts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12</w:t>
      </w:r>
      <w:r>
        <w:rPr>
          <w:rFonts w:hint="eastAsia" w:ascii="仿宋" w:hAnsi="仿宋" w:eastAsia="仿宋" w:cs="Times New Roman"/>
          <w:sz w:val="32"/>
          <w:szCs w:val="32"/>
          <w:lang w:val="en-US" w:eastAsia="zh-CN"/>
        </w:rPr>
        <w:t>三、支出决算情况说明</w:t>
      </w:r>
      <w:r>
        <w:rPr>
          <w:rFonts w:hint="eastAsia" w:cs="仿宋_GB2312" w:asciiTheme="minorEastAsia" w:hAnsiTheme="minorEastAsia" w:eastAsiaTheme="minorEastAsia"/>
          <w:color w:val="000000"/>
          <w:kern w:val="0"/>
          <w:sz w:val="32"/>
          <w:szCs w:val="32"/>
          <w:lang w:bidi="ar"/>
        </w:rPr>
        <w:t xml:space="preserve"> .............................</w:t>
      </w:r>
      <w:r>
        <w:rPr>
          <w:rFonts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13</w:t>
      </w:r>
      <w:r>
        <w:rPr>
          <w:rFonts w:hint="eastAsia" w:ascii="仿宋" w:hAnsi="仿宋" w:eastAsia="仿宋" w:cs="Times New Roman"/>
          <w:sz w:val="32"/>
          <w:szCs w:val="32"/>
          <w:lang w:val="en-US" w:eastAsia="zh-CN"/>
        </w:rPr>
        <w:t>四、财政拨款收入支出决算总体情况说明</w:t>
      </w:r>
      <w:r>
        <w:rPr>
          <w:rFonts w:hint="eastAsia" w:cs="仿宋_GB2312" w:asciiTheme="minorEastAsia" w:hAnsiTheme="minorEastAsia" w:eastAsiaTheme="minorEastAsia"/>
          <w:color w:val="000000"/>
          <w:kern w:val="0"/>
          <w:sz w:val="32"/>
          <w:szCs w:val="32"/>
          <w:lang w:bidi="ar"/>
        </w:rPr>
        <w:t xml:space="preserve"> .............</w:t>
      </w:r>
      <w:r>
        <w:rPr>
          <w:rFonts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14</w:t>
      </w:r>
      <w:r>
        <w:rPr>
          <w:rFonts w:hint="eastAsia" w:ascii="仿宋" w:hAnsi="仿宋" w:eastAsia="仿宋" w:cs="Times New Roman"/>
          <w:sz w:val="32"/>
          <w:szCs w:val="32"/>
          <w:lang w:val="en-US" w:eastAsia="zh-CN"/>
        </w:rPr>
        <w:t>五、一般公共预算财政拨款支出决算情况说明</w:t>
      </w:r>
      <w:r>
        <w:rPr>
          <w:rFonts w:hint="eastAsia" w:cs="仿宋_GB2312" w:asciiTheme="minorEastAsia" w:hAnsiTheme="minorEastAsia" w:eastAsiaTheme="minorEastAsia"/>
          <w:color w:val="000000"/>
          <w:kern w:val="0"/>
          <w:sz w:val="32"/>
          <w:szCs w:val="32"/>
          <w:lang w:bidi="ar"/>
        </w:rPr>
        <w:t xml:space="preserve"> .........</w:t>
      </w:r>
      <w:r>
        <w:rPr>
          <w:rFonts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14</w:t>
      </w:r>
      <w:r>
        <w:rPr>
          <w:rFonts w:hint="eastAsia" w:ascii="仿宋" w:hAnsi="仿宋" w:eastAsia="仿宋" w:cs="Times New Roman"/>
          <w:sz w:val="32"/>
          <w:szCs w:val="32"/>
          <w:lang w:val="en-US" w:eastAsia="zh-CN"/>
        </w:rPr>
        <w:t xml:space="preserve">六、一般公共预算财政拨款基本支出决算情况说明 </w:t>
      </w:r>
      <w:r>
        <w:rPr>
          <w:rFonts w:hint="eastAsia" w:cs="仿宋_GB2312" w:asciiTheme="minorEastAsia" w:hAnsiTheme="minorEastAsia" w:eastAsiaTheme="minorEastAsia"/>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val="en-US" w:eastAsia="zh-CN" w:bidi="ar"/>
        </w:rPr>
        <w:t>18</w:t>
      </w:r>
      <w:r>
        <w:rPr>
          <w:rFonts w:hint="eastAsia" w:ascii="仿宋" w:hAnsi="仿宋" w:eastAsia="仿宋" w:cs="Times New Roman"/>
          <w:sz w:val="32"/>
          <w:szCs w:val="32"/>
          <w:lang w:val="en-US" w:eastAsia="zh-CN"/>
        </w:rPr>
        <w:t>七、财政拨款“三公”经费支出决算情况说明</w:t>
      </w:r>
      <w:r>
        <w:rPr>
          <w:rFonts w:hint="eastAsia" w:cs="仿宋_GB2312" w:asciiTheme="minorEastAsia" w:hAnsiTheme="minorEastAsia" w:eastAsiaTheme="minorEastAsia"/>
          <w:color w:val="000000"/>
          <w:kern w:val="0"/>
          <w:sz w:val="32"/>
          <w:szCs w:val="32"/>
          <w:lang w:bidi="ar"/>
        </w:rPr>
        <w:t xml:space="preserve"> .......... </w:t>
      </w:r>
      <w:r>
        <w:rPr>
          <w:rFonts w:hint="eastAsia" w:cs="仿宋_GB2312" w:asciiTheme="minorEastAsia" w:hAnsiTheme="minorEastAsia" w:eastAsiaTheme="minorEastAsia"/>
          <w:color w:val="000000"/>
          <w:kern w:val="0"/>
          <w:sz w:val="32"/>
          <w:szCs w:val="32"/>
          <w:lang w:val="en-US" w:eastAsia="zh-CN" w:bidi="ar"/>
        </w:rPr>
        <w:t>18</w:t>
      </w:r>
      <w:r>
        <w:rPr>
          <w:rFonts w:hint="eastAsia" w:ascii="仿宋" w:hAnsi="仿宋" w:eastAsia="仿宋" w:cs="Times New Roman"/>
          <w:sz w:val="32"/>
          <w:szCs w:val="32"/>
          <w:lang w:val="en-US" w:eastAsia="zh-CN"/>
        </w:rPr>
        <w:t xml:space="preserve">八、政府性基金预算支出决算情况说明 </w:t>
      </w:r>
      <w:r>
        <w:rPr>
          <w:rFonts w:hint="eastAsia"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20</w:t>
      </w:r>
      <w:r>
        <w:rPr>
          <w:rFonts w:hint="eastAsia" w:ascii="仿宋" w:hAnsi="仿宋" w:eastAsia="仿宋" w:cs="Times New Roman"/>
          <w:sz w:val="32"/>
          <w:szCs w:val="32"/>
          <w:lang w:val="en-US" w:eastAsia="zh-CN"/>
        </w:rPr>
        <w:t xml:space="preserve">九、国有资本经营预算支出决算情况说明 </w:t>
      </w:r>
      <w:r>
        <w:rPr>
          <w:rFonts w:hint="eastAsia"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20</w:t>
      </w:r>
      <w:r>
        <w:rPr>
          <w:rFonts w:hint="eastAsia" w:ascii="仿宋" w:hAnsi="仿宋" w:eastAsia="仿宋" w:cs="Times New Roman"/>
          <w:sz w:val="32"/>
          <w:szCs w:val="32"/>
          <w:lang w:val="en-US" w:eastAsia="zh-CN"/>
        </w:rPr>
        <w:t xml:space="preserve">十、其他重要事项的情况说明 </w:t>
      </w:r>
      <w:r>
        <w:rPr>
          <w:rFonts w:hint="eastAsia" w:cs="仿宋_GB2312" w:asciiTheme="minorEastAsia" w:hAnsiTheme="minorEastAsia" w:eastAsiaTheme="minorEastAsia"/>
          <w:color w:val="000000"/>
          <w:kern w:val="0"/>
          <w:sz w:val="32"/>
          <w:szCs w:val="32"/>
          <w:lang w:bidi="ar"/>
        </w:rPr>
        <w:t>.......................</w:t>
      </w:r>
      <w:r>
        <w:rPr>
          <w:rFonts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20</w:t>
      </w:r>
      <w:r>
        <w:rPr>
          <w:rFonts w:hint="eastAsia" w:ascii="黑体" w:hAnsi="黑体" w:eastAsia="黑体" w:cs="黑体"/>
          <w:b/>
          <w:bCs/>
          <w:color w:val="000000"/>
          <w:kern w:val="0"/>
          <w:sz w:val="32"/>
          <w:szCs w:val="32"/>
          <w:lang w:bidi="ar"/>
        </w:rPr>
        <w:t>第三部分 名词解释</w:t>
      </w:r>
      <w:r>
        <w:rPr>
          <w:rFonts w:hint="eastAsia" w:ascii="黑体" w:hAnsi="黑体" w:eastAsia="黑体" w:cs="黑体"/>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bidi="ar"/>
        </w:rPr>
        <w:t>..............................</w:t>
      </w:r>
      <w:r>
        <w:rPr>
          <w:rFonts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22</w:t>
      </w:r>
      <w:r>
        <w:rPr>
          <w:rFonts w:hint="eastAsia" w:ascii="黑体" w:hAnsi="黑体" w:eastAsia="黑体" w:cs="黑体"/>
          <w:b/>
          <w:bCs/>
          <w:color w:val="000000"/>
          <w:kern w:val="0"/>
          <w:sz w:val="32"/>
          <w:szCs w:val="32"/>
          <w:lang w:bidi="ar"/>
        </w:rPr>
        <w:t>第四部分 附件</w:t>
      </w:r>
      <w:r>
        <w:rPr>
          <w:rFonts w:hint="eastAsia" w:cs="仿宋_GB2312" w:asciiTheme="minorEastAsia" w:hAnsiTheme="minorEastAsia" w:eastAsiaTheme="minorEastAsia"/>
          <w:color w:val="000000"/>
          <w:kern w:val="0"/>
          <w:sz w:val="32"/>
          <w:szCs w:val="32"/>
          <w:lang w:bidi="ar"/>
        </w:rPr>
        <w:t>....................................</w:t>
      </w:r>
      <w:r>
        <w:rPr>
          <w:rFonts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27</w:t>
      </w:r>
    </w:p>
    <w:p>
      <w:pPr>
        <w:widowControl/>
        <w:jc w:val="left"/>
        <w:rPr>
          <w:rFonts w:hint="default" w:cs="仿宋_GB2312" w:asciiTheme="minorEastAsia" w:hAnsiTheme="minorEastAsia" w:eastAsiaTheme="minorEastAsia"/>
          <w:color w:val="000000"/>
          <w:kern w:val="0"/>
          <w:sz w:val="32"/>
          <w:szCs w:val="32"/>
          <w:lang w:val="en-US" w:bidi="ar"/>
        </w:rPr>
      </w:pPr>
      <w:r>
        <w:rPr>
          <w:rFonts w:hint="eastAsia" w:ascii="黑体" w:hAnsi="黑体" w:eastAsia="黑体" w:cs="黑体"/>
          <w:b/>
          <w:bCs/>
          <w:color w:val="000000"/>
          <w:kern w:val="0"/>
          <w:sz w:val="32"/>
          <w:szCs w:val="32"/>
          <w:lang w:bidi="ar"/>
        </w:rPr>
        <w:t>第五部分 附表</w:t>
      </w:r>
      <w:r>
        <w:rPr>
          <w:rFonts w:hint="eastAsia" w:cs="仿宋_GB2312" w:asciiTheme="minorEastAsia" w:hAnsiTheme="minorEastAsia" w:eastAsiaTheme="minorEastAsia"/>
          <w:color w:val="000000"/>
          <w:kern w:val="0"/>
          <w:sz w:val="32"/>
          <w:szCs w:val="32"/>
          <w:lang w:bidi="ar"/>
        </w:rPr>
        <w:t xml:space="preserve"> ................................... </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一、收入支出决算总表</w:t>
      </w:r>
      <w:r>
        <w:rPr>
          <w:rFonts w:hint="eastAsia" w:cs="仿宋_GB2312" w:asciiTheme="minorEastAsia" w:hAnsiTheme="minorEastAsia" w:eastAsiaTheme="minorEastAsia"/>
          <w:color w:val="000000"/>
          <w:kern w:val="0"/>
          <w:sz w:val="32"/>
          <w:szCs w:val="32"/>
          <w:lang w:bidi="ar"/>
        </w:rPr>
        <w:t xml:space="preserve"> ............................</w:t>
      </w:r>
      <w:r>
        <w:rPr>
          <w:rFonts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 xml:space="preserve">二、收入决算表 </w:t>
      </w:r>
      <w:r>
        <w:rPr>
          <w:rFonts w:hint="eastAsia" w:cs="仿宋_GB2312" w:asciiTheme="minorEastAsia" w:hAnsiTheme="minorEastAsia" w:eastAsiaTheme="minorEastAsia"/>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 xml:space="preserve">三、支出决算表 </w:t>
      </w:r>
      <w:r>
        <w:rPr>
          <w:rFonts w:hint="eastAsia"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四、财政拨款收入支出决算总表</w:t>
      </w:r>
      <w:r>
        <w:rPr>
          <w:rFonts w:hint="eastAsia" w:cs="仿宋_GB2312" w:asciiTheme="minorEastAsia" w:hAnsiTheme="minorEastAsia" w:eastAsiaTheme="minorEastAsia"/>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 xml:space="preserve">五、财政拨款支出决算明细表 </w:t>
      </w:r>
      <w:r>
        <w:rPr>
          <w:rFonts w:hint="eastAsia"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六、一般公共预算财政拨款支出决算表</w:t>
      </w:r>
      <w:r>
        <w:rPr>
          <w:rFonts w:hint="eastAsia" w:cs="仿宋_GB2312" w:asciiTheme="minorEastAsia" w:hAnsiTheme="minorEastAsia" w:eastAsiaTheme="minorEastAsia"/>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 xml:space="preserve">七、一般公共预算财政拨款支出决算明细表 </w:t>
      </w:r>
      <w:r>
        <w:rPr>
          <w:rFonts w:hint="eastAsia" w:cs="仿宋_GB2312" w:asciiTheme="minorEastAsia" w:hAnsiTheme="minorEastAsia" w:eastAsiaTheme="minorEastAsia"/>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八、一般公共预算财政拨款基本支出决算明细表</w:t>
      </w:r>
      <w:r>
        <w:rPr>
          <w:rFonts w:hint="eastAsia" w:cs="仿宋_GB2312" w:asciiTheme="minorEastAsia" w:hAnsiTheme="minorEastAsia" w:eastAsiaTheme="minorEastAsia"/>
          <w:color w:val="000000"/>
          <w:kern w:val="0"/>
          <w:sz w:val="32"/>
          <w:szCs w:val="32"/>
          <w:lang w:bidi="ar"/>
        </w:rPr>
        <w:t xml:space="preserve"> .......</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 xml:space="preserve">九、一般公共预算财政拨款项目支出决算表 </w:t>
      </w:r>
      <w:r>
        <w:rPr>
          <w:rFonts w:hint="eastAsia" w:cs="仿宋_GB2312" w:asciiTheme="minorEastAsia" w:hAnsiTheme="minorEastAsia" w:eastAsiaTheme="minorEastAsia"/>
          <w:color w:val="000000"/>
          <w:kern w:val="0"/>
          <w:sz w:val="32"/>
          <w:szCs w:val="32"/>
          <w:lang w:bidi="ar"/>
        </w:rPr>
        <w:t>...........</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十、政府性基金预算财政拨款收入支出决算表</w:t>
      </w:r>
      <w:r>
        <w:rPr>
          <w:rFonts w:hint="eastAsia" w:cs="仿宋_GB2312" w:asciiTheme="minorEastAsia" w:hAnsiTheme="minorEastAsia" w:eastAsiaTheme="minorEastAsia"/>
          <w:color w:val="000000"/>
          <w:kern w:val="0"/>
          <w:sz w:val="32"/>
          <w:szCs w:val="32"/>
          <w:lang w:bidi="ar"/>
        </w:rPr>
        <w:t xml:space="preserve"> .. </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十一、国有资本经营预算财政拨款收入支出决算表</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十二、国有资本经营预算财政拨款支出决算表</w:t>
      </w:r>
      <w:r>
        <w:rPr>
          <w:rFonts w:hint="eastAsia" w:cs="仿宋_GB2312" w:asciiTheme="minorEastAsia" w:hAnsiTheme="minorEastAsia" w:eastAsiaTheme="minorEastAsia"/>
          <w:color w:val="000000"/>
          <w:kern w:val="0"/>
          <w:sz w:val="32"/>
          <w:szCs w:val="32"/>
          <w:lang w:val="en-US" w:eastAsia="zh-CN" w:bidi="ar"/>
        </w:rPr>
        <w:t>..........38</w:t>
      </w:r>
      <w:r>
        <w:rPr>
          <w:rFonts w:hint="eastAsia" w:ascii="仿宋" w:hAnsi="仿宋" w:eastAsia="仿宋" w:cs="Times New Roman"/>
          <w:sz w:val="32"/>
          <w:szCs w:val="32"/>
          <w:lang w:val="en-US" w:eastAsia="zh-CN"/>
        </w:rPr>
        <w:t>十三、财政拨款“三公”经费支出决算表</w:t>
      </w:r>
      <w:r>
        <w:rPr>
          <w:rFonts w:hint="eastAsia" w:cs="仿宋_GB2312" w:asciiTheme="minorEastAsia" w:hAnsiTheme="minorEastAsia" w:eastAsiaTheme="minorEastAsia"/>
          <w:color w:val="000000"/>
          <w:kern w:val="0"/>
          <w:sz w:val="32"/>
          <w:szCs w:val="32"/>
          <w:lang w:val="en-US" w:eastAsia="zh-CN" w:bidi="ar"/>
        </w:rPr>
        <w:t>..............38</w:t>
      </w:r>
    </w:p>
    <w:p>
      <w:pPr>
        <w:snapToGrid w:val="0"/>
        <w:jc w:val="center"/>
        <w:rPr>
          <w:rFonts w:asciiTheme="minorEastAsia" w:hAnsiTheme="minorEastAsia" w:eastAsiaTheme="minorEastAsia"/>
          <w:sz w:val="72"/>
          <w:szCs w:val="72"/>
        </w:rPr>
      </w:pPr>
    </w:p>
    <w:p>
      <w:pPr>
        <w:snapToGrid w:val="0"/>
        <w:spacing w:line="520" w:lineRule="exact"/>
        <w:ind w:firstLine="883" w:firstLineChars="200"/>
        <w:jc w:val="center"/>
        <w:rPr>
          <w:rFonts w:cs="黑体" w:asciiTheme="minorEastAsia" w:hAnsiTheme="minorEastAsia" w:eastAsiaTheme="minorEastAsia"/>
          <w:b/>
          <w:bCs/>
          <w:sz w:val="44"/>
          <w:szCs w:val="44"/>
        </w:rPr>
      </w:pPr>
    </w:p>
    <w:p>
      <w:pPr>
        <w:pStyle w:val="3"/>
        <w:jc w:val="center"/>
        <w:rPr>
          <w:rFonts w:hint="eastAsia" w:ascii="黑体" w:hAnsi="黑体" w:eastAsia="黑体"/>
          <w:b w:val="0"/>
          <w:sz w:val="24"/>
          <w:szCs w:val="24"/>
        </w:rPr>
      </w:pPr>
      <w:bookmarkStart w:id="12" w:name="_Toc15396599"/>
      <w:bookmarkStart w:id="13" w:name="_Toc15377196"/>
    </w:p>
    <w:p>
      <w:pPr>
        <w:rPr>
          <w:rFonts w:hint="eastAsia"/>
        </w:rPr>
      </w:pPr>
    </w:p>
    <w:p>
      <w:pPr>
        <w:pStyle w:val="2"/>
        <w:rPr>
          <w:rFonts w:hint="eastAsia"/>
        </w:rPr>
      </w:pPr>
    </w:p>
    <w:p>
      <w:pPr>
        <w:pStyle w:val="3"/>
        <w:jc w:val="center"/>
        <w:rPr>
          <w:rStyle w:val="28"/>
          <w:rFonts w:ascii="黑体" w:hAnsi="黑体" w:eastAsia="黑体"/>
          <w:b/>
          <w:bCs w:val="0"/>
        </w:rPr>
      </w:pPr>
      <w:r>
        <w:rPr>
          <w:rFonts w:hint="eastAsia" w:ascii="黑体" w:hAnsi="黑体" w:eastAsia="黑体"/>
          <w:b w:val="0"/>
        </w:rPr>
        <w:t>第一部分 单位</w:t>
      </w:r>
      <w:r>
        <w:rPr>
          <w:rStyle w:val="28"/>
          <w:rFonts w:hint="eastAsia" w:ascii="黑体" w:hAnsi="黑体" w:eastAsia="黑体"/>
          <w:b w:val="0"/>
          <w:bCs w:val="0"/>
        </w:rPr>
        <w:t>概况</w:t>
      </w:r>
      <w:bookmarkEnd w:id="12"/>
      <w:bookmarkEnd w:id="13"/>
    </w:p>
    <w:p>
      <w:pPr>
        <w:widowControl/>
        <w:jc w:val="left"/>
        <w:rPr>
          <w:rFonts w:ascii="黑体" w:eastAsia="黑体"/>
          <w:sz w:val="18"/>
          <w:szCs w:val="18"/>
        </w:rPr>
      </w:pPr>
    </w:p>
    <w:p>
      <w:pPr>
        <w:pStyle w:val="27"/>
        <w:numPr>
          <w:ilvl w:val="0"/>
          <w:numId w:val="0"/>
        </w:numPr>
        <w:spacing w:line="600" w:lineRule="exact"/>
        <w:ind w:left="640" w:leftChars="0"/>
        <w:outlineLvl w:val="1"/>
        <w:rPr>
          <w:rFonts w:hint="eastAsia" w:ascii="黑体" w:hAnsi="黑体" w:eastAsia="黑体"/>
          <w:sz w:val="32"/>
          <w:szCs w:val="32"/>
        </w:rPr>
      </w:pPr>
      <w:bookmarkStart w:id="14" w:name="_Toc15377204"/>
      <w:bookmarkStart w:id="15" w:name="_Toc15396602"/>
      <w:r>
        <w:rPr>
          <w:rFonts w:hint="eastAsia" w:ascii="黑体" w:hAnsi="黑体" w:eastAsia="黑体"/>
          <w:sz w:val="32"/>
          <w:szCs w:val="32"/>
        </w:rPr>
        <w:t>一</w:t>
      </w:r>
      <w:r>
        <w:rPr>
          <w:rFonts w:hint="eastAsia" w:ascii="黑体" w:hAnsi="黑体" w:eastAsia="黑体"/>
          <w:sz w:val="32"/>
          <w:szCs w:val="32"/>
          <w:lang w:val="en-US" w:eastAsia="zh-CN"/>
        </w:rPr>
        <w:t>、主</w:t>
      </w:r>
      <w:r>
        <w:rPr>
          <w:rFonts w:hint="eastAsia" w:ascii="黑体" w:hAnsi="黑体" w:eastAsia="黑体"/>
          <w:sz w:val="32"/>
          <w:szCs w:val="32"/>
          <w:lang w:eastAsia="zh-CN"/>
        </w:rPr>
        <w:t>要职责</w:t>
      </w:r>
      <w:r>
        <w:rPr>
          <w:rFonts w:hint="eastAsia" w:ascii="黑体" w:hAnsi="黑体" w:eastAsia="黑体"/>
          <w:sz w:val="32"/>
          <w:szCs w:val="32"/>
        </w:rPr>
        <w:t>及</w:t>
      </w:r>
      <w:r>
        <w:rPr>
          <w:rFonts w:hint="eastAsia" w:ascii="黑体" w:hAnsi="黑体" w:eastAsia="黑体"/>
          <w:sz w:val="32"/>
          <w:szCs w:val="32"/>
          <w:lang w:eastAsia="zh-CN"/>
        </w:rPr>
        <w:t>重点</w:t>
      </w:r>
      <w:r>
        <w:rPr>
          <w:rFonts w:hint="eastAsia" w:ascii="黑体" w:hAnsi="黑体" w:eastAsia="黑体"/>
          <w:sz w:val="32"/>
          <w:szCs w:val="32"/>
        </w:rPr>
        <w:t xml:space="preserve">工作 </w:t>
      </w:r>
    </w:p>
    <w:p>
      <w:pPr>
        <w:pStyle w:val="27"/>
        <w:numPr>
          <w:ilvl w:val="0"/>
          <w:numId w:val="0"/>
        </w:numPr>
        <w:spacing w:line="600" w:lineRule="exact"/>
        <w:ind w:left="640" w:leftChars="0"/>
        <w:outlineLvl w:val="1"/>
        <w:rPr>
          <w:rFonts w:hint="eastAsia" w:ascii="黑体" w:hAnsi="黑体" w:eastAsia="黑体"/>
          <w:sz w:val="32"/>
          <w:szCs w:val="32"/>
          <w:lang w:val="en-US" w:eastAsia="zh-CN"/>
        </w:rPr>
      </w:pPr>
      <w:r>
        <w:rPr>
          <w:rFonts w:hint="eastAsia" w:ascii="黑体" w:hAnsi="黑体" w:eastAsia="黑体"/>
          <w:sz w:val="32"/>
          <w:szCs w:val="32"/>
          <w:lang w:val="en-US" w:eastAsia="zh-CN"/>
        </w:rPr>
        <w:t>（一）单位职责</w:t>
      </w:r>
    </w:p>
    <w:p>
      <w:pPr>
        <w:widowControl/>
        <w:ind w:firstLine="640" w:firstLineChars="200"/>
        <w:jc w:val="left"/>
        <w:rPr>
          <w:rFonts w:hint="eastAsia" w:ascii="仿宋" w:hAnsi="仿宋" w:eastAsia="仿宋" w:cs="Times New Roman"/>
          <w:sz w:val="32"/>
          <w:szCs w:val="32"/>
          <w:lang w:val="en-US" w:eastAsia="zh-CN"/>
        </w:rPr>
      </w:pPr>
      <w:r>
        <w:rPr>
          <w:rFonts w:hint="eastAsia" w:ascii="仿宋" w:hAnsi="仿宋" w:eastAsia="仿宋"/>
          <w:sz w:val="32"/>
          <w:szCs w:val="32"/>
          <w:lang w:val="en-US" w:eastAsia="zh-CN"/>
        </w:rPr>
        <w:t>1.贯彻执行国家、四川省和广元市民政工作的法律、法规和各项方针、政策；拟定民政工作地方规章和政策，并组织实施和监督检查；编制全县民政事业发展规划；指导全县民政队伍法制建设。</w:t>
      </w:r>
      <w:r>
        <w:rPr>
          <w:rFonts w:hint="eastAsia" w:ascii="仿宋" w:hAnsi="仿宋" w:eastAsia="仿宋"/>
          <w:sz w:val="32"/>
          <w:szCs w:val="32"/>
          <w:lang w:val="en-US" w:eastAsia="zh-CN"/>
        </w:rPr>
        <w:br w:type="textWrapping"/>
      </w:r>
      <w:r>
        <w:rPr>
          <w:rFonts w:hint="eastAsia" w:ascii="仿宋" w:hAnsi="仿宋" w:eastAsia="仿宋" w:cs="Times New Roman"/>
          <w:sz w:val="32"/>
          <w:szCs w:val="32"/>
          <w:lang w:val="en-US" w:eastAsia="zh-CN"/>
        </w:rPr>
        <w:t xml:space="preserve">    2.负责管理全县性社团和民办非企业单位的登记管理和年度检查工作，监督社团和民办非企业单位活动，查处社团和民办非企业单位的违法行为，查处未经登记而以社团和民办非企业单位名义开展活动的非法组织；对境外人员成立社团的审核报批；负责全县社团和民办非企业单位的登记管理和年度检查工作；负责社团和民办非企业单位的行政复议工作。</w:t>
      </w:r>
    </w:p>
    <w:p>
      <w:pPr>
        <w:widowControl/>
        <w:ind w:firstLine="640" w:firstLineChars="200"/>
        <w:jc w:val="left"/>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3.建立和实施城乡居（村）民最低生活保障制度；负责全县城乡社会困难户临时救济、定期救济以及其他特殊救济对象的救济工作；指导、检查五保和敬老院工作；负责社会麻风病人的管理、中转和管理指导社会“三无”对象的收养以及优抚对象精神病人收治工作；组织、指导扶贫济困等社会扶助活动；审批全县性社会福利募捐义演、义卖活动。</w:t>
      </w:r>
      <w:r>
        <w:rPr>
          <w:rFonts w:hint="eastAsia" w:ascii="仿宋" w:hAnsi="仿宋" w:eastAsia="仿宋" w:cs="Times New Roman"/>
          <w:sz w:val="32"/>
          <w:szCs w:val="32"/>
          <w:lang w:val="en-US" w:eastAsia="zh-CN"/>
        </w:rPr>
        <w:br w:type="textWrapping"/>
      </w:r>
      <w:r>
        <w:rPr>
          <w:rFonts w:hint="eastAsia" w:ascii="仿宋" w:hAnsi="仿宋" w:eastAsia="仿宋" w:cs="Times New Roman"/>
          <w:sz w:val="32"/>
          <w:szCs w:val="32"/>
          <w:lang w:val="en-US" w:eastAsia="zh-CN"/>
        </w:rPr>
        <w:t xml:space="preserve">   4.导和检查乡镇及村（居）委会政务和村务公开工作；贯彻实施村（居）民委员会组织法，指导村民委员会民主选举、民主决策、民主管理和民主监督工作，推动村务公开和基层民主政治建设；指导城市居民委员会建设；负责指导村（居）民委员会主任和委员培训。</w:t>
      </w:r>
      <w:r>
        <w:rPr>
          <w:rFonts w:hint="eastAsia" w:ascii="仿宋" w:hAnsi="仿宋" w:eastAsia="仿宋" w:cs="Times New Roman"/>
          <w:sz w:val="32"/>
          <w:szCs w:val="32"/>
          <w:lang w:val="en-US" w:eastAsia="zh-CN"/>
        </w:rPr>
        <w:br w:type="textWrapping"/>
      </w:r>
      <w:r>
        <w:rPr>
          <w:rFonts w:hint="eastAsia" w:ascii="仿宋" w:hAnsi="仿宋" w:eastAsia="仿宋" w:cs="Times New Roman"/>
          <w:sz w:val="32"/>
          <w:szCs w:val="32"/>
          <w:lang w:val="en-US" w:eastAsia="zh-CN"/>
        </w:rPr>
        <w:t xml:space="preserve">    5.负责《婚姻法》、《收养法》的贯彻落实，指导检查婚姻登记工作，查处违法婚姻；负责全县儿童收养工作。</w:t>
      </w:r>
      <w:r>
        <w:rPr>
          <w:rFonts w:hint="eastAsia" w:ascii="仿宋" w:hAnsi="仿宋" w:eastAsia="仿宋" w:cs="Times New Roman"/>
          <w:sz w:val="32"/>
          <w:szCs w:val="32"/>
          <w:lang w:val="en-US" w:eastAsia="zh-CN"/>
        </w:rPr>
        <w:br w:type="textWrapping"/>
      </w:r>
      <w:r>
        <w:rPr>
          <w:rFonts w:hint="eastAsia" w:ascii="仿宋" w:hAnsi="仿宋" w:eastAsia="仿宋" w:cs="Times New Roman"/>
          <w:sz w:val="32"/>
          <w:szCs w:val="32"/>
          <w:lang w:val="en-US" w:eastAsia="zh-CN"/>
        </w:rPr>
        <w:t xml:space="preserve">    6.承办行政区划工作，负责县及乡（镇）的设立、撤销、调整更名、界线变更及政府驻地迁移的审核报批。</w:t>
      </w:r>
      <w:r>
        <w:rPr>
          <w:rFonts w:hint="eastAsia" w:ascii="仿宋" w:hAnsi="仿宋" w:eastAsia="仿宋" w:cs="Times New Roman"/>
          <w:sz w:val="32"/>
          <w:szCs w:val="32"/>
          <w:lang w:val="en-US" w:eastAsia="zh-CN"/>
        </w:rPr>
        <w:br w:type="textWrapping"/>
      </w:r>
      <w:r>
        <w:rPr>
          <w:rFonts w:hint="eastAsia" w:ascii="仿宋" w:hAnsi="仿宋" w:eastAsia="仿宋" w:cs="Times New Roman"/>
          <w:sz w:val="32"/>
          <w:szCs w:val="32"/>
          <w:lang w:val="en-US" w:eastAsia="zh-CN"/>
        </w:rPr>
        <w:t xml:space="preserve">    7.主管地名工作，负责村（居）委会以上区划名称及其它地名的命名、更名的审核报批；发布标准地名；规范全县地名标志（即：街、路、巷、楼、门）的设置和管理；负责标准地名图书资料的审定。</w:t>
      </w:r>
    </w:p>
    <w:p>
      <w:pPr>
        <w:widowControl/>
        <w:ind w:firstLine="640" w:firstLineChars="200"/>
        <w:jc w:val="left"/>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8.负责我县与毗邻县行政区域边界的勘定和管理工作；负责乡（镇）边界的调查和调处；承办勘界资料的验收、报批、档案管理以及行政区域界线详图集的资料准备工作。</w:t>
      </w:r>
      <w:r>
        <w:rPr>
          <w:rFonts w:hint="eastAsia" w:ascii="仿宋" w:hAnsi="仿宋" w:eastAsia="仿宋" w:cs="Times New Roman"/>
          <w:sz w:val="32"/>
          <w:szCs w:val="32"/>
          <w:lang w:val="en-US" w:eastAsia="zh-CN"/>
        </w:rPr>
        <w:br w:type="textWrapping"/>
      </w:r>
      <w:r>
        <w:rPr>
          <w:rFonts w:hint="eastAsia" w:ascii="仿宋" w:hAnsi="仿宋" w:eastAsia="仿宋" w:cs="Times New Roman"/>
          <w:sz w:val="32"/>
          <w:szCs w:val="32"/>
          <w:lang w:val="en-US" w:eastAsia="zh-CN"/>
        </w:rPr>
        <w:t xml:space="preserve">    9.承担老龄工作管理职能和孤儿、残疾人、五保户等特殊困难群体权益保护的行政管理工作；拟定并实施我县社会福利事业发展规划，指导城市社会福利事业单位的管理；审核、报批民政社会福利机构和社会福利企业；对城乡社会福利企业进行宏观管理；负责社会福利有奖募捐和福利资金的管理使用工作。</w:t>
      </w:r>
      <w:r>
        <w:rPr>
          <w:rFonts w:hint="eastAsia" w:ascii="仿宋" w:hAnsi="仿宋" w:eastAsia="仿宋" w:cs="Times New Roman"/>
          <w:sz w:val="32"/>
          <w:szCs w:val="32"/>
          <w:lang w:val="en-US" w:eastAsia="zh-CN"/>
        </w:rPr>
        <w:br w:type="textWrapping"/>
      </w:r>
      <w:r>
        <w:rPr>
          <w:rFonts w:hint="eastAsia" w:ascii="仿宋" w:hAnsi="仿宋" w:eastAsia="仿宋" w:cs="Times New Roman"/>
          <w:sz w:val="32"/>
          <w:szCs w:val="32"/>
          <w:lang w:val="en-US" w:eastAsia="zh-CN"/>
        </w:rPr>
        <w:t xml:space="preserve">    10.负责公墓的审核报批；推行殡葬改革，负责殡葬管理工作。</w:t>
      </w:r>
      <w:r>
        <w:rPr>
          <w:rFonts w:hint="eastAsia" w:ascii="仿宋" w:hAnsi="仿宋" w:eastAsia="仿宋" w:cs="Times New Roman"/>
          <w:sz w:val="32"/>
          <w:szCs w:val="32"/>
          <w:lang w:val="en-US" w:eastAsia="zh-CN"/>
        </w:rPr>
        <w:br w:type="textWrapping"/>
      </w:r>
      <w:r>
        <w:rPr>
          <w:rFonts w:hint="eastAsia" w:ascii="仿宋" w:hAnsi="仿宋" w:eastAsia="仿宋" w:cs="Times New Roman"/>
          <w:sz w:val="32"/>
          <w:szCs w:val="32"/>
          <w:lang w:val="en-US" w:eastAsia="zh-CN"/>
        </w:rPr>
        <w:t xml:space="preserve">    11.主管流浪乞讨人员的救助管理工作，指导、协调县救助管理站工作。</w:t>
      </w:r>
      <w:r>
        <w:rPr>
          <w:rFonts w:hint="eastAsia" w:ascii="仿宋" w:hAnsi="仿宋" w:eastAsia="仿宋" w:cs="Times New Roman"/>
          <w:sz w:val="32"/>
          <w:szCs w:val="32"/>
          <w:lang w:val="en-US" w:eastAsia="zh-CN"/>
        </w:rPr>
        <w:br w:type="textWrapping"/>
      </w:r>
      <w:r>
        <w:rPr>
          <w:rFonts w:hint="eastAsia" w:ascii="仿宋" w:hAnsi="仿宋" w:eastAsia="仿宋" w:cs="Times New Roman"/>
          <w:sz w:val="32"/>
          <w:szCs w:val="32"/>
          <w:lang w:val="en-US" w:eastAsia="zh-CN"/>
        </w:rPr>
        <w:t xml:space="preserve">    12.负责指导、协调社区建设工作。</w:t>
      </w:r>
    </w:p>
    <w:p>
      <w:pPr>
        <w:widowControl/>
        <w:ind w:firstLine="640" w:firstLineChars="200"/>
        <w:jc w:val="left"/>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13.负责民政事业计划财务和统计工作，负责民政事业费的管理、使用和监督。</w:t>
      </w:r>
      <w:r>
        <w:rPr>
          <w:rFonts w:hint="eastAsia" w:ascii="仿宋" w:hAnsi="仿宋" w:eastAsia="仿宋" w:cs="Times New Roman"/>
          <w:sz w:val="32"/>
          <w:szCs w:val="32"/>
          <w:lang w:val="en-US" w:eastAsia="zh-CN"/>
        </w:rPr>
        <w:br w:type="textWrapping"/>
      </w:r>
      <w:r>
        <w:rPr>
          <w:rFonts w:hint="eastAsia" w:ascii="仿宋" w:hAnsi="仿宋" w:eastAsia="仿宋" w:cs="Times New Roman"/>
          <w:sz w:val="32"/>
          <w:szCs w:val="32"/>
          <w:lang w:val="en-US" w:eastAsia="zh-CN"/>
        </w:rPr>
        <w:t xml:space="preserve">    14.负责全县民政系统干部、工人的培训教育工作。</w:t>
      </w:r>
    </w:p>
    <w:p>
      <w:pPr>
        <w:widowControl/>
        <w:ind w:firstLine="640" w:firstLineChars="200"/>
        <w:jc w:val="left"/>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15.承办县政府交办的其他事项。</w:t>
      </w:r>
    </w:p>
    <w:p>
      <w:pPr>
        <w:widowControl/>
        <w:ind w:firstLine="643" w:firstLineChars="200"/>
        <w:jc w:val="left"/>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（二）2022年重点工作完成情况</w:t>
      </w:r>
    </w:p>
    <w:p>
      <w:pPr>
        <w:numPr>
          <w:ilvl w:val="0"/>
          <w:numId w:val="1"/>
        </w:numPr>
        <w:ind w:firstLine="643" w:firstLineChars="200"/>
        <w:rPr>
          <w:rFonts w:hint="eastAsia" w:ascii="宋体" w:hAnsi="宋体" w:eastAsia="宋体" w:cs="宋体"/>
          <w:b/>
          <w:bCs/>
          <w:color w:val="000000" w:themeColor="text1"/>
          <w:sz w:val="32"/>
          <w:szCs w:val="32"/>
          <w:lang w:val="en-US" w:eastAsia="zh-CN"/>
          <w14:textFill>
            <w14:solidFill>
              <w14:schemeClr w14:val="tx1"/>
            </w14:solidFill>
          </w14:textFill>
        </w:rPr>
      </w:pPr>
      <w:r>
        <w:rPr>
          <w:rFonts w:hint="eastAsia" w:ascii="宋体" w:hAnsi="宋体" w:eastAsia="宋体" w:cs="宋体"/>
          <w:b/>
          <w:bCs/>
          <w:i w:val="0"/>
          <w:iCs w:val="0"/>
          <w:caps w:val="0"/>
          <w:color w:val="313131"/>
          <w:spacing w:val="0"/>
          <w:kern w:val="0"/>
          <w:sz w:val="32"/>
          <w:szCs w:val="32"/>
          <w:lang w:val="en-US" w:eastAsia="zh-CN" w:bidi="ar"/>
        </w:rPr>
        <w:t>社会救助政策全面落实</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是足额发放各类救助资金。从2022年1月起，全县城市低保低限不低于680元∕月；农村低保标准不低于5760元/年，即实行分档救助，A类480元/月、B类350元/月、C类190元/月；城市特困人员救助供养标准不低于884元/月；农村特困人员救助供养标准不低于624元/年。城市低保对象3317户4151人，发放资金1678.06万元；农村低保29411户42453人，发放资金8837.8万元，脱贫对象11053户17212人，发放资金4170.74万元；城乡特困供养人员2242人、发放资金1362.68万元。二是突出临时救助救急难作用。通过“先行救助、后续完善手续”“一事一议”方式，开展临时救助1612人，发放临时救助资金408.6万元；及时核算下拨乡镇临时救助备用金，用于处理辖区内各类急难型事件，确保遇有突发情况资金保障。三是精准落实残疾人“两项补贴”。完成残疾人“两项补贴”提标工作，重度残疾人一二级护理补贴标准分别提至90元/月、60元/月，共发放残疾人护理补贴505.66万元。</w:t>
      </w:r>
    </w:p>
    <w:p>
      <w:pPr>
        <w:spacing w:line="600" w:lineRule="exact"/>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（二）“一老一小”服务扎实推进</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1.养老服务水平不断提高。一是全面推进农村困难老人集中供养工作。抓好供需摸排“主线”，推动服务精准化，守好兜底保障“底线”，树好服务关怀“高线”，实现供养特色化，建立“三线三化”工作机制，高质高效推进农村困难老人集中供养。全力优化完善服务管理体系，着力解决农村困难老人养老难题，确保农村困难老人老有所养、住有所居、病有所医。完成新增入住农村困难老人323人，较市下达任务250人，完成目标比例129.2%；较县下达任务300人，完成目标比例 107.7%。二是加强区域性养老服务中心改造提升。对普安、木马、鹤龄、白龙、武连五个区域养老服务中心实施明厨亮灶项目，同时对所有区域性养老服务中心及元山敬老院开展能力提升。三是推进居家养老购买服务试点工作。在下寺、普安、开封、白龙四个片区推进居家养老购买服务试点工作，并招聘第三方评估机构，落实居家养老项目有序运行的监管与评估。四是加快养老服务设施项目建设进度。启动剑阁县养老照护服务中心设施建设项目，总投资4500万元，新建建筑总面积13500平方米，设置床位300张。启动下寺镇雷鸣社区养老服务综合体项目的前期工作。新建城乡社区日间照料中心15个。五是落实高龄补贴发放工作。按照80-89周岁每人每月30元、90-99周岁每人每月100元、100周岁以上每人每月300元的标准认真做好高龄津贴发放工作，为全县15110位80周岁以上老年人发放高龄津贴629.65万元。 </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儿童关爱体系不断健全。一是贯彻落实孤儿、事实无人抚养儿童保障制度。落实孤儿、事实无人抚养儿童基本生活费配套经费，确保基本生活费及时足额发放到位，为全县45名孤儿发放养育金72.6万元，保障了孤儿的基本生活；为92名事实无人抚养儿童认定并补差发放基本生活费 96.7223万元。二是多举措落实儿童关爱政策。落实全县事实无人抚养儿童基本生活保障，加强医疗、教育资助政策；加强组织领导，强化监管，政策的宣传，督促落实监护责任、优化关爱服务机制，加强乡镇（街道）的儿童督导员和村（社区）儿童主任管理，提升基层儿童工作人员的业务水平，联合社会组织开展孤儿和事实无人抚养儿童走访关爱活动，帮助困境儿童解决实际困难。依托福彩、慈善等公益项目资金，助力困难儿童教育，实施助学工程为52名儿童发放助学补助30.4万元，为28名孤儿办理2.24万元健康体验卡，将10名家庭困难的儿童纳入特困救助，351名残疾儿童纳入残疾“两项补贴”，2359名家庭困难儿童纳入低保救助，对紧急需要的特别困难儿童进行临时救助，儿童福利保障体系初步形成。三是扎实推进未成年人关爱保护工作。成立剑阁县未成年人保护工作领导小组，全面完成儿童福利院向未成年人保护中心转型，建成29个未成年人保护站，完善儿童关爱保护工作领导协调机制，织密“六位一体”未成年人保护网。召开全县未成年人保护工作领导小组第一次全体会议及全县未成年保护工作推进会，印发《剑阁县未成年人保护工作领导小组工作规则》等5个文件。开展“未成年人保护</w:t>
      </w:r>
      <w:r>
        <w:rPr>
          <w:rFonts w:hint="eastAsia" w:ascii="仿宋" w:hAnsi="仿宋" w:eastAsia="仿宋"/>
          <w:sz w:val="32"/>
          <w:szCs w:val="32"/>
          <w:lang w:val="en-US" w:eastAsia="zh-CN"/>
        </w:rPr>
        <w:fldChar w:fldCharType="begin"/>
      </w:r>
      <w:r>
        <w:rPr>
          <w:rFonts w:hint="eastAsia" w:ascii="仿宋" w:hAnsi="仿宋" w:eastAsia="仿宋"/>
          <w:sz w:val="32"/>
          <w:szCs w:val="32"/>
          <w:lang w:val="en-US" w:eastAsia="zh-CN"/>
        </w:rPr>
        <w:instrText xml:space="preserve"> HYPERLINK "http://www.mswk.cn/Article/List/List_87.html" \t "http://www.mswk.cn/Article/_blank" </w:instrText>
      </w:r>
      <w:r>
        <w:rPr>
          <w:rFonts w:hint="eastAsia" w:ascii="仿宋" w:hAnsi="仿宋" w:eastAsia="仿宋"/>
          <w:sz w:val="32"/>
          <w:szCs w:val="32"/>
          <w:lang w:val="en-US" w:eastAsia="zh-CN"/>
        </w:rPr>
        <w:fldChar w:fldCharType="separate"/>
      </w:r>
      <w:r>
        <w:rPr>
          <w:rFonts w:hint="eastAsia" w:ascii="仿宋" w:hAnsi="仿宋" w:eastAsia="仿宋"/>
          <w:sz w:val="32"/>
          <w:szCs w:val="32"/>
          <w:lang w:val="en-US" w:eastAsia="zh-CN"/>
        </w:rPr>
        <w:t>宣传</w:t>
      </w:r>
      <w:r>
        <w:rPr>
          <w:rFonts w:hint="eastAsia" w:ascii="仿宋" w:hAnsi="仿宋" w:eastAsia="仿宋"/>
          <w:sz w:val="32"/>
          <w:szCs w:val="32"/>
          <w:lang w:val="en-US" w:eastAsia="zh-CN"/>
        </w:rPr>
        <w:fldChar w:fldCharType="end"/>
      </w:r>
      <w:r>
        <w:rPr>
          <w:rFonts w:hint="eastAsia" w:ascii="仿宋" w:hAnsi="仿宋" w:eastAsia="仿宋"/>
          <w:sz w:val="32"/>
          <w:szCs w:val="32"/>
          <w:lang w:val="en-US" w:eastAsia="zh-CN"/>
        </w:rPr>
        <w:t>月活动”。</w:t>
      </w:r>
    </w:p>
    <w:p>
      <w:pPr>
        <w:spacing w:line="600" w:lineRule="exact"/>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（三）基层治理水平持续加强</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一是健全议事协商制度。指导各村（社区）修订完善村（居）民自治章程，规范“四议两公开”决策事项和工作程序，建立议事决策社会评价制度，制定《加强基层群众议事协商的实施意见》。</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二是完善村规民约（居民公约）。指导村（社区）规范完善村规民约、居民公约，建立村规民约、居民公约“红黑榜”制度，发挥红白理事会、村（居）民理事会、村（居）民议事会、道德评议会等基层自治组织作用；积极开展红白理事会建立工作，推动农村移风易俗和乡风文明建设。</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三是加大村（社区）村（居）务公开监督力度。制定印发《剑阁县关于持续加强村（居）务公开工作的通知》，坚持问题导向，开展问题排查，强化问题整改，深化和规范全县村务公开和民主管理工作，切实保障了基层群众对村级事务的知情权、决策权、参与权和民主监督的权利。</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四是积极推进省级“民主法治示范村”建设。完成普安镇光荣村、下寺镇双旗村的民主法治示范村的申报工作。</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五是抓实村（社区）补短板项目。2022年省级城乡社区综合服务设施“补短板”项目争取资金40万，用于王河镇南华村综合服务设施“补短板”建设。加强村综合服务设施改造提升，不断提升村民的获得感、幸福感、安全感。</w:t>
      </w:r>
    </w:p>
    <w:p>
      <w:pPr>
        <w:spacing w:line="600" w:lineRule="exact"/>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w:t>
      </w:r>
      <w:r>
        <w:rPr>
          <w:rFonts w:hint="eastAsia" w:ascii="宋体" w:hAnsi="宋体" w:cs="宋体"/>
          <w:b/>
          <w:bCs/>
          <w:sz w:val="32"/>
          <w:szCs w:val="32"/>
          <w:lang w:val="en-US" w:eastAsia="zh-CN"/>
        </w:rPr>
        <w:t>四</w:t>
      </w:r>
      <w:r>
        <w:rPr>
          <w:rFonts w:hint="eastAsia" w:ascii="宋体" w:hAnsi="宋体" w:eastAsia="宋体" w:cs="宋体"/>
          <w:b/>
          <w:bCs/>
          <w:sz w:val="32"/>
          <w:szCs w:val="32"/>
          <w:lang w:val="en-US" w:eastAsia="zh-CN"/>
        </w:rPr>
        <w:t>）社会事务工作持续规范</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继续深化殡葬改革。制定《剑阁县火化区调整方案》，全面完成我县火葬区和土葬改革区调整划定工作；推进移风易俗，弘扬厚养薄葬、慎终追远优秀思想文化；开展殡葬行业价格秩序专项整治，开展违规墓地专项整治；落实绿色惠民殡葬政策，全年补助418人次，共计37.08万元；积极推进剑阁县殡仪馆、公墓迁建项目，完成元山镇农村公益性公墓建设任务。</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加强社会组织管理。加强社会组织管理。2022年，全县新成立社会组织5家，办理变更社会组织3家，清理僵尸型社会组织3家，现有89家社会组织；全面开展社会组织年检工作，开展打击整治非法社会组织专项行动摸底排查工作，清理整顿19家行业协会商会乱收费问题，规范和引导行业协会商会合法合理运行，促进行业协会商会健康有序发展。进一步厘清党建工作管理体系，推动“功能性”党组织建设，完善社会组织综合党委工作相关机制。落实“双随机、一公开”，细化“两库一单”，动态调整检查对象名录库和行政执法检查人员名录库，持续抓好执法人员的业务素质和能力培训，确保执法工作的严格性、规范性。</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推进区划地名管理。规范地名管理，挖掘地名文化，巩固地名普查成果转化，完成2022年“梓剑线”联检工作，妥善处置边界纠纷隐患，更好维护平安边界稳定；开展地名信息数据库建设工作，完成省下达数据审核入库修改工作。</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搞好婚姻登记服务。2022年，共办理结婚登记2196对，离婚登记632对，补领结婚登记1463对，补领离婚登记76对，无一例违反《民法典婚姻家庭编》、《婚姻登记条例》、《婚姻登记工作规范》等法律法规登记行为，登记合格率为100%。</w:t>
      </w:r>
    </w:p>
    <w:p>
      <w:pPr>
        <w:widowControl/>
        <w:numPr>
          <w:ilvl w:val="0"/>
          <w:numId w:val="0"/>
        </w:numPr>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二、机构设置</w:t>
      </w:r>
    </w:p>
    <w:p>
      <w:pPr>
        <w:ind w:firstLine="640" w:firstLineChars="200"/>
        <w:rPr>
          <w:rFonts w:cs="仿宋_GB2312" w:asciiTheme="minorEastAsia" w:hAnsiTheme="minorEastAsia" w:eastAsiaTheme="minorEastAsia"/>
          <w:sz w:val="32"/>
          <w:szCs w:val="32"/>
        </w:rPr>
      </w:pPr>
      <w:r>
        <w:rPr>
          <w:rFonts w:hint="eastAsia" w:ascii="仿宋" w:hAnsi="仿宋" w:eastAsia="仿宋" w:cs="Times New Roman"/>
          <w:sz w:val="32"/>
          <w:szCs w:val="32"/>
        </w:rPr>
        <w:t>剑阁县民政局下设</w:t>
      </w:r>
      <w:r>
        <w:rPr>
          <w:rFonts w:hint="eastAsia" w:ascii="仿宋" w:hAnsi="仿宋" w:eastAsia="仿宋" w:cs="Times New Roman"/>
          <w:sz w:val="32"/>
          <w:szCs w:val="32"/>
          <w:lang w:val="en-US" w:eastAsia="zh-CN"/>
        </w:rPr>
        <w:t>7</w:t>
      </w:r>
      <w:r>
        <w:rPr>
          <w:rFonts w:hint="eastAsia" w:ascii="仿宋" w:hAnsi="仿宋" w:eastAsia="仿宋" w:cs="Times New Roman"/>
          <w:sz w:val="32"/>
          <w:szCs w:val="32"/>
        </w:rPr>
        <w:t>个二级单位，其中行政单位1个，事业单位</w:t>
      </w:r>
      <w:r>
        <w:rPr>
          <w:rFonts w:hint="eastAsia" w:ascii="仿宋" w:hAnsi="仿宋" w:eastAsia="仿宋" w:cs="Times New Roman"/>
          <w:sz w:val="32"/>
          <w:szCs w:val="32"/>
          <w:lang w:val="en-US" w:eastAsia="zh-CN"/>
        </w:rPr>
        <w:t>6</w:t>
      </w:r>
      <w:r>
        <w:rPr>
          <w:rFonts w:hint="eastAsia" w:ascii="仿宋" w:hAnsi="仿宋" w:eastAsia="仿宋" w:cs="Times New Roman"/>
          <w:sz w:val="32"/>
          <w:szCs w:val="32"/>
        </w:rPr>
        <w:t>个，主要包括：民政局机关、 康复院、慈善总会办公室、农村敬老院管理中心、社会（儿童）福利院、婚姻登记处、社会救助管理服务中心。</w:t>
      </w:r>
    </w:p>
    <w:p>
      <w:pPr>
        <w:spacing w:line="60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纳入剑阁县民政局</w:t>
      </w:r>
      <w:r>
        <w:rPr>
          <w:rFonts w:hint="eastAsia" w:ascii="仿宋" w:hAnsi="仿宋" w:eastAsia="仿宋" w:cs="Times New Roman"/>
          <w:sz w:val="32"/>
          <w:szCs w:val="32"/>
          <w:lang w:eastAsia="zh-CN"/>
        </w:rPr>
        <w:t>2022年</w:t>
      </w:r>
      <w:r>
        <w:rPr>
          <w:rFonts w:hint="eastAsia" w:ascii="仿宋" w:hAnsi="仿宋" w:eastAsia="仿宋" w:cs="Times New Roman"/>
          <w:sz w:val="32"/>
          <w:szCs w:val="32"/>
        </w:rPr>
        <w:t>度部门决算编制范围的一级预算单位1个。</w:t>
      </w:r>
    </w:p>
    <w:p>
      <w:pPr>
        <w:pStyle w:val="15"/>
        <w:rPr>
          <w:rFonts w:hint="eastAsia" w:ascii="仿宋" w:hAnsi="仿宋" w:eastAsia="仿宋" w:cs="Times New Roman"/>
          <w:sz w:val="32"/>
          <w:szCs w:val="32"/>
        </w:rPr>
      </w:pPr>
    </w:p>
    <w:p>
      <w:pPr>
        <w:rPr>
          <w:rFonts w:hint="eastAsia" w:ascii="仿宋" w:hAnsi="仿宋" w:eastAsia="仿宋" w:cs="Times New Roman"/>
          <w:sz w:val="32"/>
          <w:szCs w:val="32"/>
        </w:rPr>
      </w:pPr>
    </w:p>
    <w:p>
      <w:pPr>
        <w:rPr>
          <w:rFonts w:hint="eastAsia"/>
        </w:rPr>
      </w:pPr>
    </w:p>
    <w:p>
      <w:pPr>
        <w:pStyle w:val="2"/>
        <w:rPr>
          <w:rFonts w:hint="eastAsia"/>
        </w:rPr>
      </w:pPr>
    </w:p>
    <w:p>
      <w:pPr>
        <w:pStyle w:val="2"/>
        <w:rPr>
          <w:rFonts w:hint="eastAsia"/>
        </w:rPr>
      </w:pPr>
    </w:p>
    <w:bookmarkEnd w:id="14"/>
    <w:bookmarkEnd w:id="15"/>
    <w:p>
      <w:pPr>
        <w:pStyle w:val="3"/>
        <w:ind w:right="440"/>
        <w:jc w:val="center"/>
        <w:rPr>
          <w:rFonts w:hint="eastAsia" w:ascii="黑体" w:hAnsi="黑体" w:eastAsia="黑体"/>
          <w:b w:val="0"/>
        </w:rPr>
      </w:pPr>
      <w:r>
        <w:rPr>
          <w:rFonts w:hint="eastAsia" w:ascii="黑体" w:hAnsi="黑体" w:eastAsia="黑体"/>
          <w:b w:val="0"/>
          <w:lang w:val="en-US" w:eastAsia="zh-CN"/>
        </w:rPr>
        <w:t xml:space="preserve">  </w:t>
      </w:r>
      <w:r>
        <w:rPr>
          <w:rFonts w:hint="eastAsia" w:ascii="黑体" w:hAnsi="黑体" w:eastAsia="黑体"/>
          <w:b w:val="0"/>
        </w:rPr>
        <w:t>第二部分 202</w:t>
      </w:r>
      <w:r>
        <w:rPr>
          <w:rFonts w:hint="eastAsia" w:ascii="黑体" w:hAnsi="黑体" w:eastAsia="黑体"/>
          <w:b w:val="0"/>
          <w:lang w:val="en-US" w:eastAsia="zh-CN"/>
        </w:rPr>
        <w:t>2</w:t>
      </w:r>
      <w:r>
        <w:rPr>
          <w:rFonts w:hint="eastAsia" w:ascii="黑体" w:hAnsi="黑体" w:eastAsia="黑体"/>
          <w:b w:val="0"/>
        </w:rPr>
        <w:t>年度</w:t>
      </w:r>
      <w:r>
        <w:rPr>
          <w:rFonts w:hint="eastAsia" w:ascii="黑体" w:hAnsi="黑体" w:eastAsia="黑体"/>
          <w:b w:val="0"/>
          <w:lang w:eastAsia="zh-CN"/>
        </w:rPr>
        <w:t>单位</w:t>
      </w:r>
      <w:r>
        <w:rPr>
          <w:rFonts w:hint="eastAsia" w:ascii="黑体" w:hAnsi="黑体" w:eastAsia="黑体"/>
          <w:b w:val="0"/>
        </w:rPr>
        <w:t>决算情况说明</w:t>
      </w:r>
    </w:p>
    <w:p>
      <w:pPr>
        <w:snapToGrid w:val="0"/>
        <w:spacing w:line="520" w:lineRule="exact"/>
        <w:ind w:firstLine="560" w:firstLineChars="200"/>
        <w:rPr>
          <w:rFonts w:asciiTheme="minorEastAsia" w:hAnsiTheme="minorEastAsia" w:eastAsiaTheme="minorEastAsia"/>
          <w:sz w:val="28"/>
          <w:szCs w:val="28"/>
        </w:rPr>
      </w:pPr>
    </w:p>
    <w:p>
      <w:pPr>
        <w:snapToGrid w:val="0"/>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一、收入支出决算总体情况说明</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2022年</w:t>
      </w:r>
      <w:r>
        <w:rPr>
          <w:rFonts w:hint="eastAsia" w:ascii="仿宋" w:hAnsi="仿宋" w:eastAsia="仿宋"/>
          <w:sz w:val="32"/>
          <w:szCs w:val="32"/>
        </w:rPr>
        <w:t>度收、支总计</w:t>
      </w:r>
      <w:r>
        <w:rPr>
          <w:rFonts w:hint="eastAsia" w:ascii="仿宋" w:hAnsi="仿宋" w:eastAsia="仿宋"/>
          <w:sz w:val="32"/>
          <w:szCs w:val="32"/>
          <w:lang w:val="en-US" w:eastAsia="zh-CN"/>
        </w:rPr>
        <w:t>21515.55</w:t>
      </w:r>
      <w:r>
        <w:rPr>
          <w:rFonts w:hint="eastAsia" w:ascii="仿宋" w:hAnsi="仿宋" w:eastAsia="仿宋"/>
          <w:sz w:val="32"/>
          <w:szCs w:val="32"/>
        </w:rPr>
        <w:t>万元，与</w:t>
      </w:r>
      <w:r>
        <w:rPr>
          <w:rFonts w:hint="eastAsia" w:ascii="仿宋" w:hAnsi="仿宋" w:eastAsia="仿宋"/>
          <w:sz w:val="32"/>
          <w:szCs w:val="32"/>
          <w:lang w:eastAsia="zh-CN"/>
        </w:rPr>
        <w:t>2021年</w:t>
      </w:r>
      <w:r>
        <w:rPr>
          <w:rFonts w:hint="eastAsia" w:ascii="仿宋" w:hAnsi="仿宋" w:eastAsia="仿宋"/>
          <w:sz w:val="32"/>
          <w:szCs w:val="32"/>
        </w:rPr>
        <w:t>度相比，收、支总计增加</w:t>
      </w:r>
      <w:r>
        <w:rPr>
          <w:rFonts w:hint="eastAsia" w:ascii="仿宋" w:hAnsi="仿宋" w:eastAsia="仿宋"/>
          <w:sz w:val="32"/>
          <w:szCs w:val="32"/>
          <w:lang w:val="en-US" w:eastAsia="zh-CN"/>
        </w:rPr>
        <w:t>2770.99</w:t>
      </w:r>
      <w:r>
        <w:rPr>
          <w:rFonts w:hint="eastAsia" w:ascii="仿宋" w:hAnsi="仿宋" w:eastAsia="仿宋"/>
          <w:sz w:val="32"/>
          <w:szCs w:val="32"/>
        </w:rPr>
        <w:t xml:space="preserve">万元，增长 </w:t>
      </w:r>
      <w:r>
        <w:rPr>
          <w:rFonts w:hint="eastAsia" w:ascii="仿宋" w:hAnsi="仿宋" w:eastAsia="仿宋"/>
          <w:sz w:val="32"/>
          <w:szCs w:val="32"/>
          <w:lang w:val="en-US" w:eastAsia="zh-CN"/>
        </w:rPr>
        <w:t>14.78</w:t>
      </w:r>
      <w:r>
        <w:rPr>
          <w:rFonts w:hint="eastAsia" w:ascii="仿宋" w:hAnsi="仿宋" w:eastAsia="仿宋"/>
          <w:sz w:val="32"/>
          <w:szCs w:val="32"/>
        </w:rPr>
        <w:t>%。主要变动原因是项目支出增加。</w:t>
      </w:r>
    </w:p>
    <w:p>
      <w:pPr>
        <w:pStyle w:val="15"/>
        <w:rPr>
          <w:rFonts w:hint="eastAsia"/>
        </w:rPr>
      </w:pPr>
    </w:p>
    <w:p>
      <w:pPr>
        <w:pStyle w:val="15"/>
        <w:rPr>
          <w:rFonts w:hint="eastAsia" w:ascii="仿宋" w:hAnsi="仿宋" w:eastAsia="仿宋"/>
          <w:sz w:val="32"/>
          <w:szCs w:val="32"/>
        </w:rPr>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1920" w:firstLineChars="600"/>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rPr>
          <w:rFonts w:hint="eastAsia"/>
        </w:rPr>
      </w:pPr>
    </w:p>
    <w:p>
      <w:pPr>
        <w:snapToGrid w:val="0"/>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收入决算情况说明</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2022年度本年收入合计</w:t>
      </w:r>
      <w:r>
        <w:rPr>
          <w:rFonts w:hint="eastAsia" w:ascii="仿宋" w:hAnsi="仿宋" w:eastAsia="仿宋" w:cs="Times New Roman"/>
          <w:sz w:val="32"/>
          <w:szCs w:val="32"/>
          <w:lang w:val="en-US" w:eastAsia="zh-CN"/>
        </w:rPr>
        <w:t>20986.73</w:t>
      </w:r>
      <w:r>
        <w:rPr>
          <w:rFonts w:hint="eastAsia" w:ascii="仿宋" w:hAnsi="仿宋" w:eastAsia="仿宋" w:cs="Times New Roman"/>
          <w:sz w:val="32"/>
          <w:szCs w:val="32"/>
          <w:lang w:eastAsia="zh-CN"/>
        </w:rPr>
        <w:t>万元，其中：一般公共预算财政拨款收入</w:t>
      </w:r>
      <w:r>
        <w:rPr>
          <w:rFonts w:hint="eastAsia" w:ascii="仿宋" w:hAnsi="仿宋" w:eastAsia="仿宋" w:cs="Times New Roman"/>
          <w:sz w:val="32"/>
          <w:szCs w:val="32"/>
          <w:lang w:val="en-US" w:eastAsia="zh-CN"/>
        </w:rPr>
        <w:t>16204.86</w:t>
      </w:r>
      <w:r>
        <w:rPr>
          <w:rFonts w:hint="eastAsia" w:ascii="仿宋" w:hAnsi="仿宋" w:eastAsia="仿宋" w:cs="Times New Roman"/>
          <w:sz w:val="32"/>
          <w:szCs w:val="32"/>
          <w:lang w:eastAsia="zh-CN"/>
        </w:rPr>
        <w:t>万元，占</w:t>
      </w:r>
      <w:r>
        <w:rPr>
          <w:rFonts w:hint="eastAsia" w:ascii="仿宋" w:hAnsi="仿宋" w:eastAsia="仿宋" w:cs="Times New Roman"/>
          <w:sz w:val="32"/>
          <w:szCs w:val="32"/>
          <w:lang w:val="en-US" w:eastAsia="zh-CN"/>
        </w:rPr>
        <w:t>77.21</w:t>
      </w:r>
      <w:r>
        <w:rPr>
          <w:rFonts w:hint="eastAsia" w:ascii="仿宋" w:hAnsi="仿宋" w:eastAsia="仿宋" w:cs="Times New Roman"/>
          <w:sz w:val="32"/>
          <w:szCs w:val="32"/>
          <w:lang w:eastAsia="zh-CN"/>
        </w:rPr>
        <w:t>%；政府性基金预算财政拨款收入</w:t>
      </w:r>
      <w:r>
        <w:rPr>
          <w:rFonts w:hint="eastAsia" w:ascii="仿宋" w:hAnsi="仿宋" w:eastAsia="仿宋" w:cs="Times New Roman"/>
          <w:sz w:val="32"/>
          <w:szCs w:val="32"/>
          <w:lang w:val="en-US" w:eastAsia="zh-CN"/>
        </w:rPr>
        <w:t>368.96</w:t>
      </w:r>
      <w:r>
        <w:rPr>
          <w:rFonts w:hint="eastAsia" w:ascii="仿宋" w:hAnsi="仿宋" w:eastAsia="仿宋" w:cs="Times New Roman"/>
          <w:sz w:val="32"/>
          <w:szCs w:val="32"/>
          <w:lang w:eastAsia="zh-CN"/>
        </w:rPr>
        <w:t>万元，占</w:t>
      </w:r>
      <w:r>
        <w:rPr>
          <w:rFonts w:hint="eastAsia" w:ascii="仿宋" w:hAnsi="仿宋" w:eastAsia="仿宋" w:cs="Times New Roman"/>
          <w:sz w:val="32"/>
          <w:szCs w:val="32"/>
          <w:lang w:val="en-US" w:eastAsia="zh-CN"/>
        </w:rPr>
        <w:t>1.76</w:t>
      </w:r>
      <w:r>
        <w:rPr>
          <w:rFonts w:hint="eastAsia" w:ascii="仿宋" w:hAnsi="仿宋" w:eastAsia="仿宋" w:cs="Times New Roman"/>
          <w:sz w:val="32"/>
          <w:szCs w:val="32"/>
          <w:lang w:eastAsia="zh-CN"/>
        </w:rPr>
        <w:t>%；上级补助收入0万元；事业收入0万元；经营收入0万元；附属单位上缴收入0万元；其他收入</w:t>
      </w:r>
      <w:r>
        <w:rPr>
          <w:rFonts w:hint="eastAsia" w:ascii="仿宋" w:hAnsi="仿宋" w:eastAsia="仿宋" w:cs="Times New Roman"/>
          <w:sz w:val="32"/>
          <w:szCs w:val="32"/>
          <w:lang w:val="en-US" w:eastAsia="zh-CN"/>
        </w:rPr>
        <w:t>4412.91</w:t>
      </w:r>
      <w:r>
        <w:rPr>
          <w:rFonts w:hint="eastAsia" w:ascii="仿宋" w:hAnsi="仿宋" w:eastAsia="仿宋" w:cs="Times New Roman"/>
          <w:sz w:val="32"/>
          <w:szCs w:val="32"/>
          <w:lang w:eastAsia="zh-CN"/>
        </w:rPr>
        <w:t>万元，占</w:t>
      </w:r>
      <w:r>
        <w:rPr>
          <w:rFonts w:hint="eastAsia" w:ascii="仿宋" w:hAnsi="仿宋" w:eastAsia="仿宋" w:cs="Times New Roman"/>
          <w:sz w:val="32"/>
          <w:szCs w:val="32"/>
          <w:lang w:val="en-US" w:eastAsia="zh-CN"/>
        </w:rPr>
        <w:t>21.03</w:t>
      </w:r>
      <w:r>
        <w:rPr>
          <w:rFonts w:hint="eastAsia" w:ascii="仿宋" w:hAnsi="仿宋" w:eastAsia="仿宋" w:cs="Times New Roman"/>
          <w:sz w:val="32"/>
          <w:szCs w:val="32"/>
          <w:lang w:eastAsia="zh-CN"/>
        </w:rPr>
        <w:t>%。</w:t>
      </w:r>
    </w:p>
    <w:p>
      <w:pPr>
        <w:pStyle w:val="15"/>
        <w:rPr>
          <w:rFonts w:hint="eastAsia" w:ascii="仿宋" w:hAnsi="仿宋" w:eastAsia="仿宋" w:cs="Times New Roman"/>
          <w:sz w:val="32"/>
          <w:szCs w:val="32"/>
          <w:lang w:eastAsia="zh-CN"/>
        </w:rPr>
      </w:pPr>
    </w:p>
    <w:p>
      <w:pPr>
        <w:rPr>
          <w:rFonts w:hint="eastAsia" w:ascii="仿宋" w:hAnsi="仿宋" w:eastAsia="仿宋" w:cs="Times New Roman"/>
          <w:sz w:val="32"/>
          <w:szCs w:val="32"/>
          <w:lang w:eastAsia="zh-CN"/>
        </w:rPr>
      </w:pPr>
      <w:r>
        <w:drawing>
          <wp:anchor distT="0" distB="0" distL="114300" distR="114300" simplePos="0" relativeHeight="251658240" behindDoc="0" locked="0" layoutInCell="1" allowOverlap="1">
            <wp:simplePos x="0" y="0"/>
            <wp:positionH relativeFrom="column">
              <wp:posOffset>544195</wp:posOffset>
            </wp:positionH>
            <wp:positionV relativeFrom="paragraph">
              <wp:posOffset>72390</wp:posOffset>
            </wp:positionV>
            <wp:extent cx="4572000" cy="2743200"/>
            <wp:effectExtent l="4445" t="4445" r="14605" b="14605"/>
            <wp:wrapNone/>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15"/>
        <w:rPr>
          <w:rFonts w:hint="eastAsia" w:ascii="仿宋" w:hAnsi="仿宋" w:eastAsia="仿宋" w:cs="Times New Roman"/>
          <w:sz w:val="32"/>
          <w:szCs w:val="32"/>
          <w:lang w:eastAsia="zh-CN"/>
        </w:rPr>
      </w:pPr>
    </w:p>
    <w:p>
      <w:pPr>
        <w:rPr>
          <w:rFonts w:hint="eastAsia"/>
          <w:lang w:eastAsia="zh-CN"/>
        </w:rPr>
      </w:pPr>
    </w:p>
    <w:p>
      <w:pPr>
        <w:pStyle w:val="15"/>
        <w:ind w:firstLine="1920" w:firstLineChars="600"/>
        <w:rPr>
          <w:rFonts w:hint="eastAsia" w:ascii="仿宋" w:hAnsi="仿宋" w:eastAsia="仿宋"/>
          <w:sz w:val="32"/>
          <w:szCs w:val="32"/>
        </w:rPr>
      </w:pPr>
    </w:p>
    <w:p>
      <w:pPr>
        <w:pStyle w:val="15"/>
        <w:ind w:firstLine="1920" w:firstLineChars="600"/>
        <w:rPr>
          <w:rFonts w:hint="eastAsia" w:ascii="仿宋" w:hAnsi="仿宋" w:eastAsia="仿宋"/>
          <w:sz w:val="32"/>
          <w:szCs w:val="32"/>
        </w:rPr>
      </w:pPr>
    </w:p>
    <w:p>
      <w:pPr>
        <w:pStyle w:val="15"/>
        <w:ind w:firstLine="1920" w:firstLineChars="600"/>
        <w:rPr>
          <w:rFonts w:hint="eastAsia" w:ascii="仿宋" w:hAnsi="仿宋" w:eastAsia="仿宋"/>
          <w:sz w:val="32"/>
          <w:szCs w:val="32"/>
        </w:rPr>
      </w:pPr>
    </w:p>
    <w:p>
      <w:pPr>
        <w:pStyle w:val="15"/>
        <w:ind w:firstLine="1920" w:firstLineChars="600"/>
        <w:rPr>
          <w:rFonts w:hint="eastAsia" w:ascii="仿宋" w:hAnsi="仿宋" w:eastAsia="仿宋"/>
          <w:sz w:val="32"/>
          <w:szCs w:val="32"/>
        </w:rPr>
      </w:pPr>
    </w:p>
    <w:p>
      <w:pPr>
        <w:pStyle w:val="15"/>
        <w:ind w:firstLine="1920" w:firstLineChars="600"/>
        <w:rPr>
          <w:rFonts w:hint="eastAsia" w:ascii="仿宋" w:hAnsi="仿宋" w:eastAsia="仿宋"/>
          <w:sz w:val="32"/>
          <w:szCs w:val="32"/>
        </w:rPr>
      </w:pPr>
    </w:p>
    <w:p>
      <w:pPr>
        <w:pStyle w:val="15"/>
        <w:ind w:firstLine="1920" w:firstLineChars="600"/>
        <w:rPr>
          <w:rFonts w:hint="eastAsia" w:ascii="仿宋" w:hAnsi="仿宋" w:eastAsia="仿宋"/>
          <w:sz w:val="32"/>
          <w:szCs w:val="32"/>
        </w:rPr>
      </w:pPr>
      <w:r>
        <w:rPr>
          <w:rFonts w:hint="eastAsia" w:ascii="仿宋" w:hAnsi="仿宋" w:eastAsia="仿宋"/>
          <w:sz w:val="32"/>
          <w:szCs w:val="32"/>
        </w:rPr>
        <w:t>图2：收入决算结构图</w:t>
      </w:r>
    </w:p>
    <w:p>
      <w:pPr>
        <w:snapToGrid w:val="0"/>
        <w:spacing w:line="52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三、支出决算情况说明</w:t>
      </w:r>
    </w:p>
    <w:p>
      <w:pPr>
        <w:spacing w:line="60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 xml:space="preserve">2022年度本年支出合计 </w:t>
      </w:r>
      <w:r>
        <w:rPr>
          <w:rFonts w:hint="eastAsia" w:ascii="仿宋" w:hAnsi="仿宋" w:eastAsia="仿宋" w:cs="Times New Roman"/>
          <w:sz w:val="32"/>
          <w:szCs w:val="32"/>
          <w:lang w:val="en-US" w:eastAsia="zh-CN"/>
        </w:rPr>
        <w:t>21515.55</w:t>
      </w:r>
      <w:r>
        <w:rPr>
          <w:rFonts w:hint="eastAsia" w:ascii="仿宋" w:hAnsi="仿宋" w:eastAsia="仿宋" w:cs="Times New Roman"/>
          <w:sz w:val="32"/>
          <w:szCs w:val="32"/>
          <w:lang w:eastAsia="zh-CN"/>
        </w:rPr>
        <w:t xml:space="preserve">万元，其中：基本支出 </w:t>
      </w:r>
      <w:r>
        <w:rPr>
          <w:rFonts w:hint="eastAsia" w:ascii="仿宋" w:hAnsi="仿宋" w:eastAsia="仿宋" w:cs="Times New Roman"/>
          <w:sz w:val="32"/>
          <w:szCs w:val="32"/>
          <w:lang w:val="en-US" w:eastAsia="zh-CN"/>
        </w:rPr>
        <w:t>543.88</w:t>
      </w:r>
      <w:r>
        <w:rPr>
          <w:rFonts w:hint="eastAsia" w:ascii="仿宋" w:hAnsi="仿宋" w:eastAsia="仿宋" w:cs="Times New Roman"/>
          <w:sz w:val="32"/>
          <w:szCs w:val="32"/>
          <w:lang w:eastAsia="zh-CN"/>
        </w:rPr>
        <w:t>万元，占</w:t>
      </w:r>
      <w:r>
        <w:rPr>
          <w:rFonts w:hint="eastAsia" w:ascii="仿宋" w:hAnsi="仿宋" w:eastAsia="仿宋" w:cs="Times New Roman"/>
          <w:sz w:val="32"/>
          <w:szCs w:val="32"/>
          <w:lang w:val="en-US" w:eastAsia="zh-CN"/>
        </w:rPr>
        <w:t>2.5</w:t>
      </w:r>
      <w:r>
        <w:rPr>
          <w:rFonts w:hint="eastAsia" w:ascii="仿宋" w:hAnsi="仿宋" w:eastAsia="仿宋" w:cs="Times New Roman"/>
          <w:sz w:val="32"/>
          <w:szCs w:val="32"/>
          <w:lang w:eastAsia="zh-CN"/>
        </w:rPr>
        <w:t>%；项目支出</w:t>
      </w:r>
      <w:r>
        <w:rPr>
          <w:rFonts w:hint="eastAsia" w:ascii="仿宋" w:hAnsi="仿宋" w:eastAsia="仿宋" w:cs="Times New Roman"/>
          <w:sz w:val="32"/>
          <w:szCs w:val="32"/>
          <w:lang w:val="en-US" w:eastAsia="zh-CN"/>
        </w:rPr>
        <w:t>20971.67</w:t>
      </w:r>
      <w:r>
        <w:rPr>
          <w:rFonts w:hint="eastAsia" w:ascii="仿宋" w:hAnsi="仿宋" w:eastAsia="仿宋" w:cs="Times New Roman"/>
          <w:sz w:val="32"/>
          <w:szCs w:val="32"/>
          <w:lang w:eastAsia="zh-CN"/>
        </w:rPr>
        <w:t>万元，占</w:t>
      </w:r>
      <w:r>
        <w:rPr>
          <w:rFonts w:hint="eastAsia" w:ascii="仿宋" w:hAnsi="仿宋" w:eastAsia="仿宋" w:cs="Times New Roman"/>
          <w:sz w:val="32"/>
          <w:szCs w:val="32"/>
          <w:lang w:val="en-US" w:eastAsia="zh-CN"/>
        </w:rPr>
        <w:t>97.5</w:t>
      </w:r>
      <w:r>
        <w:rPr>
          <w:rFonts w:hint="eastAsia" w:ascii="仿宋" w:hAnsi="仿宋" w:eastAsia="仿宋" w:cs="Times New Roman"/>
          <w:sz w:val="32"/>
          <w:szCs w:val="32"/>
          <w:lang w:eastAsia="zh-CN"/>
        </w:rPr>
        <w:t xml:space="preserve"> %；上缴上级支出0万元；经营支出0万元；对附属单位补助支出0万元。</w:t>
      </w:r>
    </w:p>
    <w:p>
      <w:pPr>
        <w:spacing w:line="600" w:lineRule="exact"/>
        <w:ind w:firstLine="640"/>
        <w:rPr>
          <w:rFonts w:ascii="仿宋" w:hAnsi="仿宋" w:eastAsia="仿宋"/>
          <w:sz w:val="32"/>
          <w:szCs w:val="32"/>
          <w:shd w:val="pct10" w:color="auto" w:fill="FFFFFF"/>
        </w:rPr>
      </w:pPr>
      <w:r>
        <w:drawing>
          <wp:anchor distT="0" distB="0" distL="114300" distR="114300" simplePos="0" relativeHeight="251659264" behindDoc="0" locked="0" layoutInCell="1" allowOverlap="1">
            <wp:simplePos x="0" y="0"/>
            <wp:positionH relativeFrom="column">
              <wp:posOffset>533400</wp:posOffset>
            </wp:positionH>
            <wp:positionV relativeFrom="paragraph">
              <wp:posOffset>86995</wp:posOffset>
            </wp:positionV>
            <wp:extent cx="4572000" cy="2743200"/>
            <wp:effectExtent l="4445" t="4445" r="14605" b="14605"/>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rPr>
          <w:rFonts w:ascii="仿宋" w:hAnsi="仿宋" w:eastAsia="仿宋"/>
          <w:sz w:val="32"/>
          <w:szCs w:val="32"/>
          <w:shd w:val="pct10" w:color="auto" w:fill="FFFFFF"/>
        </w:rPr>
      </w:pPr>
    </w:p>
    <w:p>
      <w:pPr>
        <w:pStyle w:val="2"/>
        <w:rPr>
          <w:rFonts w:ascii="仿宋" w:hAnsi="仿宋" w:eastAsia="仿宋"/>
          <w:sz w:val="32"/>
          <w:szCs w:val="32"/>
          <w:shd w:val="pct10" w:color="auto" w:fill="FFFFFF"/>
        </w:rPr>
      </w:pPr>
    </w:p>
    <w:p>
      <w:pPr>
        <w:pStyle w:val="2"/>
        <w:rPr>
          <w:rFonts w:ascii="仿宋" w:hAnsi="仿宋" w:eastAsia="仿宋"/>
          <w:sz w:val="32"/>
          <w:szCs w:val="32"/>
          <w:shd w:val="pct10" w:color="auto" w:fill="FFFFFF"/>
        </w:rPr>
      </w:pPr>
    </w:p>
    <w:p>
      <w:pPr>
        <w:pStyle w:val="2"/>
        <w:rPr>
          <w:rFonts w:ascii="仿宋" w:hAnsi="仿宋" w:eastAsia="仿宋"/>
          <w:sz w:val="32"/>
          <w:szCs w:val="32"/>
          <w:shd w:val="pct10" w:color="auto" w:fill="FFFFFF"/>
        </w:rPr>
      </w:pPr>
    </w:p>
    <w:p>
      <w:pPr>
        <w:pStyle w:val="2"/>
        <w:rPr>
          <w:rFonts w:ascii="仿宋" w:hAnsi="仿宋" w:eastAsia="仿宋"/>
          <w:sz w:val="32"/>
          <w:szCs w:val="32"/>
          <w:shd w:val="pct10" w:color="auto" w:fill="FFFFFF"/>
        </w:rPr>
      </w:pPr>
    </w:p>
    <w:p>
      <w:pPr>
        <w:spacing w:line="600" w:lineRule="exact"/>
        <w:rPr>
          <w:rFonts w:hint="eastAsia" w:ascii="仿宋" w:hAnsi="仿宋" w:eastAsia="仿宋"/>
          <w:sz w:val="32"/>
          <w:szCs w:val="32"/>
        </w:rPr>
      </w:pPr>
    </w:p>
    <w:p>
      <w:pPr>
        <w:spacing w:line="600" w:lineRule="exact"/>
        <w:ind w:firstLine="2560" w:firstLineChars="800"/>
        <w:rPr>
          <w:rFonts w:ascii="仿宋" w:hAnsi="仿宋" w:eastAsia="仿宋"/>
          <w:sz w:val="32"/>
          <w:szCs w:val="32"/>
        </w:rPr>
      </w:pPr>
      <w:r>
        <w:rPr>
          <w:rFonts w:hint="eastAsia" w:ascii="仿宋" w:hAnsi="仿宋" w:eastAsia="仿宋"/>
          <w:sz w:val="32"/>
          <w:szCs w:val="32"/>
        </w:rPr>
        <w:t>图3：支出决算结构图</w:t>
      </w:r>
    </w:p>
    <w:p>
      <w:pPr>
        <w:spacing w:line="600" w:lineRule="exact"/>
        <w:ind w:firstLine="640" w:firstLineChars="200"/>
        <w:rPr>
          <w:rFonts w:cs="黑体" w:asciiTheme="minorEastAsia" w:hAnsiTheme="minorEastAsia" w:eastAsiaTheme="minorEastAsia"/>
          <w:color w:val="000000"/>
          <w:sz w:val="32"/>
          <w:szCs w:val="32"/>
        </w:rPr>
      </w:pPr>
      <w:r>
        <w:rPr>
          <w:rFonts w:hint="eastAsia" w:ascii="黑体" w:hAnsi="黑体" w:eastAsia="黑体" w:cs="黑体"/>
          <w:sz w:val="32"/>
          <w:szCs w:val="32"/>
          <w:lang w:eastAsia="zh-CN"/>
        </w:rPr>
        <w:t>四、财政拨款收入支出决算总体情况说明</w:t>
      </w:r>
    </w:p>
    <w:p>
      <w:pPr>
        <w:spacing w:line="600" w:lineRule="exact"/>
        <w:ind w:firstLine="640" w:firstLineChars="200"/>
        <w:rPr>
          <w:rFonts w:cs="仿宋_GB2312" w:asciiTheme="minorEastAsia" w:hAnsiTheme="minorEastAsia" w:eastAsiaTheme="minorEastAsia"/>
          <w:color w:val="000000"/>
          <w:sz w:val="32"/>
          <w:szCs w:val="32"/>
        </w:rPr>
      </w:pPr>
      <w:r>
        <w:rPr>
          <w:rFonts w:hint="eastAsia" w:ascii="仿宋" w:hAnsi="仿宋" w:eastAsia="仿宋" w:cs="Times New Roman"/>
          <w:sz w:val="32"/>
          <w:szCs w:val="32"/>
          <w:lang w:eastAsia="zh-CN"/>
        </w:rPr>
        <w:t>2022年</w:t>
      </w:r>
      <w:r>
        <w:rPr>
          <w:rFonts w:hint="eastAsia" w:ascii="仿宋" w:hAnsi="仿宋" w:eastAsia="仿宋"/>
          <w:sz w:val="32"/>
          <w:szCs w:val="32"/>
        </w:rPr>
        <w:t>财政拨款</w:t>
      </w:r>
      <w:r>
        <w:rPr>
          <w:rFonts w:hint="eastAsia" w:ascii="仿宋" w:hAnsi="仿宋" w:eastAsia="仿宋" w:cs="Times New Roman"/>
          <w:sz w:val="32"/>
          <w:szCs w:val="32"/>
          <w:lang w:eastAsia="zh-CN"/>
        </w:rPr>
        <w:t>收、支总计</w:t>
      </w:r>
      <w:r>
        <w:rPr>
          <w:rFonts w:hint="eastAsia" w:ascii="仿宋" w:hAnsi="仿宋" w:eastAsia="仿宋" w:cs="Times New Roman"/>
          <w:sz w:val="32"/>
          <w:szCs w:val="32"/>
          <w:lang w:val="en-US" w:eastAsia="zh-CN"/>
        </w:rPr>
        <w:t>17102.64</w:t>
      </w:r>
      <w:r>
        <w:rPr>
          <w:rFonts w:hint="eastAsia" w:ascii="仿宋" w:hAnsi="仿宋" w:eastAsia="仿宋" w:cs="Times New Roman"/>
          <w:sz w:val="32"/>
          <w:szCs w:val="32"/>
          <w:lang w:eastAsia="zh-CN"/>
        </w:rPr>
        <w:t>万元，与2021年度相比，</w:t>
      </w:r>
      <w:r>
        <w:rPr>
          <w:rFonts w:hint="eastAsia" w:ascii="仿宋" w:hAnsi="仿宋" w:eastAsia="仿宋"/>
          <w:sz w:val="32"/>
          <w:szCs w:val="32"/>
        </w:rPr>
        <w:t>财政拨款</w:t>
      </w:r>
      <w:r>
        <w:rPr>
          <w:rFonts w:hint="eastAsia" w:ascii="仿宋" w:hAnsi="仿宋" w:eastAsia="仿宋" w:cs="Times New Roman"/>
          <w:sz w:val="32"/>
          <w:szCs w:val="32"/>
          <w:lang w:eastAsia="zh-CN"/>
        </w:rPr>
        <w:t>收、支总计减少</w:t>
      </w:r>
      <w:r>
        <w:rPr>
          <w:rFonts w:hint="eastAsia" w:ascii="仿宋" w:hAnsi="仿宋" w:eastAsia="仿宋"/>
          <w:sz w:val="32"/>
          <w:szCs w:val="32"/>
          <w:lang w:val="en-US" w:eastAsia="zh-CN"/>
        </w:rPr>
        <w:t>945.68</w:t>
      </w:r>
      <w:r>
        <w:rPr>
          <w:rFonts w:hint="eastAsia" w:ascii="仿宋" w:hAnsi="仿宋" w:eastAsia="仿宋" w:cs="Times New Roman"/>
          <w:sz w:val="32"/>
          <w:szCs w:val="32"/>
          <w:lang w:eastAsia="zh-CN"/>
        </w:rPr>
        <w:t>万元，下降</w:t>
      </w:r>
      <w:r>
        <w:rPr>
          <w:rFonts w:hint="eastAsia" w:ascii="仿宋" w:hAnsi="仿宋" w:eastAsia="仿宋"/>
          <w:sz w:val="32"/>
          <w:szCs w:val="32"/>
          <w:lang w:val="en-US" w:eastAsia="zh-CN"/>
        </w:rPr>
        <w:t>5.24</w:t>
      </w:r>
      <w:r>
        <w:rPr>
          <w:rFonts w:hint="eastAsia" w:ascii="仿宋" w:hAnsi="仿宋" w:eastAsia="仿宋" w:cs="Times New Roman"/>
          <w:sz w:val="32"/>
          <w:szCs w:val="32"/>
          <w:lang w:eastAsia="zh-CN"/>
        </w:rPr>
        <w:t>%。主要变动原因是</w:t>
      </w:r>
      <w:r>
        <w:rPr>
          <w:rFonts w:hint="eastAsia" w:ascii="仿宋" w:hAnsi="仿宋" w:eastAsia="仿宋"/>
          <w:sz w:val="32"/>
          <w:szCs w:val="32"/>
          <w:lang w:eastAsia="zh-CN"/>
        </w:rPr>
        <w:t>其他收入安排</w:t>
      </w:r>
      <w:r>
        <w:rPr>
          <w:rFonts w:hint="eastAsia" w:ascii="仿宋" w:hAnsi="仿宋" w:eastAsia="仿宋" w:cs="Times New Roman"/>
          <w:sz w:val="32"/>
          <w:szCs w:val="32"/>
          <w:lang w:eastAsia="zh-CN"/>
        </w:rPr>
        <w:t>项目支出增加。</w:t>
      </w:r>
    </w:p>
    <w:p>
      <w:pPr>
        <w:spacing w:line="600" w:lineRule="exact"/>
        <w:ind w:firstLine="420" w:firstLineChars="200"/>
        <w:outlineLvl w:val="1"/>
        <w:rPr>
          <w:rFonts w:hint="eastAsia" w:ascii="黑体" w:hAnsi="黑体" w:eastAsia="黑体"/>
          <w:sz w:val="32"/>
          <w:szCs w:val="32"/>
        </w:rPr>
      </w:pPr>
      <w:r>
        <w:drawing>
          <wp:anchor distT="0" distB="0" distL="114300" distR="114300" simplePos="0" relativeHeight="251660288" behindDoc="0" locked="0" layoutInCell="1" allowOverlap="1">
            <wp:simplePos x="0" y="0"/>
            <wp:positionH relativeFrom="column">
              <wp:posOffset>377190</wp:posOffset>
            </wp:positionH>
            <wp:positionV relativeFrom="paragraph">
              <wp:posOffset>86995</wp:posOffset>
            </wp:positionV>
            <wp:extent cx="4572000" cy="2743200"/>
            <wp:effectExtent l="4445" t="4445" r="14605" b="14605"/>
            <wp:wrapNone/>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pStyle w:val="2"/>
        <w:rPr>
          <w:rFonts w:hint="eastAsia" w:ascii="黑体" w:hAnsi="黑体" w:eastAsia="黑体"/>
          <w:sz w:val="32"/>
          <w:szCs w:val="32"/>
        </w:rPr>
      </w:pPr>
    </w:p>
    <w:p>
      <w:pPr>
        <w:spacing w:line="600" w:lineRule="exact"/>
        <w:ind w:firstLine="640" w:firstLineChars="200"/>
        <w:outlineLvl w:val="1"/>
        <w:rPr>
          <w:rFonts w:hint="eastAsia" w:ascii="黑体" w:hAnsi="黑体" w:eastAsia="黑体"/>
          <w:sz w:val="32"/>
          <w:szCs w:val="32"/>
        </w:rPr>
      </w:pPr>
    </w:p>
    <w:p>
      <w:pPr>
        <w:spacing w:line="600" w:lineRule="exact"/>
        <w:ind w:firstLine="1280" w:firstLineChars="400"/>
        <w:outlineLvl w:val="1"/>
        <w:rPr>
          <w:rFonts w:hint="eastAsia" w:ascii="黑体" w:hAnsi="黑体" w:eastAsia="黑体"/>
          <w:sz w:val="32"/>
          <w:szCs w:val="32"/>
        </w:rPr>
      </w:pPr>
      <w:r>
        <w:rPr>
          <w:rFonts w:hint="eastAsia" w:ascii="仿宋" w:hAnsi="仿宋" w:eastAsia="仿宋"/>
          <w:sz w:val="32"/>
          <w:szCs w:val="32"/>
        </w:rPr>
        <w:t>图4：财政拨款收、支决算总计变动情况</w:t>
      </w:r>
    </w:p>
    <w:p>
      <w:pPr>
        <w:spacing w:line="600" w:lineRule="exact"/>
        <w:ind w:firstLine="640" w:firstLineChars="200"/>
        <w:outlineLvl w:val="1"/>
        <w:rPr>
          <w:rFonts w:hint="eastAsia" w:ascii="黑体" w:hAnsi="黑体" w:eastAsia="黑体"/>
          <w:sz w:val="32"/>
          <w:szCs w:val="32"/>
        </w:rPr>
      </w:pPr>
      <w:r>
        <w:rPr>
          <w:rFonts w:hint="eastAsia" w:ascii="黑体" w:hAnsi="黑体" w:eastAsia="黑体"/>
          <w:sz w:val="32"/>
          <w:szCs w:val="32"/>
        </w:rPr>
        <w:t>五、一般公共预算财政拨款支出决算情况说明</w:t>
      </w:r>
    </w:p>
    <w:p>
      <w:pPr>
        <w:spacing w:line="600" w:lineRule="exact"/>
        <w:ind w:firstLine="640" w:firstLineChars="200"/>
        <w:outlineLvl w:val="2"/>
        <w:rPr>
          <w:rFonts w:hint="eastAsia" w:ascii="仿宋" w:hAnsi="仿宋" w:eastAsia="仿宋"/>
          <w:b/>
          <w:sz w:val="32"/>
          <w:szCs w:val="32"/>
        </w:rPr>
      </w:pPr>
      <w:r>
        <w:rPr>
          <w:rFonts w:hint="eastAsia" w:ascii="仿宋" w:hAnsi="仿宋" w:eastAsia="仿宋"/>
          <w:b/>
          <w:sz w:val="32"/>
          <w:szCs w:val="32"/>
        </w:rPr>
        <w:t>（一）一般公共预算财政拨款支出决算总体情况</w:t>
      </w:r>
    </w:p>
    <w:p>
      <w:pPr>
        <w:spacing w:line="600" w:lineRule="exact"/>
        <w:ind w:firstLine="640" w:firstLineChars="200"/>
        <w:rPr>
          <w:rFonts w:cs="仿宋_GB2312" w:asciiTheme="minorEastAsia" w:hAnsiTheme="minorEastAsia" w:eastAsiaTheme="minorEastAsia"/>
          <w:color w:val="000000"/>
          <w:sz w:val="32"/>
          <w:szCs w:val="32"/>
        </w:rPr>
      </w:pPr>
      <w:r>
        <w:rPr>
          <w:rFonts w:hint="eastAsia" w:ascii="仿宋" w:hAnsi="仿宋" w:eastAsia="仿宋"/>
          <w:sz w:val="32"/>
          <w:szCs w:val="32"/>
          <w:lang w:eastAsia="zh-CN"/>
        </w:rPr>
        <w:t>2022年</w:t>
      </w:r>
      <w:r>
        <w:rPr>
          <w:rFonts w:hint="eastAsia" w:ascii="仿宋" w:hAnsi="仿宋" w:eastAsia="仿宋"/>
          <w:sz w:val="32"/>
          <w:szCs w:val="32"/>
        </w:rPr>
        <w:t>度一般公共预算财政拨款支出</w:t>
      </w:r>
      <w:r>
        <w:rPr>
          <w:rFonts w:hint="eastAsia" w:ascii="仿宋" w:hAnsi="仿宋" w:eastAsia="仿宋"/>
          <w:sz w:val="32"/>
          <w:szCs w:val="32"/>
          <w:lang w:val="en-US" w:eastAsia="zh-CN"/>
        </w:rPr>
        <w:t>16608.68</w:t>
      </w:r>
      <w:r>
        <w:rPr>
          <w:rFonts w:hint="eastAsia" w:ascii="仿宋" w:hAnsi="仿宋" w:eastAsia="仿宋"/>
          <w:sz w:val="32"/>
          <w:szCs w:val="32"/>
        </w:rPr>
        <w:t>万元，占本年支出合计的</w:t>
      </w:r>
      <w:r>
        <w:rPr>
          <w:rFonts w:hint="eastAsia" w:ascii="仿宋" w:hAnsi="仿宋" w:eastAsia="仿宋"/>
          <w:sz w:val="32"/>
          <w:szCs w:val="32"/>
          <w:lang w:val="en-US" w:eastAsia="zh-CN"/>
        </w:rPr>
        <w:t>77.19</w:t>
      </w:r>
      <w:r>
        <w:rPr>
          <w:rFonts w:hint="eastAsia" w:ascii="仿宋" w:hAnsi="仿宋" w:eastAsia="仿宋"/>
          <w:sz w:val="32"/>
          <w:szCs w:val="32"/>
        </w:rPr>
        <w:t>%。与</w:t>
      </w:r>
      <w:r>
        <w:rPr>
          <w:rFonts w:hint="eastAsia" w:ascii="仿宋" w:hAnsi="仿宋" w:eastAsia="仿宋"/>
          <w:sz w:val="32"/>
          <w:szCs w:val="32"/>
          <w:lang w:eastAsia="zh-CN"/>
        </w:rPr>
        <w:t>2021年</w:t>
      </w:r>
      <w:r>
        <w:rPr>
          <w:rFonts w:hint="eastAsia" w:ascii="仿宋" w:hAnsi="仿宋" w:eastAsia="仿宋"/>
          <w:sz w:val="32"/>
          <w:szCs w:val="32"/>
        </w:rPr>
        <w:t>度相比，一般公共预算财政拨款支出减少</w:t>
      </w:r>
      <w:r>
        <w:rPr>
          <w:rFonts w:hint="eastAsia" w:ascii="仿宋" w:hAnsi="仿宋" w:eastAsia="仿宋"/>
          <w:sz w:val="32"/>
          <w:szCs w:val="32"/>
          <w:lang w:val="en-US" w:eastAsia="zh-CN"/>
        </w:rPr>
        <w:t>660.83</w:t>
      </w:r>
      <w:r>
        <w:rPr>
          <w:rFonts w:hint="eastAsia" w:ascii="仿宋" w:hAnsi="仿宋" w:eastAsia="仿宋"/>
          <w:sz w:val="32"/>
          <w:szCs w:val="32"/>
        </w:rPr>
        <w:t>万元，下降</w:t>
      </w:r>
      <w:r>
        <w:rPr>
          <w:rFonts w:hint="eastAsia" w:ascii="仿宋" w:hAnsi="仿宋" w:eastAsia="仿宋"/>
          <w:sz w:val="32"/>
          <w:szCs w:val="32"/>
          <w:lang w:val="en-US" w:eastAsia="zh-CN"/>
        </w:rPr>
        <w:t>3.83</w:t>
      </w:r>
      <w:r>
        <w:rPr>
          <w:rFonts w:hint="eastAsia" w:ascii="仿宋" w:hAnsi="仿宋" w:eastAsia="仿宋"/>
          <w:sz w:val="32"/>
          <w:szCs w:val="32"/>
        </w:rPr>
        <w:t>%。主要变动原因是</w:t>
      </w:r>
      <w:r>
        <w:rPr>
          <w:rFonts w:hint="eastAsia" w:ascii="仿宋" w:hAnsi="仿宋" w:eastAsia="仿宋"/>
          <w:sz w:val="32"/>
          <w:szCs w:val="32"/>
          <w:lang w:eastAsia="zh-CN"/>
        </w:rPr>
        <w:t>2022年</w:t>
      </w:r>
      <w:r>
        <w:rPr>
          <w:rFonts w:hint="eastAsia" w:ascii="仿宋" w:hAnsi="仿宋" w:eastAsia="仿宋"/>
          <w:sz w:val="32"/>
          <w:szCs w:val="32"/>
        </w:rPr>
        <w:t>财政拨款</w:t>
      </w:r>
      <w:r>
        <w:rPr>
          <w:rFonts w:hint="eastAsia" w:ascii="仿宋" w:hAnsi="仿宋" w:eastAsia="仿宋"/>
          <w:sz w:val="32"/>
          <w:szCs w:val="32"/>
          <w:lang w:eastAsia="zh-CN"/>
        </w:rPr>
        <w:t>安排的</w:t>
      </w:r>
      <w:r>
        <w:rPr>
          <w:rFonts w:hint="eastAsia" w:ascii="仿宋" w:hAnsi="仿宋" w:eastAsia="仿宋"/>
          <w:sz w:val="32"/>
          <w:szCs w:val="32"/>
        </w:rPr>
        <w:t>项目</w:t>
      </w:r>
      <w:r>
        <w:rPr>
          <w:rFonts w:hint="eastAsia" w:ascii="仿宋" w:hAnsi="仿宋" w:eastAsia="仿宋"/>
          <w:sz w:val="32"/>
          <w:szCs w:val="32"/>
          <w:lang w:eastAsia="zh-CN"/>
        </w:rPr>
        <w:t>收入减少</w:t>
      </w:r>
      <w:r>
        <w:rPr>
          <w:rFonts w:hint="eastAsia" w:ascii="仿宋" w:hAnsi="仿宋" w:eastAsia="仿宋"/>
          <w:sz w:val="32"/>
          <w:szCs w:val="32"/>
        </w:rPr>
        <w:t xml:space="preserve">。  </w:t>
      </w:r>
      <w:r>
        <w:rPr>
          <w:rFonts w:hint="eastAsia" w:cs="仿宋_GB2312" w:asciiTheme="minorEastAsia" w:hAnsiTheme="minorEastAsia" w:eastAsiaTheme="minorEastAsia"/>
          <w:color w:val="000000"/>
          <w:sz w:val="32"/>
          <w:szCs w:val="32"/>
        </w:rPr>
        <w:t xml:space="preserve"> </w:t>
      </w:r>
    </w:p>
    <w:p>
      <w:pPr>
        <w:spacing w:line="600" w:lineRule="exact"/>
        <w:ind w:firstLine="643" w:firstLineChars="200"/>
        <w:rPr>
          <w:rFonts w:hint="eastAsia" w:cs="楷体_GB2312" w:asciiTheme="minorEastAsia" w:hAnsiTheme="minorEastAsia" w:eastAsiaTheme="minorEastAsia"/>
          <w:b/>
          <w:bCs/>
          <w:color w:val="000000"/>
          <w:sz w:val="32"/>
          <w:szCs w:val="32"/>
        </w:rPr>
      </w:pPr>
    </w:p>
    <w:p>
      <w:pPr>
        <w:pStyle w:val="2"/>
        <w:rPr>
          <w:rFonts w:hint="eastAsia" w:cs="楷体_GB2312" w:asciiTheme="minorEastAsia" w:hAnsiTheme="minorEastAsia" w:eastAsiaTheme="minorEastAsia"/>
          <w:b/>
          <w:bCs/>
          <w:color w:val="000000"/>
          <w:sz w:val="32"/>
          <w:szCs w:val="32"/>
        </w:rPr>
      </w:pPr>
    </w:p>
    <w:p>
      <w:pPr>
        <w:pStyle w:val="2"/>
        <w:rPr>
          <w:rFonts w:hint="eastAsia" w:cs="楷体_GB2312" w:asciiTheme="minorEastAsia" w:hAnsiTheme="minorEastAsia" w:eastAsiaTheme="minorEastAsia"/>
          <w:b/>
          <w:bCs/>
          <w:color w:val="000000"/>
          <w:sz w:val="32"/>
          <w:szCs w:val="32"/>
        </w:rPr>
      </w:pPr>
    </w:p>
    <w:p>
      <w:pPr>
        <w:pStyle w:val="2"/>
        <w:rPr>
          <w:rFonts w:hint="eastAsia" w:cs="楷体_GB2312" w:asciiTheme="minorEastAsia" w:hAnsiTheme="minorEastAsia" w:eastAsiaTheme="minorEastAsia"/>
          <w:b/>
          <w:bCs/>
          <w:color w:val="000000"/>
          <w:sz w:val="32"/>
          <w:szCs w:val="32"/>
        </w:rPr>
      </w:pPr>
      <w:r>
        <w:drawing>
          <wp:anchor distT="0" distB="0" distL="114300" distR="114300" simplePos="0" relativeHeight="251661312" behindDoc="0" locked="0" layoutInCell="1" allowOverlap="1">
            <wp:simplePos x="0" y="0"/>
            <wp:positionH relativeFrom="column">
              <wp:posOffset>363855</wp:posOffset>
            </wp:positionH>
            <wp:positionV relativeFrom="paragraph">
              <wp:posOffset>-32385</wp:posOffset>
            </wp:positionV>
            <wp:extent cx="4572000" cy="2743200"/>
            <wp:effectExtent l="4445" t="4445" r="14605" b="14605"/>
            <wp:wrapNone/>
            <wp:docPr id="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pStyle w:val="2"/>
        <w:rPr>
          <w:rFonts w:hint="eastAsia" w:cs="楷体_GB2312" w:asciiTheme="minorEastAsia" w:hAnsiTheme="minorEastAsia" w:eastAsiaTheme="minorEastAsia"/>
          <w:b/>
          <w:bCs/>
          <w:color w:val="000000"/>
          <w:sz w:val="32"/>
          <w:szCs w:val="32"/>
        </w:rPr>
      </w:pPr>
    </w:p>
    <w:p>
      <w:pPr>
        <w:pStyle w:val="2"/>
        <w:rPr>
          <w:rFonts w:hint="eastAsia" w:cs="楷体_GB2312" w:asciiTheme="minorEastAsia" w:hAnsiTheme="minorEastAsia" w:eastAsiaTheme="minorEastAsia"/>
          <w:b/>
          <w:bCs/>
          <w:color w:val="000000"/>
          <w:sz w:val="32"/>
          <w:szCs w:val="32"/>
        </w:rPr>
      </w:pPr>
    </w:p>
    <w:p>
      <w:pPr>
        <w:pStyle w:val="2"/>
        <w:rPr>
          <w:rFonts w:hint="eastAsia" w:cs="楷体_GB2312" w:asciiTheme="minorEastAsia" w:hAnsiTheme="minorEastAsia" w:eastAsiaTheme="minorEastAsia"/>
          <w:b/>
          <w:bCs/>
          <w:color w:val="000000"/>
          <w:sz w:val="32"/>
          <w:szCs w:val="32"/>
        </w:rPr>
      </w:pPr>
    </w:p>
    <w:p>
      <w:pPr>
        <w:pStyle w:val="2"/>
        <w:rPr>
          <w:rFonts w:hint="eastAsia" w:cs="楷体_GB2312" w:asciiTheme="minorEastAsia" w:hAnsiTheme="minorEastAsia" w:eastAsiaTheme="minorEastAsia"/>
          <w:b/>
          <w:bCs/>
          <w:color w:val="000000"/>
          <w:sz w:val="32"/>
          <w:szCs w:val="32"/>
        </w:rPr>
      </w:pPr>
    </w:p>
    <w:p>
      <w:pPr>
        <w:pStyle w:val="2"/>
        <w:rPr>
          <w:rFonts w:hint="eastAsia" w:cs="楷体_GB2312" w:asciiTheme="minorEastAsia" w:hAnsiTheme="minorEastAsia" w:eastAsiaTheme="minorEastAsia"/>
          <w:b/>
          <w:bCs/>
          <w:color w:val="000000"/>
          <w:sz w:val="32"/>
          <w:szCs w:val="32"/>
        </w:rPr>
      </w:pPr>
    </w:p>
    <w:p>
      <w:pPr>
        <w:spacing w:line="600" w:lineRule="exact"/>
        <w:ind w:firstLine="640" w:firstLineChars="200"/>
        <w:rPr>
          <w:rFonts w:hint="eastAsia" w:ascii="仿宋" w:hAnsi="仿宋" w:eastAsia="仿宋"/>
          <w:sz w:val="32"/>
          <w:szCs w:val="32"/>
        </w:rPr>
      </w:pPr>
    </w:p>
    <w:p>
      <w:pPr>
        <w:spacing w:line="600" w:lineRule="exact"/>
        <w:ind w:firstLine="960" w:firstLineChars="300"/>
        <w:rPr>
          <w:rFonts w:ascii="仿宋" w:hAnsi="仿宋" w:eastAsia="仿宋"/>
          <w:sz w:val="32"/>
          <w:szCs w:val="32"/>
        </w:rPr>
      </w:pPr>
      <w:r>
        <w:rPr>
          <w:rFonts w:hint="eastAsia" w:ascii="仿宋" w:hAnsi="仿宋" w:eastAsia="仿宋"/>
          <w:sz w:val="32"/>
          <w:szCs w:val="32"/>
        </w:rPr>
        <w:t>图5：一般公共预算财政拨款支出决算变动情况</w:t>
      </w:r>
    </w:p>
    <w:p>
      <w:pPr>
        <w:spacing w:line="600" w:lineRule="exact"/>
        <w:ind w:firstLine="640" w:firstLineChars="200"/>
        <w:outlineLvl w:val="2"/>
        <w:rPr>
          <w:rFonts w:hint="eastAsia" w:ascii="仿宋" w:hAnsi="仿宋" w:eastAsia="仿宋"/>
          <w:b/>
          <w:sz w:val="32"/>
          <w:szCs w:val="32"/>
        </w:rPr>
      </w:pPr>
      <w:r>
        <w:rPr>
          <w:rFonts w:hint="eastAsia" w:ascii="仿宋" w:hAnsi="仿宋" w:eastAsia="仿宋"/>
          <w:b/>
          <w:sz w:val="32"/>
          <w:szCs w:val="32"/>
        </w:rPr>
        <w:t>（二）一般公共预算财政拨款支出决算结构情况</w:t>
      </w:r>
    </w:p>
    <w:p>
      <w:pPr>
        <w:spacing w:line="600" w:lineRule="exact"/>
        <w:ind w:firstLine="640"/>
        <w:rPr>
          <w:rFonts w:hint="eastAsia" w:ascii="仿宋" w:hAnsi="仿宋" w:eastAsia="仿宋"/>
          <w:sz w:val="32"/>
          <w:szCs w:val="32"/>
        </w:rPr>
      </w:pPr>
      <w:r>
        <w:rPr>
          <w:rFonts w:hint="eastAsia" w:ascii="仿宋" w:hAnsi="仿宋" w:eastAsia="仿宋"/>
          <w:sz w:val="32"/>
          <w:szCs w:val="32"/>
          <w:lang w:eastAsia="zh-CN"/>
        </w:rPr>
        <w:t>2022年</w:t>
      </w:r>
      <w:r>
        <w:rPr>
          <w:rFonts w:hint="eastAsia" w:ascii="仿宋" w:hAnsi="仿宋" w:eastAsia="仿宋"/>
          <w:sz w:val="32"/>
          <w:szCs w:val="32"/>
        </w:rPr>
        <w:t>度一般公共预算财政拨款支出</w:t>
      </w:r>
      <w:r>
        <w:rPr>
          <w:rFonts w:hint="eastAsia" w:ascii="仿宋" w:hAnsi="仿宋" w:eastAsia="仿宋"/>
          <w:sz w:val="32"/>
          <w:szCs w:val="32"/>
          <w:lang w:val="en-US" w:eastAsia="zh-CN"/>
        </w:rPr>
        <w:t>16608.68</w:t>
      </w:r>
      <w:r>
        <w:rPr>
          <w:rFonts w:hint="eastAsia" w:ascii="仿宋" w:hAnsi="仿宋" w:eastAsia="仿宋"/>
          <w:sz w:val="32"/>
          <w:szCs w:val="32"/>
        </w:rPr>
        <w:t>万元，主要用于以下项目：</w:t>
      </w:r>
      <w:r>
        <w:rPr>
          <w:rFonts w:hint="eastAsia" w:ascii="仿宋" w:hAnsi="仿宋" w:eastAsia="仿宋"/>
          <w:b/>
          <w:bCs/>
          <w:sz w:val="32"/>
          <w:szCs w:val="32"/>
        </w:rPr>
        <w:t>社会保障和就业支出</w:t>
      </w:r>
      <w:r>
        <w:rPr>
          <w:rFonts w:hint="eastAsia" w:ascii="仿宋" w:hAnsi="仿宋" w:eastAsia="仿宋"/>
          <w:sz w:val="32"/>
          <w:szCs w:val="32"/>
          <w:lang w:val="en-US" w:eastAsia="zh-CN"/>
        </w:rPr>
        <w:t>16565.36</w:t>
      </w:r>
      <w:r>
        <w:rPr>
          <w:rFonts w:hint="eastAsia" w:ascii="仿宋" w:hAnsi="仿宋" w:eastAsia="仿宋"/>
          <w:sz w:val="32"/>
          <w:szCs w:val="32"/>
        </w:rPr>
        <w:t>万元，占</w:t>
      </w:r>
      <w:r>
        <w:rPr>
          <w:rFonts w:hint="eastAsia" w:ascii="仿宋" w:hAnsi="仿宋" w:eastAsia="仿宋"/>
          <w:sz w:val="32"/>
          <w:szCs w:val="32"/>
          <w:lang w:val="en-US" w:eastAsia="zh-CN"/>
        </w:rPr>
        <w:t>99.74</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17.33</w:t>
      </w:r>
      <w:r>
        <w:rPr>
          <w:rFonts w:hint="eastAsia" w:ascii="仿宋" w:hAnsi="仿宋" w:eastAsia="仿宋"/>
          <w:sz w:val="32"/>
          <w:szCs w:val="32"/>
        </w:rPr>
        <w:t>万元，占0.1%；</w:t>
      </w:r>
      <w:r>
        <w:rPr>
          <w:rFonts w:hint="eastAsia" w:ascii="仿宋" w:hAnsi="仿宋" w:eastAsia="仿宋"/>
          <w:b/>
          <w:bCs/>
          <w:sz w:val="32"/>
          <w:szCs w:val="32"/>
        </w:rPr>
        <w:t>住房保障支出</w:t>
      </w:r>
      <w:r>
        <w:rPr>
          <w:rFonts w:hint="eastAsia" w:ascii="仿宋" w:hAnsi="仿宋" w:eastAsia="仿宋"/>
          <w:sz w:val="32"/>
          <w:szCs w:val="32"/>
          <w:lang w:val="en-US" w:eastAsia="zh-CN"/>
        </w:rPr>
        <w:t>25.99</w:t>
      </w:r>
      <w:r>
        <w:rPr>
          <w:rFonts w:hint="eastAsia" w:ascii="仿宋" w:hAnsi="仿宋" w:eastAsia="仿宋"/>
          <w:sz w:val="32"/>
          <w:szCs w:val="32"/>
        </w:rPr>
        <w:t>万元，占</w:t>
      </w:r>
      <w:r>
        <w:rPr>
          <w:rFonts w:hint="eastAsia" w:ascii="仿宋" w:hAnsi="仿宋" w:eastAsia="仿宋"/>
          <w:sz w:val="32"/>
          <w:szCs w:val="32"/>
          <w:lang w:val="en-US" w:eastAsia="zh-CN"/>
        </w:rPr>
        <w:t>0.16</w:t>
      </w:r>
      <w:r>
        <w:rPr>
          <w:rFonts w:hint="eastAsia" w:ascii="仿宋" w:hAnsi="仿宋" w:eastAsia="仿宋"/>
          <w:sz w:val="32"/>
          <w:szCs w:val="32"/>
        </w:rPr>
        <w:t>%。</w:t>
      </w:r>
    </w:p>
    <w:p>
      <w:pPr>
        <w:spacing w:line="600" w:lineRule="exact"/>
        <w:ind w:firstLine="640"/>
        <w:rPr>
          <w:rFonts w:ascii="仿宋" w:hAnsi="仿宋" w:eastAsia="仿宋"/>
          <w:sz w:val="32"/>
          <w:szCs w:val="32"/>
        </w:rPr>
      </w:pPr>
      <w:r>
        <w:drawing>
          <wp:anchor distT="0" distB="0" distL="114300" distR="114300" simplePos="0" relativeHeight="251662336" behindDoc="0" locked="0" layoutInCell="1" allowOverlap="1">
            <wp:simplePos x="0" y="0"/>
            <wp:positionH relativeFrom="column">
              <wp:posOffset>406400</wp:posOffset>
            </wp:positionH>
            <wp:positionV relativeFrom="paragraph">
              <wp:posOffset>113030</wp:posOffset>
            </wp:positionV>
            <wp:extent cx="4572000" cy="2743200"/>
            <wp:effectExtent l="4445" t="4445" r="14605" b="14605"/>
            <wp:wrapNone/>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spacing w:line="600" w:lineRule="exact"/>
        <w:ind w:firstLine="1280" w:firstLineChars="400"/>
        <w:rPr>
          <w:rFonts w:ascii="仿宋" w:hAnsi="仿宋" w:eastAsia="仿宋"/>
          <w:sz w:val="32"/>
          <w:szCs w:val="32"/>
        </w:rPr>
      </w:pPr>
      <w:r>
        <w:rPr>
          <w:rFonts w:hint="eastAsia" w:ascii="仿宋" w:hAnsi="仿宋" w:eastAsia="仿宋"/>
          <w:sz w:val="32"/>
          <w:szCs w:val="32"/>
        </w:rPr>
        <w:t>图6：一般公共预算财政拨款支出决算结构</w:t>
      </w:r>
    </w:p>
    <w:p>
      <w:pPr>
        <w:spacing w:line="600" w:lineRule="exact"/>
        <w:ind w:firstLine="640" w:firstLineChars="200"/>
        <w:outlineLvl w:val="2"/>
        <w:rPr>
          <w:rFonts w:hint="eastAsia" w:ascii="仿宋" w:hAnsi="仿宋" w:eastAsia="仿宋" w:cs="Times New Roman"/>
          <w:b/>
          <w:sz w:val="32"/>
          <w:szCs w:val="32"/>
        </w:rPr>
      </w:pPr>
      <w:r>
        <w:rPr>
          <w:rFonts w:hint="eastAsia" w:ascii="仿宋" w:hAnsi="仿宋" w:eastAsia="仿宋" w:cs="Times New Roman"/>
          <w:b/>
          <w:sz w:val="32"/>
          <w:szCs w:val="32"/>
        </w:rPr>
        <w:t>（三）一般公共预算财政拨款支出决算具体情况</w:t>
      </w:r>
    </w:p>
    <w:p>
      <w:pPr>
        <w:spacing w:line="600" w:lineRule="exact"/>
        <w:ind w:firstLine="640" w:firstLineChars="200"/>
        <w:outlineLvl w:val="2"/>
        <w:rPr>
          <w:rFonts w:hint="eastAsia" w:ascii="仿宋" w:hAnsi="仿宋" w:eastAsia="仿宋" w:cs="Times New Roman"/>
          <w:b/>
          <w:sz w:val="32"/>
          <w:szCs w:val="32"/>
        </w:rPr>
      </w:pPr>
      <w:r>
        <w:rPr>
          <w:rFonts w:hint="eastAsia" w:ascii="仿宋" w:hAnsi="仿宋" w:eastAsia="仿宋" w:cs="Times New Roman"/>
          <w:b/>
          <w:sz w:val="32"/>
          <w:szCs w:val="32"/>
          <w:lang w:eastAsia="zh-CN"/>
        </w:rPr>
        <w:t>2022年</w:t>
      </w:r>
      <w:r>
        <w:rPr>
          <w:rFonts w:hint="eastAsia" w:ascii="仿宋" w:hAnsi="仿宋" w:eastAsia="仿宋" w:cs="Times New Roman"/>
          <w:b/>
          <w:sz w:val="32"/>
          <w:szCs w:val="32"/>
        </w:rPr>
        <w:t>度一般公共预算财政拨款支出</w:t>
      </w:r>
      <w:r>
        <w:rPr>
          <w:rFonts w:hint="eastAsia" w:ascii="仿宋" w:hAnsi="仿宋" w:eastAsia="仿宋" w:cs="Times New Roman"/>
          <w:b/>
          <w:sz w:val="32"/>
          <w:szCs w:val="32"/>
          <w:lang w:val="en-US" w:eastAsia="zh-CN"/>
        </w:rPr>
        <w:t>16608.68</w:t>
      </w:r>
      <w:r>
        <w:rPr>
          <w:rFonts w:hint="eastAsia" w:ascii="仿宋" w:hAnsi="仿宋" w:eastAsia="仿宋" w:cs="Times New Roman"/>
          <w:b/>
          <w:sz w:val="32"/>
          <w:szCs w:val="32"/>
        </w:rPr>
        <w:t>万元，完成预算数的</w:t>
      </w:r>
      <w:r>
        <w:rPr>
          <w:rFonts w:hint="eastAsia" w:ascii="仿宋" w:hAnsi="仿宋" w:eastAsia="仿宋" w:cs="Times New Roman"/>
          <w:b/>
          <w:sz w:val="32"/>
          <w:szCs w:val="32"/>
          <w:lang w:val="en-US" w:eastAsia="zh-CN"/>
        </w:rPr>
        <w:t>100</w:t>
      </w:r>
      <w:r>
        <w:rPr>
          <w:rFonts w:hint="eastAsia" w:ascii="仿宋" w:hAnsi="仿宋" w:eastAsia="仿宋" w:cs="Times New Roman"/>
          <w:b/>
          <w:sz w:val="32"/>
          <w:szCs w:val="32"/>
        </w:rPr>
        <w:t>%。其中:</w:t>
      </w:r>
    </w:p>
    <w:p>
      <w:pPr>
        <w:spacing w:line="600" w:lineRule="exact"/>
        <w:ind w:firstLine="640" w:firstLineChars="200"/>
        <w:rPr>
          <w:rFonts w:cs="仿宋_GB2312" w:asciiTheme="minorEastAsia" w:hAnsiTheme="minorEastAsia" w:eastAsiaTheme="minorEastAsia"/>
          <w:color w:val="000000"/>
          <w:sz w:val="32"/>
          <w:szCs w:val="32"/>
        </w:rPr>
      </w:pPr>
      <w:r>
        <w:rPr>
          <w:rStyle w:val="18"/>
          <w:rFonts w:hint="eastAsia" w:ascii="仿宋" w:hAnsi="仿宋" w:eastAsia="仿宋"/>
          <w:bCs/>
          <w:sz w:val="32"/>
          <w:szCs w:val="32"/>
        </w:rPr>
        <w:t>1.社会保障和就业（类）民政管理事务（款）行政运行（项）: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196.85</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hint="eastAsia" w:ascii="仿宋" w:hAnsi="仿宋" w:eastAsia="仿宋"/>
          <w:b w:val="0"/>
          <w:bCs/>
          <w:sz w:val="32"/>
          <w:szCs w:val="32"/>
        </w:rPr>
        <w:t xml:space="preserve"> %。</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bCs/>
          <w:sz w:val="32"/>
          <w:szCs w:val="32"/>
        </w:rPr>
        <w:t>2.社会保障和就业（类）民政管理事务（款）一般行政管理事务（项）: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44.29</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hint="eastAsia" w:ascii="仿宋" w:hAnsi="仿宋" w:eastAsia="仿宋"/>
          <w:b w:val="0"/>
          <w:bCs/>
          <w:sz w:val="32"/>
          <w:szCs w:val="32"/>
        </w:rPr>
        <w:t>%。</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bCs/>
          <w:sz w:val="32"/>
          <w:szCs w:val="32"/>
        </w:rPr>
        <w:t>3.社会保障和就业（类）民政管理事务（款）行政区划和地名管理（项）: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204.92</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hint="eastAsia" w:ascii="仿宋" w:hAnsi="仿宋" w:eastAsia="仿宋"/>
          <w:b w:val="0"/>
          <w:bCs/>
          <w:sz w:val="32"/>
          <w:szCs w:val="32"/>
        </w:rPr>
        <w:t>%。</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bCs/>
          <w:sz w:val="32"/>
          <w:szCs w:val="32"/>
        </w:rPr>
        <w:t>4.社会保障和就业（类）民政管理事务（款）其他民政管理事务支出（项）: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199.83</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hint="eastAsia" w:ascii="仿宋" w:hAnsi="仿宋" w:eastAsia="仿宋"/>
          <w:b w:val="0"/>
          <w:bCs/>
          <w:sz w:val="32"/>
          <w:szCs w:val="32"/>
        </w:rPr>
        <w:t xml:space="preserve"> %。</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5</w:t>
      </w:r>
      <w:r>
        <w:rPr>
          <w:rStyle w:val="18"/>
          <w:rFonts w:hint="eastAsia" w:ascii="仿宋" w:hAnsi="仿宋" w:eastAsia="仿宋"/>
          <w:bCs/>
          <w:sz w:val="32"/>
          <w:szCs w:val="32"/>
        </w:rPr>
        <w:t>.社会保障和就业（类）行政事业单位养老支出（款）机关事业单位基本养老保险缴费支出（项）: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48.04</w:t>
      </w:r>
      <w:r>
        <w:rPr>
          <w:rStyle w:val="18"/>
          <w:rFonts w:hint="eastAsia" w:ascii="仿宋" w:hAnsi="仿宋" w:eastAsia="仿宋"/>
          <w:b w:val="0"/>
          <w:bCs/>
          <w:sz w:val="32"/>
          <w:szCs w:val="32"/>
        </w:rPr>
        <w:t>万元，完成预算100%。</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6</w:t>
      </w:r>
      <w:r>
        <w:rPr>
          <w:rStyle w:val="18"/>
          <w:rFonts w:hint="eastAsia" w:ascii="仿宋" w:hAnsi="仿宋" w:eastAsia="仿宋"/>
          <w:bCs/>
          <w:sz w:val="32"/>
          <w:szCs w:val="32"/>
        </w:rPr>
        <w:t>.社会保障和就业（类）社会福利（款）儿童福利（项）: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72.96</w:t>
      </w:r>
      <w:r>
        <w:rPr>
          <w:rStyle w:val="18"/>
          <w:rFonts w:hint="eastAsia" w:ascii="仿宋" w:hAnsi="仿宋" w:eastAsia="仿宋"/>
          <w:b w:val="0"/>
          <w:bCs/>
          <w:sz w:val="32"/>
          <w:szCs w:val="32"/>
        </w:rPr>
        <w:t>万元，完成预算100%。</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7</w:t>
      </w:r>
      <w:r>
        <w:rPr>
          <w:rStyle w:val="18"/>
          <w:rFonts w:hint="eastAsia" w:ascii="仿宋" w:hAnsi="仿宋" w:eastAsia="仿宋"/>
          <w:bCs/>
          <w:sz w:val="32"/>
          <w:szCs w:val="32"/>
        </w:rPr>
        <w:t>.社会保障和就业（类）社会福利（款）老年福利（项）: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500</w:t>
      </w:r>
      <w:r>
        <w:rPr>
          <w:rStyle w:val="18"/>
          <w:rFonts w:hint="eastAsia" w:ascii="仿宋" w:hAnsi="仿宋" w:eastAsia="仿宋"/>
          <w:b w:val="0"/>
          <w:bCs/>
          <w:sz w:val="32"/>
          <w:szCs w:val="32"/>
        </w:rPr>
        <w:t>万元，完成预算100%。</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8</w:t>
      </w:r>
      <w:r>
        <w:rPr>
          <w:rStyle w:val="18"/>
          <w:rFonts w:hint="eastAsia" w:ascii="仿宋" w:hAnsi="仿宋" w:eastAsia="仿宋"/>
          <w:bCs/>
          <w:sz w:val="32"/>
          <w:szCs w:val="32"/>
        </w:rPr>
        <w:t>.社会保障和就业（类）社会福利（款）殡葬（项）: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37</w:t>
      </w:r>
      <w:r>
        <w:rPr>
          <w:rStyle w:val="18"/>
          <w:rFonts w:hint="eastAsia" w:ascii="仿宋" w:hAnsi="仿宋" w:eastAsia="仿宋"/>
          <w:b w:val="0"/>
          <w:bCs/>
          <w:sz w:val="32"/>
          <w:szCs w:val="32"/>
        </w:rPr>
        <w:t>万元，完成预算100%。</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9</w:t>
      </w:r>
      <w:r>
        <w:rPr>
          <w:rStyle w:val="18"/>
          <w:rFonts w:hint="eastAsia" w:ascii="仿宋" w:hAnsi="仿宋" w:eastAsia="仿宋"/>
          <w:bCs/>
          <w:sz w:val="32"/>
          <w:szCs w:val="32"/>
        </w:rPr>
        <w:t>.社会保障和就业（类）社会福利（款）社会福利事业单位（项）: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277.86</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hint="eastAsia" w:ascii="仿宋" w:hAnsi="仿宋" w:eastAsia="仿宋"/>
          <w:b w:val="0"/>
          <w:bCs/>
          <w:sz w:val="32"/>
          <w:szCs w:val="32"/>
        </w:rPr>
        <w:t>%。</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10</w:t>
      </w:r>
      <w:r>
        <w:rPr>
          <w:rStyle w:val="18"/>
          <w:rFonts w:hint="eastAsia" w:ascii="仿宋" w:hAnsi="仿宋" w:eastAsia="仿宋"/>
          <w:bCs/>
          <w:sz w:val="32"/>
          <w:szCs w:val="32"/>
        </w:rPr>
        <w:t>.社会保障和就业（类）社会福利（款）养老服务（项）: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367</w:t>
      </w:r>
      <w:r>
        <w:rPr>
          <w:rStyle w:val="18"/>
          <w:rFonts w:hint="eastAsia" w:ascii="仿宋" w:hAnsi="仿宋" w:eastAsia="仿宋"/>
          <w:b w:val="0"/>
          <w:bCs/>
          <w:sz w:val="32"/>
          <w:szCs w:val="32"/>
        </w:rPr>
        <w:t>万元，完成预算100%。</w:t>
      </w:r>
    </w:p>
    <w:p>
      <w:pPr>
        <w:spacing w:line="600" w:lineRule="exact"/>
        <w:ind w:firstLine="640" w:firstLineChars="200"/>
        <w:rPr>
          <w:rFonts w:cs="仿宋_GB2312" w:asciiTheme="minorEastAsia" w:hAnsiTheme="minorEastAsia" w:eastAsiaTheme="minorEastAsia"/>
          <w:color w:val="000000"/>
          <w:sz w:val="32"/>
          <w:szCs w:val="32"/>
        </w:rPr>
      </w:pPr>
      <w:r>
        <w:rPr>
          <w:rStyle w:val="18"/>
          <w:rFonts w:hint="eastAsia" w:ascii="仿宋" w:hAnsi="仿宋" w:eastAsia="仿宋"/>
          <w:bCs/>
          <w:sz w:val="32"/>
          <w:szCs w:val="32"/>
          <w:lang w:val="en-US" w:eastAsia="zh-CN"/>
        </w:rPr>
        <w:t>11</w:t>
      </w:r>
      <w:r>
        <w:rPr>
          <w:rStyle w:val="18"/>
          <w:rFonts w:hint="eastAsia" w:ascii="仿宋" w:hAnsi="仿宋" w:eastAsia="仿宋"/>
          <w:bCs/>
          <w:sz w:val="32"/>
          <w:szCs w:val="32"/>
        </w:rPr>
        <w:t>.社会保障和就业（类）残疾人事业（款）残疾人生活和护理补贴（项）: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1612.53</w:t>
      </w:r>
      <w:r>
        <w:rPr>
          <w:rStyle w:val="18"/>
          <w:rFonts w:hint="eastAsia" w:ascii="仿宋" w:hAnsi="仿宋" w:eastAsia="仿宋"/>
          <w:b w:val="0"/>
          <w:bCs/>
          <w:sz w:val="32"/>
          <w:szCs w:val="32"/>
        </w:rPr>
        <w:t>万元，完成预算100%。</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12</w:t>
      </w:r>
      <w:r>
        <w:rPr>
          <w:rStyle w:val="18"/>
          <w:rFonts w:hint="eastAsia" w:ascii="仿宋" w:hAnsi="仿宋" w:eastAsia="仿宋"/>
          <w:bCs/>
          <w:sz w:val="32"/>
          <w:szCs w:val="32"/>
        </w:rPr>
        <w:t>.社会保障和就业（类）最低生活保障（款）城市最低生活保障金支出（项）: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2284.05</w:t>
      </w:r>
      <w:r>
        <w:rPr>
          <w:rStyle w:val="18"/>
          <w:rFonts w:hint="eastAsia" w:ascii="仿宋" w:hAnsi="仿宋" w:eastAsia="仿宋"/>
          <w:b w:val="0"/>
          <w:bCs/>
          <w:sz w:val="32"/>
          <w:szCs w:val="32"/>
        </w:rPr>
        <w:t>万元，完成预算100%。</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13</w:t>
      </w:r>
      <w:r>
        <w:rPr>
          <w:rStyle w:val="18"/>
          <w:rFonts w:hint="eastAsia" w:ascii="仿宋" w:hAnsi="仿宋" w:eastAsia="仿宋"/>
          <w:bCs/>
          <w:sz w:val="32"/>
          <w:szCs w:val="32"/>
        </w:rPr>
        <w:t>.社会保障和就业（类）最低生活保障（款）农村最低生活保障金支出（项）: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9226.01</w:t>
      </w:r>
      <w:r>
        <w:rPr>
          <w:rStyle w:val="18"/>
          <w:rFonts w:hint="eastAsia" w:ascii="仿宋" w:hAnsi="仿宋" w:eastAsia="仿宋"/>
          <w:b w:val="0"/>
          <w:bCs/>
          <w:sz w:val="32"/>
          <w:szCs w:val="32"/>
        </w:rPr>
        <w:t>万元，完成预算100%。</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bCs/>
          <w:sz w:val="32"/>
          <w:szCs w:val="32"/>
        </w:rPr>
        <w:t>1</w:t>
      </w:r>
      <w:r>
        <w:rPr>
          <w:rStyle w:val="18"/>
          <w:rFonts w:hint="eastAsia" w:ascii="仿宋" w:hAnsi="仿宋" w:eastAsia="仿宋"/>
          <w:bCs/>
          <w:sz w:val="32"/>
          <w:szCs w:val="32"/>
          <w:lang w:val="en-US" w:eastAsia="zh-CN"/>
        </w:rPr>
        <w:t>4</w:t>
      </w:r>
      <w:r>
        <w:rPr>
          <w:rStyle w:val="18"/>
          <w:rFonts w:hint="eastAsia" w:ascii="仿宋" w:hAnsi="仿宋" w:eastAsia="仿宋"/>
          <w:bCs/>
          <w:sz w:val="32"/>
          <w:szCs w:val="32"/>
        </w:rPr>
        <w:t>.社会保障和就业（类）临时救助（款）临时救助支出（项）: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400</w:t>
      </w:r>
      <w:r>
        <w:rPr>
          <w:rStyle w:val="18"/>
          <w:rFonts w:hint="eastAsia" w:ascii="仿宋" w:hAnsi="仿宋" w:eastAsia="仿宋"/>
          <w:b w:val="0"/>
          <w:bCs/>
          <w:sz w:val="32"/>
          <w:szCs w:val="32"/>
        </w:rPr>
        <w:t>万元，完成预算100%。</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bCs/>
          <w:sz w:val="32"/>
          <w:szCs w:val="32"/>
        </w:rPr>
        <w:t>1</w:t>
      </w:r>
      <w:r>
        <w:rPr>
          <w:rStyle w:val="18"/>
          <w:rFonts w:hint="eastAsia" w:ascii="仿宋" w:hAnsi="仿宋" w:eastAsia="仿宋"/>
          <w:bCs/>
          <w:sz w:val="32"/>
          <w:szCs w:val="32"/>
          <w:lang w:val="en-US" w:eastAsia="zh-CN"/>
        </w:rPr>
        <w:t>5</w:t>
      </w:r>
      <w:r>
        <w:rPr>
          <w:rStyle w:val="18"/>
          <w:rFonts w:hint="eastAsia" w:ascii="仿宋" w:hAnsi="仿宋" w:eastAsia="仿宋"/>
          <w:bCs/>
          <w:sz w:val="32"/>
          <w:szCs w:val="32"/>
        </w:rPr>
        <w:t>.社会保障和就业（类）临时救助（款）流浪乞讨人员救助支出（项）: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24</w:t>
      </w:r>
      <w:r>
        <w:rPr>
          <w:rStyle w:val="18"/>
          <w:rFonts w:hint="eastAsia" w:ascii="仿宋" w:hAnsi="仿宋" w:eastAsia="仿宋"/>
          <w:b w:val="0"/>
          <w:bCs/>
          <w:sz w:val="32"/>
          <w:szCs w:val="32"/>
        </w:rPr>
        <w:t>万元，完成预算100%。</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bCs/>
          <w:sz w:val="32"/>
          <w:szCs w:val="32"/>
        </w:rPr>
        <w:t>1</w:t>
      </w:r>
      <w:r>
        <w:rPr>
          <w:rStyle w:val="18"/>
          <w:rFonts w:hint="eastAsia" w:ascii="仿宋" w:hAnsi="仿宋" w:eastAsia="仿宋"/>
          <w:bCs/>
          <w:sz w:val="32"/>
          <w:szCs w:val="32"/>
          <w:lang w:val="en-US" w:eastAsia="zh-CN"/>
        </w:rPr>
        <w:t>6</w:t>
      </w:r>
      <w:r>
        <w:rPr>
          <w:rStyle w:val="18"/>
          <w:rFonts w:hint="eastAsia" w:ascii="仿宋" w:hAnsi="仿宋" w:eastAsia="仿宋"/>
          <w:bCs/>
          <w:sz w:val="32"/>
          <w:szCs w:val="32"/>
        </w:rPr>
        <w:t>.社会保障和就业（类）特困人员救助供养（款）</w:t>
      </w:r>
      <w:r>
        <w:rPr>
          <w:rStyle w:val="18"/>
          <w:rFonts w:hint="eastAsia" w:ascii="仿宋" w:hAnsi="仿宋" w:eastAsia="仿宋"/>
          <w:bCs/>
          <w:sz w:val="32"/>
          <w:szCs w:val="32"/>
          <w:lang w:eastAsia="zh-CN"/>
        </w:rPr>
        <w:t>城市</w:t>
      </w:r>
      <w:r>
        <w:rPr>
          <w:rStyle w:val="18"/>
          <w:rFonts w:hint="eastAsia" w:ascii="仿宋" w:hAnsi="仿宋" w:eastAsia="仿宋"/>
          <w:bCs/>
          <w:sz w:val="32"/>
          <w:szCs w:val="32"/>
        </w:rPr>
        <w:t>特困人员救助供养支出（项）: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0.29</w:t>
      </w:r>
      <w:r>
        <w:rPr>
          <w:rStyle w:val="18"/>
          <w:rFonts w:hint="eastAsia" w:ascii="仿宋" w:hAnsi="仿宋" w:eastAsia="仿宋"/>
          <w:b w:val="0"/>
          <w:bCs/>
          <w:sz w:val="32"/>
          <w:szCs w:val="32"/>
        </w:rPr>
        <w:t>万元，完成预算100%。</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bCs/>
          <w:sz w:val="32"/>
          <w:szCs w:val="32"/>
        </w:rPr>
        <w:t>1</w:t>
      </w:r>
      <w:r>
        <w:rPr>
          <w:rStyle w:val="18"/>
          <w:rFonts w:hint="eastAsia" w:ascii="仿宋" w:hAnsi="仿宋" w:eastAsia="仿宋"/>
          <w:bCs/>
          <w:sz w:val="32"/>
          <w:szCs w:val="32"/>
          <w:lang w:val="en-US" w:eastAsia="zh-CN"/>
        </w:rPr>
        <w:t>7</w:t>
      </w:r>
      <w:r>
        <w:rPr>
          <w:rStyle w:val="18"/>
          <w:rFonts w:hint="eastAsia" w:ascii="仿宋" w:hAnsi="仿宋" w:eastAsia="仿宋"/>
          <w:bCs/>
          <w:sz w:val="32"/>
          <w:szCs w:val="32"/>
        </w:rPr>
        <w:t>.社会保障和就业（类）特困人员救助供养（款）农村特困人员救助供养支出（项）: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776.21</w:t>
      </w:r>
      <w:r>
        <w:rPr>
          <w:rStyle w:val="18"/>
          <w:rFonts w:hint="eastAsia" w:ascii="仿宋" w:hAnsi="仿宋" w:eastAsia="仿宋"/>
          <w:b w:val="0"/>
          <w:bCs/>
          <w:sz w:val="32"/>
          <w:szCs w:val="32"/>
        </w:rPr>
        <w:t>万元，完成预算100%。</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bCs/>
          <w:sz w:val="32"/>
          <w:szCs w:val="32"/>
        </w:rPr>
        <w:t>18.社会保障和就业（类）其他生活救助（款）其他农村生活救助（项）: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26.52</w:t>
      </w:r>
      <w:r>
        <w:rPr>
          <w:rStyle w:val="18"/>
          <w:rFonts w:hint="eastAsia" w:ascii="仿宋" w:hAnsi="仿宋" w:eastAsia="仿宋"/>
          <w:b w:val="0"/>
          <w:bCs/>
          <w:sz w:val="32"/>
          <w:szCs w:val="32"/>
        </w:rPr>
        <w:t>万元，完成预算100%。</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bCs/>
          <w:sz w:val="32"/>
          <w:szCs w:val="32"/>
        </w:rPr>
        <w:t>19.社会保障和就业（类）其他</w:t>
      </w:r>
      <w:r>
        <w:rPr>
          <w:rStyle w:val="18"/>
          <w:rFonts w:hint="eastAsia" w:ascii="仿宋" w:hAnsi="仿宋" w:eastAsia="仿宋"/>
          <w:bCs/>
          <w:sz w:val="32"/>
          <w:szCs w:val="32"/>
          <w:lang w:eastAsia="zh-CN"/>
        </w:rPr>
        <w:t>社会保障和就业支出</w:t>
      </w:r>
      <w:r>
        <w:rPr>
          <w:rStyle w:val="18"/>
          <w:rFonts w:hint="eastAsia" w:ascii="仿宋" w:hAnsi="仿宋" w:eastAsia="仿宋"/>
          <w:bCs/>
          <w:sz w:val="32"/>
          <w:szCs w:val="32"/>
        </w:rPr>
        <w:t>（款）其他</w:t>
      </w:r>
      <w:r>
        <w:rPr>
          <w:rStyle w:val="18"/>
          <w:rFonts w:hint="eastAsia" w:ascii="仿宋" w:hAnsi="仿宋" w:eastAsia="仿宋"/>
          <w:bCs/>
          <w:sz w:val="32"/>
          <w:szCs w:val="32"/>
          <w:lang w:eastAsia="zh-CN"/>
        </w:rPr>
        <w:t>社会保障和就业支出</w:t>
      </w:r>
      <w:r>
        <w:rPr>
          <w:rStyle w:val="18"/>
          <w:rFonts w:hint="eastAsia" w:ascii="仿宋" w:hAnsi="仿宋" w:eastAsia="仿宋"/>
          <w:bCs/>
          <w:sz w:val="32"/>
          <w:szCs w:val="32"/>
        </w:rPr>
        <w:t>（项）: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267</w:t>
      </w:r>
      <w:r>
        <w:rPr>
          <w:rStyle w:val="18"/>
          <w:rFonts w:hint="eastAsia" w:ascii="仿宋" w:hAnsi="仿宋" w:eastAsia="仿宋"/>
          <w:b w:val="0"/>
          <w:bCs/>
          <w:sz w:val="32"/>
          <w:szCs w:val="32"/>
        </w:rPr>
        <w:t>万元，完成预算100%。</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20</w:t>
      </w:r>
      <w:r>
        <w:rPr>
          <w:rStyle w:val="18"/>
          <w:rFonts w:hint="eastAsia" w:ascii="仿宋" w:hAnsi="仿宋" w:eastAsia="仿宋"/>
          <w:bCs/>
          <w:sz w:val="32"/>
          <w:szCs w:val="32"/>
        </w:rPr>
        <w:t>.卫生健康支出（类）行政事业单位医疗（款）行政单位医疗（项）: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17.33</w:t>
      </w:r>
      <w:r>
        <w:rPr>
          <w:rStyle w:val="18"/>
          <w:rFonts w:hint="eastAsia" w:ascii="仿宋" w:hAnsi="仿宋" w:eastAsia="仿宋"/>
          <w:b w:val="0"/>
          <w:bCs/>
          <w:sz w:val="32"/>
          <w:szCs w:val="32"/>
        </w:rPr>
        <w:t>万元，完成预算100%。</w:t>
      </w:r>
    </w:p>
    <w:p>
      <w:pPr>
        <w:spacing w:line="600" w:lineRule="exact"/>
        <w:ind w:firstLine="640" w:firstLineChars="200"/>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21</w:t>
      </w:r>
      <w:r>
        <w:rPr>
          <w:rStyle w:val="18"/>
          <w:rFonts w:hint="eastAsia" w:ascii="仿宋" w:hAnsi="仿宋" w:eastAsia="仿宋"/>
          <w:bCs/>
          <w:sz w:val="32"/>
          <w:szCs w:val="32"/>
        </w:rPr>
        <w:t>.住房保障支出（类）住房改革支出（款）住房公积金（项）:</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25.99</w:t>
      </w:r>
      <w:r>
        <w:rPr>
          <w:rStyle w:val="18"/>
          <w:rFonts w:hint="eastAsia" w:ascii="仿宋" w:hAnsi="仿宋" w:eastAsia="仿宋"/>
          <w:b w:val="0"/>
          <w:bCs/>
          <w:sz w:val="32"/>
          <w:szCs w:val="32"/>
        </w:rPr>
        <w:t>万元，完成预算100%。</w:t>
      </w:r>
    </w:p>
    <w:p>
      <w:pPr>
        <w:tabs>
          <w:tab w:val="right" w:pos="8306"/>
        </w:tabs>
        <w:spacing w:line="576" w:lineRule="exact"/>
        <w:ind w:firstLine="640" w:firstLineChars="200"/>
        <w:outlineLvl w:val="1"/>
        <w:rPr>
          <w:rFonts w:hint="eastAsia" w:cs="仿宋" w:asciiTheme="minorEastAsia" w:hAnsiTheme="minorEastAsia" w:eastAsiaTheme="minorEastAsia"/>
          <w:b/>
          <w:bCs/>
          <w:color w:val="000000"/>
          <w:sz w:val="32"/>
          <w:szCs w:val="32"/>
        </w:rPr>
      </w:pPr>
      <w:r>
        <w:rPr>
          <w:rFonts w:hint="eastAsia" w:ascii="黑体" w:hAnsi="Times New Roman" w:eastAsia="黑体" w:cs="Times New Roman"/>
          <w:sz w:val="32"/>
          <w:szCs w:val="32"/>
        </w:rPr>
        <w:t>六、一般公共预算财政拨款基本支出决算情况说明</w:t>
      </w:r>
      <w:r>
        <w:rPr>
          <w:rFonts w:hint="eastAsia" w:cs="仿宋" w:asciiTheme="minorEastAsia" w:hAnsiTheme="minorEastAsia" w:eastAsiaTheme="minorEastAsia"/>
          <w:b/>
          <w:bCs/>
          <w:color w:val="000000"/>
          <w:sz w:val="32"/>
          <w:szCs w:val="32"/>
        </w:rPr>
        <w:tab/>
      </w:r>
    </w:p>
    <w:p>
      <w:pPr>
        <w:spacing w:line="600" w:lineRule="exact"/>
        <w:ind w:firstLine="645"/>
        <w:rPr>
          <w:rFonts w:ascii="仿宋" w:hAnsi="仿宋" w:eastAsia="仿宋"/>
          <w:sz w:val="32"/>
          <w:szCs w:val="32"/>
        </w:rPr>
      </w:pPr>
      <w:r>
        <w:rPr>
          <w:rFonts w:hint="eastAsia" w:ascii="仿宋" w:hAnsi="仿宋" w:eastAsia="仿宋"/>
          <w:sz w:val="32"/>
          <w:szCs w:val="32"/>
          <w:lang w:eastAsia="zh-CN"/>
        </w:rPr>
        <w:t>2022年</w:t>
      </w:r>
      <w:r>
        <w:rPr>
          <w:rFonts w:hint="eastAsia" w:ascii="仿宋" w:hAnsi="仿宋" w:eastAsia="仿宋"/>
          <w:sz w:val="32"/>
          <w:szCs w:val="32"/>
        </w:rPr>
        <w:t>度一般公共预算财政拨款基本支出 </w:t>
      </w:r>
      <w:r>
        <w:rPr>
          <w:rFonts w:hint="eastAsia" w:ascii="仿宋" w:hAnsi="仿宋" w:eastAsia="仿宋"/>
          <w:sz w:val="32"/>
          <w:szCs w:val="32"/>
          <w:lang w:val="en-US" w:eastAsia="zh-CN"/>
        </w:rPr>
        <w:t>530.07</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lang w:val="en-US" w:eastAsia="zh-CN"/>
        </w:rPr>
        <w:t>人员经费481.83万元，主要包括：基本工资、津贴补贴、奖金、绩效工资、机关事业单位基本养老保险缴费、职工基本医疗保险缴费、其他社会保障缴费、其他工资福利支出、住房公积金、生活补助。</w:t>
      </w:r>
      <w:r>
        <w:rPr>
          <w:rFonts w:hint="eastAsia" w:ascii="仿宋" w:hAnsi="仿宋" w:eastAsia="仿宋"/>
          <w:sz w:val="32"/>
          <w:szCs w:val="32"/>
          <w:lang w:val="en-US" w:eastAsia="zh-CN"/>
        </w:rPr>
        <w:br w:type="textWrapping"/>
      </w:r>
      <w:r>
        <w:rPr>
          <w:rFonts w:hint="eastAsia" w:ascii="仿宋" w:hAnsi="仿宋" w:eastAsia="仿宋"/>
          <w:sz w:val="32"/>
          <w:szCs w:val="32"/>
          <w:lang w:val="en-US" w:eastAsia="zh-CN"/>
        </w:rPr>
        <w:t>　　日常公用经费48.23万元，主要包括：办公费、印刷费、水费、电费、差旅费、修（护）费、会议费、培训费、公务接待费、</w:t>
      </w:r>
      <w:r>
        <w:rPr>
          <w:rFonts w:hint="eastAsia" w:ascii="仿宋" w:hAnsi="仿宋" w:eastAsia="仿宋"/>
          <w:sz w:val="32"/>
          <w:szCs w:val="32"/>
        </w:rPr>
        <w:t>工会经费、福利费、公务用车运行维护费、其他交通费。</w:t>
      </w:r>
    </w:p>
    <w:p>
      <w:pPr>
        <w:spacing w:line="600" w:lineRule="exact"/>
        <w:ind w:firstLine="640"/>
        <w:outlineLvl w:val="1"/>
        <w:rPr>
          <w:rFonts w:hint="eastAsia" w:ascii="黑体" w:hAnsi="Times New Roman" w:eastAsia="黑体" w:cs="Times New Roman"/>
          <w:sz w:val="32"/>
          <w:szCs w:val="32"/>
        </w:rPr>
      </w:pPr>
      <w:r>
        <w:rPr>
          <w:rFonts w:hint="eastAsia" w:ascii="黑体" w:hAnsi="Times New Roman" w:eastAsia="黑体" w:cs="Times New Roman"/>
          <w:sz w:val="32"/>
          <w:szCs w:val="32"/>
        </w:rPr>
        <w:t>七、“三公”经费财政拨款支出决算情况说明</w:t>
      </w:r>
    </w:p>
    <w:p>
      <w:pPr>
        <w:spacing w:line="600" w:lineRule="exact"/>
        <w:ind w:firstLine="640"/>
        <w:outlineLvl w:val="2"/>
        <w:rPr>
          <w:rFonts w:hint="eastAsia" w:ascii="仿宋" w:hAnsi="仿宋" w:eastAsia="仿宋"/>
          <w:b/>
          <w:sz w:val="32"/>
          <w:szCs w:val="32"/>
        </w:rPr>
      </w:pPr>
      <w:r>
        <w:rPr>
          <w:rFonts w:hint="eastAsia" w:ascii="仿宋" w:hAnsi="仿宋" w:eastAsia="仿宋"/>
          <w:b/>
          <w:sz w:val="32"/>
          <w:szCs w:val="32"/>
        </w:rPr>
        <w:t>（一）“三公”经费财政拨款支出决算总体情况说明</w:t>
      </w:r>
    </w:p>
    <w:p>
      <w:pPr>
        <w:spacing w:line="600" w:lineRule="exact"/>
        <w:ind w:firstLine="640"/>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2022年度“三公”经费财政拨款支出决算为4.37 万元，完成预算 78.6 %，</w:t>
      </w:r>
      <w:r>
        <w:rPr>
          <w:rFonts w:hint="eastAsia" w:ascii="仿宋" w:hAnsi="仿宋" w:eastAsia="仿宋"/>
          <w:sz w:val="32"/>
          <w:szCs w:val="32"/>
        </w:rPr>
        <w:t>较上年减少</w:t>
      </w:r>
      <w:r>
        <w:rPr>
          <w:rFonts w:hint="eastAsia" w:ascii="仿宋" w:hAnsi="仿宋" w:eastAsia="仿宋"/>
          <w:sz w:val="32"/>
          <w:szCs w:val="32"/>
          <w:lang w:val="en-US" w:eastAsia="zh-CN"/>
        </w:rPr>
        <w:t>1.33</w:t>
      </w:r>
      <w:r>
        <w:rPr>
          <w:rFonts w:hint="eastAsia" w:ascii="仿宋" w:hAnsi="仿宋" w:eastAsia="仿宋"/>
          <w:sz w:val="32"/>
          <w:szCs w:val="32"/>
        </w:rPr>
        <w:t>万元，下降</w:t>
      </w:r>
      <w:r>
        <w:rPr>
          <w:rFonts w:hint="eastAsia" w:ascii="仿宋" w:hAnsi="仿宋" w:eastAsia="仿宋"/>
          <w:sz w:val="32"/>
          <w:szCs w:val="32"/>
          <w:lang w:val="en-US" w:eastAsia="zh-CN"/>
        </w:rPr>
        <w:t>23.33</w:t>
      </w:r>
      <w:r>
        <w:rPr>
          <w:rFonts w:hint="eastAsia" w:ascii="仿宋" w:hAnsi="仿宋" w:eastAsia="仿宋"/>
          <w:sz w:val="32"/>
          <w:szCs w:val="32"/>
        </w:rPr>
        <w:t>%。</w:t>
      </w:r>
      <w:r>
        <w:rPr>
          <w:rFonts w:hint="eastAsia" w:ascii="仿宋" w:hAnsi="仿宋" w:eastAsia="仿宋" w:cs="Times New Roman"/>
          <w:kern w:val="2"/>
          <w:sz w:val="32"/>
          <w:szCs w:val="32"/>
          <w:lang w:val="en-US" w:eastAsia="zh-CN" w:bidi="ar-SA"/>
        </w:rPr>
        <w:t>决算数小于预算数的主要原因是财政资金困难及单位严格执行中央八项规定，厉行节约，从严控制“三公”经费开支。</w:t>
      </w:r>
    </w:p>
    <w:p>
      <w:pPr>
        <w:spacing w:line="600" w:lineRule="exact"/>
        <w:ind w:firstLine="640"/>
        <w:outlineLvl w:val="2"/>
        <w:rPr>
          <w:rFonts w:hint="eastAsia" w:ascii="仿宋" w:hAnsi="仿宋" w:eastAsia="仿宋"/>
          <w:b/>
          <w:sz w:val="32"/>
          <w:szCs w:val="32"/>
        </w:rPr>
      </w:pPr>
      <w:r>
        <w:rPr>
          <w:rFonts w:hint="eastAsia" w:ascii="仿宋" w:hAnsi="仿宋" w:eastAsia="仿宋"/>
          <w:b/>
          <w:sz w:val="32"/>
          <w:szCs w:val="32"/>
          <w:lang w:eastAsia="zh-CN"/>
        </w:rPr>
        <w:t>（二）</w:t>
      </w:r>
      <w:r>
        <w:rPr>
          <w:rFonts w:hint="eastAsia" w:ascii="仿宋" w:hAnsi="仿宋" w:eastAsia="仿宋"/>
          <w:b/>
          <w:sz w:val="32"/>
          <w:szCs w:val="32"/>
        </w:rPr>
        <w:t>“三公”经费财政拨款支出决算具体情况说明</w:t>
      </w:r>
    </w:p>
    <w:p>
      <w:pPr>
        <w:spacing w:line="600" w:lineRule="exact"/>
        <w:ind w:firstLine="640"/>
        <w:rPr>
          <w:rFonts w:ascii="仿宋" w:hAnsi="仿宋" w:eastAsia="仿宋"/>
          <w:sz w:val="32"/>
          <w:szCs w:val="32"/>
        </w:rPr>
      </w:pPr>
      <w:r>
        <w:rPr>
          <w:rFonts w:hint="eastAsia" w:ascii="仿宋" w:hAnsi="仿宋" w:eastAsia="仿宋"/>
          <w:sz w:val="32"/>
          <w:szCs w:val="32"/>
          <w:lang w:eastAsia="zh-CN"/>
        </w:rPr>
        <w:t>2022年</w:t>
      </w:r>
      <w:r>
        <w:rPr>
          <w:rFonts w:hint="eastAsia" w:ascii="仿宋" w:hAnsi="仿宋" w:eastAsia="仿宋"/>
          <w:sz w:val="32"/>
          <w:szCs w:val="32"/>
        </w:rPr>
        <w:t>度“三公”经费财政拨款支出决算中，因公出国（境）费支出决算0万元；公务用车购置及运行维护费支出决算</w:t>
      </w:r>
      <w:r>
        <w:rPr>
          <w:rFonts w:hint="eastAsia" w:ascii="仿宋" w:hAnsi="仿宋" w:eastAsia="仿宋"/>
          <w:sz w:val="32"/>
          <w:szCs w:val="32"/>
          <w:lang w:val="en-US" w:eastAsia="zh-CN"/>
        </w:rPr>
        <w:t>1.81</w:t>
      </w:r>
      <w:r>
        <w:rPr>
          <w:rFonts w:hint="eastAsia" w:ascii="仿宋" w:hAnsi="仿宋" w:eastAsia="仿宋"/>
          <w:sz w:val="32"/>
          <w:szCs w:val="32"/>
        </w:rPr>
        <w:t>万元，占</w:t>
      </w:r>
      <w:r>
        <w:rPr>
          <w:rFonts w:hint="eastAsia" w:ascii="仿宋" w:hAnsi="仿宋" w:eastAsia="仿宋"/>
          <w:sz w:val="32"/>
          <w:szCs w:val="32"/>
          <w:lang w:val="en-US" w:eastAsia="zh-CN"/>
        </w:rPr>
        <w:t>41.42</w:t>
      </w:r>
      <w:r>
        <w:rPr>
          <w:rFonts w:hint="eastAsia" w:ascii="仿宋" w:hAnsi="仿宋" w:eastAsia="仿宋"/>
          <w:sz w:val="32"/>
          <w:szCs w:val="32"/>
        </w:rPr>
        <w:t>%；公务接待费支出决算</w:t>
      </w:r>
      <w:r>
        <w:rPr>
          <w:rFonts w:hint="eastAsia" w:ascii="仿宋" w:hAnsi="仿宋" w:eastAsia="仿宋"/>
          <w:sz w:val="32"/>
          <w:szCs w:val="32"/>
          <w:lang w:val="en-US" w:eastAsia="zh-CN"/>
        </w:rPr>
        <w:t>2.56</w:t>
      </w:r>
      <w:r>
        <w:rPr>
          <w:rFonts w:hint="eastAsia" w:ascii="仿宋" w:hAnsi="仿宋" w:eastAsia="仿宋"/>
          <w:sz w:val="32"/>
          <w:szCs w:val="32"/>
        </w:rPr>
        <w:t> 万元，占</w:t>
      </w:r>
      <w:r>
        <w:rPr>
          <w:rFonts w:hint="eastAsia" w:ascii="仿宋" w:hAnsi="仿宋" w:eastAsia="仿宋"/>
          <w:sz w:val="32"/>
          <w:szCs w:val="32"/>
          <w:lang w:val="en-US" w:eastAsia="zh-CN"/>
        </w:rPr>
        <w:t>58.58</w:t>
      </w:r>
      <w:r>
        <w:rPr>
          <w:rFonts w:hint="eastAsia" w:ascii="仿宋" w:hAnsi="仿宋" w:eastAsia="仿宋"/>
          <w:sz w:val="32"/>
          <w:szCs w:val="32"/>
        </w:rPr>
        <w:t>%。</w:t>
      </w:r>
    </w:p>
    <w:p>
      <w:pPr>
        <w:spacing w:line="600" w:lineRule="exact"/>
        <w:ind w:firstLine="640"/>
        <w:outlineLvl w:val="2"/>
        <w:rPr>
          <w:rFonts w:hint="eastAsia" w:ascii="仿宋" w:hAnsi="仿宋" w:eastAsia="仿宋"/>
          <w:b/>
          <w:sz w:val="32"/>
          <w:szCs w:val="32"/>
        </w:rPr>
      </w:pPr>
    </w:p>
    <w:p>
      <w:pPr>
        <w:spacing w:line="600" w:lineRule="exact"/>
        <w:ind w:firstLine="640"/>
        <w:outlineLvl w:val="2"/>
        <w:rPr>
          <w:rFonts w:hint="eastAsia" w:ascii="仿宋" w:hAnsi="仿宋" w:eastAsia="仿宋"/>
          <w:b/>
          <w:sz w:val="32"/>
          <w:szCs w:val="32"/>
        </w:rPr>
      </w:pPr>
      <w:r>
        <w:drawing>
          <wp:anchor distT="0" distB="0" distL="114300" distR="114300" simplePos="0" relativeHeight="251663360" behindDoc="0" locked="0" layoutInCell="1" allowOverlap="1">
            <wp:simplePos x="0" y="0"/>
            <wp:positionH relativeFrom="column">
              <wp:posOffset>305435</wp:posOffset>
            </wp:positionH>
            <wp:positionV relativeFrom="paragraph">
              <wp:posOffset>348615</wp:posOffset>
            </wp:positionV>
            <wp:extent cx="4847590" cy="2695575"/>
            <wp:effectExtent l="4445" t="5080" r="5715" b="4445"/>
            <wp:wrapNone/>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outlineLvl w:val="2"/>
        <w:rPr>
          <w:rFonts w:hint="eastAsia" w:ascii="仿宋" w:hAnsi="仿宋" w:eastAsia="仿宋"/>
          <w:b/>
          <w:sz w:val="32"/>
          <w:szCs w:val="32"/>
        </w:rPr>
      </w:pPr>
    </w:p>
    <w:p>
      <w:pPr>
        <w:spacing w:line="600" w:lineRule="exact"/>
        <w:ind w:firstLine="640"/>
        <w:outlineLvl w:val="2"/>
        <w:rPr>
          <w:rFonts w:hint="eastAsia" w:ascii="仿宋" w:hAnsi="仿宋" w:eastAsia="仿宋"/>
          <w:b/>
          <w:sz w:val="32"/>
          <w:szCs w:val="32"/>
        </w:rPr>
      </w:pPr>
    </w:p>
    <w:p>
      <w:pPr>
        <w:spacing w:line="600" w:lineRule="exact"/>
        <w:ind w:firstLine="640"/>
        <w:outlineLvl w:val="2"/>
        <w:rPr>
          <w:rFonts w:hint="eastAsia" w:ascii="仿宋" w:hAnsi="仿宋" w:eastAsia="仿宋"/>
          <w:b/>
          <w:sz w:val="32"/>
          <w:szCs w:val="32"/>
        </w:rPr>
      </w:pPr>
    </w:p>
    <w:p>
      <w:pPr>
        <w:spacing w:line="600" w:lineRule="exact"/>
        <w:ind w:firstLine="640"/>
        <w:outlineLvl w:val="2"/>
        <w:rPr>
          <w:rFonts w:hint="eastAsia" w:ascii="仿宋" w:hAnsi="仿宋" w:eastAsia="仿宋"/>
          <w:b/>
          <w:sz w:val="32"/>
          <w:szCs w:val="32"/>
        </w:rPr>
      </w:pPr>
    </w:p>
    <w:p>
      <w:pPr>
        <w:spacing w:line="600" w:lineRule="exact"/>
        <w:ind w:firstLine="640"/>
        <w:outlineLvl w:val="2"/>
        <w:rPr>
          <w:rFonts w:hint="eastAsia" w:ascii="仿宋" w:hAnsi="仿宋" w:eastAsia="仿宋"/>
          <w:b/>
          <w:sz w:val="32"/>
          <w:szCs w:val="32"/>
        </w:rPr>
      </w:pPr>
    </w:p>
    <w:p>
      <w:pPr>
        <w:spacing w:line="600" w:lineRule="exact"/>
        <w:ind w:firstLine="640"/>
        <w:outlineLvl w:val="2"/>
        <w:rPr>
          <w:rFonts w:hint="eastAsia" w:ascii="仿宋" w:hAnsi="仿宋" w:eastAsia="仿宋"/>
          <w:b/>
          <w:sz w:val="32"/>
          <w:szCs w:val="32"/>
        </w:rPr>
      </w:pPr>
    </w:p>
    <w:p>
      <w:pPr>
        <w:spacing w:line="600" w:lineRule="exact"/>
        <w:ind w:firstLine="1609" w:firstLineChars="503"/>
        <w:outlineLvl w:val="2"/>
        <w:rPr>
          <w:rFonts w:hint="eastAsia" w:ascii="仿宋" w:hAnsi="仿宋" w:eastAsia="仿宋"/>
          <w:b/>
          <w:sz w:val="32"/>
          <w:szCs w:val="32"/>
        </w:rPr>
      </w:pPr>
      <w:r>
        <w:rPr>
          <w:rFonts w:hint="eastAsia" w:ascii="仿宋" w:hAnsi="仿宋" w:eastAsia="仿宋"/>
          <w:sz w:val="32"/>
          <w:szCs w:val="32"/>
        </w:rPr>
        <w:t>图7：“三公”经费财政拨款支出结构</w:t>
      </w:r>
    </w:p>
    <w:p>
      <w:pPr>
        <w:pStyle w:val="14"/>
        <w:widowControl/>
        <w:shd w:val="clear" w:color="auto" w:fill="FFFFFF"/>
        <w:spacing w:before="0" w:beforeAutospacing="0" w:after="0" w:afterAutospacing="0" w:line="576" w:lineRule="exact"/>
        <w:ind w:firstLine="643" w:firstLineChars="200"/>
        <w:rPr>
          <w:rFonts w:cs="仿宋_GB2312" w:asciiTheme="minorEastAsia" w:hAnsiTheme="minorEastAsia" w:eastAsiaTheme="minorEastAsia"/>
          <w:color w:val="000000"/>
          <w:kern w:val="2"/>
          <w:sz w:val="32"/>
          <w:szCs w:val="32"/>
        </w:rPr>
      </w:pPr>
      <w:r>
        <w:rPr>
          <w:rFonts w:hint="eastAsia" w:ascii="仿宋_GB2312" w:hAnsi="Times New Roman" w:eastAsia="仿宋_GB2312" w:cs="Times New Roman"/>
          <w:b/>
          <w:kern w:val="2"/>
          <w:sz w:val="32"/>
          <w:szCs w:val="32"/>
          <w:lang w:val="en-US" w:eastAsia="zh-CN" w:bidi="ar-SA"/>
        </w:rPr>
        <w:t>1.因公出国（境）经费支出</w:t>
      </w:r>
      <w:r>
        <w:rPr>
          <w:rFonts w:hint="eastAsia" w:ascii="仿宋_GB2312" w:hAnsi="Times New Roman" w:eastAsia="仿宋_GB2312" w:cs="Times New Roman"/>
          <w:kern w:val="2"/>
          <w:sz w:val="32"/>
          <w:szCs w:val="32"/>
          <w:lang w:val="en-US" w:eastAsia="zh-CN" w:bidi="ar-SA"/>
        </w:rPr>
        <w:t>0万元。</w:t>
      </w:r>
    </w:p>
    <w:p>
      <w:pPr>
        <w:spacing w:line="600" w:lineRule="exact"/>
        <w:ind w:firstLine="640"/>
        <w:rPr>
          <w:rFonts w:ascii="仿宋_GB2312" w:eastAsia="仿宋_GB2312"/>
          <w:b/>
          <w:sz w:val="32"/>
          <w:szCs w:val="32"/>
        </w:rPr>
      </w:pPr>
      <w:r>
        <w:rPr>
          <w:rFonts w:hint="eastAsia" w:ascii="仿宋_GB2312" w:hAnsi="Times New Roman" w:eastAsia="仿宋_GB2312" w:cs="Times New Roman"/>
          <w:b/>
          <w:kern w:val="2"/>
          <w:sz w:val="32"/>
          <w:szCs w:val="32"/>
          <w:lang w:val="en-US" w:eastAsia="zh-CN" w:bidi="ar-SA"/>
        </w:rPr>
        <w:t>2.公务用车购置及运行维护费支出</w:t>
      </w:r>
      <w:r>
        <w:rPr>
          <w:rFonts w:hint="eastAsia" w:ascii="仿宋_GB2312" w:hAnsi="Times New Roman" w:eastAsia="仿宋_GB2312" w:cs="Times New Roman"/>
          <w:kern w:val="2"/>
          <w:sz w:val="32"/>
          <w:szCs w:val="32"/>
          <w:lang w:val="en-US" w:eastAsia="zh-CN" w:bidi="ar-SA"/>
        </w:rPr>
        <w:t>1.81万元，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1.19</w:t>
      </w:r>
      <w:r>
        <w:rPr>
          <w:rFonts w:hint="eastAsia" w:ascii="仿宋_GB2312" w:eastAsia="仿宋_GB2312"/>
          <w:sz w:val="32"/>
          <w:szCs w:val="32"/>
        </w:rPr>
        <w:t>万元，下降</w:t>
      </w:r>
      <w:r>
        <w:rPr>
          <w:rFonts w:hint="eastAsia" w:ascii="仿宋_GB2312" w:eastAsia="仿宋_GB2312"/>
          <w:sz w:val="32"/>
          <w:szCs w:val="32"/>
          <w:lang w:val="en-US" w:eastAsia="zh-CN"/>
        </w:rPr>
        <w:t>39.66</w:t>
      </w:r>
      <w:r>
        <w:rPr>
          <w:rFonts w:ascii="仿宋_GB2312" w:eastAsia="仿宋_GB2312"/>
          <w:sz w:val="32"/>
          <w:szCs w:val="32"/>
        </w:rPr>
        <w:t>%</w:t>
      </w:r>
      <w:r>
        <w:rPr>
          <w:rFonts w:hint="eastAsia" w:ascii="仿宋_GB2312" w:eastAsia="仿宋_GB2312"/>
          <w:sz w:val="32"/>
          <w:szCs w:val="32"/>
        </w:rPr>
        <w:t>。主要原因是严格执行中央八项规定，厉行节约，从严控制“三公”经费开支。</w:t>
      </w:r>
    </w:p>
    <w:p>
      <w:pPr>
        <w:spacing w:line="600" w:lineRule="exact"/>
        <w:ind w:firstLine="640" w:firstLineChars="200"/>
        <w:rPr>
          <w:rFonts w:ascii="仿宋_GB2312" w:eastAsia="仿宋_GB2312"/>
          <w:b/>
          <w:sz w:val="32"/>
          <w:szCs w:val="32"/>
        </w:rPr>
      </w:pPr>
      <w:r>
        <w:rPr>
          <w:rFonts w:hint="eastAsia" w:ascii="仿宋_GB2312" w:hAnsi="Times New Roman" w:eastAsia="仿宋_GB2312" w:cs="Times New Roman"/>
          <w:kern w:val="2"/>
          <w:sz w:val="32"/>
          <w:szCs w:val="32"/>
          <w:lang w:val="en-US" w:eastAsia="zh-CN" w:bidi="ar-SA"/>
        </w:rPr>
        <w:t>其中：</w:t>
      </w:r>
      <w:r>
        <w:rPr>
          <w:rFonts w:hint="eastAsia" w:ascii="仿宋_GB2312" w:hAnsi="Times New Roman" w:eastAsia="仿宋_GB2312" w:cs="Times New Roman"/>
          <w:b/>
          <w:bCs/>
          <w:kern w:val="2"/>
          <w:sz w:val="32"/>
          <w:szCs w:val="32"/>
          <w:lang w:val="en-US" w:eastAsia="zh-CN" w:bidi="ar-SA"/>
        </w:rPr>
        <w:t>公务用车购置支出</w:t>
      </w:r>
      <w:r>
        <w:rPr>
          <w:rFonts w:hint="eastAsia" w:ascii="仿宋_GB2312" w:hAnsi="Times New Roman" w:eastAsia="仿宋_GB2312" w:cs="Times New Roman"/>
          <w:kern w:val="2"/>
          <w:sz w:val="32"/>
          <w:szCs w:val="32"/>
          <w:lang w:val="en-US" w:eastAsia="zh-CN" w:bidi="ar-SA"/>
        </w:rPr>
        <w:t>0万元。</w:t>
      </w: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4</w:t>
      </w:r>
      <w:r>
        <w:rPr>
          <w:rFonts w:hint="eastAsia" w:ascii="仿宋_GB2312" w:eastAsia="仿宋_GB2312"/>
          <w:sz w:val="32"/>
          <w:szCs w:val="32"/>
        </w:rPr>
        <w:t>辆，其中：</w:t>
      </w:r>
      <w:r>
        <w:rPr>
          <w:rFonts w:hint="eastAsia" w:ascii="仿宋_GB2312" w:eastAsia="仿宋_GB2312"/>
          <w:sz w:val="32"/>
          <w:szCs w:val="32"/>
          <w:lang w:eastAsia="zh-CN"/>
        </w:rPr>
        <w:t>殡葬</w:t>
      </w:r>
      <w:r>
        <w:rPr>
          <w:rFonts w:hint="eastAsia" w:ascii="仿宋_GB2312" w:eastAsia="仿宋_GB2312"/>
          <w:sz w:val="32"/>
          <w:szCs w:val="32"/>
        </w:rPr>
        <w:t>专业技术用车</w:t>
      </w:r>
      <w:r>
        <w:rPr>
          <w:rFonts w:hint="eastAsia" w:ascii="仿宋_GB2312" w:eastAsia="仿宋_GB2312"/>
          <w:sz w:val="32"/>
          <w:szCs w:val="32"/>
          <w:lang w:val="en-US" w:eastAsia="zh-CN"/>
        </w:rPr>
        <w:t>3辆，</w:t>
      </w:r>
      <w:r>
        <w:rPr>
          <w:rFonts w:hint="eastAsia" w:ascii="仿宋_GB2312" w:eastAsia="仿宋_GB2312"/>
          <w:sz w:val="32"/>
          <w:szCs w:val="32"/>
          <w:lang w:eastAsia="zh-CN"/>
        </w:rPr>
        <w:t>越野车</w:t>
      </w:r>
      <w:r>
        <w:rPr>
          <w:rFonts w:hint="eastAsia" w:ascii="仿宋_GB2312" w:eastAsia="仿宋_GB2312"/>
          <w:sz w:val="32"/>
          <w:szCs w:val="32"/>
          <w:lang w:val="en-US" w:eastAsia="zh-CN"/>
        </w:rPr>
        <w:t>1</w:t>
      </w:r>
      <w:r>
        <w:rPr>
          <w:rFonts w:hint="eastAsia" w:ascii="仿宋_GB2312" w:eastAsia="仿宋_GB2312"/>
          <w:sz w:val="32"/>
          <w:szCs w:val="32"/>
        </w:rPr>
        <w:t>辆。</w:t>
      </w:r>
    </w:p>
    <w:p>
      <w:pPr>
        <w:ind w:firstLine="643" w:firstLineChars="200"/>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1.81</w:t>
      </w:r>
      <w:r>
        <w:rPr>
          <w:rFonts w:hint="eastAsia" w:ascii="仿宋_GB2312" w:eastAsia="仿宋_GB2312"/>
          <w:sz w:val="32"/>
          <w:szCs w:val="32"/>
        </w:rPr>
        <w:t>万元。主要用于民政局社会救助、养老、儿童、基层治理、社会事务等民政工作所需的公务用车燃料费、维修费、过路过桥费、保险费等支出。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2.56</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0.14</w:t>
      </w:r>
      <w:r>
        <w:rPr>
          <w:rFonts w:hint="eastAsia" w:ascii="仿宋_GB2312" w:eastAsia="仿宋_GB2312"/>
          <w:sz w:val="32"/>
          <w:szCs w:val="32"/>
        </w:rPr>
        <w:t>万元，下降</w:t>
      </w:r>
      <w:r>
        <w:rPr>
          <w:rFonts w:hint="eastAsia" w:ascii="仿宋_GB2312" w:eastAsia="仿宋_GB2312"/>
          <w:sz w:val="32"/>
          <w:szCs w:val="32"/>
          <w:lang w:val="en-US" w:eastAsia="zh-CN"/>
        </w:rPr>
        <w:t>5.19</w:t>
      </w:r>
      <w:r>
        <w:rPr>
          <w:rFonts w:ascii="仿宋_GB2312" w:eastAsia="仿宋_GB2312"/>
          <w:sz w:val="32"/>
          <w:szCs w:val="32"/>
        </w:rPr>
        <w:t>%</w:t>
      </w:r>
      <w:r>
        <w:rPr>
          <w:rFonts w:hint="eastAsia" w:ascii="仿宋_GB2312" w:eastAsia="仿宋_GB2312"/>
          <w:sz w:val="32"/>
          <w:szCs w:val="32"/>
        </w:rPr>
        <w:t>。主要原因是严格执行中央八项规定，厉行节约，严格压减公务接待。其中：</w:t>
      </w:r>
    </w:p>
    <w:p>
      <w:pPr>
        <w:pStyle w:val="14"/>
        <w:widowControl/>
        <w:shd w:val="clear" w:color="auto" w:fill="FFFFFF"/>
        <w:spacing w:before="0" w:beforeAutospacing="0" w:after="0" w:afterAutospacing="0" w:line="576" w:lineRule="exact"/>
        <w:ind w:firstLine="640" w:firstLineChars="200"/>
        <w:rPr>
          <w:rFonts w:cs="仿宋_GB2312" w:asciiTheme="minorEastAsia" w:hAnsiTheme="minorEastAsia" w:eastAsiaTheme="minorEastAsia"/>
          <w:color w:val="000000"/>
          <w:kern w:val="2"/>
          <w:sz w:val="32"/>
          <w:szCs w:val="32"/>
        </w:rPr>
      </w:pPr>
      <w:r>
        <w:rPr>
          <w:rFonts w:hint="eastAsia" w:ascii="仿宋" w:hAnsi="仿宋" w:eastAsia="仿宋"/>
          <w:b/>
          <w:sz w:val="32"/>
          <w:szCs w:val="32"/>
        </w:rPr>
        <w:t>国内公务接待支出</w:t>
      </w:r>
      <w:r>
        <w:rPr>
          <w:rFonts w:hint="eastAsia" w:ascii="仿宋" w:hAnsi="仿宋" w:eastAsia="仿宋"/>
          <w:b/>
          <w:sz w:val="32"/>
          <w:szCs w:val="32"/>
          <w:lang w:val="en-US" w:eastAsia="zh-CN"/>
        </w:rPr>
        <w:t>2.56</w:t>
      </w:r>
      <w:r>
        <w:rPr>
          <w:rFonts w:hint="eastAsia" w:ascii="仿宋_GB2312" w:eastAsia="仿宋_GB2312"/>
          <w:sz w:val="32"/>
          <w:szCs w:val="32"/>
        </w:rPr>
        <w:t>万元，主要用于执行公务、开展业务活动开支的交通费、住宿费、用餐费等。国内公务接待</w:t>
      </w:r>
      <w:r>
        <w:rPr>
          <w:rFonts w:hint="eastAsia" w:ascii="仿宋_GB2312" w:eastAsia="仿宋_GB2312"/>
          <w:sz w:val="32"/>
          <w:szCs w:val="32"/>
          <w:lang w:val="en-US" w:eastAsia="zh-CN"/>
        </w:rPr>
        <w:t>15</w:t>
      </w:r>
      <w:r>
        <w:rPr>
          <w:rFonts w:hint="eastAsia" w:ascii="仿宋_GB2312" w:eastAsia="仿宋_GB2312"/>
          <w:sz w:val="32"/>
          <w:szCs w:val="32"/>
        </w:rPr>
        <w:t>批次，</w:t>
      </w:r>
      <w:r>
        <w:rPr>
          <w:rFonts w:hint="eastAsia" w:ascii="仿宋_GB2312" w:eastAsia="仿宋_GB2312"/>
          <w:sz w:val="32"/>
          <w:szCs w:val="32"/>
          <w:lang w:val="en-US" w:eastAsia="zh-CN"/>
        </w:rPr>
        <w:t>118</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2.56</w:t>
      </w:r>
      <w:r>
        <w:rPr>
          <w:rFonts w:hint="eastAsia" w:ascii="仿宋_GB2312" w:eastAsia="仿宋_GB2312"/>
          <w:sz w:val="32"/>
          <w:szCs w:val="32"/>
        </w:rPr>
        <w:t>万元，具体内容包括：上级督查督导公务接待支出</w:t>
      </w:r>
      <w:r>
        <w:rPr>
          <w:rFonts w:hint="eastAsia" w:ascii="仿宋_GB2312" w:eastAsia="仿宋_GB2312"/>
          <w:sz w:val="32"/>
          <w:szCs w:val="32"/>
          <w:lang w:val="en-US" w:eastAsia="zh-CN"/>
        </w:rPr>
        <w:t>2.41</w:t>
      </w:r>
      <w:r>
        <w:rPr>
          <w:rFonts w:hint="eastAsia" w:ascii="仿宋_GB2312" w:eastAsia="仿宋_GB2312"/>
          <w:sz w:val="32"/>
          <w:szCs w:val="32"/>
        </w:rPr>
        <w:t>万元、工作检查调研支出</w:t>
      </w:r>
      <w:r>
        <w:rPr>
          <w:rFonts w:hint="eastAsia" w:ascii="仿宋_GB2312" w:eastAsia="仿宋_GB2312"/>
          <w:sz w:val="32"/>
          <w:szCs w:val="32"/>
          <w:lang w:val="en-US" w:eastAsia="zh-CN"/>
        </w:rPr>
        <w:t>0.15</w:t>
      </w:r>
      <w:r>
        <w:rPr>
          <w:rFonts w:hint="eastAsia" w:ascii="仿宋_GB2312" w:eastAsia="仿宋_GB2312"/>
          <w:sz w:val="32"/>
          <w:szCs w:val="32"/>
        </w:rPr>
        <w:t>万元。</w:t>
      </w:r>
    </w:p>
    <w:p>
      <w:pPr>
        <w:spacing w:line="600" w:lineRule="exact"/>
        <w:ind w:firstLine="640"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Fonts w:hint="eastAsia" w:ascii="黑体" w:eastAsia="黑体"/>
          <w:sz w:val="32"/>
          <w:szCs w:val="32"/>
        </w:rPr>
      </w:pPr>
      <w:r>
        <w:rPr>
          <w:rFonts w:hint="eastAsia" w:ascii="黑体" w:eastAsia="黑体"/>
          <w:sz w:val="32"/>
          <w:szCs w:val="32"/>
        </w:rPr>
        <w:t>八、政府性基金预算支出决算情况说明</w:t>
      </w:r>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368.96</w:t>
      </w:r>
      <w:r>
        <w:rPr>
          <w:rFonts w:hint="eastAsia" w:ascii="仿宋_GB2312" w:eastAsia="仿宋_GB2312"/>
          <w:sz w:val="32"/>
          <w:szCs w:val="32"/>
        </w:rPr>
        <w:t>万元。</w:t>
      </w:r>
    </w:p>
    <w:p>
      <w:pPr>
        <w:numPr>
          <w:ilvl w:val="0"/>
          <w:numId w:val="2"/>
        </w:numPr>
        <w:spacing w:line="600" w:lineRule="exact"/>
        <w:ind w:firstLine="640"/>
        <w:outlineLvl w:val="1"/>
        <w:rPr>
          <w:rStyle w:val="29"/>
          <w:rFonts w:hint="eastAsia" w:ascii="黑体" w:hAnsi="黑体" w:eastAsia="黑体"/>
          <w:b w:val="0"/>
        </w:rPr>
      </w:pPr>
      <w:r>
        <w:rPr>
          <w:rStyle w:val="29"/>
          <w:rFonts w:hint="eastAsia" w:ascii="黑体" w:hAnsi="黑体" w:eastAsia="黑体"/>
          <w:b w:val="0"/>
        </w:rPr>
        <w:t>国有资本经营预算支出决算情况说明</w:t>
      </w:r>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29"/>
          <w:rFonts w:hint="eastAsia" w:ascii="黑体" w:hAnsi="黑体" w:eastAsia="黑体"/>
          <w:b w:val="0"/>
        </w:rPr>
      </w:pPr>
      <w:r>
        <w:rPr>
          <w:rStyle w:val="29"/>
          <w:rFonts w:hint="eastAsia" w:ascii="黑体" w:hAnsi="黑体" w:eastAsia="黑体"/>
          <w:b w:val="0"/>
        </w:rPr>
        <w:t>其他重要事项的情况说明</w:t>
      </w:r>
    </w:p>
    <w:p>
      <w:pPr>
        <w:spacing w:line="600" w:lineRule="exact"/>
        <w:ind w:firstLine="640" w:firstLineChars="200"/>
        <w:outlineLvl w:val="2"/>
        <w:rPr>
          <w:rFonts w:hint="eastAsia"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2022年</w:t>
      </w:r>
      <w:r>
        <w:rPr>
          <w:rFonts w:hint="eastAsia" w:ascii="仿宋_GB2312" w:eastAsia="仿宋_GB2312"/>
          <w:sz w:val="32"/>
          <w:szCs w:val="32"/>
        </w:rPr>
        <w:t>，剑阁县民政局机关运行经费支出</w:t>
      </w:r>
      <w:r>
        <w:rPr>
          <w:rFonts w:hint="eastAsia" w:ascii="仿宋_GB2312" w:eastAsia="仿宋_GB2312"/>
          <w:sz w:val="32"/>
          <w:szCs w:val="32"/>
          <w:lang w:val="en-US" w:eastAsia="zh-CN"/>
        </w:rPr>
        <w:t>48.23</w:t>
      </w:r>
      <w:r>
        <w:rPr>
          <w:rFonts w:hint="eastAsia" w:ascii="仿宋_GB2312" w:eastAsia="仿宋_GB2312"/>
          <w:sz w:val="32"/>
          <w:szCs w:val="32"/>
        </w:rPr>
        <w:t>万元，比</w:t>
      </w:r>
      <w:r>
        <w:rPr>
          <w:rFonts w:hint="eastAsia" w:ascii="仿宋_GB2312" w:eastAsia="仿宋_GB2312"/>
          <w:sz w:val="32"/>
          <w:szCs w:val="32"/>
          <w:lang w:eastAsia="zh-CN"/>
        </w:rPr>
        <w:t>2021年</w:t>
      </w:r>
      <w:r>
        <w:rPr>
          <w:rFonts w:hint="eastAsia" w:ascii="仿宋_GB2312" w:eastAsia="仿宋_GB2312"/>
          <w:sz w:val="32"/>
          <w:szCs w:val="32"/>
        </w:rPr>
        <w:t>度减少</w:t>
      </w:r>
      <w:r>
        <w:rPr>
          <w:rFonts w:hint="eastAsia" w:ascii="仿宋_GB2312" w:eastAsia="仿宋_GB2312"/>
          <w:sz w:val="32"/>
          <w:szCs w:val="32"/>
          <w:lang w:val="en-US" w:eastAsia="zh-CN"/>
        </w:rPr>
        <w:t>46.83</w:t>
      </w:r>
      <w:r>
        <w:rPr>
          <w:rFonts w:hint="eastAsia" w:ascii="仿宋_GB2312" w:eastAsia="仿宋_GB2312"/>
          <w:sz w:val="32"/>
          <w:szCs w:val="32"/>
        </w:rPr>
        <w:t>万元，减少</w:t>
      </w:r>
      <w:r>
        <w:rPr>
          <w:rFonts w:hint="eastAsia" w:ascii="仿宋_GB2312" w:eastAsia="仿宋_GB2312"/>
          <w:sz w:val="32"/>
          <w:szCs w:val="32"/>
          <w:lang w:val="en-US" w:eastAsia="zh-CN"/>
        </w:rPr>
        <w:t>49.26</w:t>
      </w:r>
      <w:r>
        <w:rPr>
          <w:rFonts w:hint="eastAsia" w:ascii="仿宋_GB2312" w:eastAsia="仿宋_GB2312"/>
          <w:sz w:val="32"/>
          <w:szCs w:val="32"/>
        </w:rPr>
        <w:t xml:space="preserve"> %。主要原因是严格执行中央八项规定，厉行节约，</w:t>
      </w:r>
      <w:r>
        <w:rPr>
          <w:rFonts w:hint="eastAsia" w:ascii="仿宋_GB2312" w:eastAsia="仿宋_GB2312"/>
          <w:sz w:val="32"/>
          <w:szCs w:val="32"/>
          <w:lang w:eastAsia="zh-CN"/>
        </w:rPr>
        <w:t>严格</w:t>
      </w:r>
      <w:r>
        <w:rPr>
          <w:rFonts w:hint="eastAsia" w:ascii="仿宋_GB2312" w:eastAsia="仿宋_GB2312"/>
          <w:sz w:val="32"/>
          <w:szCs w:val="32"/>
        </w:rPr>
        <w:t>压减公务费用支出。</w:t>
      </w:r>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剑阁县民政局</w:t>
      </w:r>
      <w:r>
        <w:rPr>
          <w:rFonts w:hint="eastAsia" w:ascii="仿宋_GB2312" w:eastAsia="仿宋_GB2312"/>
          <w:sz w:val="32"/>
          <w:szCs w:val="32"/>
        </w:rPr>
        <w:t>政府采购支出总额</w:t>
      </w:r>
      <w:r>
        <w:rPr>
          <w:rFonts w:hint="eastAsia" w:ascii="仿宋_GB2312" w:eastAsia="仿宋_GB2312"/>
          <w:sz w:val="32"/>
          <w:szCs w:val="32"/>
          <w:lang w:val="en-US" w:eastAsia="zh-CN"/>
        </w:rPr>
        <w:t>202.65</w:t>
      </w:r>
      <w:r>
        <w:rPr>
          <w:rFonts w:hint="eastAsia" w:ascii="仿宋_GB2312" w:eastAsia="仿宋_GB2312"/>
          <w:sz w:val="32"/>
          <w:szCs w:val="32"/>
        </w:rPr>
        <w:t>万元，</w:t>
      </w:r>
      <w:r>
        <w:rPr>
          <w:rFonts w:hint="eastAsia" w:ascii="仿宋_GB2312" w:eastAsia="仿宋_GB2312"/>
          <w:sz w:val="32"/>
          <w:szCs w:val="32"/>
          <w:lang w:eastAsia="zh-CN"/>
        </w:rPr>
        <w:t>其中：政府采购货物支出</w:t>
      </w:r>
      <w:r>
        <w:rPr>
          <w:rFonts w:hint="eastAsia" w:ascii="仿宋_GB2312" w:eastAsia="仿宋_GB2312"/>
          <w:sz w:val="32"/>
          <w:szCs w:val="32"/>
          <w:lang w:val="en-US" w:eastAsia="zh-CN"/>
        </w:rPr>
        <w:t>202.65</w:t>
      </w:r>
      <w:r>
        <w:rPr>
          <w:rFonts w:hint="eastAsia" w:ascii="仿宋_GB2312" w:eastAsia="仿宋_GB2312"/>
          <w:sz w:val="32"/>
          <w:szCs w:val="32"/>
          <w:lang w:eastAsia="zh-CN"/>
        </w:rPr>
        <w:t>万元。主要用于居家养老服务。授予中小企业合同金额</w:t>
      </w:r>
      <w:r>
        <w:rPr>
          <w:rFonts w:hint="eastAsia" w:ascii="仿宋_GB2312" w:eastAsia="仿宋_GB2312"/>
          <w:sz w:val="32"/>
          <w:szCs w:val="32"/>
          <w:lang w:val="en-US" w:eastAsia="zh-CN"/>
        </w:rPr>
        <w:t>202.65</w:t>
      </w:r>
      <w:r>
        <w:rPr>
          <w:rFonts w:hint="eastAsia" w:ascii="仿宋_GB2312" w:eastAsia="仿宋_GB2312"/>
          <w:sz w:val="32"/>
          <w:szCs w:val="32"/>
          <w:lang w:eastAsia="zh-CN"/>
        </w:rPr>
        <w:t>万元，占政府采购支出总额的</w:t>
      </w:r>
      <w:r>
        <w:rPr>
          <w:rFonts w:hint="eastAsia" w:ascii="仿宋_GB2312" w:eastAsia="仿宋_GB2312"/>
          <w:sz w:val="32"/>
          <w:szCs w:val="32"/>
          <w:lang w:val="en-US" w:eastAsia="zh-CN"/>
        </w:rPr>
        <w:t>100</w:t>
      </w:r>
      <w:r>
        <w:rPr>
          <w:rFonts w:hint="eastAsia" w:ascii="仿宋_GB2312" w:eastAsia="仿宋_GB2312"/>
          <w:sz w:val="32"/>
          <w:szCs w:val="32"/>
          <w:lang w:eastAsia="zh-CN"/>
        </w:rPr>
        <w:t>%，其中：授予小微企业合同金额</w:t>
      </w:r>
      <w:r>
        <w:rPr>
          <w:rFonts w:hint="eastAsia" w:ascii="仿宋_GB2312" w:eastAsia="仿宋_GB2312"/>
          <w:sz w:val="32"/>
          <w:szCs w:val="32"/>
          <w:lang w:val="en-US" w:eastAsia="zh-CN"/>
        </w:rPr>
        <w:t>202.65</w:t>
      </w:r>
      <w:r>
        <w:rPr>
          <w:rFonts w:hint="eastAsia" w:ascii="仿宋_GB2312" w:eastAsia="仿宋_GB2312"/>
          <w:sz w:val="32"/>
          <w:szCs w:val="32"/>
          <w:lang w:eastAsia="zh-CN"/>
        </w:rPr>
        <w:t>万元，占政</w:t>
      </w:r>
      <w:r>
        <w:rPr>
          <w:rFonts w:hint="eastAsia" w:ascii="仿宋_GB2312" w:eastAsia="仿宋_GB2312"/>
          <w:sz w:val="32"/>
          <w:szCs w:val="32"/>
        </w:rPr>
        <w:t>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0" w:firstLineChars="200"/>
        <w:jc w:val="left"/>
        <w:outlineLvl w:val="2"/>
        <w:rPr>
          <w:rFonts w:hint="eastAsia" w:ascii="仿宋" w:hAnsi="仿宋" w:eastAsia="仿宋"/>
          <w:b/>
          <w:sz w:val="32"/>
          <w:szCs w:val="32"/>
        </w:rPr>
      </w:pPr>
      <w:r>
        <w:rPr>
          <w:rFonts w:hint="eastAsia" w:ascii="仿宋" w:hAnsi="仿宋" w:eastAsia="仿宋"/>
          <w:b/>
          <w:sz w:val="32"/>
          <w:szCs w:val="32"/>
        </w:rPr>
        <w:t>（三）国有资产占有使用情况</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截至</w:t>
      </w:r>
      <w:r>
        <w:rPr>
          <w:rFonts w:hint="eastAsia" w:ascii="仿宋_GB2312" w:eastAsia="仿宋_GB2312"/>
          <w:sz w:val="32"/>
          <w:szCs w:val="32"/>
          <w:lang w:eastAsia="zh-CN"/>
        </w:rPr>
        <w:t>2022年</w:t>
      </w:r>
      <w:r>
        <w:rPr>
          <w:rFonts w:hint="eastAsia" w:ascii="仿宋_GB2312" w:eastAsia="仿宋_GB2312"/>
          <w:sz w:val="32"/>
          <w:szCs w:val="32"/>
        </w:rPr>
        <w:t>12月31日，剑阁县民政局</w:t>
      </w:r>
      <w:r>
        <w:rPr>
          <w:rFonts w:hint="eastAsia" w:ascii="仿宋_GB2312" w:eastAsia="仿宋_GB2312"/>
          <w:sz w:val="32"/>
          <w:szCs w:val="32"/>
          <w:lang w:eastAsia="zh-CN"/>
        </w:rPr>
        <w:t>机关</w:t>
      </w:r>
      <w:r>
        <w:rPr>
          <w:rFonts w:hint="eastAsia" w:ascii="仿宋_GB2312" w:eastAsia="仿宋_GB2312"/>
          <w:sz w:val="32"/>
          <w:szCs w:val="32"/>
        </w:rPr>
        <w:t>共有车</w:t>
      </w:r>
      <w:r>
        <w:rPr>
          <w:rFonts w:hint="eastAsia" w:ascii="仿宋_GB2312" w:eastAsia="仿宋_GB2312"/>
          <w:color w:val="000000" w:themeColor="text1"/>
          <w:sz w:val="32"/>
          <w:szCs w:val="32"/>
          <w14:textFill>
            <w14:solidFill>
              <w14:schemeClr w14:val="tx1"/>
            </w14:solidFill>
          </w14:textFill>
        </w:rPr>
        <w:t>辆</w:t>
      </w: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辆</w:t>
      </w:r>
      <w:r>
        <w:rPr>
          <w:rFonts w:hint="eastAsia" w:ascii="仿宋_GB2312" w:eastAsia="仿宋_GB2312"/>
          <w:sz w:val="32"/>
          <w:szCs w:val="32"/>
        </w:rPr>
        <w:t>，其中：</w:t>
      </w:r>
      <w:r>
        <w:rPr>
          <w:rFonts w:hint="eastAsia" w:ascii="仿宋_GB2312" w:eastAsia="仿宋_GB2312"/>
          <w:sz w:val="32"/>
          <w:szCs w:val="32"/>
          <w:lang w:eastAsia="zh-CN"/>
        </w:rPr>
        <w:t>殡葬</w:t>
      </w:r>
      <w:r>
        <w:rPr>
          <w:rFonts w:hint="eastAsia" w:ascii="仿宋_GB2312" w:eastAsia="仿宋_GB2312"/>
          <w:sz w:val="32"/>
          <w:szCs w:val="32"/>
        </w:rPr>
        <w:t>专业技术用车</w:t>
      </w:r>
      <w:r>
        <w:rPr>
          <w:rFonts w:hint="eastAsia" w:ascii="仿宋_GB2312" w:eastAsia="仿宋_GB2312"/>
          <w:sz w:val="32"/>
          <w:szCs w:val="32"/>
          <w:lang w:val="en-US" w:eastAsia="zh-CN"/>
        </w:rPr>
        <w:t>3辆，</w:t>
      </w:r>
      <w:r>
        <w:rPr>
          <w:rFonts w:hint="eastAsia" w:ascii="仿宋_GB2312" w:eastAsia="仿宋_GB2312"/>
          <w:sz w:val="32"/>
          <w:szCs w:val="32"/>
          <w:lang w:eastAsia="zh-CN"/>
        </w:rPr>
        <w:t>越野车</w:t>
      </w:r>
      <w:r>
        <w:rPr>
          <w:rFonts w:hint="eastAsia" w:ascii="仿宋_GB2312" w:eastAsia="仿宋_GB2312"/>
          <w:sz w:val="32"/>
          <w:szCs w:val="32"/>
          <w:lang w:val="en-US" w:eastAsia="zh-CN"/>
        </w:rPr>
        <w:t>1</w:t>
      </w:r>
      <w:r>
        <w:rPr>
          <w:rFonts w:hint="eastAsia" w:ascii="仿宋_GB2312" w:eastAsia="仿宋_GB2312"/>
          <w:sz w:val="32"/>
          <w:szCs w:val="32"/>
        </w:rPr>
        <w:t>辆。主要用于民政社会救助、养老、儿童、基层治理、社会事务、殡葬等</w:t>
      </w:r>
      <w:r>
        <w:rPr>
          <w:rFonts w:hint="eastAsia" w:ascii="仿宋_GB2312" w:eastAsia="仿宋_GB2312"/>
          <w:sz w:val="32"/>
          <w:szCs w:val="32"/>
          <w:lang w:eastAsia="zh-CN"/>
        </w:rPr>
        <w:t>工作开展</w:t>
      </w:r>
      <w:r>
        <w:rPr>
          <w:rFonts w:hint="eastAsia" w:ascii="仿宋_GB2312" w:eastAsia="仿宋_GB2312"/>
          <w:sz w:val="32"/>
          <w:szCs w:val="32"/>
        </w:rPr>
        <w:t>。单价100万元以上专用设备</w:t>
      </w:r>
      <w:r>
        <w:rPr>
          <w:rFonts w:hint="eastAsia" w:ascii="仿宋_GB2312" w:eastAsia="仿宋_GB2312"/>
          <w:sz w:val="32"/>
          <w:szCs w:val="32"/>
          <w:lang w:val="en-US" w:eastAsia="zh-CN"/>
        </w:rPr>
        <w:t>0</w:t>
      </w:r>
      <w:r>
        <w:rPr>
          <w:rFonts w:hint="eastAsia" w:ascii="仿宋_GB2312" w:eastAsia="仿宋_GB2312"/>
          <w:sz w:val="32"/>
          <w:szCs w:val="32"/>
        </w:rPr>
        <w:t>台。</w:t>
      </w:r>
    </w:p>
    <w:p>
      <w:pPr>
        <w:autoSpaceDE w:val="0"/>
        <w:autoSpaceDN w:val="0"/>
        <w:adjustRightInd w:val="0"/>
        <w:spacing w:line="600" w:lineRule="exact"/>
        <w:ind w:firstLine="640" w:firstLineChars="200"/>
        <w:jc w:val="left"/>
        <w:outlineLvl w:val="2"/>
        <w:rPr>
          <w:rFonts w:hint="eastAsia" w:ascii="仿宋" w:hAnsi="仿宋" w:eastAsia="仿宋"/>
          <w:b/>
          <w:sz w:val="32"/>
          <w:szCs w:val="32"/>
        </w:rPr>
      </w:pPr>
      <w:r>
        <w:rPr>
          <w:rFonts w:hint="eastAsia" w:ascii="仿宋" w:hAnsi="仿宋" w:eastAsia="仿宋"/>
          <w:b/>
          <w:sz w:val="32"/>
          <w:szCs w:val="32"/>
        </w:rPr>
        <w:t>（四）预算绩效管理情况</w:t>
      </w:r>
    </w:p>
    <w:p>
      <w:pPr>
        <w:pStyle w:val="14"/>
        <w:widowControl/>
        <w:shd w:val="clear" w:color="auto" w:fill="FFFFFF"/>
        <w:spacing w:before="0" w:beforeAutospacing="0" w:after="0" w:afterAutospacing="0" w:line="576" w:lineRule="exact"/>
        <w:ind w:firstLine="640" w:firstLineChars="200"/>
        <w:rPr>
          <w:rFonts w:hint="eastAsia" w:cs="仿宋_GB2312" w:asciiTheme="minorEastAsia" w:hAnsiTheme="minorEastAsia" w:eastAsiaTheme="minorEastAsia"/>
          <w:color w:val="000000"/>
          <w:kern w:val="2"/>
          <w:sz w:val="32"/>
          <w:szCs w:val="32"/>
        </w:rPr>
      </w:pPr>
      <w:r>
        <w:rPr>
          <w:rFonts w:hint="eastAsia" w:ascii="仿宋_GB2312" w:hAnsi="仿宋_GB2312" w:eastAsia="仿宋_GB2312" w:cs="仿宋_GB2312"/>
          <w:kern w:val="0"/>
          <w:sz w:val="32"/>
          <w:szCs w:val="32"/>
          <w:lang w:val="en-US" w:eastAsia="zh-CN" w:bidi="ar-SA"/>
        </w:rPr>
        <w:t>根据预算绩效管理要求，本单位在年初预算编制阶段，组织对3个项目开展预算事前绩效评估，对3个项目编制了绩效目标，预算执行过程中，选取3个项目开展绩效监控，组织对3个项目开展绩效自评，</w:t>
      </w:r>
      <w:r>
        <w:rPr>
          <w:rFonts w:hint="eastAsia" w:ascii="仿宋_GB2312" w:hAnsi="Times New Roman" w:eastAsia="仿宋_GB2312" w:cs="Times New Roman"/>
          <w:sz w:val="32"/>
          <w:szCs w:val="32"/>
        </w:rPr>
        <w:t>同时，</w:t>
      </w:r>
      <w:r>
        <w:rPr>
          <w:rFonts w:hint="eastAsia" w:ascii="仿宋_GB2312" w:hAnsi="Times New Roman" w:eastAsia="仿宋_GB2312" w:cs="Times New Roman"/>
          <w:sz w:val="32"/>
          <w:szCs w:val="32"/>
          <w:lang w:eastAsia="zh-CN"/>
        </w:rPr>
        <w:t>单位</w:t>
      </w:r>
      <w:r>
        <w:rPr>
          <w:rFonts w:hint="eastAsia" w:ascii="仿宋_GB2312" w:hAnsi="Times New Roman" w:eastAsia="仿宋_GB2312" w:cs="Times New Roman"/>
          <w:sz w:val="32"/>
          <w:szCs w:val="32"/>
        </w:rPr>
        <w:t>对202</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eastAsia="zh-CN"/>
        </w:rPr>
        <w:t>单位</w:t>
      </w:r>
      <w:r>
        <w:rPr>
          <w:rFonts w:hint="eastAsia" w:ascii="仿宋_GB2312" w:hAnsi="Times New Roman" w:eastAsia="仿宋_GB2312" w:cs="Times New Roman"/>
          <w:sz w:val="32"/>
          <w:szCs w:val="32"/>
        </w:rPr>
        <w:t>整体开展绩效自评，《202</w:t>
      </w:r>
      <w:r>
        <w:rPr>
          <w:rFonts w:hint="eastAsia" w:ascii="仿宋_GB2312" w:eastAsia="仿宋_GB2312" w:cs="Times New Roman"/>
          <w:sz w:val="32"/>
          <w:szCs w:val="32"/>
          <w:lang w:val="en-US" w:eastAsia="zh-CN"/>
        </w:rPr>
        <w:t>2</w:t>
      </w:r>
      <w:r>
        <w:rPr>
          <w:rFonts w:hint="eastAsia" w:ascii="仿宋_GB2312" w:hAnsi="Times New Roman" w:eastAsia="仿宋_GB2312" w:cs="Times New Roman"/>
          <w:sz w:val="32"/>
          <w:szCs w:val="32"/>
        </w:rPr>
        <w:t>年剑阁县</w:t>
      </w:r>
      <w:r>
        <w:rPr>
          <w:rFonts w:hint="eastAsia" w:ascii="仿宋_GB2312" w:hAnsi="Times New Roman" w:eastAsia="仿宋_GB2312" w:cs="Times New Roman"/>
          <w:sz w:val="32"/>
          <w:szCs w:val="32"/>
          <w:lang w:eastAsia="zh-CN"/>
        </w:rPr>
        <w:t>民政局单位</w:t>
      </w:r>
      <w:r>
        <w:rPr>
          <w:rFonts w:hint="eastAsia" w:ascii="仿宋_GB2312" w:hAnsi="Times New Roman" w:eastAsia="仿宋_GB2312" w:cs="Times New Roman"/>
          <w:sz w:val="32"/>
          <w:szCs w:val="32"/>
        </w:rPr>
        <w:t>整体</w:t>
      </w:r>
      <w:r>
        <w:rPr>
          <w:rFonts w:hint="eastAsia" w:ascii="仿宋_GB2312" w:hAnsi="Times New Roman" w:eastAsia="仿宋_GB2312" w:cs="Times New Roman"/>
          <w:sz w:val="32"/>
          <w:szCs w:val="32"/>
          <w:lang w:eastAsia="zh-CN"/>
        </w:rPr>
        <w:t>支出</w:t>
      </w:r>
      <w:r>
        <w:rPr>
          <w:rFonts w:hint="eastAsia" w:ascii="仿宋_GB2312" w:hAnsi="Times New Roman" w:eastAsia="仿宋_GB2312" w:cs="Times New Roman"/>
          <w:sz w:val="32"/>
          <w:szCs w:val="32"/>
        </w:rPr>
        <w:t>绩效评价报告》见附件（第四部分）。</w:t>
      </w:r>
    </w:p>
    <w:p>
      <w:pPr>
        <w:spacing w:line="576" w:lineRule="exact"/>
        <w:jc w:val="center"/>
        <w:rPr>
          <w:rFonts w:cs="黑体" w:asciiTheme="minorEastAsia" w:hAnsiTheme="minorEastAsia" w:eastAsiaTheme="minorEastAsia"/>
          <w:b/>
          <w:bCs/>
          <w:color w:val="00B0F0"/>
          <w:sz w:val="44"/>
          <w:szCs w:val="44"/>
        </w:rPr>
      </w:pPr>
    </w:p>
    <w:p>
      <w:pPr>
        <w:spacing w:line="576" w:lineRule="exact"/>
        <w:jc w:val="center"/>
        <w:rPr>
          <w:rFonts w:hint="eastAsia" w:cs="黑体" w:asciiTheme="minorEastAsia" w:hAnsiTheme="minorEastAsia" w:eastAsiaTheme="minorEastAsia"/>
          <w:b/>
          <w:bCs/>
          <w:color w:val="000000"/>
          <w:sz w:val="44"/>
          <w:szCs w:val="44"/>
        </w:rPr>
      </w:pPr>
    </w:p>
    <w:p>
      <w:pPr>
        <w:spacing w:line="576" w:lineRule="exact"/>
        <w:jc w:val="center"/>
        <w:rPr>
          <w:rFonts w:hint="eastAsia" w:cs="黑体" w:asciiTheme="minorEastAsia" w:hAnsiTheme="minorEastAsia" w:eastAsiaTheme="minorEastAsia"/>
          <w:b/>
          <w:bCs/>
          <w:color w:val="000000"/>
          <w:sz w:val="44"/>
          <w:szCs w:val="44"/>
        </w:rPr>
      </w:pPr>
    </w:p>
    <w:p>
      <w:pPr>
        <w:spacing w:line="576" w:lineRule="exact"/>
        <w:jc w:val="center"/>
        <w:rPr>
          <w:rFonts w:hint="eastAsia" w:cs="黑体" w:asciiTheme="minorEastAsia" w:hAnsiTheme="minorEastAsia" w:eastAsiaTheme="minorEastAsia"/>
          <w:b/>
          <w:bCs/>
          <w:color w:val="000000"/>
          <w:sz w:val="44"/>
          <w:szCs w:val="44"/>
        </w:rPr>
      </w:pPr>
    </w:p>
    <w:p>
      <w:pPr>
        <w:spacing w:line="576" w:lineRule="exact"/>
        <w:jc w:val="center"/>
        <w:rPr>
          <w:rFonts w:hint="eastAsia" w:cs="黑体" w:asciiTheme="minorEastAsia" w:hAnsiTheme="minorEastAsia" w:eastAsiaTheme="minorEastAsia"/>
          <w:b/>
          <w:bCs/>
          <w:color w:val="000000"/>
          <w:sz w:val="44"/>
          <w:szCs w:val="44"/>
        </w:rPr>
      </w:pPr>
    </w:p>
    <w:p>
      <w:pPr>
        <w:pStyle w:val="2"/>
        <w:rPr>
          <w:rFonts w:hint="eastAsia" w:cs="黑体" w:asciiTheme="minorEastAsia" w:hAnsiTheme="minorEastAsia" w:eastAsiaTheme="minorEastAsia"/>
          <w:b/>
          <w:bCs/>
          <w:color w:val="000000"/>
          <w:sz w:val="44"/>
          <w:szCs w:val="44"/>
        </w:rPr>
      </w:pPr>
    </w:p>
    <w:p>
      <w:pPr>
        <w:pStyle w:val="2"/>
        <w:rPr>
          <w:rFonts w:hint="eastAsia" w:cs="黑体" w:asciiTheme="minorEastAsia" w:hAnsiTheme="minorEastAsia" w:eastAsiaTheme="minorEastAsia"/>
          <w:b/>
          <w:bCs/>
          <w:color w:val="000000"/>
          <w:sz w:val="44"/>
          <w:szCs w:val="44"/>
        </w:rPr>
      </w:pPr>
    </w:p>
    <w:p>
      <w:pPr>
        <w:spacing w:line="576" w:lineRule="exact"/>
        <w:jc w:val="center"/>
        <w:rPr>
          <w:rFonts w:cs="黑体" w:asciiTheme="minorEastAsia" w:hAnsiTheme="minorEastAsia" w:eastAsiaTheme="minorEastAsia"/>
          <w:b/>
          <w:bCs/>
          <w:color w:val="000000"/>
          <w:sz w:val="44"/>
          <w:szCs w:val="44"/>
        </w:rPr>
      </w:pPr>
      <w:r>
        <w:rPr>
          <w:rFonts w:hint="eastAsia" w:cs="黑体" w:asciiTheme="minorEastAsia" w:hAnsiTheme="minorEastAsia" w:eastAsiaTheme="minorEastAsia"/>
          <w:b/>
          <w:bCs/>
          <w:color w:val="000000"/>
          <w:sz w:val="44"/>
          <w:szCs w:val="44"/>
        </w:rPr>
        <w:t>第三部分  名词解释</w:t>
      </w:r>
    </w:p>
    <w:p>
      <w:pPr>
        <w:spacing w:line="576" w:lineRule="exact"/>
        <w:ind w:firstLine="640"/>
        <w:rPr>
          <w:rFonts w:cs="仿宋_GB2312" w:asciiTheme="minorEastAsia" w:hAnsiTheme="minorEastAsia" w:eastAsiaTheme="minorEastAsia"/>
          <w:color w:val="000000"/>
          <w:sz w:val="32"/>
          <w:szCs w:val="32"/>
        </w:rPr>
      </w:pP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1、一般公共预算拨款收入：指县级财政当年拨付的资金。</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2、上年结转：指以前年度尚未完成，结转到本年仍按原规定用途继续使用的资金。</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3、事业收入：指事业单位开展专业业务活动及辅助活动取得的收入。</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4、经营收入：指事业单位在专业业务活动及其辅助活动之外开展非独立核算经营活动取得的收入。</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5、其他收入：指单位取得的除上述收入以外的各项收入。包括未纳入财政预算或财政专户管理的投资收益、银行存款利息收入、租金收入、捐赠收入、现金盘盈收入、存货盘盈收入、收回已核销应收及预付款项、无法偿付的预付及预收款项等。</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6、结余分配：指事业单位按照事业单位会计制度的规定从非财政补助结余中分配的事业基金和职工福利基金等。</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7、年末结转和结余：指单位按有关规定结转到下年或以后年度继续使用的资金。</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8、社会保障和就业（类）民政管理事务（款）行政运行（项）：反映行政单位（包括实行公务员管理的单位）的基本支出。具体有人员工资、绩效、办公费、接待费、车辆运行、遗属补助、工伤、福利费、工会经费等。</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9.社会保障和就业（类）民政管理事务（款）一般行政管理事务（项）:反映行政单位（包括实行公务员管理的单位）未单独设置项级科目的其他项目支出。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10.社会保障和就业（类）民政管理事务（款）行政区划和地名管理（项）:反映行政区划界限勘定、维护，以及行政区划和地名管理支出。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11.社会保障和就业（类）民政管理事务（款）其他民政管理事务支出（项）:反映民政部门接待来访、法治建设、政策宣传方面的支出，以及开展社会救助、社会福利、养老服务、社会事务、信息化建设等方面的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12.社会保障和就业（类）行政事业单位养老支出（款）机关事业单位基本养老保险缴费支出（项）：指机关事业单位实施养老保险制度由单位缴纳的基本养老保险费支出。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13.社会保障和就业（类）社会福利（款）儿童福利（项）:反映对儿童提供福利服务方面的支出。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14.社会保障和就业（类）社会福利（款）老年福利（项）:</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反映对老年人提供福利服务方面的支出，包括为经济困难的高龄、失能等老年人提供基本养老服务保障的资金补助等支出。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15.社会保障和就业（类）社会福利（款）殡葬（项）:反映殡葬管理和殡葬服务方面的支出，包括民政部门直属的殡仪馆、公墓、殡葬管理服务机构的支出。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16.社会保障和就业（类）社会福利（款）社会福利事业单位（项）:反映民政部门举办的社会福利事业单位的支出，以及对集体社会福利事业单位的补助费。</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17.社会保障和就业（类）社会福利（款）养老服务（项）:反映财政在养老服务方面的补助支出，包括支持养老服务机构提供居家社区养老服务的支出，对养老服务机构的运营、建设补助支出等，不包括对社会福利事业单位的补助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18.社会保障和就业（类）残疾人事业（款）残疾人生活和护理补贴（项）:反映困难残疾人生活补贴和重度残疾人护理补贴支出。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19.社会保障和就业（类）最低生活保障（款）城市最低生活保障金支出（项）:反映城市最低生活保障对象的最低生活保障金支出。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20.社会保障和就业（类）最低生活保障（款）农村最低生活保障金支出（项）:反映农村最低生活保障对象的最低生活保障金支出。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21.社会保障和就业（类）临时救助（款）临时救助支出（项）:反映用于城乡生活困难居民的临时救助支出。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22.社会保障和就业（类）临时救助（款）流浪乞讨人员救助支出（项）:反映用于生活无着的流浪乞讨人员的救助支出和救助管理机构的运转支出。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23.社会保障和就业（类）特困人员救助供养（款）城市特困人员救助供养支出（项）:反映城市特困人员救助供养支出。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24.社会保障和就业（类）特困人员救助供养（款）农村特困人员救助供养支出（项）:反映农村特困人员救助供养支出。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25.社会保障和就业（类）其他生活救助（款）其他农村生活救助（项）:反映除最低生活保障、临时救助、特困人员供养、自然灾害生活救助外，用于农村生活困难居民生活救助的其他支出。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26.社会保障和就业（类）其他社会保障和就业支出（款）其他社会保障和就业支出（项）:反映政府在社会保障与就业方面的支出。具体包括社会保障和就业管理事务、民政管理事务、财政对社会保险基金的补助、补充全国社会保障基金等的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27.卫生健康（类）行政事业单位医疗（款）行政单位医疗（项）：指局机关及参公管理事业单位用于缴纳单位基本医疗保险支出。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28.住房保障（类）住房改革支出（款）住房公积金（项）：指按照《住房公积金管理条例》的规定，由单位及其在职职工缴存的长期住房储金。</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xml:space="preserve">    29.项目支出：指在基本支出之外为完成特定行政任务和事业发展目标所发生的支出。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30.经营支出：指事业单位在专业业务活动及其辅助活动之外开展非独立核算经营活动发生的支出。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31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32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hint="eastAsia" w:ascii="仿宋_GB2312" w:hAnsi="Calibri" w:eastAsia="仿宋_GB2312" w:cs="仿宋"/>
          <w:color w:val="auto"/>
          <w:kern w:val="0"/>
          <w:sz w:val="32"/>
          <w:szCs w:val="32"/>
          <w:lang w:val="en-US" w:eastAsia="zh-CN" w:bidi="ar-SA"/>
        </w:rPr>
      </w:pPr>
    </w:p>
    <w:p>
      <w:pPr>
        <w:numPr>
          <w:ilvl w:val="0"/>
          <w:numId w:val="0"/>
        </w:numPr>
        <w:spacing w:line="576" w:lineRule="exact"/>
        <w:jc w:val="both"/>
        <w:rPr>
          <w:rFonts w:hint="eastAsia" w:ascii="黑体" w:hAnsi="黑体" w:eastAsia="黑体"/>
          <w:sz w:val="44"/>
          <w:szCs w:val="44"/>
        </w:rPr>
      </w:pPr>
    </w:p>
    <w:p>
      <w:pPr>
        <w:numPr>
          <w:ilvl w:val="0"/>
          <w:numId w:val="0"/>
        </w:numPr>
        <w:spacing w:line="576" w:lineRule="exact"/>
        <w:jc w:val="center"/>
        <w:rPr>
          <w:rFonts w:hint="eastAsia" w:ascii="黑体" w:hAnsi="黑体" w:eastAsia="黑体"/>
          <w:sz w:val="44"/>
          <w:szCs w:val="44"/>
        </w:rPr>
      </w:pPr>
    </w:p>
    <w:p>
      <w:pPr>
        <w:numPr>
          <w:ilvl w:val="0"/>
          <w:numId w:val="0"/>
        </w:numPr>
        <w:spacing w:line="576" w:lineRule="exact"/>
        <w:jc w:val="center"/>
        <w:rPr>
          <w:rFonts w:hint="eastAsia" w:ascii="黑体" w:hAnsi="黑体" w:eastAsia="黑体"/>
          <w:sz w:val="44"/>
          <w:szCs w:val="44"/>
        </w:rPr>
      </w:pPr>
    </w:p>
    <w:p>
      <w:pPr>
        <w:numPr>
          <w:ilvl w:val="0"/>
          <w:numId w:val="0"/>
        </w:numPr>
        <w:spacing w:line="576" w:lineRule="exact"/>
        <w:jc w:val="center"/>
        <w:rPr>
          <w:rFonts w:hint="eastAsia" w:ascii="黑体" w:hAnsi="黑体" w:eastAsia="黑体"/>
          <w:sz w:val="44"/>
          <w:szCs w:val="44"/>
        </w:rPr>
      </w:pPr>
    </w:p>
    <w:p>
      <w:pPr>
        <w:numPr>
          <w:ilvl w:val="0"/>
          <w:numId w:val="0"/>
        </w:numPr>
        <w:spacing w:line="576" w:lineRule="exact"/>
        <w:jc w:val="center"/>
        <w:rPr>
          <w:rFonts w:hint="eastAsia" w:ascii="黑体" w:hAnsi="黑体" w:eastAsia="黑体"/>
          <w:sz w:val="44"/>
          <w:szCs w:val="44"/>
        </w:rPr>
      </w:pPr>
    </w:p>
    <w:p>
      <w:pPr>
        <w:numPr>
          <w:ilvl w:val="0"/>
          <w:numId w:val="0"/>
        </w:numPr>
        <w:spacing w:line="576" w:lineRule="exact"/>
        <w:jc w:val="center"/>
        <w:rPr>
          <w:rStyle w:val="28"/>
          <w:rFonts w:ascii="黑体" w:hAnsi="黑体" w:eastAsia="黑体"/>
          <w:b w:val="0"/>
        </w:rPr>
      </w:pPr>
      <w:r>
        <w:rPr>
          <w:rFonts w:hint="eastAsia" w:ascii="黑体" w:hAnsi="黑体" w:eastAsia="黑体"/>
          <w:sz w:val="44"/>
          <w:szCs w:val="44"/>
        </w:rPr>
        <w:t>第</w:t>
      </w:r>
      <w:r>
        <w:rPr>
          <w:rStyle w:val="28"/>
          <w:rFonts w:hint="eastAsia" w:ascii="黑体" w:hAnsi="黑体" w:eastAsia="黑体"/>
          <w:b w:val="0"/>
        </w:rPr>
        <w:t>四部分 附件</w:t>
      </w:r>
    </w:p>
    <w:p>
      <w:pPr>
        <w:spacing w:line="572" w:lineRule="exact"/>
        <w:jc w:val="left"/>
        <w:outlineLvl w:val="0"/>
        <w:rPr>
          <w:rFonts w:ascii="仿宋_GB2312" w:hAnsi="仿宋_GB2312" w:eastAsia="仿宋_GB2312" w:cs="仿宋_GB2312"/>
          <w:sz w:val="32"/>
          <w:szCs w:val="32"/>
        </w:rPr>
      </w:pPr>
    </w:p>
    <w:p>
      <w:pPr>
        <w:numPr>
          <w:ilvl w:val="0"/>
          <w:numId w:val="0"/>
        </w:numPr>
        <w:spacing w:line="576" w:lineRule="exact"/>
        <w:jc w:val="center"/>
        <w:rPr>
          <w:rFonts w:hint="eastAsia" w:ascii="黑体" w:hAnsi="黑体" w:eastAsia="黑体" w:cs="Times New Roman"/>
          <w:sz w:val="44"/>
          <w:szCs w:val="44"/>
          <w:lang w:eastAsia="zh-CN"/>
        </w:rPr>
      </w:pPr>
      <w:r>
        <w:rPr>
          <w:rFonts w:hint="eastAsia" w:ascii="黑体" w:hAnsi="黑体" w:eastAsia="黑体" w:cs="Times New Roman"/>
          <w:sz w:val="44"/>
          <w:szCs w:val="44"/>
        </w:rPr>
        <w:t>剑阁县</w:t>
      </w:r>
      <w:r>
        <w:rPr>
          <w:rFonts w:hint="eastAsia" w:ascii="黑体" w:hAnsi="黑体" w:eastAsia="黑体" w:cs="Times New Roman"/>
          <w:sz w:val="44"/>
          <w:szCs w:val="44"/>
          <w:lang w:eastAsia="zh-CN"/>
        </w:rPr>
        <w:t>民政局</w:t>
      </w:r>
    </w:p>
    <w:p>
      <w:pPr>
        <w:numPr>
          <w:ilvl w:val="0"/>
          <w:numId w:val="0"/>
        </w:numPr>
        <w:spacing w:line="576" w:lineRule="exact"/>
        <w:jc w:val="center"/>
        <w:rPr>
          <w:rFonts w:hint="eastAsia" w:ascii="黑体" w:hAnsi="黑体" w:eastAsia="黑体" w:cs="Times New Roman"/>
          <w:sz w:val="44"/>
          <w:szCs w:val="44"/>
        </w:rPr>
      </w:pPr>
      <w:r>
        <w:rPr>
          <w:rFonts w:hint="eastAsia" w:ascii="黑体" w:hAnsi="黑体" w:eastAsia="黑体" w:cs="Times New Roman"/>
          <w:sz w:val="44"/>
          <w:szCs w:val="44"/>
        </w:rPr>
        <w:t>2022年</w:t>
      </w:r>
      <w:r>
        <w:rPr>
          <w:rFonts w:hint="eastAsia" w:ascii="黑体" w:hAnsi="黑体" w:eastAsia="黑体" w:cs="Times New Roman"/>
          <w:sz w:val="44"/>
          <w:szCs w:val="44"/>
          <w:lang w:eastAsia="zh-CN"/>
        </w:rPr>
        <w:t>部门</w:t>
      </w:r>
      <w:r>
        <w:rPr>
          <w:rFonts w:hint="eastAsia" w:ascii="黑体" w:hAnsi="黑体" w:eastAsia="黑体" w:cs="Times New Roman"/>
          <w:sz w:val="44"/>
          <w:szCs w:val="44"/>
        </w:rPr>
        <w:t>整体支出绩效评价报告</w:t>
      </w:r>
    </w:p>
    <w:p>
      <w:pPr>
        <w:widowControl/>
        <w:adjustRightInd w:val="0"/>
        <w:snapToGrid w:val="0"/>
        <w:spacing w:line="560" w:lineRule="exact"/>
        <w:ind w:firstLine="480" w:firstLineChars="200"/>
        <w:contextualSpacing/>
        <w:jc w:val="left"/>
        <w:rPr>
          <w:rFonts w:ascii="黑体" w:hAnsi="宋体" w:eastAsia="黑体" w:cs="宋体"/>
          <w:color w:val="000000"/>
          <w:kern w:val="0"/>
          <w:sz w:val="24"/>
          <w:szCs w:val="32"/>
          <w:shd w:val="clear" w:color="auto" w:fill="FFFFFF"/>
        </w:rPr>
      </w:pPr>
    </w:p>
    <w:p>
      <w:pPr>
        <w:spacing w:line="600" w:lineRule="exact"/>
        <w:ind w:firstLine="640" w:firstLineChars="200"/>
        <w:jc w:val="left"/>
        <w:outlineLvl w:val="0"/>
        <w:rPr>
          <w:rFonts w:hint="eastAsia" w:ascii="宋体" w:hAnsi="宋体" w:eastAsia="宋体" w:cs="宋体"/>
          <w:kern w:val="0"/>
          <w:sz w:val="32"/>
          <w:szCs w:val="32"/>
          <w:lang w:val="zh-CN" w:eastAsia="zh-CN"/>
        </w:rPr>
      </w:pPr>
      <w:r>
        <w:rPr>
          <w:rFonts w:hint="eastAsia" w:ascii="宋体" w:hAnsi="宋体" w:eastAsia="宋体" w:cs="宋体"/>
          <w:kern w:val="0"/>
          <w:sz w:val="32"/>
          <w:szCs w:val="32"/>
          <w:lang w:val="zh-CN" w:eastAsia="zh-CN"/>
        </w:rPr>
        <w:t>一、单位基本情况</w:t>
      </w:r>
    </w:p>
    <w:p>
      <w:pPr>
        <w:ind w:firstLine="640" w:firstLineChars="200"/>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zh-CN" w:eastAsia="zh-CN"/>
        </w:rPr>
        <w:t>（一）机构组成</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 xml:space="preserve">剑阁县民政局下设8个二级单位，其中行政单位1个，事业单位7个，主要包括：民政局机关、 康复院、慈善总会办公室、农村敬老院管理中心、社会（儿童）福利院、婚姻登记处、社会救助管理服务中心、殡仪馆。 </w:t>
      </w:r>
    </w:p>
    <w:p>
      <w:pPr>
        <w:ind w:firstLine="640" w:firstLineChars="200"/>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zh-CN" w:eastAsia="zh-CN"/>
        </w:rPr>
        <w:t>（二）机构职能和人员概况</w:t>
      </w:r>
      <w:r>
        <w:rPr>
          <w:rFonts w:hint="eastAsia" w:ascii="宋体" w:hAnsi="宋体" w:eastAsia="宋体" w:cs="宋体"/>
          <w:kern w:val="0"/>
          <w:sz w:val="32"/>
          <w:szCs w:val="32"/>
          <w:lang w:val="en-US" w:eastAsia="zh-CN"/>
        </w:rPr>
        <w:t xml:space="preserve"> </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宋体" w:hAnsi="宋体" w:eastAsia="宋体" w:cs="宋体"/>
          <w:kern w:val="0"/>
          <w:sz w:val="32"/>
          <w:szCs w:val="32"/>
          <w:lang w:val="en-US" w:eastAsia="zh-CN"/>
        </w:rPr>
        <w:t>1.机构职能</w:t>
      </w:r>
      <w:r>
        <w:rPr>
          <w:rFonts w:hint="eastAsia" w:ascii="仿宋_GB2312" w:hAnsi="Calibri" w:eastAsia="仿宋_GB2312" w:cs="仿宋"/>
          <w:color w:val="auto"/>
          <w:kern w:val="0"/>
          <w:sz w:val="32"/>
          <w:szCs w:val="32"/>
          <w:lang w:val="en-US" w:eastAsia="zh-CN" w:bidi="ar-SA"/>
        </w:rPr>
        <w:t>。</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1.贯彻执行国家、四川省和广元市民政工作的法律、法规和各项方针、政策；拟定民政工作地方规章和政策，并组织实施和监督检查；编制全县民政事业发展规划；指导全县民政队伍法制建设。</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xml:space="preserve">    2.负责管理全县性社团和民办非企业单位的登记管理和年度检查工作，监督社团和民办非企业单位活动，查处社团和民办非企业单位的违法行为，查处未经登记而以社团和民办非企业单位名义开展活动的非法组织；对境外人员成立社团的审核报批；负责全县社团和民办非企业单位的登记管理和年度检查工作；负责社团和民办非企业单位的行政复议工作。</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3.建立和实施城乡居（村）民最低生活保障制度；负责全县城乡社会困难户临时救济、定期救济以及其他特殊救济对象的救济工作；指导、检查五保和敬老院工作；负责社会麻风病人的管理、中转和管理指导社会“三无”对象的收养以及优抚对象精神病人收治工作；组织、指导扶贫济困等社会扶助活动；审批全县性社会福利募捐义演、义卖活动。</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xml:space="preserve">    4.导和检查乡镇及村（居）委会政务和村务公开工作；贯彻实施村（居）民委员会组织法，指导村民委员会民主选举、民主决策、民主管理和民主监督工作，推动村务公开和基层民主政治建设；指导城市居民委员会建设；负责指导村（居）民委员会主任和委员培训。</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xml:space="preserve">    5.负责《婚姻法》、《收养法》的贯彻落实，指导检查婚姻登记工作，查处违法婚姻；负责全县儿童收养工作。</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xml:space="preserve">    6.承办行政区划工作，负责县及乡（镇）的设立、撤销、调整更名、界线变更及政府驻地迁移的审核报批。</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xml:space="preserve">    7.主管地名工作，负责村（居）委会以上区划名称及其它地名的命名、更名的审核报批；发布标准地名；规范全县地名标志（即：街、路、巷、楼、门）的设置和管理；负责标准地名图书资料的审定。</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8.负责我县与毗邻县行政区域边界的勘定和管理工作；负责乡（镇）边界的调查和调处；承办勘界资料的验收、报批、档案管理以及行政区域界线详图集的资料准备工作。</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xml:space="preserve">    9.承担老龄工作管理职能和孤儿、残疾人、五保户等特殊困难群体权益保护的行政管理工作；拟定并实施我县社会福利事业发展规划，指导城市社会福利事业单位的管理；审核、报批民政社会福利机构和社会福利企业；对城乡社会福利企业进行宏观管理；负责社会福利有奖募捐和福利资金的管理使用工作。</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xml:space="preserve">    10.负责公墓的审核报批；推行殡葬改革，负责殡葬管理工作。</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xml:space="preserve">    11.主管流浪乞讨人员的救助管理工作，指导、协调县救助管理站工作。</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xml:space="preserve">    12.负责指导、协调社区建设工作。</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13.负责民政事业计划财务和统计工作，负责民政事业费的管理、使用和监督。</w:t>
      </w:r>
      <w:r>
        <w:rPr>
          <w:rFonts w:hint="eastAsia" w:ascii="仿宋_GB2312" w:hAnsi="Calibri" w:eastAsia="仿宋_GB2312" w:cs="仿宋"/>
          <w:color w:val="auto"/>
          <w:kern w:val="0"/>
          <w:sz w:val="32"/>
          <w:szCs w:val="32"/>
          <w:lang w:val="en-US" w:eastAsia="zh-CN" w:bidi="ar-SA"/>
        </w:rPr>
        <w:br w:type="textWrapping"/>
      </w:r>
      <w:r>
        <w:rPr>
          <w:rFonts w:hint="eastAsia" w:ascii="仿宋_GB2312" w:hAnsi="Calibri" w:eastAsia="仿宋_GB2312" w:cs="仿宋"/>
          <w:color w:val="auto"/>
          <w:kern w:val="0"/>
          <w:sz w:val="32"/>
          <w:szCs w:val="32"/>
          <w:lang w:val="en-US" w:eastAsia="zh-CN" w:bidi="ar-SA"/>
        </w:rPr>
        <w:t xml:space="preserve">    14.负责全县民政系统干部、工人的培训教育工作。</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15.承办县政府交办的其他事项。</w:t>
      </w:r>
    </w:p>
    <w:p>
      <w:pPr>
        <w:ind w:firstLine="640" w:firstLineChars="200"/>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2.人员概况</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民政局机关2022年末实有在职人员40人，其中行政在职8人，机关工勤编1人，事业编31人。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宋体" w:hAnsi="宋体" w:eastAsia="宋体" w:cs="宋体"/>
          <w:kern w:val="0"/>
          <w:sz w:val="32"/>
          <w:szCs w:val="32"/>
          <w:lang w:val="en-US" w:eastAsia="zh-CN"/>
        </w:rPr>
        <w:t>二、单位资金收支情况</w:t>
      </w:r>
    </w:p>
    <w:p>
      <w:pPr>
        <w:ind w:firstLine="640" w:firstLineChars="200"/>
        <w:rPr>
          <w:rFonts w:hint="eastAsia" w:ascii="宋体" w:hAnsi="宋体" w:eastAsia="宋体" w:cs="宋体"/>
          <w:kern w:val="0"/>
          <w:sz w:val="32"/>
          <w:szCs w:val="32"/>
          <w:lang w:val="zh-CN" w:eastAsia="zh-CN"/>
        </w:rPr>
      </w:pPr>
      <w:r>
        <w:rPr>
          <w:rFonts w:hint="eastAsia" w:ascii="宋体" w:hAnsi="宋体" w:eastAsia="宋体" w:cs="宋体"/>
          <w:kern w:val="0"/>
          <w:sz w:val="32"/>
          <w:szCs w:val="32"/>
          <w:lang w:val="zh-CN" w:eastAsia="zh-CN"/>
        </w:rPr>
        <w:t>（一）单位财政拨款收支情况</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1.单位财政拨款收入情况</w:t>
      </w:r>
    </w:p>
    <w:p>
      <w:pPr>
        <w:ind w:firstLine="640" w:firstLineChars="200"/>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2022年收入决算总额21720.44万元，其中：财政拨款收入17307.53万元，其他收入4412.91万元。</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2.单位财政拨款支出情况</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2022年支出决算总额21720.44万元，其中：社会保障和就业支出21168.54万元，卫生健康支出23.18万元，住房保障支出34.77万元，其他支出493.96万元。</w:t>
      </w:r>
    </w:p>
    <w:p>
      <w:pPr>
        <w:ind w:firstLine="640" w:firstLineChars="200"/>
        <w:rPr>
          <w:rFonts w:hint="eastAsia" w:ascii="仿宋_GB2312" w:hAnsi="Calibri" w:eastAsia="仿宋_GB2312" w:cs="仿宋"/>
          <w:color w:val="000000" w:themeColor="text1"/>
          <w:kern w:val="0"/>
          <w:sz w:val="32"/>
          <w:szCs w:val="32"/>
          <w:lang w:val="en-US" w:eastAsia="zh-CN" w:bidi="ar-SA"/>
          <w14:textFill>
            <w14:solidFill>
              <w14:schemeClr w14:val="tx1"/>
            </w14:solidFill>
          </w14:textFill>
        </w:rPr>
      </w:pPr>
      <w:r>
        <w:rPr>
          <w:rFonts w:hint="eastAsia" w:ascii="仿宋_GB2312" w:hAnsi="Calibri" w:eastAsia="仿宋_GB2312" w:cs="仿宋"/>
          <w:color w:val="000000" w:themeColor="text1"/>
          <w:kern w:val="0"/>
          <w:sz w:val="32"/>
          <w:szCs w:val="32"/>
          <w:lang w:val="en-US" w:eastAsia="zh-CN" w:bidi="ar-SA"/>
          <w14:textFill>
            <w14:solidFill>
              <w14:schemeClr w14:val="tx1"/>
            </w14:solidFill>
          </w14:textFill>
        </w:rPr>
        <w:t>2022年一般公共预算财政拨款基本支出666.21万元（其中：人员经费611.85万元，公用经费54.35万元）。公用经费含办公费12.7万元、印刷费3.25万元、水费2.13万元、电费9.44万元、邮电费0.05万元、物业管理费0.2万元、差旅费8.5万元、维修（护）费0.5万元、会议费3万元、培训费1万元、公务接待费2.76万元、公务用车运行维护费1.81万元、其他交通费用8.66万元。</w:t>
      </w:r>
    </w:p>
    <w:p>
      <w:pPr>
        <w:numPr>
          <w:ilvl w:val="0"/>
          <w:numId w:val="0"/>
        </w:num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3.单位财政拨款结转结余情况</w:t>
      </w:r>
    </w:p>
    <w:p>
      <w:pPr>
        <w:numPr>
          <w:ilvl w:val="0"/>
          <w:numId w:val="0"/>
        </w:num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2022年无财政拨款结转。</w:t>
      </w:r>
    </w:p>
    <w:p>
      <w:pPr>
        <w:ind w:firstLine="640" w:firstLineChars="200"/>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三、单位整体绩效分析</w:t>
      </w:r>
    </w:p>
    <w:p>
      <w:pPr>
        <w:ind w:firstLine="640" w:firstLineChars="200"/>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zh-CN" w:eastAsia="zh-CN"/>
        </w:rPr>
        <w:t>（一）单位预算项目绩效分析</w:t>
      </w:r>
      <w:r>
        <w:rPr>
          <w:rFonts w:hint="eastAsia" w:ascii="宋体" w:hAnsi="宋体" w:eastAsia="宋体" w:cs="宋体"/>
          <w:kern w:val="0"/>
          <w:sz w:val="32"/>
          <w:szCs w:val="32"/>
          <w:lang w:val="en-US" w:eastAsia="zh-CN"/>
        </w:rPr>
        <w:t xml:space="preserve"> </w:t>
      </w:r>
    </w:p>
    <w:p>
      <w:pPr>
        <w:ind w:firstLine="640" w:firstLineChars="200"/>
        <w:rPr>
          <w:rFonts w:hint="eastAsia" w:ascii="宋体" w:hAnsi="宋体" w:eastAsia="宋体" w:cs="宋体"/>
          <w:kern w:val="0"/>
          <w:sz w:val="32"/>
          <w:szCs w:val="32"/>
          <w:lang w:val="en-US" w:eastAsia="zh-CN"/>
        </w:rPr>
      </w:pPr>
      <w:r>
        <w:rPr>
          <w:rFonts w:hint="eastAsia" w:ascii="仿宋_GB2312" w:hAnsi="Calibri" w:eastAsia="仿宋_GB2312" w:cs="仿宋"/>
          <w:color w:val="auto"/>
          <w:kern w:val="0"/>
          <w:sz w:val="32"/>
          <w:szCs w:val="32"/>
          <w:lang w:val="en-US" w:eastAsia="zh-CN" w:bidi="ar-SA"/>
        </w:rPr>
        <w:t>1.人员类项目绩效分析</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2022年我局严格执行相关政策，保障工资及时、足额发放及社保及时、足额缴纳，预算编制科学合理，减少结余资金。</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2.运转类项目绩效分析</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2022年我局提高预算编制质量，严格执行预算，保障了单位日常运转。</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3.特定目标类项目绩效分析</w:t>
      </w:r>
    </w:p>
    <w:p>
      <w:pPr>
        <w:spacing w:line="600" w:lineRule="exact"/>
        <w:ind w:firstLine="640" w:firstLineChars="200"/>
        <w:rPr>
          <w:rFonts w:hint="eastAsia" w:ascii="仿宋" w:hAnsi="仿宋" w:eastAsia="仿宋"/>
          <w:sz w:val="32"/>
          <w:szCs w:val="32"/>
          <w:lang w:val="en-US" w:eastAsia="zh-CN"/>
        </w:rPr>
      </w:pPr>
      <w:r>
        <w:rPr>
          <w:rFonts w:hint="eastAsia" w:ascii="仿宋_GB2312" w:hAnsi="Calibri" w:eastAsia="仿宋_GB2312" w:cs="仿宋"/>
          <w:color w:val="auto"/>
          <w:kern w:val="0"/>
          <w:sz w:val="32"/>
          <w:szCs w:val="32"/>
          <w:lang w:val="en-US" w:eastAsia="zh-CN" w:bidi="ar-SA"/>
        </w:rPr>
        <w:t>2022年特定目标类项目申报内容与具体实施内容相符、申报目标合理可行，资金保障到位，确保了我局特定项目实施：精准保障，加大社会救助帮困工作力度，进一步规范城乡社会救助工作，保障困难群众基本生活；加强社会组织管理，简化社会组织登记程序，缩短办理时限，同时加强对社会组织日常监管；加强基层政权建设，加快推进“村规民约”工作，对乡镇的村（居）规民约进行规范和完善，充分发挥村（居）规民约在创新基层社会治理中的积极作用，引导全社会树立良好村风、民风，弘扬公序良俗；加强区划地名管理，巩固地名普查成果转化，规范地名管理，挖掘地名文化，完善了地名公共服务；认真贯彻落实部、省、市关于流浪乞讨人员和生活无着人员的救助管理文件精神，开展街头流浪乞讨救助行动，实现街头救助经常化；加强婚姻登记，2022年，共办理结婚登记2196对，离婚登记632对，补领结婚登记1463对，补领离婚登记76对登记合格率100%。；强化未成年人保护，依托福彩、慈善等公益项目资金，助力了孤儿教育等。</w:t>
      </w:r>
    </w:p>
    <w:p>
      <w:pPr>
        <w:ind w:firstLine="640" w:firstLineChars="200"/>
        <w:rPr>
          <w:rFonts w:hint="eastAsia" w:ascii="宋体" w:hAnsi="宋体" w:eastAsia="宋体" w:cs="宋体"/>
          <w:kern w:val="0"/>
          <w:sz w:val="32"/>
          <w:szCs w:val="32"/>
          <w:lang w:val="zh-CN" w:eastAsia="zh-CN"/>
        </w:rPr>
      </w:pPr>
      <w:r>
        <w:rPr>
          <w:rFonts w:hint="eastAsia" w:ascii="宋体" w:hAnsi="宋体" w:eastAsia="宋体" w:cs="宋体"/>
          <w:kern w:val="0"/>
          <w:sz w:val="32"/>
          <w:szCs w:val="32"/>
          <w:lang w:val="zh-CN" w:eastAsia="zh-CN"/>
        </w:rPr>
        <w:t>（二）结果应用情况</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我局项目支出股室合理编制绩效目标，积极开展自评，发现问题及时整改。我局绩效自评工作自开展以来都按照上级安排及时报送及时公开、对评价结果及时整改并运用，整体运行良好。</w:t>
      </w:r>
    </w:p>
    <w:p>
      <w:pPr>
        <w:ind w:firstLine="640" w:firstLineChars="200"/>
        <w:rPr>
          <w:rFonts w:hint="eastAsia" w:ascii="宋体" w:hAnsi="宋体" w:eastAsia="宋体" w:cs="宋体"/>
          <w:kern w:val="0"/>
          <w:sz w:val="32"/>
          <w:szCs w:val="32"/>
          <w:lang w:val="en-US" w:eastAsia="zh-CN"/>
        </w:rPr>
      </w:pPr>
      <w:r>
        <w:rPr>
          <w:rFonts w:hint="eastAsia" w:ascii="宋体" w:hAnsi="宋体" w:eastAsia="宋体" w:cs="宋体"/>
          <w:kern w:val="0"/>
          <w:sz w:val="32"/>
          <w:szCs w:val="32"/>
          <w:lang w:val="en-US" w:eastAsia="zh-CN"/>
        </w:rPr>
        <w:t>四、评价结论及建议</w:t>
      </w:r>
    </w:p>
    <w:p>
      <w:pPr>
        <w:ind w:firstLine="640" w:firstLineChars="200"/>
        <w:rPr>
          <w:rFonts w:hint="eastAsia" w:ascii="宋体" w:hAnsi="宋体" w:eastAsia="宋体" w:cs="宋体"/>
          <w:kern w:val="0"/>
          <w:sz w:val="32"/>
          <w:szCs w:val="32"/>
          <w:lang w:val="zh-CN" w:eastAsia="zh-CN"/>
        </w:rPr>
      </w:pPr>
      <w:r>
        <w:rPr>
          <w:rFonts w:hint="eastAsia" w:ascii="宋体" w:hAnsi="宋体" w:eastAsia="宋体" w:cs="宋体"/>
          <w:kern w:val="0"/>
          <w:sz w:val="32"/>
          <w:szCs w:val="32"/>
          <w:lang w:val="zh-CN" w:eastAsia="zh-CN"/>
        </w:rPr>
        <w:t>（一）评价结论</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综上所述，通过绩效自评，2022年我局整体支出政策依据充分，目标制定明确；按照计划有序实施，资金到位及时，经费使用严格按照相关财务管理制度执行，对资金的使用监管有力有效。整个支出实施达到了预期的绩效目标。</w:t>
      </w:r>
    </w:p>
    <w:p>
      <w:pPr>
        <w:ind w:firstLine="640" w:firstLineChars="200"/>
        <w:rPr>
          <w:rFonts w:hint="eastAsia" w:ascii="宋体" w:hAnsi="宋体" w:eastAsia="宋体" w:cs="宋体"/>
          <w:kern w:val="0"/>
          <w:sz w:val="32"/>
          <w:szCs w:val="32"/>
          <w:lang w:val="zh-CN" w:eastAsia="zh-CN"/>
        </w:rPr>
      </w:pPr>
      <w:r>
        <w:rPr>
          <w:rFonts w:hint="eastAsia" w:ascii="宋体" w:hAnsi="宋体" w:eastAsia="宋体" w:cs="宋体"/>
          <w:kern w:val="0"/>
          <w:sz w:val="32"/>
          <w:szCs w:val="32"/>
          <w:lang w:val="zh-CN" w:eastAsia="zh-CN"/>
        </w:rPr>
        <w:t>（二）存在问题</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单位事情多，任务重，人员配备不足，工作经费差口较大，希望在人员编制、经费方面给与更多的支持。</w:t>
      </w:r>
    </w:p>
    <w:p>
      <w:pPr>
        <w:ind w:firstLine="640" w:firstLineChars="200"/>
        <w:rPr>
          <w:rFonts w:hint="eastAsia" w:ascii="宋体" w:hAnsi="宋体" w:eastAsia="宋体" w:cs="宋体"/>
          <w:kern w:val="0"/>
          <w:sz w:val="32"/>
          <w:szCs w:val="32"/>
          <w:lang w:val="zh-CN" w:eastAsia="zh-CN"/>
        </w:rPr>
      </w:pPr>
      <w:r>
        <w:rPr>
          <w:rFonts w:hint="eastAsia" w:ascii="宋体" w:hAnsi="宋体" w:eastAsia="宋体" w:cs="宋体"/>
          <w:kern w:val="0"/>
          <w:sz w:val="32"/>
          <w:szCs w:val="32"/>
          <w:lang w:val="zh-CN" w:eastAsia="zh-CN"/>
        </w:rPr>
        <w:t>（三）改进建议</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我局在编制预算与执行中，将进一步重视预算的编制工作，提高预算编制的精确度，提高财政资金使用效率，尽量减少预算执行调整，把有限的经费做到科学、合理的分配。</w:t>
      </w:r>
    </w:p>
    <w:p>
      <w:pPr>
        <w:spacing w:line="600" w:lineRule="exact"/>
        <w:jc w:val="center"/>
        <w:outlineLvl w:val="0"/>
        <w:rPr>
          <w:rStyle w:val="28"/>
          <w:rFonts w:hint="eastAsia" w:ascii="黑体" w:hAnsi="黑体" w:eastAsia="黑体" w:cs="Times New Roman"/>
          <w:b w:val="0"/>
        </w:rPr>
      </w:pPr>
    </w:p>
    <w:p>
      <w:pPr>
        <w:spacing w:line="600" w:lineRule="exact"/>
        <w:jc w:val="center"/>
        <w:outlineLvl w:val="0"/>
        <w:rPr>
          <w:rStyle w:val="28"/>
          <w:rFonts w:hint="eastAsia" w:ascii="黑体" w:hAnsi="黑体" w:eastAsia="黑体" w:cs="Times New Roman"/>
          <w:b w:val="0"/>
        </w:rPr>
      </w:pPr>
    </w:p>
    <w:p>
      <w:pPr>
        <w:pStyle w:val="2"/>
        <w:rPr>
          <w:rStyle w:val="28"/>
          <w:rFonts w:hint="eastAsia" w:ascii="黑体" w:hAnsi="黑体" w:eastAsia="黑体" w:cs="Times New Roman"/>
          <w:b w:val="0"/>
        </w:rPr>
      </w:pPr>
    </w:p>
    <w:p>
      <w:pPr>
        <w:pStyle w:val="2"/>
        <w:rPr>
          <w:rStyle w:val="28"/>
          <w:rFonts w:hint="eastAsia" w:ascii="黑体" w:hAnsi="黑体" w:eastAsia="黑体" w:cs="Times New Roman"/>
          <w:b w:val="0"/>
        </w:rPr>
      </w:pPr>
    </w:p>
    <w:p>
      <w:pPr>
        <w:pStyle w:val="2"/>
        <w:rPr>
          <w:rStyle w:val="28"/>
          <w:rFonts w:hint="eastAsia" w:ascii="黑体" w:hAnsi="黑体" w:eastAsia="黑体" w:cs="Times New Roman"/>
          <w:b w:val="0"/>
        </w:rPr>
      </w:pPr>
    </w:p>
    <w:tbl>
      <w:tblPr>
        <w:tblStyle w:val="16"/>
        <w:tblW w:w="8779" w:type="dxa"/>
        <w:tblInd w:w="0" w:type="dxa"/>
        <w:shd w:val="clear" w:color="auto" w:fill="auto"/>
        <w:tblLayout w:type="fixed"/>
        <w:tblCellMar>
          <w:top w:w="0" w:type="dxa"/>
          <w:left w:w="0" w:type="dxa"/>
          <w:bottom w:w="0" w:type="dxa"/>
          <w:right w:w="0" w:type="dxa"/>
        </w:tblCellMar>
      </w:tblPr>
      <w:tblGrid>
        <w:gridCol w:w="682"/>
        <w:gridCol w:w="652"/>
        <w:gridCol w:w="469"/>
        <w:gridCol w:w="189"/>
        <w:gridCol w:w="1889"/>
        <w:gridCol w:w="226"/>
        <w:gridCol w:w="940"/>
        <w:gridCol w:w="1223"/>
        <w:gridCol w:w="934"/>
        <w:gridCol w:w="783"/>
        <w:gridCol w:w="792"/>
      </w:tblGrid>
      <w:tr>
        <w:tblPrEx>
          <w:shd w:val="clear" w:color="auto" w:fill="auto"/>
          <w:tblCellMar>
            <w:top w:w="0" w:type="dxa"/>
            <w:left w:w="0" w:type="dxa"/>
            <w:bottom w:w="0" w:type="dxa"/>
            <w:right w:w="0" w:type="dxa"/>
          </w:tblCellMar>
        </w:tblPrEx>
        <w:trPr>
          <w:trHeight w:val="460" w:hRule="atLeast"/>
        </w:trPr>
        <w:tc>
          <w:tcPr>
            <w:tcW w:w="8779"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8"/>
                <w:szCs w:val="28"/>
                <w:u w:val="none"/>
                <w:lang w:val="en-US" w:eastAsia="zh-CN" w:bidi="ar"/>
              </w:rPr>
              <w:t>2022年度部门整体支出绩效目标自评表</w:t>
            </w:r>
          </w:p>
        </w:tc>
      </w:tr>
      <w:tr>
        <w:tblPrEx>
          <w:tblCellMar>
            <w:top w:w="0" w:type="dxa"/>
            <w:left w:w="0" w:type="dxa"/>
            <w:bottom w:w="0" w:type="dxa"/>
            <w:right w:w="0" w:type="dxa"/>
          </w:tblCellMar>
        </w:tblPrEx>
        <w:trPr>
          <w:trHeight w:val="300" w:hRule="atLeast"/>
        </w:trPr>
        <w:tc>
          <w:tcPr>
            <w:tcW w:w="180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部门（单位）名称</w:t>
            </w:r>
          </w:p>
        </w:tc>
        <w:tc>
          <w:tcPr>
            <w:tcW w:w="6976"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剑阁县民政局部门</w:t>
            </w:r>
          </w:p>
        </w:tc>
      </w:tr>
      <w:tr>
        <w:tblPrEx>
          <w:tblCellMar>
            <w:top w:w="0" w:type="dxa"/>
            <w:left w:w="0" w:type="dxa"/>
            <w:bottom w:w="0" w:type="dxa"/>
            <w:right w:w="0" w:type="dxa"/>
          </w:tblCellMar>
        </w:tblPrEx>
        <w:trPr>
          <w:trHeight w:val="48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年度主要</w:t>
            </w:r>
          </w:p>
        </w:tc>
        <w:tc>
          <w:tcPr>
            <w:tcW w:w="319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年初任务目标</w:t>
            </w:r>
          </w:p>
        </w:tc>
        <w:tc>
          <w:tcPr>
            <w:tcW w:w="489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实际完成目标</w:t>
            </w:r>
          </w:p>
        </w:tc>
      </w:tr>
      <w:tr>
        <w:tblPrEx>
          <w:tblCellMar>
            <w:top w:w="0" w:type="dxa"/>
            <w:left w:w="0" w:type="dxa"/>
            <w:bottom w:w="0" w:type="dxa"/>
            <w:right w:w="0" w:type="dxa"/>
          </w:tblCellMar>
        </w:tblPrEx>
        <w:trPr>
          <w:trHeight w:val="560" w:hRule="atLeast"/>
        </w:trPr>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任务</w:t>
            </w:r>
          </w:p>
        </w:tc>
        <w:tc>
          <w:tcPr>
            <w:tcW w:w="31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保障2022年社会救助对象的基本生活，保障二级部门的正常运转的日常支出。</w:t>
            </w:r>
          </w:p>
        </w:tc>
        <w:tc>
          <w:tcPr>
            <w:tcW w:w="489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保障了2022年社会救助对象的基本生活及二级部门的正常运转，完成市民政局和县委县政府下达的目标任务。</w:t>
            </w:r>
          </w:p>
        </w:tc>
      </w:tr>
      <w:tr>
        <w:tblPrEx>
          <w:tblCellMar>
            <w:top w:w="0" w:type="dxa"/>
            <w:left w:w="0" w:type="dxa"/>
            <w:bottom w:w="0" w:type="dxa"/>
            <w:right w:w="0" w:type="dxa"/>
          </w:tblCellMar>
        </w:tblPrEx>
        <w:trPr>
          <w:trHeight w:val="480"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预算执行情况（万元）</w:t>
            </w:r>
          </w:p>
        </w:tc>
        <w:tc>
          <w:tcPr>
            <w:tcW w:w="11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230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全年预算数（A）</w:t>
            </w: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全年执行数（B）</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分值</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执行率（B/A)</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得分</w:t>
            </w:r>
          </w:p>
        </w:tc>
      </w:tr>
      <w:tr>
        <w:tblPrEx>
          <w:tblCellMar>
            <w:top w:w="0" w:type="dxa"/>
            <w:left w:w="0" w:type="dxa"/>
            <w:bottom w:w="0" w:type="dxa"/>
            <w:right w:w="0" w:type="dxa"/>
          </w:tblCellMar>
        </w:tblPrEx>
        <w:trPr>
          <w:trHeight w:val="48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年度资金总额：</w:t>
            </w:r>
          </w:p>
        </w:tc>
        <w:tc>
          <w:tcPr>
            <w:tcW w:w="230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21515.5466</w:t>
            </w: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21515.5466</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42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其中：财政拨款</w:t>
            </w:r>
          </w:p>
        </w:tc>
        <w:tc>
          <w:tcPr>
            <w:tcW w:w="230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17102.6352</w:t>
            </w: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17102.6352</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42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1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其他资金</w:t>
            </w:r>
          </w:p>
        </w:tc>
        <w:tc>
          <w:tcPr>
            <w:tcW w:w="230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4412.9114</w:t>
            </w:r>
          </w:p>
        </w:tc>
        <w:tc>
          <w:tcPr>
            <w:tcW w:w="21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4412.9114</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r>
      <w:tr>
        <w:tblPrEx>
          <w:tblCellMar>
            <w:top w:w="0" w:type="dxa"/>
            <w:left w:w="0" w:type="dxa"/>
            <w:bottom w:w="0" w:type="dxa"/>
            <w:right w:w="0" w:type="dxa"/>
          </w:tblCellMar>
        </w:tblPrEx>
        <w:trPr>
          <w:trHeight w:val="200" w:hRule="atLeast"/>
        </w:trPr>
        <w:tc>
          <w:tcPr>
            <w:tcW w:w="6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年度总体目标</w:t>
            </w:r>
          </w:p>
        </w:tc>
        <w:tc>
          <w:tcPr>
            <w:tcW w:w="319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预期目标</w:t>
            </w:r>
          </w:p>
        </w:tc>
        <w:tc>
          <w:tcPr>
            <w:tcW w:w="4898"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实际完成目标</w:t>
            </w:r>
          </w:p>
        </w:tc>
      </w:tr>
      <w:tr>
        <w:tblPrEx>
          <w:tblCellMar>
            <w:top w:w="0" w:type="dxa"/>
            <w:left w:w="0" w:type="dxa"/>
            <w:bottom w:w="0" w:type="dxa"/>
            <w:right w:w="0" w:type="dxa"/>
          </w:tblCellMar>
        </w:tblPrEx>
        <w:trPr>
          <w:trHeight w:val="21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19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4898"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800" w:hRule="atLeast"/>
        </w:trPr>
        <w:tc>
          <w:tcPr>
            <w:tcW w:w="6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19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保障2022年社会救助对象的基本生活，保障二级部门的日常正常运转及完成市民政局和县委县政府下达的目标任务。</w:t>
            </w:r>
          </w:p>
        </w:tc>
        <w:tc>
          <w:tcPr>
            <w:tcW w:w="4898"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圆满完成任务并通过年度考核。</w:t>
            </w:r>
          </w:p>
        </w:tc>
      </w:tr>
      <w:tr>
        <w:tblPrEx>
          <w:tblCellMar>
            <w:top w:w="0" w:type="dxa"/>
            <w:left w:w="0" w:type="dxa"/>
            <w:bottom w:w="0" w:type="dxa"/>
            <w:right w:w="0" w:type="dxa"/>
          </w:tblCellMar>
        </w:tblPrEx>
        <w:trPr>
          <w:trHeight w:val="880" w:hRule="atLeast"/>
        </w:trPr>
        <w:tc>
          <w:tcPr>
            <w:tcW w:w="682"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年度绩效指标</w:t>
            </w:r>
          </w:p>
        </w:tc>
        <w:tc>
          <w:tcPr>
            <w:tcW w:w="6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一级指标</w:t>
            </w:r>
          </w:p>
        </w:tc>
        <w:tc>
          <w:tcPr>
            <w:tcW w:w="6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二级指标</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三级指标</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预期指标值（包含数字及文字描述）</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实际完成指标值（包含数字及文字描述）</w:t>
            </w:r>
          </w:p>
        </w:tc>
        <w:tc>
          <w:tcPr>
            <w:tcW w:w="9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未完成原因及拟采取的改进措施</w:t>
            </w:r>
          </w:p>
        </w:tc>
        <w:tc>
          <w:tcPr>
            <w:tcW w:w="7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自评得分</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财政复评得分</w:t>
            </w:r>
          </w:p>
        </w:tc>
      </w:tr>
      <w:tr>
        <w:tblPrEx>
          <w:tblCellMar>
            <w:top w:w="0" w:type="dxa"/>
            <w:left w:w="0" w:type="dxa"/>
            <w:bottom w:w="0" w:type="dxa"/>
            <w:right w:w="0" w:type="dxa"/>
          </w:tblCellMar>
        </w:tblPrEx>
        <w:trPr>
          <w:trHeight w:val="520"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完成指标</w:t>
            </w:r>
          </w:p>
        </w:tc>
        <w:tc>
          <w:tcPr>
            <w:tcW w:w="6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数量指标</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60年代精简生活补助</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完成52人的生活补助发放</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按月发放52人的生活补助</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460"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8所中心敬老院定额补助的护理人员</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完成29名护理人员定额补助</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完成了29名护理人员定额补助</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780"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城乡低保人数</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保障全县低保对象农村41678人、城市4380人的基本生活</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保障了全县低保对象农村</w:t>
            </w:r>
            <w:r>
              <w:rPr>
                <w:rFonts w:hint="eastAsia" w:ascii="宋体" w:hAnsi="宋体" w:cs="宋体"/>
                <w:i w:val="0"/>
                <w:color w:val="000000"/>
                <w:kern w:val="0"/>
                <w:sz w:val="16"/>
                <w:szCs w:val="16"/>
                <w:u w:val="none"/>
                <w:lang w:val="en-US" w:eastAsia="zh-CN" w:bidi="ar"/>
              </w:rPr>
              <w:t>42448</w:t>
            </w:r>
            <w:r>
              <w:rPr>
                <w:rFonts w:hint="eastAsia" w:ascii="宋体" w:hAnsi="宋体" w:eastAsia="宋体" w:cs="宋体"/>
                <w:i w:val="0"/>
                <w:color w:val="000000"/>
                <w:kern w:val="0"/>
                <w:sz w:val="16"/>
                <w:szCs w:val="16"/>
                <w:u w:val="none"/>
                <w:lang w:val="en-US" w:eastAsia="zh-CN" w:bidi="ar"/>
              </w:rPr>
              <w:t>人、城市</w:t>
            </w:r>
            <w:r>
              <w:rPr>
                <w:rFonts w:hint="eastAsia" w:ascii="宋体" w:hAnsi="宋体" w:cs="宋体"/>
                <w:i w:val="0"/>
                <w:color w:val="000000"/>
                <w:kern w:val="0"/>
                <w:sz w:val="16"/>
                <w:szCs w:val="16"/>
                <w:u w:val="none"/>
                <w:lang w:val="en-US" w:eastAsia="zh-CN" w:bidi="ar"/>
              </w:rPr>
              <w:t>4380</w:t>
            </w:r>
            <w:r>
              <w:rPr>
                <w:rFonts w:hint="eastAsia" w:ascii="宋体" w:hAnsi="宋体" w:eastAsia="宋体" w:cs="宋体"/>
                <w:i w:val="0"/>
                <w:color w:val="000000"/>
                <w:kern w:val="0"/>
                <w:sz w:val="16"/>
                <w:szCs w:val="16"/>
                <w:u w:val="none"/>
                <w:lang w:val="en-US" w:eastAsia="zh-CN" w:bidi="ar"/>
              </w:rPr>
              <w:t>人的基本生活</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700"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二级部门的个数</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保障3个二级部门水电气、办公等运转费用</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保障了3个二级部门水电气、办公等运转费用</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700"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高龄补贴人数</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保障全县80岁以上12453名长寿老人补助</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保障了全县80岁以上15168名长寿老人补助</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600"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孤儿供养金人数</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保障全县45名孤儿每月基本生活费</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保障了全县45名孤儿每月基本生活费</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620"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困难残疾人生活补贴人数</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保障全县8510名困难残疾人生活补助</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保障了8640名困难残疾人生活补助</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680"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事实无人抚养儿童基本生活补助人数</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保障全县63名事实无人抚养儿童的生活补助</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保障了全县92名事实无人抚养儿童的生活补助</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680"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特困人员供养金人数</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保障全县2254名特困人员生活补助</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保障了全县2228名特困人员生活补助</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840"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一、二级残疾人护理补贴人数</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保障全县一级2361名、二级5219名残疾人护理补贴</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保障了全县一级2283名、二级5131名残疾人护理补贴</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856"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质量指标</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困难群众生活补助资金保障率</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1039"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时效指标</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困难群众生活补助按月足额发放率</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5</w:t>
            </w:r>
          </w:p>
        </w:tc>
      </w:tr>
      <w:tr>
        <w:tblPrEx>
          <w:tblCellMar>
            <w:top w:w="0" w:type="dxa"/>
            <w:left w:w="0" w:type="dxa"/>
            <w:bottom w:w="0" w:type="dxa"/>
            <w:right w:w="0" w:type="dxa"/>
          </w:tblCellMar>
        </w:tblPrEx>
        <w:trPr>
          <w:trHeight w:val="765"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社会效益</w:t>
            </w: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部门运转保障率</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10</w:t>
            </w:r>
          </w:p>
        </w:tc>
      </w:tr>
      <w:tr>
        <w:tblPrEx>
          <w:tblCellMar>
            <w:top w:w="0" w:type="dxa"/>
            <w:left w:w="0" w:type="dxa"/>
            <w:bottom w:w="0" w:type="dxa"/>
            <w:right w:w="0" w:type="dxa"/>
          </w:tblCellMar>
        </w:tblPrEx>
        <w:trPr>
          <w:trHeight w:val="815"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188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困难群众基本生活保障率</w:t>
            </w:r>
          </w:p>
        </w:tc>
        <w:tc>
          <w:tcPr>
            <w:tcW w:w="1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12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100%</w:t>
            </w:r>
          </w:p>
        </w:tc>
        <w:tc>
          <w:tcPr>
            <w:tcW w:w="9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10</w:t>
            </w:r>
          </w:p>
        </w:tc>
      </w:tr>
      <w:tr>
        <w:tblPrEx>
          <w:tblCellMar>
            <w:top w:w="0" w:type="dxa"/>
            <w:left w:w="0" w:type="dxa"/>
            <w:bottom w:w="0" w:type="dxa"/>
            <w:right w:w="0" w:type="dxa"/>
          </w:tblCellMar>
        </w:tblPrEx>
        <w:trPr>
          <w:trHeight w:val="1139" w:hRule="atLeast"/>
        </w:trPr>
        <w:tc>
          <w:tcPr>
            <w:tcW w:w="682"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65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658"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满意度指标</w:t>
            </w:r>
          </w:p>
        </w:tc>
        <w:tc>
          <w:tcPr>
            <w:tcW w:w="188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困难群众满意度</w:t>
            </w:r>
          </w:p>
        </w:tc>
        <w:tc>
          <w:tcPr>
            <w:tcW w:w="1166" w:type="dxa"/>
            <w:gridSpan w:val="2"/>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≥90%</w:t>
            </w:r>
          </w:p>
        </w:tc>
        <w:tc>
          <w:tcPr>
            <w:tcW w:w="122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6"/>
                <w:szCs w:val="16"/>
                <w:u w:val="none"/>
              </w:rPr>
            </w:pPr>
            <w:r>
              <w:rPr>
                <w:rFonts w:ascii="宋体" w:hAnsi="宋体" w:eastAsia="宋体" w:cs="宋体"/>
                <w:i w:val="0"/>
                <w:color w:val="000000"/>
                <w:kern w:val="0"/>
                <w:sz w:val="16"/>
                <w:szCs w:val="16"/>
                <w:u w:val="none"/>
                <w:lang w:val="en-US" w:eastAsia="zh-CN" w:bidi="ar"/>
              </w:rPr>
              <w:t>≥90%</w:t>
            </w:r>
          </w:p>
        </w:tc>
        <w:tc>
          <w:tcPr>
            <w:tcW w:w="934"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783"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792"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6"/>
                <w:szCs w:val="16"/>
                <w:u w:val="none"/>
                <w:lang w:val="en-US" w:eastAsia="zh-CN" w:bidi="ar-SA"/>
              </w:rPr>
            </w:pPr>
            <w:r>
              <w:rPr>
                <w:rFonts w:hint="eastAsia" w:ascii="宋体" w:hAnsi="宋体" w:eastAsia="宋体" w:cs="宋体"/>
                <w:i w:val="0"/>
                <w:color w:val="000000"/>
                <w:kern w:val="0"/>
                <w:sz w:val="16"/>
                <w:szCs w:val="16"/>
                <w:u w:val="none"/>
                <w:lang w:val="en-US" w:eastAsia="zh-CN" w:bidi="ar"/>
              </w:rPr>
              <w:t>10</w:t>
            </w:r>
          </w:p>
        </w:tc>
      </w:tr>
    </w:tbl>
    <w:p>
      <w:pPr>
        <w:pStyle w:val="2"/>
        <w:rPr>
          <w:rStyle w:val="28"/>
          <w:rFonts w:hint="eastAsia" w:ascii="黑体" w:hAnsi="黑体" w:eastAsia="黑体" w:cs="Times New Roman"/>
          <w:b w:val="0"/>
        </w:rPr>
        <w:sectPr>
          <w:headerReference r:id="rId3" w:type="default"/>
          <w:footerReference r:id="rId4" w:type="default"/>
          <w:pgSz w:w="11906" w:h="16838"/>
          <w:pgMar w:top="1440" w:right="1746" w:bottom="1440" w:left="1746" w:header="851" w:footer="992" w:gutter="0"/>
          <w:pgNumType w:start="1"/>
          <w:cols w:space="425" w:num="1"/>
          <w:titlePg/>
          <w:docGrid w:type="lines" w:linePitch="312" w:charSpace="0"/>
        </w:sectPr>
      </w:pP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44"/>
          <w:szCs w:val="44"/>
          <w:lang w:val="zh-CN" w:eastAsia="zh-CN"/>
        </w:rPr>
      </w:pPr>
      <w:r>
        <w:rPr>
          <w:rFonts w:hint="eastAsia" w:ascii="华文中宋" w:hAnsi="华文中宋" w:eastAsia="华文中宋" w:cs="华文中宋"/>
          <w:b/>
          <w:bCs/>
          <w:sz w:val="44"/>
          <w:szCs w:val="44"/>
          <w:lang w:val="zh-CN" w:eastAsia="zh-CN"/>
        </w:rPr>
        <w:t>剑阁县民政局</w:t>
      </w:r>
      <w:r>
        <w:rPr>
          <w:rFonts w:hint="eastAsia" w:ascii="华文中宋" w:hAnsi="华文中宋" w:eastAsia="华文中宋" w:cs="华文中宋"/>
          <w:b/>
          <w:bCs/>
          <w:sz w:val="44"/>
          <w:szCs w:val="44"/>
          <w:lang w:val="en-US" w:eastAsia="zh-CN"/>
        </w:rPr>
        <w:t>2022年</w:t>
      </w:r>
      <w:r>
        <w:rPr>
          <w:rFonts w:hint="eastAsia" w:ascii="华文中宋" w:hAnsi="华文中宋" w:eastAsia="华文中宋" w:cs="华文中宋"/>
          <w:b/>
          <w:bCs/>
          <w:sz w:val="44"/>
          <w:szCs w:val="44"/>
          <w:lang w:val="zh-CN" w:eastAsia="zh-CN"/>
        </w:rPr>
        <w:t>城乡最低生活保障金</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44"/>
          <w:szCs w:val="44"/>
          <w:lang w:val="zh-CN" w:eastAsia="zh-CN"/>
        </w:rPr>
      </w:pPr>
      <w:r>
        <w:rPr>
          <w:rFonts w:hint="eastAsia" w:ascii="华文中宋" w:hAnsi="华文中宋" w:eastAsia="华文中宋" w:cs="华文中宋"/>
          <w:b/>
          <w:bCs/>
          <w:sz w:val="44"/>
          <w:szCs w:val="44"/>
          <w:lang w:val="zh-CN"/>
        </w:rPr>
        <w:t>支出绩效自评报告</w:t>
      </w:r>
      <w:r>
        <w:rPr>
          <w:rFonts w:hint="eastAsia" w:ascii="华文中宋" w:hAnsi="华文中宋" w:eastAsia="华文中宋" w:cs="华文中宋"/>
          <w:b/>
          <w:bCs/>
          <w:sz w:val="44"/>
          <w:szCs w:val="44"/>
          <w:lang w:val="en-US" w:eastAsia="zh-CN"/>
        </w:rPr>
        <w:t xml:space="preserve"> </w:t>
      </w:r>
    </w:p>
    <w:p>
      <w:pPr>
        <w:keepNext w:val="0"/>
        <w:keepLines w:val="0"/>
        <w:pageBreakBefore w:val="0"/>
        <w:widowControl w:val="0"/>
        <w:kinsoku/>
        <w:overflowPunct/>
        <w:topLinePunct w:val="0"/>
        <w:autoSpaceDE/>
        <w:autoSpaceDN/>
        <w:bidi w:val="0"/>
        <w:adjustRightInd w:val="0"/>
        <w:snapToGrid w:val="0"/>
        <w:spacing w:line="580" w:lineRule="exact"/>
        <w:ind w:firstLine="720"/>
        <w:rPr>
          <w:rFonts w:hint="eastAsia" w:ascii="仿宋_GB2312" w:hAnsi="宋体" w:eastAsia="宋体"/>
          <w:sz w:val="44"/>
          <w:szCs w:val="44"/>
          <w:lang w:val="zh-CN" w:eastAsia="zh-CN"/>
        </w:rPr>
      </w:pPr>
      <w:r>
        <w:rPr>
          <w:rFonts w:hint="eastAsia" w:ascii="华文中宋" w:hAnsi="华文中宋" w:eastAsia="华文中宋" w:cs="华文中宋"/>
          <w:b w:val="0"/>
          <w:bCs w:val="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一、项目概况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1" w:firstLineChars="20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（一）项目资金申报及批复情况。</w:t>
      </w:r>
    </w:p>
    <w:p>
      <w:pPr>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剑阁县民政局</w:t>
      </w:r>
      <w:r>
        <w:rPr>
          <w:rFonts w:hint="eastAsia" w:ascii="仿宋_GB2312" w:hAnsi="Calibri" w:eastAsia="仿宋_GB2312" w:cs="仿宋"/>
          <w:color w:val="auto"/>
          <w:kern w:val="0"/>
          <w:sz w:val="32"/>
          <w:szCs w:val="32"/>
          <w:lang w:val="en-US" w:eastAsia="zh-CN" w:bidi="ar-SA"/>
        </w:rPr>
        <w:t>2022年度</w:t>
      </w:r>
      <w:r>
        <w:rPr>
          <w:rFonts w:hint="eastAsia" w:ascii="仿宋_GB2312" w:hAnsi="Calibri" w:eastAsia="仿宋_GB2312" w:cs="仿宋"/>
          <w:color w:val="auto"/>
          <w:kern w:val="0"/>
          <w:sz w:val="32"/>
          <w:szCs w:val="32"/>
          <w:lang w:val="zh-CN" w:eastAsia="zh-CN" w:bidi="ar-SA"/>
        </w:rPr>
        <w:t>城乡最低生活保障金全年申报资金</w:t>
      </w:r>
      <w:r>
        <w:rPr>
          <w:rFonts w:hint="eastAsia" w:ascii="仿宋_GB2312" w:hAnsi="Calibri" w:eastAsia="仿宋_GB2312" w:cs="仿宋"/>
          <w:color w:val="auto"/>
          <w:kern w:val="0"/>
          <w:sz w:val="32"/>
          <w:szCs w:val="32"/>
          <w:lang w:val="en-US" w:eastAsia="zh-CN" w:bidi="ar-SA"/>
        </w:rPr>
        <w:t>13006.4886万元，财政批复13006.4886万元。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720" w:leftChars="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（二）项目绩效目标。</w:t>
      </w:r>
    </w:p>
    <w:p>
      <w:pPr>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2022年度</w:t>
      </w:r>
      <w:r>
        <w:rPr>
          <w:rFonts w:hint="eastAsia" w:ascii="仿宋_GB2312" w:hAnsi="Calibri" w:eastAsia="仿宋_GB2312" w:cs="仿宋"/>
          <w:color w:val="auto"/>
          <w:kern w:val="0"/>
          <w:sz w:val="32"/>
          <w:szCs w:val="32"/>
          <w:lang w:val="zh-CN" w:eastAsia="zh-CN" w:bidi="ar-SA"/>
        </w:rPr>
        <w:t>城乡最低生活保障金</w:t>
      </w:r>
      <w:r>
        <w:rPr>
          <w:rFonts w:hint="eastAsia" w:ascii="仿宋_GB2312" w:hAnsi="Calibri" w:eastAsia="仿宋_GB2312" w:cs="仿宋"/>
          <w:color w:val="auto"/>
          <w:kern w:val="0"/>
          <w:sz w:val="32"/>
          <w:szCs w:val="32"/>
          <w:lang w:val="en-US" w:eastAsia="zh-CN" w:bidi="ar-SA"/>
        </w:rPr>
        <w:t>基本做到了“应保尽保、应退尽退”的每月动态保障管理模式，所有的</w:t>
      </w:r>
      <w:r>
        <w:rPr>
          <w:rFonts w:hint="eastAsia" w:ascii="仿宋_GB2312" w:hAnsi="Calibri" w:eastAsia="仿宋_GB2312" w:cs="仿宋"/>
          <w:color w:val="auto"/>
          <w:kern w:val="0"/>
          <w:sz w:val="32"/>
          <w:szCs w:val="32"/>
          <w:lang w:val="zh-CN" w:eastAsia="zh-CN" w:bidi="ar-SA"/>
        </w:rPr>
        <w:t>最低生活保障金</w:t>
      </w:r>
      <w:r>
        <w:rPr>
          <w:rFonts w:hint="eastAsia" w:ascii="仿宋_GB2312" w:hAnsi="Calibri" w:eastAsia="仿宋_GB2312" w:cs="仿宋"/>
          <w:color w:val="auto"/>
          <w:kern w:val="0"/>
          <w:sz w:val="32"/>
          <w:szCs w:val="32"/>
          <w:lang w:val="en-US" w:eastAsia="zh-CN" w:bidi="ar-SA"/>
        </w:rPr>
        <w:t>做到按月在“一卡通”平台发放。发放不成功的救助人员花名册，及时返回乡镇民政办业务人员，他们需在规定的时间内核实、修改、完善相关内容后，再通过民政局“一卡通”平台发放。城乡</w:t>
      </w:r>
      <w:r>
        <w:rPr>
          <w:rFonts w:hint="eastAsia" w:ascii="仿宋_GB2312" w:hAnsi="Calibri" w:eastAsia="仿宋_GB2312" w:cs="仿宋"/>
          <w:color w:val="auto"/>
          <w:kern w:val="0"/>
          <w:sz w:val="32"/>
          <w:szCs w:val="32"/>
          <w:lang w:val="zh-CN" w:eastAsia="zh-CN" w:bidi="ar-SA"/>
        </w:rPr>
        <w:t>最低生活保障金</w:t>
      </w:r>
      <w:r>
        <w:rPr>
          <w:rFonts w:hint="eastAsia" w:ascii="仿宋_GB2312" w:hAnsi="Calibri" w:eastAsia="仿宋_GB2312" w:cs="仿宋"/>
          <w:color w:val="auto"/>
          <w:kern w:val="0"/>
          <w:sz w:val="32"/>
          <w:szCs w:val="32"/>
          <w:lang w:val="en-US" w:eastAsia="zh-CN" w:bidi="ar-SA"/>
        </w:rPr>
        <w:t>的对象、救助标准严格按照相关规定评议、审核，确保了救助对象的“精准”，使困难群众基本生活得到保障。</w:t>
      </w:r>
    </w:p>
    <w:p>
      <w:pPr>
        <w:pStyle w:val="15"/>
        <w:rPr>
          <w:rFonts w:hint="eastAsia"/>
          <w:lang w:val="zh-CN"/>
        </w:rPr>
      </w:pPr>
      <w:r>
        <w:rPr>
          <w:rFonts w:hint="eastAsia" w:ascii="仿宋" w:hAnsi="仿宋" w:eastAsia="仿宋" w:cs="仿宋"/>
          <w:b/>
          <w:bCs/>
          <w:sz w:val="32"/>
          <w:szCs w:val="32"/>
          <w:lang w:val="zh-CN"/>
        </w:rPr>
        <w:t>（三）</w:t>
      </w:r>
      <w:r>
        <w:rPr>
          <w:rFonts w:hint="eastAsia" w:ascii="华文楷体" w:hAnsi="华文楷体" w:eastAsia="华文楷体" w:cs="华文楷体"/>
          <w:b/>
          <w:bCs/>
          <w:color w:val="auto"/>
          <w:kern w:val="2"/>
          <w:sz w:val="32"/>
          <w:szCs w:val="32"/>
          <w:lang w:val="zh-CN" w:eastAsia="zh-CN" w:bidi="ar-SA"/>
        </w:rPr>
        <w:t>项目资金申报相符性。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textAlignment w:val="auto"/>
        <w:rPr>
          <w:rFonts w:hint="eastAsia" w:ascii="仿宋_GB2312" w:hAnsi="Calibri" w:eastAsia="仿宋_GB2312" w:cs="仿宋"/>
          <w:color w:val="auto"/>
          <w:kern w:val="0"/>
          <w:sz w:val="32"/>
          <w:szCs w:val="32"/>
          <w:lang w:val="zh-CN" w:eastAsia="zh-CN" w:bidi="ar-SA"/>
        </w:rPr>
      </w:pPr>
      <w:r>
        <w:rPr>
          <w:rFonts w:hint="eastAsia" w:ascii="华文楷体" w:hAnsi="华文楷体" w:eastAsia="华文楷体" w:cs="华文楷体"/>
          <w:b/>
          <w:bCs/>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仿宋_GB2312" w:hAnsi="Calibri" w:eastAsia="仿宋_GB2312" w:cs="仿宋"/>
          <w:color w:val="auto"/>
          <w:kern w:val="0"/>
          <w:sz w:val="32"/>
          <w:szCs w:val="32"/>
          <w:lang w:val="en-US" w:eastAsia="zh-CN" w:bidi="ar-SA"/>
        </w:rPr>
        <w:t>该</w:t>
      </w:r>
      <w:r>
        <w:rPr>
          <w:rFonts w:hint="eastAsia" w:ascii="仿宋_GB2312" w:hAnsi="Calibri" w:eastAsia="仿宋_GB2312" w:cs="仿宋"/>
          <w:color w:val="auto"/>
          <w:kern w:val="0"/>
          <w:sz w:val="32"/>
          <w:szCs w:val="32"/>
          <w:lang w:val="zh-CN" w:eastAsia="zh-CN" w:bidi="ar-SA"/>
        </w:rPr>
        <w:t>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二、项目实施及管理情况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ab/>
      </w:r>
      <w:r>
        <w:rPr>
          <w:rFonts w:hint="eastAsia" w:ascii="华文楷体" w:hAnsi="华文楷体" w:eastAsia="华文楷体" w:cs="华文楷体"/>
          <w:b/>
          <w:bCs/>
          <w:sz w:val="32"/>
          <w:szCs w:val="32"/>
          <w:lang w:val="zh-CN"/>
        </w:rPr>
        <w:t>（一）资金计划、到位及使用情况。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w:t>
      </w:r>
      <w:r>
        <w:rPr>
          <w:rFonts w:hint="eastAsia" w:ascii="仿宋_GB2312" w:hAnsi="Calibri" w:eastAsia="仿宋_GB2312" w:cs="仿宋"/>
          <w:color w:val="auto"/>
          <w:kern w:val="0"/>
          <w:sz w:val="32"/>
          <w:szCs w:val="32"/>
          <w:lang w:val="zh-CN" w:eastAsia="zh-CN" w:bidi="ar-SA"/>
        </w:rPr>
        <w:t>资金计划及到位。该项目</w:t>
      </w:r>
      <w:r>
        <w:rPr>
          <w:rFonts w:hint="eastAsia" w:ascii="仿宋_GB2312" w:hAnsi="Calibri" w:eastAsia="仿宋_GB2312" w:cs="仿宋"/>
          <w:color w:val="auto"/>
          <w:kern w:val="0"/>
          <w:sz w:val="32"/>
          <w:szCs w:val="32"/>
          <w:lang w:val="en-US" w:eastAsia="zh-CN" w:bidi="ar-SA"/>
        </w:rPr>
        <w:t>2022年财政计划资金13006.4886万元，所有资金全部到位，其中中央资金11220万、省级资金1100万元、县级财政资金1786.4886万元。全部资金到位及时，到位率100%。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lang w:val="en-US" w:eastAsia="zh-CN"/>
        </w:rPr>
      </w:pPr>
      <w:r>
        <w:rPr>
          <w:rFonts w:hint="eastAsia" w:ascii="仿宋_GB2312" w:hAnsi="Calibri" w:eastAsia="仿宋_GB2312" w:cs="仿宋"/>
          <w:color w:val="auto"/>
          <w:kern w:val="0"/>
          <w:sz w:val="32"/>
          <w:szCs w:val="32"/>
          <w:lang w:val="en-US" w:eastAsia="zh-CN" w:bidi="ar-SA"/>
        </w:rPr>
        <w:t>2.资金使用。截止2022年底资金已支付13006.4886万元，所有的</w:t>
      </w:r>
      <w:r>
        <w:rPr>
          <w:rFonts w:hint="eastAsia" w:ascii="仿宋_GB2312" w:hAnsi="Calibri" w:eastAsia="仿宋_GB2312" w:cs="仿宋"/>
          <w:color w:val="auto"/>
          <w:kern w:val="0"/>
          <w:sz w:val="32"/>
          <w:szCs w:val="32"/>
          <w:lang w:val="zh-CN" w:eastAsia="zh-CN" w:bidi="ar-SA"/>
        </w:rPr>
        <w:t>最低生活保障金严格按照救助标准</w:t>
      </w:r>
      <w:r>
        <w:rPr>
          <w:rFonts w:hint="eastAsia" w:ascii="仿宋_GB2312" w:hAnsi="Calibri" w:eastAsia="仿宋_GB2312" w:cs="仿宋"/>
          <w:color w:val="auto"/>
          <w:kern w:val="0"/>
          <w:sz w:val="32"/>
          <w:szCs w:val="32"/>
          <w:lang w:val="en-US" w:eastAsia="zh-CN" w:bidi="ar-SA"/>
        </w:rPr>
        <w:t>按月在“一卡通”平台发放，支付合规合法，资金支付与预算相符。</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（二）项目财务管理情况。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该项目严格按照《中华人民共和国预算法》、《中华人民共和国预算法实施条例》、《四川省中央和省级财政困难群众救助补助资金管理办法》及转移支付管理制度规定管理和使用，严格执行财务管理制度，财务处理及时，会计核算规范。</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（三）项目组织实施情况。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2022年度</w:t>
      </w:r>
      <w:r>
        <w:rPr>
          <w:rFonts w:hint="eastAsia" w:ascii="仿宋_GB2312" w:hAnsi="Calibri" w:eastAsia="仿宋_GB2312" w:cs="仿宋"/>
          <w:color w:val="auto"/>
          <w:kern w:val="0"/>
          <w:sz w:val="32"/>
          <w:szCs w:val="32"/>
          <w:lang w:val="zh-CN" w:eastAsia="zh-CN" w:bidi="ar-SA"/>
        </w:rPr>
        <w:t>城乡最低生活保障金</w:t>
      </w:r>
      <w:r>
        <w:rPr>
          <w:rFonts w:hint="eastAsia" w:ascii="仿宋_GB2312" w:hAnsi="Calibri" w:eastAsia="仿宋_GB2312" w:cs="仿宋"/>
          <w:color w:val="auto"/>
          <w:kern w:val="0"/>
          <w:sz w:val="32"/>
          <w:szCs w:val="32"/>
          <w:lang w:val="en-US" w:eastAsia="zh-CN" w:bidi="ar-SA"/>
        </w:rPr>
        <w:t>严格按照相关规定评议、审核，确保救助对象的“精准”，</w:t>
      </w:r>
      <w:r>
        <w:rPr>
          <w:rFonts w:hint="eastAsia" w:ascii="仿宋_GB2312" w:hAnsi="Calibri" w:eastAsia="仿宋_GB2312" w:cs="仿宋"/>
          <w:color w:val="auto"/>
          <w:kern w:val="0"/>
          <w:sz w:val="32"/>
          <w:szCs w:val="32"/>
          <w:lang w:val="zh-CN" w:eastAsia="zh-CN" w:bidi="ar-SA"/>
        </w:rPr>
        <w:t>严格按照</w:t>
      </w:r>
      <w:r>
        <w:rPr>
          <w:rFonts w:hint="eastAsia" w:ascii="仿宋_GB2312" w:hAnsi="Calibri" w:eastAsia="仿宋_GB2312" w:cs="仿宋"/>
          <w:color w:val="auto"/>
          <w:kern w:val="0"/>
          <w:sz w:val="32"/>
          <w:szCs w:val="32"/>
          <w:lang w:val="en-US" w:eastAsia="zh-CN" w:bidi="ar-SA"/>
        </w:rPr>
        <w:t>救助标准，按月在“一卡通”平台发放。2022年农村低保发放资金10722.436万元、保障人数42448人；城市低保发放资金2284.0526万元、保障人数4380人，使困难群众的基本生活得到有效保障。</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三、项目绩效情况</w:t>
      </w:r>
      <w:r>
        <w:rPr>
          <w:rFonts w:hint="eastAsia" w:ascii="黑体" w:hAnsi="黑体" w:eastAsia="黑体" w:cs="黑体"/>
          <w:b/>
          <w:bCs/>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（一）项目完成情况。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截止目前为止，该项目已实施完毕，城乡最低生活保障金</w:t>
      </w:r>
      <w:r>
        <w:rPr>
          <w:rFonts w:hint="eastAsia" w:ascii="仿宋_GB2312" w:hAnsi="Calibri" w:eastAsia="仿宋_GB2312" w:cs="仿宋"/>
          <w:color w:val="auto"/>
          <w:kern w:val="0"/>
          <w:sz w:val="32"/>
          <w:szCs w:val="32"/>
          <w:lang w:val="en-US" w:eastAsia="zh-CN" w:bidi="ar-SA"/>
        </w:rPr>
        <w:t>按月按标准发放，使困难群众的基本生活得到有效保障。</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720" w:leftChars="0"/>
        <w:textAlignment w:val="auto"/>
        <w:rPr>
          <w:rFonts w:hint="default" w:ascii="华文楷体" w:hAnsi="华文楷体" w:eastAsia="华文楷体" w:cs="华文楷体"/>
          <w:b/>
          <w:bCs/>
          <w:sz w:val="32"/>
          <w:szCs w:val="32"/>
          <w:lang w:val="en-US"/>
        </w:rPr>
      </w:pPr>
      <w:r>
        <w:rPr>
          <w:rFonts w:hint="eastAsia" w:ascii="华文楷体" w:hAnsi="华文楷体" w:eastAsia="华文楷体" w:cs="华文楷体"/>
          <w:b/>
          <w:bCs/>
          <w:sz w:val="32"/>
          <w:szCs w:val="32"/>
          <w:lang w:val="zh-CN"/>
        </w:rPr>
        <w:t>（二）项目效益情况。</w:t>
      </w:r>
      <w:r>
        <w:rPr>
          <w:rFonts w:hint="eastAsia" w:ascii="华文楷体" w:hAnsi="华文楷体" w:eastAsia="华文楷体" w:cs="华文楷体"/>
          <w:b/>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该项目的实施，按规定实施了城乡低保政策，</w:t>
      </w:r>
      <w:r>
        <w:rPr>
          <w:rFonts w:hint="eastAsia" w:ascii="仿宋_GB2312" w:hAnsi="Calibri" w:eastAsia="仿宋_GB2312" w:cs="仿宋"/>
          <w:color w:val="auto"/>
          <w:kern w:val="0"/>
          <w:sz w:val="32"/>
          <w:szCs w:val="32"/>
          <w:lang w:val="en-US" w:eastAsia="zh-CN" w:bidi="ar-SA"/>
        </w:rPr>
        <w:t>使困难群众的基本生活得到有效保障。</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四、问题及建议</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（一）存在的问题。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由于县财政支付困难，部分经费未按规定的时间进行及时支付。</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相关建议。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2023年还需上级、本级财政加大对困难群众救助补助资金投入，确保我县困难群众救助保障能力持续提升。</w:t>
      </w:r>
    </w:p>
    <w:tbl>
      <w:tblPr>
        <w:tblStyle w:val="16"/>
        <w:tblpPr w:leftFromText="180" w:rightFromText="180" w:vertAnchor="text" w:horzAnchor="page" w:tblpX="1628" w:tblpY="609"/>
        <w:tblOverlap w:val="never"/>
        <w:tblW w:w="8820" w:type="dxa"/>
        <w:tblInd w:w="0" w:type="dxa"/>
        <w:shd w:val="clear" w:color="auto" w:fill="auto"/>
        <w:tblLayout w:type="autofit"/>
        <w:tblCellMar>
          <w:top w:w="0" w:type="dxa"/>
          <w:left w:w="0" w:type="dxa"/>
          <w:bottom w:w="0" w:type="dxa"/>
          <w:right w:w="0" w:type="dxa"/>
        </w:tblCellMar>
      </w:tblPr>
      <w:tblGrid>
        <w:gridCol w:w="420"/>
        <w:gridCol w:w="570"/>
        <w:gridCol w:w="200"/>
        <w:gridCol w:w="820"/>
        <w:gridCol w:w="714"/>
        <w:gridCol w:w="846"/>
        <w:gridCol w:w="675"/>
        <w:gridCol w:w="1305"/>
        <w:gridCol w:w="1080"/>
        <w:gridCol w:w="675"/>
        <w:gridCol w:w="675"/>
        <w:gridCol w:w="240"/>
        <w:gridCol w:w="600"/>
      </w:tblGrid>
      <w:tr>
        <w:tblPrEx>
          <w:shd w:val="clear" w:color="auto" w:fill="auto"/>
          <w:tblCellMar>
            <w:top w:w="0" w:type="dxa"/>
            <w:left w:w="0" w:type="dxa"/>
            <w:bottom w:w="0" w:type="dxa"/>
            <w:right w:w="0" w:type="dxa"/>
          </w:tblCellMar>
        </w:tblPrEx>
        <w:trPr>
          <w:trHeight w:val="405" w:hRule="atLeast"/>
        </w:trPr>
        <w:tc>
          <w:tcPr>
            <w:tcW w:w="8820"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2022年度部门预算项目支出绩效自评表</w:t>
            </w:r>
          </w:p>
        </w:tc>
      </w:tr>
      <w:tr>
        <w:tblPrEx>
          <w:tblCellMar>
            <w:top w:w="0" w:type="dxa"/>
            <w:left w:w="0" w:type="dxa"/>
            <w:bottom w:w="0" w:type="dxa"/>
            <w:right w:w="0" w:type="dxa"/>
          </w:tblCellMar>
        </w:tblPrEx>
        <w:trPr>
          <w:trHeight w:val="500"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630"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农村最低生活保障</w:t>
            </w:r>
          </w:p>
        </w:tc>
      </w:tr>
      <w:tr>
        <w:tblPrEx>
          <w:tblCellMar>
            <w:top w:w="0" w:type="dxa"/>
            <w:left w:w="0" w:type="dxa"/>
            <w:bottom w:w="0" w:type="dxa"/>
            <w:right w:w="0" w:type="dxa"/>
          </w:tblCellMar>
        </w:tblPrEx>
        <w:trPr>
          <w:trHeight w:val="460"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305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剑阁县民政局</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剑阁县民政局</w:t>
            </w:r>
          </w:p>
        </w:tc>
      </w:tr>
      <w:tr>
        <w:tblPrEx>
          <w:tblCellMar>
            <w:top w:w="0" w:type="dxa"/>
            <w:left w:w="0" w:type="dxa"/>
            <w:bottom w:w="0" w:type="dxa"/>
            <w:right w:w="0" w:type="dxa"/>
          </w:tblCellMar>
        </w:tblPrEx>
        <w:trPr>
          <w:trHeight w:val="540"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资金情况</w:t>
            </w: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执行率（B/A)</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CellMar>
            <w:top w:w="0" w:type="dxa"/>
            <w:left w:w="0" w:type="dxa"/>
            <w:bottom w:w="0" w:type="dxa"/>
            <w:right w:w="0" w:type="dxa"/>
          </w:tblCellMar>
        </w:tblPrEx>
        <w:trPr>
          <w:trHeight w:val="560"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（万元）</w:t>
            </w: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10722.436</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10722.436</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720"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其中：中央、省、市财政资金</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8950.8502</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8950.8502</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580"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县级财政资金</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1771.5858</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1771.5858</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420" w:hRule="atLeast"/>
        </w:trPr>
        <w:tc>
          <w:tcPr>
            <w:tcW w:w="119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53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20"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382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年初设定目标</w:t>
            </w:r>
          </w:p>
        </w:tc>
        <w:tc>
          <w:tcPr>
            <w:tcW w:w="457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年度总体目标完成情况综述</w:t>
            </w:r>
          </w:p>
        </w:tc>
      </w:tr>
      <w:tr>
        <w:tblPrEx>
          <w:tblCellMar>
            <w:top w:w="0" w:type="dxa"/>
            <w:left w:w="0" w:type="dxa"/>
            <w:bottom w:w="0" w:type="dxa"/>
            <w:right w:w="0" w:type="dxa"/>
          </w:tblCellMar>
        </w:tblPrEx>
        <w:trPr>
          <w:trHeight w:val="114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82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全面落实困难群众救助政策，确保农村低保对象基本生活得到保障。</w:t>
            </w:r>
          </w:p>
        </w:tc>
        <w:tc>
          <w:tcPr>
            <w:tcW w:w="457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全面落实困难群众救助政策，按月足额发放救助资金，确保了城乡低保对象基本生活得到保障。</w:t>
            </w:r>
          </w:p>
        </w:tc>
      </w:tr>
      <w:tr>
        <w:tblPrEx>
          <w:tblCellMar>
            <w:top w:w="0" w:type="dxa"/>
            <w:left w:w="0" w:type="dxa"/>
            <w:bottom w:w="0" w:type="dxa"/>
            <w:right w:w="0" w:type="dxa"/>
          </w:tblCellMar>
        </w:tblPrEx>
        <w:trPr>
          <w:trHeight w:val="480"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0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5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自评得分</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财政复评得分</w:t>
            </w:r>
          </w:p>
        </w:tc>
        <w:tc>
          <w:tcPr>
            <w:tcW w:w="8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未完成原因及拟采取的改进措施</w:t>
            </w:r>
          </w:p>
        </w:tc>
      </w:tr>
      <w:tr>
        <w:tblPrEx>
          <w:tblCellMar>
            <w:top w:w="0" w:type="dxa"/>
            <w:left w:w="0" w:type="dxa"/>
            <w:bottom w:w="0" w:type="dxa"/>
            <w:right w:w="0"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5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实际值</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产出指标（50分）</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享受低保人数</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42448人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42448人</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24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低保标准</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农村A类480元/月、B类350元/月、C类190元/月；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农村A类480元/月、B类350元/月、C类190元/月；</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2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发放时间</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按月发放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按月发放</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50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效绩指标（30分）</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农村低保的发放</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保民生、保稳定</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保民生、保稳定</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50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57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满意度指标（10分）</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p>
        </w:tc>
        <w:tc>
          <w:tcPr>
            <w:tcW w:w="15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享受农村低保人员的满意度</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0" w:hRule="atLeast"/>
        </w:trPr>
        <w:tc>
          <w:tcPr>
            <w:tcW w:w="357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总分</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238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2"/>
        <w:rPr>
          <w:rFonts w:hint="eastAsia" w:ascii="仿宋_GB2312" w:hAnsi="Calibri" w:eastAsia="仿宋_GB2312" w:cs="仿宋"/>
          <w:color w:val="auto"/>
          <w:kern w:val="0"/>
          <w:sz w:val="32"/>
          <w:szCs w:val="32"/>
          <w:lang w:val="en-US" w:eastAsia="zh-CN" w:bidi="ar-SA"/>
        </w:rPr>
      </w:pPr>
    </w:p>
    <w:tbl>
      <w:tblPr>
        <w:tblStyle w:val="16"/>
        <w:tblW w:w="8535" w:type="dxa"/>
        <w:tblInd w:w="0" w:type="dxa"/>
        <w:shd w:val="clear" w:color="auto" w:fill="auto"/>
        <w:tblLayout w:type="autofit"/>
        <w:tblCellMar>
          <w:top w:w="0" w:type="dxa"/>
          <w:left w:w="0" w:type="dxa"/>
          <w:bottom w:w="0" w:type="dxa"/>
          <w:right w:w="0" w:type="dxa"/>
        </w:tblCellMar>
      </w:tblPr>
      <w:tblGrid>
        <w:gridCol w:w="435"/>
        <w:gridCol w:w="615"/>
        <w:gridCol w:w="285"/>
        <w:gridCol w:w="555"/>
        <w:gridCol w:w="765"/>
        <w:gridCol w:w="555"/>
        <w:gridCol w:w="690"/>
        <w:gridCol w:w="1245"/>
        <w:gridCol w:w="975"/>
        <w:gridCol w:w="645"/>
        <w:gridCol w:w="660"/>
        <w:gridCol w:w="315"/>
        <w:gridCol w:w="795"/>
      </w:tblGrid>
      <w:tr>
        <w:tblPrEx>
          <w:shd w:val="clear" w:color="auto" w:fill="auto"/>
          <w:tblCellMar>
            <w:top w:w="0" w:type="dxa"/>
            <w:left w:w="0" w:type="dxa"/>
            <w:bottom w:w="0" w:type="dxa"/>
            <w:right w:w="0" w:type="dxa"/>
          </w:tblCellMar>
        </w:tblPrEx>
        <w:trPr>
          <w:trHeight w:val="405" w:hRule="atLeast"/>
        </w:trPr>
        <w:tc>
          <w:tcPr>
            <w:tcW w:w="8535" w:type="dxa"/>
            <w:gridSpan w:val="13"/>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2022年度部门预算项目支出绩效自评表</w:t>
            </w:r>
          </w:p>
        </w:tc>
      </w:tr>
      <w:tr>
        <w:tblPrEx>
          <w:tblCellMar>
            <w:top w:w="0" w:type="dxa"/>
            <w:left w:w="0" w:type="dxa"/>
            <w:bottom w:w="0" w:type="dxa"/>
            <w:right w:w="0" w:type="dxa"/>
          </w:tblCellMar>
        </w:tblPrEx>
        <w:trPr>
          <w:trHeight w:val="52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7200"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城市最低生活保障</w:t>
            </w:r>
          </w:p>
        </w:tc>
      </w:tr>
      <w:tr>
        <w:tblPrEx>
          <w:tblCellMar>
            <w:top w:w="0" w:type="dxa"/>
            <w:left w:w="0" w:type="dxa"/>
            <w:bottom w:w="0" w:type="dxa"/>
            <w:right w:w="0" w:type="dxa"/>
          </w:tblCellMar>
        </w:tblPrEx>
        <w:trPr>
          <w:trHeight w:val="60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25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剑阁县民政局</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4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剑阁县民政局</w:t>
            </w:r>
          </w:p>
        </w:tc>
      </w:tr>
      <w:tr>
        <w:tblPrEx>
          <w:tblCellMar>
            <w:top w:w="0" w:type="dxa"/>
            <w:left w:w="0" w:type="dxa"/>
            <w:bottom w:w="0" w:type="dxa"/>
            <w:right w:w="0" w:type="dxa"/>
          </w:tblCellMar>
        </w:tblPrEx>
        <w:trPr>
          <w:trHeight w:val="60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资金情况</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执行率（B/A)</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CellMar>
            <w:top w:w="0" w:type="dxa"/>
            <w:left w:w="0" w:type="dxa"/>
            <w:bottom w:w="0" w:type="dxa"/>
            <w:right w:w="0" w:type="dxa"/>
          </w:tblCellMar>
        </w:tblPrEx>
        <w:trPr>
          <w:trHeight w:val="600" w:hRule="atLeast"/>
        </w:trPr>
        <w:tc>
          <w:tcPr>
            <w:tcW w:w="13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（万元）</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2284.0526</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2284.0526</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9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其中：中央、省、市财政资金</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2269.1498</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2269.1498</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6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县级财政资金</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14.9028</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14.9028</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r>
      <w:tr>
        <w:tblPrEx>
          <w:tblCellMar>
            <w:top w:w="0" w:type="dxa"/>
            <w:left w:w="0" w:type="dxa"/>
            <w:bottom w:w="0" w:type="dxa"/>
            <w:right w:w="0" w:type="dxa"/>
          </w:tblCellMar>
        </w:tblPrEx>
        <w:trPr>
          <w:trHeight w:val="60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124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0" w:hRule="atLeast"/>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346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年初设定目标</w:t>
            </w:r>
          </w:p>
        </w:tc>
        <w:tc>
          <w:tcPr>
            <w:tcW w:w="463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年度总体目标完成情况综述</w:t>
            </w:r>
          </w:p>
        </w:tc>
      </w:tr>
      <w:tr>
        <w:tblPrEx>
          <w:tblCellMar>
            <w:top w:w="0" w:type="dxa"/>
            <w:left w:w="0" w:type="dxa"/>
            <w:bottom w:w="0" w:type="dxa"/>
            <w:right w:w="0" w:type="dxa"/>
          </w:tblCellMar>
        </w:tblPrEx>
        <w:trPr>
          <w:trHeight w:val="98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46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全面落实困难群众救助政策，确保城市低保对象基本生活得到保障。</w:t>
            </w:r>
          </w:p>
        </w:tc>
        <w:tc>
          <w:tcPr>
            <w:tcW w:w="463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全面落实困难群众救助政策，按月足额发放救助资金，确保了城市低保对象基本生活得到保障。</w:t>
            </w:r>
          </w:p>
        </w:tc>
      </w:tr>
      <w:tr>
        <w:tblPrEx>
          <w:tblCellMar>
            <w:top w:w="0" w:type="dxa"/>
            <w:left w:w="0" w:type="dxa"/>
            <w:bottom w:w="0" w:type="dxa"/>
            <w:right w:w="0" w:type="dxa"/>
          </w:tblCellMar>
        </w:tblPrEx>
        <w:trPr>
          <w:trHeight w:val="660" w:hRule="atLeast"/>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8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自评得分</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财政复评得分</w:t>
            </w:r>
          </w:p>
        </w:tc>
        <w:tc>
          <w:tcPr>
            <w:tcW w:w="11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未完成原因及拟采取的改进措施</w:t>
            </w:r>
          </w:p>
        </w:tc>
      </w:tr>
      <w:tr>
        <w:tblPrEx>
          <w:tblCellMar>
            <w:top w:w="0" w:type="dxa"/>
            <w:left w:w="0" w:type="dxa"/>
            <w:bottom w:w="0" w:type="dxa"/>
            <w:right w:w="0" w:type="dxa"/>
          </w:tblCellMar>
        </w:tblPrEx>
        <w:trPr>
          <w:trHeight w:val="56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实际值</w:t>
            </w: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6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产出指标（50分）</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享受低保人数</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4380人</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4380</w:t>
            </w:r>
            <w:r>
              <w:rPr>
                <w:rFonts w:hint="eastAsia" w:ascii="宋体" w:hAnsi="宋体" w:eastAsia="宋体" w:cs="宋体"/>
                <w:i w:val="0"/>
                <w:color w:val="000000"/>
                <w:kern w:val="0"/>
                <w:sz w:val="20"/>
                <w:szCs w:val="20"/>
                <w:u w:val="none"/>
                <w:lang w:val="en-US" w:eastAsia="zh-CN" w:bidi="ar"/>
              </w:rPr>
              <w:t>人</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bookmarkStart w:id="29" w:name="_GoBack"/>
            <w:bookmarkEnd w:id="29"/>
          </w:p>
        </w:tc>
      </w:tr>
      <w:tr>
        <w:tblPrEx>
          <w:tblCellMar>
            <w:top w:w="0" w:type="dxa"/>
            <w:left w:w="0" w:type="dxa"/>
            <w:bottom w:w="0" w:type="dxa"/>
            <w:right w:w="0" w:type="dxa"/>
          </w:tblCellMar>
        </w:tblPrEx>
        <w:trPr>
          <w:trHeight w:val="86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低保标准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城市低保实行补差680元/月</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城市低保实行补差680元/月</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70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发放时间</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按月发放</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按月发放</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2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效绩指标（30分）</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城市低保的发放</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保民生、保稳定</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保民生、保稳定</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92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满意度指标（10分）</w:t>
            </w:r>
          </w:p>
        </w:tc>
        <w:tc>
          <w:tcPr>
            <w:tcW w:w="84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p>
        </w:tc>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享受城市低保人员的满意度</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0" w:hRule="atLeast"/>
        </w:trPr>
        <w:tc>
          <w:tcPr>
            <w:tcW w:w="321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22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2"/>
        <w:rPr>
          <w:rFonts w:hint="eastAsia" w:ascii="仿宋_GB2312" w:hAnsi="Calibri" w:eastAsia="仿宋_GB2312" w:cs="仿宋"/>
          <w:color w:val="auto"/>
          <w:kern w:val="0"/>
          <w:sz w:val="32"/>
          <w:szCs w:val="32"/>
          <w:lang w:val="en-US" w:eastAsia="zh-CN" w:bidi="ar-SA"/>
        </w:rPr>
      </w:pPr>
    </w:p>
    <w:p>
      <w:pPr>
        <w:pStyle w:val="2"/>
        <w:rPr>
          <w:rFonts w:hint="eastAsia" w:ascii="仿宋_GB2312" w:hAnsi="Calibri" w:eastAsia="仿宋_GB2312" w:cs="仿宋"/>
          <w:color w:val="auto"/>
          <w:kern w:val="0"/>
          <w:sz w:val="32"/>
          <w:szCs w:val="32"/>
          <w:lang w:val="en-US" w:eastAsia="zh-CN" w:bidi="ar-SA"/>
        </w:rPr>
      </w:pPr>
    </w:p>
    <w:p>
      <w:pPr>
        <w:pStyle w:val="15"/>
      </w:pP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44"/>
          <w:szCs w:val="44"/>
          <w:lang w:val="zh-CN" w:eastAsia="zh-CN"/>
        </w:rPr>
      </w:pPr>
    </w:p>
    <w:p>
      <w:pPr>
        <w:pStyle w:val="15"/>
        <w:rPr>
          <w:rFonts w:hint="eastAsia"/>
          <w:lang w:val="zh-CN" w:eastAsia="zh-CN"/>
        </w:rPr>
      </w:pP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44"/>
          <w:szCs w:val="44"/>
          <w:lang w:val="zh-CN" w:eastAsia="zh-CN"/>
        </w:rPr>
      </w:pP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44"/>
          <w:szCs w:val="44"/>
          <w:lang w:val="zh-CN" w:eastAsia="zh-CN"/>
        </w:rPr>
      </w:pP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44"/>
          <w:szCs w:val="44"/>
          <w:lang w:val="zh-CN" w:eastAsia="zh-CN"/>
        </w:rPr>
      </w:pP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44"/>
          <w:szCs w:val="44"/>
          <w:lang w:val="zh-CN" w:eastAsia="zh-CN"/>
        </w:rPr>
      </w:pP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44"/>
          <w:szCs w:val="44"/>
          <w:lang w:val="zh-CN" w:eastAsia="zh-CN"/>
        </w:rPr>
      </w:pP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44"/>
          <w:szCs w:val="44"/>
          <w:lang w:val="zh-CN" w:eastAsia="zh-CN"/>
        </w:rPr>
      </w:pPr>
      <w:r>
        <w:rPr>
          <w:rFonts w:hint="eastAsia" w:ascii="华文中宋" w:hAnsi="华文中宋" w:eastAsia="华文中宋" w:cs="华文中宋"/>
          <w:b/>
          <w:bCs/>
          <w:sz w:val="44"/>
          <w:szCs w:val="44"/>
          <w:lang w:val="zh-CN" w:eastAsia="zh-CN"/>
        </w:rPr>
        <w:t>剑阁县民政局</w:t>
      </w:r>
      <w:r>
        <w:rPr>
          <w:rFonts w:hint="eastAsia" w:ascii="华文中宋" w:hAnsi="华文中宋" w:eastAsia="华文中宋" w:cs="华文中宋"/>
          <w:b/>
          <w:bCs/>
          <w:sz w:val="44"/>
          <w:szCs w:val="44"/>
          <w:lang w:val="en-US" w:eastAsia="zh-CN"/>
        </w:rPr>
        <w:t>“福彩圆梦.孤儿助学”工程</w:t>
      </w:r>
    </w:p>
    <w:p>
      <w:pPr>
        <w:keepNext w:val="0"/>
        <w:keepLines w:val="0"/>
        <w:pageBreakBefore w:val="0"/>
        <w:widowControl w:val="0"/>
        <w:kinsoku/>
        <w:overflowPunct/>
        <w:topLinePunct w:val="0"/>
        <w:autoSpaceDE/>
        <w:autoSpaceDN/>
        <w:bidi w:val="0"/>
        <w:adjustRightInd w:val="0"/>
        <w:snapToGrid w:val="0"/>
        <w:spacing w:line="580" w:lineRule="exact"/>
        <w:ind w:left="0" w:leftChars="0" w:firstLine="0" w:firstLineChars="0"/>
        <w:jc w:val="center"/>
        <w:rPr>
          <w:rFonts w:hint="eastAsia" w:ascii="华文中宋" w:hAnsi="华文中宋" w:eastAsia="华文中宋" w:cs="华文中宋"/>
          <w:b/>
          <w:bCs/>
          <w:sz w:val="44"/>
          <w:szCs w:val="44"/>
          <w:lang w:val="zh-CN" w:eastAsia="zh-CN"/>
        </w:rPr>
      </w:pPr>
      <w:r>
        <w:rPr>
          <w:rFonts w:hint="eastAsia" w:ascii="华文中宋" w:hAnsi="华文中宋" w:eastAsia="华文中宋" w:cs="华文中宋"/>
          <w:b/>
          <w:bCs/>
          <w:sz w:val="44"/>
          <w:szCs w:val="44"/>
          <w:lang w:val="zh-CN"/>
        </w:rPr>
        <w:t>支出绩效自评报告</w:t>
      </w:r>
      <w:r>
        <w:rPr>
          <w:rFonts w:hint="eastAsia" w:ascii="华文中宋" w:hAnsi="华文中宋" w:eastAsia="华文中宋" w:cs="华文中宋"/>
          <w:b/>
          <w:bCs/>
          <w:sz w:val="44"/>
          <w:szCs w:val="44"/>
          <w:lang w:val="en-US" w:eastAsia="zh-CN"/>
        </w:rPr>
        <w:t xml:space="preserve"> </w:t>
      </w:r>
    </w:p>
    <w:p>
      <w:pPr>
        <w:keepNext w:val="0"/>
        <w:keepLines w:val="0"/>
        <w:pageBreakBefore w:val="0"/>
        <w:widowControl w:val="0"/>
        <w:kinsoku/>
        <w:overflowPunct/>
        <w:topLinePunct w:val="0"/>
        <w:autoSpaceDE/>
        <w:autoSpaceDN/>
        <w:bidi w:val="0"/>
        <w:adjustRightInd w:val="0"/>
        <w:snapToGrid w:val="0"/>
        <w:spacing w:line="580" w:lineRule="exact"/>
        <w:ind w:firstLine="720"/>
        <w:rPr>
          <w:rFonts w:hint="eastAsia" w:ascii="仿宋_GB2312" w:hAnsi="宋体" w:eastAsia="宋体"/>
          <w:sz w:val="44"/>
          <w:szCs w:val="44"/>
          <w:lang w:val="zh-CN" w:eastAsia="zh-CN"/>
        </w:rPr>
      </w:pPr>
      <w:r>
        <w:rPr>
          <w:rFonts w:hint="eastAsia" w:ascii="华文中宋" w:hAnsi="华文中宋" w:eastAsia="华文中宋" w:cs="华文中宋"/>
          <w:b w:val="0"/>
          <w:bCs w:val="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一、项目概况</w:t>
      </w:r>
    </w:p>
    <w:p>
      <w:pPr>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项目资金申报及批复情况。</w:t>
      </w:r>
    </w:p>
    <w:p>
      <w:pPr>
        <w:ind w:firstLine="640" w:firstLineChars="200"/>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zh-CN" w:eastAsia="zh-CN" w:bidi="ar-SA"/>
        </w:rPr>
        <w:t>剑阁县民政局</w:t>
      </w:r>
      <w:r>
        <w:rPr>
          <w:rFonts w:hint="eastAsia" w:ascii="仿宋_GB2312" w:hAnsi="Calibri" w:eastAsia="仿宋_GB2312" w:cs="仿宋"/>
          <w:color w:val="auto"/>
          <w:kern w:val="0"/>
          <w:sz w:val="32"/>
          <w:szCs w:val="32"/>
          <w:lang w:val="en-US" w:eastAsia="zh-CN" w:bidi="ar-SA"/>
        </w:rPr>
        <w:t>“福彩圆梦.孤儿助学”工程</w:t>
      </w:r>
      <w:r>
        <w:rPr>
          <w:rFonts w:hint="eastAsia" w:ascii="仿宋_GB2312" w:hAnsi="Calibri" w:eastAsia="仿宋_GB2312" w:cs="仿宋"/>
          <w:color w:val="auto"/>
          <w:kern w:val="0"/>
          <w:sz w:val="32"/>
          <w:szCs w:val="32"/>
          <w:lang w:val="zh-CN" w:eastAsia="zh-CN" w:bidi="ar-SA"/>
        </w:rPr>
        <w:t>全年申报资金</w:t>
      </w:r>
      <w:r>
        <w:rPr>
          <w:rFonts w:hint="eastAsia" w:ascii="仿宋_GB2312" w:hAnsi="Calibri" w:eastAsia="仿宋_GB2312" w:cs="仿宋"/>
          <w:color w:val="auto"/>
          <w:kern w:val="0"/>
          <w:sz w:val="32"/>
          <w:szCs w:val="32"/>
          <w:lang w:val="en-US" w:eastAsia="zh-CN" w:bidi="ar-SA"/>
        </w:rPr>
        <w:t>21万元，财政批复21万元。</w:t>
      </w:r>
    </w:p>
    <w:p>
      <w:pPr>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left="0" w:leftChars="0" w:firstLine="720" w:firstLineChars="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项目绩效目标。</w:t>
      </w:r>
    </w:p>
    <w:p>
      <w:pPr>
        <w:ind w:firstLine="640" w:firstLineChars="200"/>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2022年度“福彩圆梦.孤儿助学”工程项目，资助考上普通全日制本科、专科等学校的21名孤儿完成了学业。</w:t>
      </w:r>
    </w:p>
    <w:p>
      <w:pPr>
        <w:pStyle w:val="15"/>
        <w:rPr>
          <w:rFonts w:hint="eastAsia"/>
          <w:lang w:val="zh-CN"/>
        </w:rPr>
      </w:pPr>
      <w:r>
        <w:rPr>
          <w:rFonts w:hint="eastAsia" w:ascii="仿宋" w:hAnsi="仿宋" w:eastAsia="仿宋" w:cs="仿宋"/>
          <w:b/>
          <w:bCs/>
          <w:sz w:val="32"/>
          <w:szCs w:val="32"/>
          <w:lang w:val="zh-CN"/>
        </w:rPr>
        <w:t>（三）</w:t>
      </w:r>
      <w:r>
        <w:rPr>
          <w:rFonts w:hint="eastAsia" w:ascii="华文楷体" w:hAnsi="华文楷体" w:eastAsia="华文楷体" w:cs="华文楷体"/>
          <w:b/>
          <w:bCs/>
          <w:color w:val="auto"/>
          <w:kern w:val="2"/>
          <w:sz w:val="32"/>
          <w:szCs w:val="32"/>
          <w:lang w:val="zh-CN" w:eastAsia="zh-CN" w:bidi="ar-SA"/>
        </w:rPr>
        <w:t>项目资金申报相符性。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textAlignment w:val="auto"/>
        <w:rPr>
          <w:rFonts w:hint="eastAsia" w:ascii="仿宋_GB2312" w:hAnsi="Calibri" w:eastAsia="仿宋_GB2312" w:cs="仿宋"/>
          <w:color w:val="auto"/>
          <w:kern w:val="0"/>
          <w:sz w:val="32"/>
          <w:szCs w:val="32"/>
          <w:lang w:val="zh-CN" w:eastAsia="zh-CN" w:bidi="ar-SA"/>
        </w:rPr>
      </w:pPr>
      <w:r>
        <w:rPr>
          <w:rFonts w:hint="eastAsia" w:ascii="华文楷体" w:hAnsi="华文楷体" w:eastAsia="华文楷体" w:cs="华文楷体"/>
          <w:b/>
          <w:bCs/>
          <w:sz w:val="32"/>
          <w:szCs w:val="32"/>
          <w:lang w:val="en-US" w:eastAsia="zh-CN"/>
        </w:rPr>
        <w:t xml:space="preserve">   </w:t>
      </w:r>
      <w:r>
        <w:rPr>
          <w:rFonts w:hint="eastAsia" w:ascii="楷体_GB2312" w:hAnsi="楷体_GB2312" w:eastAsia="楷体_GB2312" w:cs="楷体_GB2312"/>
          <w:sz w:val="32"/>
          <w:szCs w:val="32"/>
          <w:lang w:val="en-US" w:eastAsia="zh-CN"/>
        </w:rPr>
        <w:t xml:space="preserve"> </w:t>
      </w:r>
      <w:r>
        <w:rPr>
          <w:rFonts w:hint="eastAsia" w:ascii="仿宋_GB2312" w:hAnsi="Calibri" w:eastAsia="仿宋_GB2312" w:cs="仿宋"/>
          <w:color w:val="auto"/>
          <w:kern w:val="0"/>
          <w:sz w:val="32"/>
          <w:szCs w:val="32"/>
          <w:lang w:val="en-US" w:eastAsia="zh-CN" w:bidi="ar-SA"/>
        </w:rPr>
        <w:t>该</w:t>
      </w:r>
      <w:r>
        <w:rPr>
          <w:rFonts w:hint="eastAsia" w:ascii="仿宋_GB2312" w:hAnsi="Calibri" w:eastAsia="仿宋_GB2312" w:cs="仿宋"/>
          <w:color w:val="auto"/>
          <w:kern w:val="0"/>
          <w:sz w:val="32"/>
          <w:szCs w:val="32"/>
          <w:lang w:val="zh-CN" w:eastAsia="zh-CN" w:bidi="ar-SA"/>
        </w:rPr>
        <w:t>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二、项目实施及管理情况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961" w:firstLineChars="30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en-US" w:eastAsia="zh-CN"/>
        </w:rPr>
        <w:t>(</w:t>
      </w:r>
      <w:r>
        <w:rPr>
          <w:rFonts w:hint="eastAsia" w:ascii="华文楷体" w:hAnsi="华文楷体" w:eastAsia="华文楷体" w:cs="华文楷体"/>
          <w:b/>
          <w:bCs/>
          <w:sz w:val="32"/>
          <w:szCs w:val="32"/>
          <w:lang w:val="zh-CN"/>
        </w:rPr>
        <w:t>一）资金计划、到位及使用情况。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1.</w:t>
      </w:r>
      <w:r>
        <w:rPr>
          <w:rFonts w:hint="eastAsia" w:ascii="仿宋_GB2312" w:hAnsi="Calibri" w:eastAsia="仿宋_GB2312" w:cs="仿宋"/>
          <w:color w:val="auto"/>
          <w:kern w:val="0"/>
          <w:sz w:val="32"/>
          <w:szCs w:val="32"/>
          <w:lang w:val="zh-CN" w:eastAsia="zh-CN" w:bidi="ar-SA"/>
        </w:rPr>
        <w:t>资金计划及到位。该项目</w:t>
      </w:r>
      <w:r>
        <w:rPr>
          <w:rFonts w:hint="eastAsia" w:ascii="仿宋_GB2312" w:hAnsi="Calibri" w:eastAsia="仿宋_GB2312" w:cs="仿宋"/>
          <w:color w:val="auto"/>
          <w:kern w:val="0"/>
          <w:sz w:val="32"/>
          <w:szCs w:val="32"/>
          <w:lang w:val="en-US" w:eastAsia="zh-CN" w:bidi="ar-SA"/>
        </w:rPr>
        <w:t>2022年财政计划资金21万元，所有资金全部到位，其中中央福彩资金21万元。全部资金到位及时，到位率100%。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2.资金使用。截止2022年底资金已支付21万元，所有的</w:t>
      </w:r>
      <w:r>
        <w:rPr>
          <w:rFonts w:hint="eastAsia" w:ascii="仿宋_GB2312" w:hAnsi="Calibri" w:eastAsia="仿宋_GB2312" w:cs="仿宋"/>
          <w:color w:val="auto"/>
          <w:kern w:val="0"/>
          <w:sz w:val="32"/>
          <w:szCs w:val="32"/>
          <w:lang w:val="zh-CN" w:eastAsia="zh-CN" w:bidi="ar-SA"/>
        </w:rPr>
        <w:t>资金</w:t>
      </w:r>
      <w:r>
        <w:rPr>
          <w:rFonts w:hint="eastAsia" w:ascii="仿宋_GB2312" w:hAnsi="Calibri" w:eastAsia="仿宋_GB2312" w:cs="仿宋"/>
          <w:color w:val="auto"/>
          <w:kern w:val="0"/>
          <w:sz w:val="32"/>
          <w:szCs w:val="32"/>
          <w:lang w:val="en-US" w:eastAsia="zh-CN" w:bidi="ar-SA"/>
        </w:rPr>
        <w:t>支付合规合法，资金支付与预算相符。</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（二）项目财务管理情况。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该项目严格按照《中华人民共和国预算法》、《中华人民共和国预算法实施条例》、《四川省民政厅福利彩票公益金使用管理办法》及转移支付管理制度规定管理和使用，严格执行财务管理制度，财务处理及时，会计核算规范。</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（三）项目组织实施情况。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en-US" w:eastAsia="zh-CN" w:bidi="ar-SA"/>
        </w:rPr>
        <w:t>2022年度“福彩圆梦.孤儿助学”工程资金的使用严格遵循福利彩票“扶老、助残、救孤、济困”的发行宗旨，坚持“统筹规划、突出重点、权责明确、分级负责、依法管理、规范使用、公开透明、监督问效”的管理原则，全面绩效管理，专款专用。</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三、项目绩效情况</w:t>
      </w:r>
      <w:r>
        <w:rPr>
          <w:rFonts w:hint="eastAsia" w:ascii="黑体" w:hAnsi="黑体" w:eastAsia="黑体" w:cs="黑体"/>
          <w:b/>
          <w:bCs/>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（一）项目完成情况。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Calibri" w:eastAsia="仿宋_GB2312" w:cs="仿宋"/>
          <w:color w:val="auto"/>
          <w:kern w:val="0"/>
          <w:sz w:val="32"/>
          <w:szCs w:val="32"/>
          <w:lang w:val="en-US" w:eastAsia="zh-CN" w:bidi="ar-SA"/>
        </w:rPr>
      </w:pPr>
      <w:r>
        <w:rPr>
          <w:rFonts w:hint="eastAsia" w:ascii="仿宋_GB2312" w:hAnsi="Calibri" w:eastAsia="仿宋_GB2312" w:cs="仿宋"/>
          <w:color w:val="auto"/>
          <w:kern w:val="0"/>
          <w:sz w:val="32"/>
          <w:szCs w:val="32"/>
          <w:lang w:val="zh-CN" w:eastAsia="zh-CN" w:bidi="ar-SA"/>
        </w:rPr>
        <w:t>截止目前为止，该项目已实施完毕，</w:t>
      </w:r>
      <w:r>
        <w:rPr>
          <w:rFonts w:hint="eastAsia" w:ascii="仿宋_GB2312" w:hAnsi="Calibri" w:eastAsia="仿宋_GB2312" w:cs="仿宋"/>
          <w:color w:val="auto"/>
          <w:kern w:val="0"/>
          <w:sz w:val="32"/>
          <w:szCs w:val="32"/>
          <w:lang w:val="en-US" w:eastAsia="zh-CN" w:bidi="ar-SA"/>
        </w:rPr>
        <w:t>2022年度“福彩圆梦.孤儿助学”按补助标准10000元/年*人发放，资助考上普通全日制本科、专科等学校的21名孤儿完成了学业。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720" w:leftChars="0"/>
        <w:textAlignment w:val="auto"/>
        <w:rPr>
          <w:rFonts w:hint="default" w:ascii="华文楷体" w:hAnsi="华文楷体" w:eastAsia="华文楷体" w:cs="华文楷体"/>
          <w:b/>
          <w:bCs/>
          <w:sz w:val="32"/>
          <w:szCs w:val="32"/>
          <w:lang w:val="en-US"/>
        </w:rPr>
      </w:pPr>
      <w:r>
        <w:rPr>
          <w:rFonts w:hint="eastAsia" w:ascii="华文楷体" w:hAnsi="华文楷体" w:eastAsia="华文楷体" w:cs="华文楷体"/>
          <w:b/>
          <w:bCs/>
          <w:sz w:val="32"/>
          <w:szCs w:val="32"/>
          <w:lang w:val="zh-CN"/>
        </w:rPr>
        <w:t>（二）项目效益情况。</w:t>
      </w:r>
      <w:r>
        <w:rPr>
          <w:rFonts w:hint="eastAsia" w:ascii="华文楷体" w:hAnsi="华文楷体" w:eastAsia="华文楷体" w:cs="华文楷体"/>
          <w:b/>
          <w:bCs/>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960" w:firstLineChars="300"/>
        <w:textAlignment w:val="auto"/>
        <w:rPr>
          <w:rFonts w:hint="eastAsia" w:ascii="楷体_GB2312" w:hAnsi="楷体_GB2312" w:eastAsia="楷体_GB2312" w:cs="楷体_GB2312"/>
          <w:b w:val="0"/>
          <w:bCs w:val="0"/>
          <w:sz w:val="32"/>
          <w:szCs w:val="32"/>
          <w:lang w:val="zh-CN" w:eastAsia="zh-CN"/>
        </w:rPr>
      </w:pPr>
      <w:r>
        <w:rPr>
          <w:rFonts w:hint="eastAsia" w:ascii="仿宋_GB2312" w:hAnsi="Calibri" w:eastAsia="仿宋_GB2312" w:cs="仿宋"/>
          <w:color w:val="auto"/>
          <w:kern w:val="0"/>
          <w:sz w:val="32"/>
          <w:szCs w:val="32"/>
          <w:lang w:val="zh-CN" w:eastAsia="zh-CN" w:bidi="ar-SA"/>
        </w:rPr>
        <w:t>该项目的实施，严格</w:t>
      </w:r>
      <w:r>
        <w:rPr>
          <w:rFonts w:hint="eastAsia" w:ascii="仿宋_GB2312" w:hAnsi="Calibri" w:eastAsia="仿宋_GB2312" w:cs="仿宋"/>
          <w:color w:val="auto"/>
          <w:kern w:val="0"/>
          <w:sz w:val="32"/>
          <w:szCs w:val="32"/>
          <w:lang w:val="en-US" w:eastAsia="zh-CN" w:bidi="ar-SA"/>
        </w:rPr>
        <w:t>遵循福利彩票“扶老、助残、救孤、济困”的发行宗旨使用，社会效益是促进儿童社会福利事业发展体系更加健全。</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黑体" w:hAnsi="黑体" w:eastAsia="黑体" w:cs="黑体"/>
          <w:b/>
          <w:bCs/>
          <w:sz w:val="32"/>
          <w:szCs w:val="32"/>
          <w:lang w:val="zh-CN"/>
        </w:rPr>
      </w:pPr>
      <w:r>
        <w:rPr>
          <w:rFonts w:hint="eastAsia" w:ascii="黑体" w:hAnsi="黑体" w:eastAsia="黑体" w:cs="黑体"/>
          <w:b/>
          <w:bCs/>
          <w:sz w:val="32"/>
          <w:szCs w:val="32"/>
          <w:lang w:val="zh-CN"/>
        </w:rPr>
        <w:t>四、问题及建议</w:t>
      </w:r>
    </w:p>
    <w:p>
      <w:pPr>
        <w:keepNext w:val="0"/>
        <w:keepLines w:val="0"/>
        <w:pageBreakBefore w:val="0"/>
        <w:widowControl w:val="0"/>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（一）存在的问题。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960" w:firstLineChars="300"/>
        <w:textAlignment w:val="auto"/>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由于县财政支付困难，部分经费未按规定的时间进行及时支付。</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firstLine="720"/>
        <w:textAlignment w:val="auto"/>
        <w:rPr>
          <w:rFonts w:hint="eastAsia"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相关建议。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960" w:firstLineChars="300"/>
        <w:textAlignment w:val="auto"/>
        <w:rPr>
          <w:rFonts w:hint="eastAsia" w:ascii="仿宋_GB2312" w:hAnsi="Calibri" w:eastAsia="仿宋_GB2312" w:cs="仿宋"/>
          <w:color w:val="auto"/>
          <w:kern w:val="0"/>
          <w:sz w:val="32"/>
          <w:szCs w:val="32"/>
          <w:lang w:val="zh-CN" w:eastAsia="zh-CN" w:bidi="ar-SA"/>
        </w:rPr>
      </w:pPr>
      <w:r>
        <w:rPr>
          <w:rFonts w:hint="eastAsia" w:ascii="仿宋_GB2312" w:hAnsi="Calibri" w:eastAsia="仿宋_GB2312" w:cs="仿宋"/>
          <w:color w:val="auto"/>
          <w:kern w:val="0"/>
          <w:sz w:val="32"/>
          <w:szCs w:val="32"/>
          <w:lang w:val="en-US" w:eastAsia="zh-CN" w:bidi="ar-SA"/>
        </w:rPr>
        <w:t>2023年还需上级、本级财政加大对孤儿助学补助资金投入，促进我县儿童社会福利事业发展体系更加健全。</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960" w:firstLineChars="300"/>
        <w:textAlignment w:val="auto"/>
        <w:rPr>
          <w:rFonts w:hint="eastAsia" w:ascii="仿宋_GB2312" w:hAnsi="Calibri" w:eastAsia="仿宋_GB2312" w:cs="仿宋"/>
          <w:color w:val="auto"/>
          <w:kern w:val="0"/>
          <w:sz w:val="32"/>
          <w:szCs w:val="32"/>
          <w:lang w:val="en-US" w:eastAsia="zh-CN" w:bidi="ar-SA"/>
        </w:rPr>
      </w:pPr>
    </w:p>
    <w:tbl>
      <w:tblPr>
        <w:tblStyle w:val="16"/>
        <w:tblpPr w:leftFromText="180" w:rightFromText="180" w:vertAnchor="text" w:horzAnchor="page" w:tblpX="1428" w:tblpY="463"/>
        <w:tblOverlap w:val="never"/>
        <w:tblW w:w="9015" w:type="dxa"/>
        <w:tblInd w:w="0" w:type="dxa"/>
        <w:shd w:val="clear" w:color="auto" w:fill="auto"/>
        <w:tblLayout w:type="fixed"/>
        <w:tblCellMar>
          <w:top w:w="0" w:type="dxa"/>
          <w:left w:w="0" w:type="dxa"/>
          <w:bottom w:w="0" w:type="dxa"/>
          <w:right w:w="0" w:type="dxa"/>
        </w:tblCellMar>
      </w:tblPr>
      <w:tblGrid>
        <w:gridCol w:w="600"/>
        <w:gridCol w:w="1017"/>
        <w:gridCol w:w="858"/>
        <w:gridCol w:w="442"/>
        <w:gridCol w:w="968"/>
        <w:gridCol w:w="780"/>
        <w:gridCol w:w="1050"/>
        <w:gridCol w:w="825"/>
        <w:gridCol w:w="735"/>
        <w:gridCol w:w="615"/>
        <w:gridCol w:w="435"/>
        <w:gridCol w:w="690"/>
      </w:tblGrid>
      <w:tr>
        <w:tblPrEx>
          <w:shd w:val="clear" w:color="auto" w:fill="auto"/>
          <w:tblCellMar>
            <w:top w:w="0" w:type="dxa"/>
            <w:left w:w="0" w:type="dxa"/>
            <w:bottom w:w="0" w:type="dxa"/>
            <w:right w:w="0" w:type="dxa"/>
          </w:tblCellMar>
        </w:tblPrEx>
        <w:trPr>
          <w:trHeight w:val="660" w:hRule="atLeast"/>
        </w:trPr>
        <w:tc>
          <w:tcPr>
            <w:tcW w:w="9015" w:type="dxa"/>
            <w:gridSpan w:val="12"/>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2022年度部门预算项目支出绩效自评表</w:t>
            </w:r>
          </w:p>
        </w:tc>
      </w:tr>
      <w:tr>
        <w:tblPrEx>
          <w:tblCellMar>
            <w:top w:w="0" w:type="dxa"/>
            <w:left w:w="0" w:type="dxa"/>
            <w:bottom w:w="0" w:type="dxa"/>
            <w:right w:w="0" w:type="dxa"/>
          </w:tblCellMar>
        </w:tblPrEx>
        <w:trPr>
          <w:trHeight w:val="442" w:hRule="atLeast"/>
        </w:trPr>
        <w:tc>
          <w:tcPr>
            <w:tcW w:w="16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304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“福彩圆梦.孤儿助学”工程</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项目负责人及电话</w:t>
            </w:r>
          </w:p>
        </w:tc>
        <w:tc>
          <w:tcPr>
            <w:tcW w:w="247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附佐航 0839-6601636</w:t>
            </w:r>
          </w:p>
        </w:tc>
      </w:tr>
      <w:tr>
        <w:tblPrEx>
          <w:tblCellMar>
            <w:top w:w="0" w:type="dxa"/>
            <w:left w:w="0" w:type="dxa"/>
            <w:bottom w:w="0" w:type="dxa"/>
            <w:right w:w="0" w:type="dxa"/>
          </w:tblCellMar>
        </w:tblPrEx>
        <w:trPr>
          <w:trHeight w:val="409" w:hRule="atLeast"/>
        </w:trPr>
        <w:tc>
          <w:tcPr>
            <w:tcW w:w="16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304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剑阁县民政局</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247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剑阁县民政局</w:t>
            </w:r>
          </w:p>
        </w:tc>
      </w:tr>
      <w:tr>
        <w:tblPrEx>
          <w:tblCellMar>
            <w:top w:w="0" w:type="dxa"/>
            <w:left w:w="0" w:type="dxa"/>
            <w:bottom w:w="0" w:type="dxa"/>
            <w:right w:w="0" w:type="dxa"/>
          </w:tblCellMar>
        </w:tblPrEx>
        <w:trPr>
          <w:trHeight w:val="579" w:hRule="atLeast"/>
        </w:trPr>
        <w:tc>
          <w:tcPr>
            <w:tcW w:w="16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资金情况</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全年预算数（A）</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全年执行数（B）</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执行率（B/A)</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CellMar>
            <w:top w:w="0" w:type="dxa"/>
            <w:left w:w="0" w:type="dxa"/>
            <w:bottom w:w="0" w:type="dxa"/>
            <w:right w:w="0" w:type="dxa"/>
          </w:tblCellMar>
        </w:tblPrEx>
        <w:trPr>
          <w:trHeight w:val="380" w:hRule="atLeast"/>
        </w:trPr>
        <w:tc>
          <w:tcPr>
            <w:tcW w:w="16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（万元）</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90" w:hRule="atLeast"/>
        </w:trPr>
        <w:tc>
          <w:tcPr>
            <w:tcW w:w="16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35"/>
                <w:lang w:val="en-US" w:eastAsia="zh-CN" w:bidi="ar"/>
              </w:rPr>
              <w:t xml:space="preserve"> 其中：中央、省、市财政资金</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r>
      <w:tr>
        <w:tblPrEx>
          <w:tblCellMar>
            <w:top w:w="0" w:type="dxa"/>
            <w:left w:w="0" w:type="dxa"/>
            <w:bottom w:w="0" w:type="dxa"/>
            <w:right w:w="0" w:type="dxa"/>
          </w:tblCellMar>
        </w:tblPrEx>
        <w:trPr>
          <w:trHeight w:val="347" w:hRule="atLeast"/>
        </w:trPr>
        <w:tc>
          <w:tcPr>
            <w:tcW w:w="16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县级财政资金</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47" w:hRule="atLeast"/>
        </w:trPr>
        <w:tc>
          <w:tcPr>
            <w:tcW w:w="16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35"/>
                <w:lang w:val="en-US" w:eastAsia="zh-CN" w:bidi="ar"/>
              </w:rPr>
              <w:t xml:space="preserve"> 其他资金</w:t>
            </w:r>
          </w:p>
        </w:tc>
        <w:tc>
          <w:tcPr>
            <w:tcW w:w="174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7"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w:t>
            </w:r>
          </w:p>
        </w:tc>
        <w:tc>
          <w:tcPr>
            <w:tcW w:w="406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年初设定目标</w:t>
            </w:r>
          </w:p>
        </w:tc>
        <w:tc>
          <w:tcPr>
            <w:tcW w:w="435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年度总体目标完成情况综述</w:t>
            </w:r>
          </w:p>
        </w:tc>
      </w:tr>
      <w:tr>
        <w:tblPrEx>
          <w:tblCellMar>
            <w:top w:w="0" w:type="dxa"/>
            <w:left w:w="0" w:type="dxa"/>
            <w:bottom w:w="0" w:type="dxa"/>
            <w:right w:w="0" w:type="dxa"/>
          </w:tblCellMar>
        </w:tblPrEx>
        <w:trPr>
          <w:trHeight w:val="984"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406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开展“孤儿助学工程”，资助考上普通全日制本科、专科等学校的孤儿完成学业。</w:t>
            </w:r>
          </w:p>
        </w:tc>
        <w:tc>
          <w:tcPr>
            <w:tcW w:w="435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开展“孤儿助学工程”，资助了考上普通全日制本科、专科等学校的孤儿完成学业。</w:t>
            </w:r>
          </w:p>
        </w:tc>
      </w:tr>
      <w:tr>
        <w:tblPrEx>
          <w:tblCellMar>
            <w:top w:w="0" w:type="dxa"/>
            <w:left w:w="0" w:type="dxa"/>
            <w:bottom w:w="0" w:type="dxa"/>
            <w:right w:w="0" w:type="dxa"/>
          </w:tblCellMar>
        </w:tblPrEx>
        <w:trPr>
          <w:trHeight w:val="480"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绩效指标</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8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4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自评得分</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财政复评得分</w:t>
            </w:r>
          </w:p>
        </w:tc>
        <w:tc>
          <w:tcPr>
            <w:tcW w:w="11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未完成原因及拟采取的改进措施</w:t>
            </w:r>
          </w:p>
        </w:tc>
      </w:tr>
      <w:tr>
        <w:tblPrEx>
          <w:tblCellMar>
            <w:top w:w="0" w:type="dxa"/>
            <w:left w:w="0" w:type="dxa"/>
            <w:bottom w:w="0" w:type="dxa"/>
            <w:right w:w="0" w:type="dxa"/>
          </w:tblCellMar>
        </w:tblPrEx>
        <w:trPr>
          <w:trHeight w:val="505"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4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实际值</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01"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产出指标（50分）</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孤儿助学工程人数</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≥21个</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21个</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75"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补助标准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10000元/年*人</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10000元/年*人</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46"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资金发放及时率</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02"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7"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效绩指标（30分）</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社会效益指标</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儿童社会福利事业发展体系</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更加健全</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更加健全</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12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1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满意度指标（10分）</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服务对象满意度指标</w:t>
            </w:r>
          </w:p>
        </w:tc>
        <w:tc>
          <w:tcPr>
            <w:tcW w:w="141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受助孤儿满意度</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8" w:hRule="atLeast"/>
        </w:trPr>
        <w:tc>
          <w:tcPr>
            <w:tcW w:w="38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总分</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15"/>
      </w:pPr>
    </w:p>
    <w:p>
      <w:pPr>
        <w:spacing w:line="600" w:lineRule="exact"/>
        <w:jc w:val="center"/>
        <w:outlineLvl w:val="0"/>
        <w:rPr>
          <w:rFonts w:hint="eastAsia" w:ascii="仿宋" w:hAnsi="仿宋" w:eastAsia="仿宋"/>
          <w:b w:val="0"/>
        </w:rPr>
      </w:pPr>
      <w:r>
        <w:rPr>
          <w:rStyle w:val="28"/>
          <w:rFonts w:hint="eastAsia" w:ascii="黑体" w:hAnsi="黑体" w:eastAsia="黑体" w:cs="Times New Roman"/>
          <w:b w:val="0"/>
        </w:rPr>
        <w:t>第五部分  附表</w:t>
      </w:r>
      <w:bookmarkStart w:id="16" w:name="_Toc15396619"/>
    </w:p>
    <w:p>
      <w:pPr>
        <w:pStyle w:val="4"/>
        <w:ind w:firstLine="640" w:firstLineChars="200"/>
        <w:rPr>
          <w:rFonts w:ascii="仿宋" w:hAnsi="仿宋" w:eastAsia="仿宋"/>
        </w:rPr>
      </w:pPr>
      <w:r>
        <w:rPr>
          <w:rFonts w:hint="eastAsia" w:ascii="仿宋" w:hAnsi="仿宋" w:eastAsia="仿宋"/>
          <w:b w:val="0"/>
        </w:rPr>
        <w:t>一、收</w:t>
      </w:r>
      <w:r>
        <w:rPr>
          <w:rStyle w:val="29"/>
          <w:rFonts w:hint="eastAsia" w:ascii="仿宋" w:hAnsi="仿宋" w:eastAsia="仿宋"/>
          <w:b w:val="0"/>
          <w:bCs w:val="0"/>
        </w:rPr>
        <w:t>入支出决算总表</w:t>
      </w:r>
      <w:bookmarkEnd w:id="16"/>
    </w:p>
    <w:p>
      <w:pPr>
        <w:pStyle w:val="4"/>
        <w:ind w:firstLine="640" w:firstLineChars="200"/>
        <w:rPr>
          <w:rFonts w:ascii="仿宋" w:hAnsi="仿宋" w:eastAsia="仿宋"/>
        </w:rPr>
      </w:pPr>
      <w:bookmarkStart w:id="17" w:name="_Toc15396620"/>
      <w:r>
        <w:rPr>
          <w:rFonts w:hint="eastAsia" w:ascii="仿宋" w:hAnsi="仿宋" w:eastAsia="仿宋"/>
          <w:b w:val="0"/>
        </w:rPr>
        <w:t>二、收</w:t>
      </w:r>
      <w:r>
        <w:rPr>
          <w:rStyle w:val="29"/>
          <w:rFonts w:hint="eastAsia" w:ascii="仿宋" w:hAnsi="仿宋" w:eastAsia="仿宋"/>
          <w:b w:val="0"/>
          <w:bCs w:val="0"/>
        </w:rPr>
        <w:t>入决算表</w:t>
      </w:r>
      <w:bookmarkEnd w:id="17"/>
    </w:p>
    <w:p>
      <w:pPr>
        <w:pStyle w:val="4"/>
        <w:ind w:firstLine="640" w:firstLineChars="200"/>
        <w:rPr>
          <w:rFonts w:ascii="仿宋" w:hAnsi="仿宋" w:eastAsia="仿宋"/>
        </w:rPr>
      </w:pPr>
      <w:bookmarkStart w:id="18" w:name="_Toc15396621"/>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18"/>
    </w:p>
    <w:p>
      <w:pPr>
        <w:pStyle w:val="4"/>
        <w:ind w:firstLine="640" w:firstLineChars="200"/>
        <w:rPr>
          <w:rFonts w:ascii="仿宋" w:hAnsi="仿宋" w:eastAsia="仿宋"/>
          <w:b w:val="0"/>
        </w:rPr>
      </w:pPr>
      <w:bookmarkStart w:id="19" w:name="_Toc15396622"/>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19"/>
    </w:p>
    <w:p>
      <w:pPr>
        <w:pStyle w:val="4"/>
        <w:ind w:firstLine="640" w:firstLineChars="200"/>
        <w:rPr>
          <w:rStyle w:val="29"/>
          <w:rFonts w:ascii="仿宋" w:hAnsi="仿宋" w:eastAsia="仿宋"/>
          <w:b w:val="0"/>
          <w:bCs w:val="0"/>
        </w:rPr>
      </w:pPr>
      <w:bookmarkStart w:id="20"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20"/>
      <w:bookmarkStart w:id="21" w:name="_Toc15396624"/>
    </w:p>
    <w:p>
      <w:pPr>
        <w:pStyle w:val="4"/>
        <w:ind w:firstLine="640" w:firstLineChars="200"/>
        <w:rPr>
          <w:rFonts w:ascii="仿宋" w:hAnsi="仿宋" w:eastAsia="仿宋"/>
        </w:rPr>
      </w:pPr>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21"/>
    </w:p>
    <w:p>
      <w:pPr>
        <w:pStyle w:val="4"/>
        <w:ind w:firstLine="640" w:firstLineChars="200"/>
        <w:rPr>
          <w:rFonts w:ascii="仿宋" w:hAnsi="仿宋" w:eastAsia="仿宋"/>
        </w:rPr>
      </w:pPr>
      <w:bookmarkStart w:id="22" w:name="_Toc1539662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22"/>
    </w:p>
    <w:p>
      <w:pPr>
        <w:pStyle w:val="4"/>
        <w:ind w:firstLine="640" w:firstLineChars="200"/>
        <w:rPr>
          <w:rFonts w:ascii="仿宋" w:hAnsi="仿宋" w:eastAsia="仿宋"/>
        </w:rPr>
      </w:pPr>
      <w:bookmarkStart w:id="23" w:name="_Toc15396626"/>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23"/>
    </w:p>
    <w:p>
      <w:pPr>
        <w:pStyle w:val="4"/>
        <w:ind w:firstLine="640" w:firstLineChars="200"/>
        <w:rPr>
          <w:rFonts w:ascii="仿宋" w:hAnsi="仿宋" w:eastAsia="仿宋"/>
        </w:rPr>
      </w:pPr>
      <w:bookmarkStart w:id="24" w:name="_Toc15396627"/>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24"/>
    </w:p>
    <w:p>
      <w:pPr>
        <w:pStyle w:val="4"/>
        <w:ind w:firstLine="640" w:firstLineChars="200"/>
        <w:rPr>
          <w:rFonts w:ascii="仿宋" w:hAnsi="仿宋" w:eastAsia="仿宋"/>
        </w:rPr>
      </w:pPr>
      <w:bookmarkStart w:id="25" w:name="_Toc15396628"/>
      <w:r>
        <w:rPr>
          <w:rStyle w:val="29"/>
          <w:rFonts w:hint="eastAsia" w:ascii="仿宋" w:hAnsi="仿宋" w:eastAsia="仿宋"/>
          <w:b w:val="0"/>
          <w:bCs w:val="0"/>
        </w:rPr>
        <w:t>十、</w:t>
      </w:r>
      <w:bookmarkEnd w:id="25"/>
      <w:r>
        <w:rPr>
          <w:rFonts w:hint="eastAsia" w:ascii="仿宋" w:hAnsi="仿宋" w:eastAsia="仿宋"/>
          <w:b w:val="0"/>
        </w:rPr>
        <w:t>政</w:t>
      </w:r>
      <w:r>
        <w:rPr>
          <w:rStyle w:val="29"/>
          <w:rFonts w:hint="eastAsia" w:ascii="仿宋" w:hAnsi="仿宋" w:eastAsia="仿宋"/>
          <w:b w:val="0"/>
          <w:bCs w:val="0"/>
        </w:rPr>
        <w:t>府性基金预算财政拨款收入支出决算表</w:t>
      </w:r>
    </w:p>
    <w:p>
      <w:pPr>
        <w:pStyle w:val="4"/>
        <w:ind w:firstLine="640" w:firstLineChars="200"/>
        <w:rPr>
          <w:rFonts w:ascii="仿宋" w:hAnsi="仿宋" w:eastAsia="仿宋"/>
        </w:rPr>
      </w:pPr>
      <w:bookmarkStart w:id="26" w:name="_Toc15396629"/>
      <w:r>
        <w:rPr>
          <w:rStyle w:val="29"/>
          <w:rFonts w:hint="eastAsia" w:ascii="仿宋" w:hAnsi="仿宋" w:eastAsia="仿宋"/>
          <w:b w:val="0"/>
          <w:bCs w:val="0"/>
        </w:rPr>
        <w:t>十一、</w:t>
      </w:r>
      <w:bookmarkEnd w:id="26"/>
      <w:r>
        <w:rPr>
          <w:rFonts w:hint="eastAsia" w:ascii="仿宋" w:hAnsi="仿宋" w:eastAsia="仿宋"/>
          <w:b w:val="0"/>
        </w:rPr>
        <w:t>国</w:t>
      </w:r>
      <w:r>
        <w:rPr>
          <w:rStyle w:val="29"/>
          <w:rFonts w:hint="eastAsia" w:ascii="仿宋" w:hAnsi="仿宋" w:eastAsia="仿宋"/>
          <w:b w:val="0"/>
          <w:bCs w:val="0"/>
        </w:rPr>
        <w:t>有资本经营预算财政拨款收入支出决算表</w:t>
      </w:r>
    </w:p>
    <w:p>
      <w:pPr>
        <w:pStyle w:val="4"/>
        <w:ind w:firstLine="640" w:firstLineChars="200"/>
        <w:rPr>
          <w:rFonts w:ascii="仿宋" w:hAnsi="仿宋" w:eastAsia="仿宋"/>
        </w:rPr>
      </w:pPr>
      <w:bookmarkStart w:id="27" w:name="_Toc15396630"/>
      <w:r>
        <w:rPr>
          <w:rStyle w:val="29"/>
          <w:rFonts w:hint="eastAsia" w:ascii="仿宋" w:hAnsi="仿宋" w:eastAsia="仿宋"/>
          <w:b w:val="0"/>
          <w:bCs w:val="0"/>
        </w:rPr>
        <w:t>十二、</w:t>
      </w:r>
      <w:bookmarkEnd w:id="27"/>
      <w:r>
        <w:rPr>
          <w:rStyle w:val="29"/>
          <w:rFonts w:hint="eastAsia" w:ascii="仿宋" w:hAnsi="仿宋" w:eastAsia="仿宋"/>
          <w:b w:val="0"/>
          <w:bCs w:val="0"/>
        </w:rPr>
        <w:t>国有资本经营预算财政拨款支出决算表</w:t>
      </w:r>
    </w:p>
    <w:p>
      <w:pPr>
        <w:pStyle w:val="4"/>
        <w:ind w:firstLine="640" w:firstLineChars="200"/>
        <w:rPr>
          <w:rFonts w:eastAsia="仿宋"/>
        </w:rPr>
      </w:pPr>
      <w:bookmarkStart w:id="28" w:name="_Toc15396631"/>
      <w:r>
        <w:rPr>
          <w:rStyle w:val="29"/>
          <w:rFonts w:hint="eastAsia" w:ascii="仿宋" w:hAnsi="仿宋" w:eastAsia="仿宋"/>
          <w:b w:val="0"/>
          <w:bCs w:val="0"/>
        </w:rPr>
        <w:t>十三、</w:t>
      </w:r>
      <w:bookmarkEnd w:id="28"/>
      <w:r>
        <w:rPr>
          <w:rStyle w:val="29"/>
          <w:rFonts w:hint="eastAsia" w:ascii="仿宋" w:hAnsi="仿宋" w:eastAsia="仿宋"/>
          <w:b w:val="0"/>
          <w:bCs w:val="0"/>
        </w:rPr>
        <w:t>财政拨款“三公”经费支出决算表</w:t>
      </w:r>
    </w:p>
    <w:sectPr>
      <w:pgSz w:w="11906" w:h="16838"/>
      <w:pgMar w:top="1440" w:right="1803" w:bottom="1440" w:left="1803"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7497E291"/>
    <w:multiLevelType w:val="singleLevel"/>
    <w:tmpl w:val="7497E291"/>
    <w:lvl w:ilvl="0" w:tentative="0">
      <w:start w:val="1"/>
      <w:numFmt w:val="chineseCounting"/>
      <w:suff w:val="nothing"/>
      <w:lvlText w:val="（%1）"/>
      <w:lvlJc w:val="left"/>
      <w:rPr>
        <w:rFonts w:hint="eastAsia"/>
      </w:rPr>
    </w:lvl>
  </w:abstractNum>
  <w:abstractNum w:abstractNumId="2">
    <w:nsid w:val="79C7596B"/>
    <w:multiLevelType w:val="singleLevel"/>
    <w:tmpl w:val="79C7596B"/>
    <w:lvl w:ilvl="0" w:tentative="0">
      <w:start w:val="1"/>
      <w:numFmt w:val="chineseCounting"/>
      <w:suff w:val="nothing"/>
      <w:lvlText w:val="（%1）"/>
      <w:lvlJc w:val="left"/>
      <w:rPr>
        <w:rFonts w:hint="eastAsia"/>
      </w:rPr>
    </w:lvl>
  </w:abstractNum>
  <w:abstractNum w:abstractNumId="3">
    <w:nsid w:val="7B776B9F"/>
    <w:multiLevelType w:val="singleLevel"/>
    <w:tmpl w:val="7B776B9F"/>
    <w:lvl w:ilvl="0" w:tentative="0">
      <w:start w:val="2"/>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09D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201D"/>
    <w:rsid w:val="00112188"/>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D7BF4"/>
    <w:rsid w:val="004E0A2D"/>
    <w:rsid w:val="004E206B"/>
    <w:rsid w:val="004E6DF7"/>
    <w:rsid w:val="004F0FBD"/>
    <w:rsid w:val="00505A47"/>
    <w:rsid w:val="00512FDA"/>
    <w:rsid w:val="005146C1"/>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A4852"/>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64B3F"/>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0360"/>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33E72"/>
    <w:rsid w:val="00C354B2"/>
    <w:rsid w:val="00C35554"/>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E0C4B"/>
    <w:rsid w:val="00FF1E02"/>
    <w:rsid w:val="00FF30B4"/>
    <w:rsid w:val="012F069C"/>
    <w:rsid w:val="013739B0"/>
    <w:rsid w:val="01433E0F"/>
    <w:rsid w:val="015D569A"/>
    <w:rsid w:val="017A6B65"/>
    <w:rsid w:val="02334CA3"/>
    <w:rsid w:val="027B6D99"/>
    <w:rsid w:val="02B00987"/>
    <w:rsid w:val="02C07642"/>
    <w:rsid w:val="02E41C7C"/>
    <w:rsid w:val="033C7AFC"/>
    <w:rsid w:val="034A1DF9"/>
    <w:rsid w:val="03A477A6"/>
    <w:rsid w:val="03B80141"/>
    <w:rsid w:val="03E74424"/>
    <w:rsid w:val="03EE7E25"/>
    <w:rsid w:val="0411403B"/>
    <w:rsid w:val="0477699D"/>
    <w:rsid w:val="04D25F50"/>
    <w:rsid w:val="053A62B5"/>
    <w:rsid w:val="056B2774"/>
    <w:rsid w:val="056F6B6E"/>
    <w:rsid w:val="05736FB7"/>
    <w:rsid w:val="058E6515"/>
    <w:rsid w:val="05B31E65"/>
    <w:rsid w:val="05BE6051"/>
    <w:rsid w:val="05FD524E"/>
    <w:rsid w:val="060B18D8"/>
    <w:rsid w:val="066172D9"/>
    <w:rsid w:val="06B91C05"/>
    <w:rsid w:val="06DD785E"/>
    <w:rsid w:val="074647C5"/>
    <w:rsid w:val="074C2C06"/>
    <w:rsid w:val="076C0470"/>
    <w:rsid w:val="07BA2A1C"/>
    <w:rsid w:val="083549CA"/>
    <w:rsid w:val="084C1062"/>
    <w:rsid w:val="0899220D"/>
    <w:rsid w:val="09297B2E"/>
    <w:rsid w:val="09501319"/>
    <w:rsid w:val="095E0F97"/>
    <w:rsid w:val="097B1A84"/>
    <w:rsid w:val="09A71A75"/>
    <w:rsid w:val="09C95100"/>
    <w:rsid w:val="0A2032A3"/>
    <w:rsid w:val="0A5A4AB0"/>
    <w:rsid w:val="0A8F202E"/>
    <w:rsid w:val="0AA43920"/>
    <w:rsid w:val="0AB2270E"/>
    <w:rsid w:val="0AE218A8"/>
    <w:rsid w:val="0B214971"/>
    <w:rsid w:val="0B222760"/>
    <w:rsid w:val="0B6A196A"/>
    <w:rsid w:val="0B8A37D8"/>
    <w:rsid w:val="0BA8372B"/>
    <w:rsid w:val="0BE5334B"/>
    <w:rsid w:val="0BFF5FEF"/>
    <w:rsid w:val="0C445014"/>
    <w:rsid w:val="0C915E49"/>
    <w:rsid w:val="0D5E2A14"/>
    <w:rsid w:val="0DE037E3"/>
    <w:rsid w:val="0E2A5A6D"/>
    <w:rsid w:val="0E701B7F"/>
    <w:rsid w:val="0E794C7B"/>
    <w:rsid w:val="0E8858F4"/>
    <w:rsid w:val="0E9751F6"/>
    <w:rsid w:val="0EB74B4C"/>
    <w:rsid w:val="0ED64F00"/>
    <w:rsid w:val="0F47640B"/>
    <w:rsid w:val="100F4ECF"/>
    <w:rsid w:val="10350242"/>
    <w:rsid w:val="10367AC8"/>
    <w:rsid w:val="10542E6D"/>
    <w:rsid w:val="10C055FF"/>
    <w:rsid w:val="10EB528E"/>
    <w:rsid w:val="10F92547"/>
    <w:rsid w:val="10FB33BE"/>
    <w:rsid w:val="114F6C23"/>
    <w:rsid w:val="118107EC"/>
    <w:rsid w:val="11D31E17"/>
    <w:rsid w:val="11DD6519"/>
    <w:rsid w:val="11DE449D"/>
    <w:rsid w:val="11E81FC8"/>
    <w:rsid w:val="120B6A76"/>
    <w:rsid w:val="122E242E"/>
    <w:rsid w:val="12D863DD"/>
    <w:rsid w:val="12D868FE"/>
    <w:rsid w:val="12FD415F"/>
    <w:rsid w:val="13594360"/>
    <w:rsid w:val="13715356"/>
    <w:rsid w:val="14160A30"/>
    <w:rsid w:val="14A32AEF"/>
    <w:rsid w:val="14B26F86"/>
    <w:rsid w:val="14B462D2"/>
    <w:rsid w:val="14E1379E"/>
    <w:rsid w:val="1520194C"/>
    <w:rsid w:val="152532CE"/>
    <w:rsid w:val="15325B60"/>
    <w:rsid w:val="15783226"/>
    <w:rsid w:val="157C5E67"/>
    <w:rsid w:val="158A3B27"/>
    <w:rsid w:val="159C275F"/>
    <w:rsid w:val="15E50455"/>
    <w:rsid w:val="15EB1F90"/>
    <w:rsid w:val="160467D9"/>
    <w:rsid w:val="160A57A9"/>
    <w:rsid w:val="1652771E"/>
    <w:rsid w:val="16640B14"/>
    <w:rsid w:val="16852C8A"/>
    <w:rsid w:val="16A67E60"/>
    <w:rsid w:val="16AE438F"/>
    <w:rsid w:val="16BB723D"/>
    <w:rsid w:val="16D0507A"/>
    <w:rsid w:val="172A79EB"/>
    <w:rsid w:val="17563235"/>
    <w:rsid w:val="176855C3"/>
    <w:rsid w:val="177B6F6D"/>
    <w:rsid w:val="17875626"/>
    <w:rsid w:val="17A134BF"/>
    <w:rsid w:val="17A33871"/>
    <w:rsid w:val="17B5143F"/>
    <w:rsid w:val="17C124A5"/>
    <w:rsid w:val="17E2178B"/>
    <w:rsid w:val="17EA7504"/>
    <w:rsid w:val="18015F3F"/>
    <w:rsid w:val="181B4EF5"/>
    <w:rsid w:val="18517F4F"/>
    <w:rsid w:val="186E4F76"/>
    <w:rsid w:val="18793B5D"/>
    <w:rsid w:val="19005AD9"/>
    <w:rsid w:val="19025E7B"/>
    <w:rsid w:val="190A4A8A"/>
    <w:rsid w:val="19365166"/>
    <w:rsid w:val="1961797C"/>
    <w:rsid w:val="19921D61"/>
    <w:rsid w:val="19FC4B49"/>
    <w:rsid w:val="1A096F15"/>
    <w:rsid w:val="1A713892"/>
    <w:rsid w:val="1B4003B4"/>
    <w:rsid w:val="1B611227"/>
    <w:rsid w:val="1B785F56"/>
    <w:rsid w:val="1B891CF8"/>
    <w:rsid w:val="1BA53D92"/>
    <w:rsid w:val="1BDA2750"/>
    <w:rsid w:val="1BE8440E"/>
    <w:rsid w:val="1C7E0F85"/>
    <w:rsid w:val="1C831C18"/>
    <w:rsid w:val="1C954BE0"/>
    <w:rsid w:val="1CA00A24"/>
    <w:rsid w:val="1CB74676"/>
    <w:rsid w:val="1CD4552C"/>
    <w:rsid w:val="1D155CEE"/>
    <w:rsid w:val="1D790B94"/>
    <w:rsid w:val="1D841371"/>
    <w:rsid w:val="1DC4696B"/>
    <w:rsid w:val="1DCC20D3"/>
    <w:rsid w:val="1DD75294"/>
    <w:rsid w:val="1E1E6A1E"/>
    <w:rsid w:val="1E571854"/>
    <w:rsid w:val="1E8933D1"/>
    <w:rsid w:val="1EE34DBF"/>
    <w:rsid w:val="1F1F1AAE"/>
    <w:rsid w:val="1F2026C9"/>
    <w:rsid w:val="1F48745C"/>
    <w:rsid w:val="1F6F293F"/>
    <w:rsid w:val="1F700B5F"/>
    <w:rsid w:val="1FA27828"/>
    <w:rsid w:val="1FD54B63"/>
    <w:rsid w:val="1FF6623C"/>
    <w:rsid w:val="1FFA764D"/>
    <w:rsid w:val="202531D0"/>
    <w:rsid w:val="207710AA"/>
    <w:rsid w:val="208807A0"/>
    <w:rsid w:val="20B22A83"/>
    <w:rsid w:val="20BD32DC"/>
    <w:rsid w:val="20F57F95"/>
    <w:rsid w:val="210E4AAE"/>
    <w:rsid w:val="216E281B"/>
    <w:rsid w:val="21C16310"/>
    <w:rsid w:val="21DB638E"/>
    <w:rsid w:val="230E77FB"/>
    <w:rsid w:val="23142FA0"/>
    <w:rsid w:val="234660F0"/>
    <w:rsid w:val="236906FE"/>
    <w:rsid w:val="23886E99"/>
    <w:rsid w:val="23987159"/>
    <w:rsid w:val="240371BF"/>
    <w:rsid w:val="24167F7C"/>
    <w:rsid w:val="24320195"/>
    <w:rsid w:val="24687C0B"/>
    <w:rsid w:val="249D60E8"/>
    <w:rsid w:val="24E06988"/>
    <w:rsid w:val="24F230EF"/>
    <w:rsid w:val="251A575A"/>
    <w:rsid w:val="254C30A6"/>
    <w:rsid w:val="25711CC6"/>
    <w:rsid w:val="257D082C"/>
    <w:rsid w:val="25BC55EC"/>
    <w:rsid w:val="25BE1811"/>
    <w:rsid w:val="25C741E6"/>
    <w:rsid w:val="260E1C94"/>
    <w:rsid w:val="26526419"/>
    <w:rsid w:val="266C496F"/>
    <w:rsid w:val="26713D19"/>
    <w:rsid w:val="26791B69"/>
    <w:rsid w:val="269A56C2"/>
    <w:rsid w:val="26A86D25"/>
    <w:rsid w:val="26FA7A22"/>
    <w:rsid w:val="27023C6B"/>
    <w:rsid w:val="272764FC"/>
    <w:rsid w:val="274F04F5"/>
    <w:rsid w:val="276347C6"/>
    <w:rsid w:val="27842671"/>
    <w:rsid w:val="27CB13CD"/>
    <w:rsid w:val="27F37CD7"/>
    <w:rsid w:val="284C3F7C"/>
    <w:rsid w:val="28631228"/>
    <w:rsid w:val="28A64DB7"/>
    <w:rsid w:val="28FD0D4B"/>
    <w:rsid w:val="293345EB"/>
    <w:rsid w:val="293E0222"/>
    <w:rsid w:val="298E106E"/>
    <w:rsid w:val="299B66B3"/>
    <w:rsid w:val="29F80BBB"/>
    <w:rsid w:val="29FA1637"/>
    <w:rsid w:val="29FD04D3"/>
    <w:rsid w:val="2A2F45DF"/>
    <w:rsid w:val="2A363F73"/>
    <w:rsid w:val="2A8E7E31"/>
    <w:rsid w:val="2AB04F4D"/>
    <w:rsid w:val="2ABE7A3E"/>
    <w:rsid w:val="2ADC1B2C"/>
    <w:rsid w:val="2AEC2B47"/>
    <w:rsid w:val="2B0D6E6A"/>
    <w:rsid w:val="2B224037"/>
    <w:rsid w:val="2B9151C0"/>
    <w:rsid w:val="2BC22D7C"/>
    <w:rsid w:val="2BE95491"/>
    <w:rsid w:val="2BFE6059"/>
    <w:rsid w:val="2CA234A8"/>
    <w:rsid w:val="2CE3139E"/>
    <w:rsid w:val="2D0528DE"/>
    <w:rsid w:val="2D244F3E"/>
    <w:rsid w:val="2D283FC4"/>
    <w:rsid w:val="2D555D6F"/>
    <w:rsid w:val="2D5E322E"/>
    <w:rsid w:val="2D840026"/>
    <w:rsid w:val="2DF63CE6"/>
    <w:rsid w:val="2DFD1B72"/>
    <w:rsid w:val="2E247404"/>
    <w:rsid w:val="2E267838"/>
    <w:rsid w:val="2E6A1111"/>
    <w:rsid w:val="2ED14FB8"/>
    <w:rsid w:val="2EDA6C5D"/>
    <w:rsid w:val="2EFA178C"/>
    <w:rsid w:val="2F7B5F74"/>
    <w:rsid w:val="2F8F536D"/>
    <w:rsid w:val="2F93357F"/>
    <w:rsid w:val="2FCD0268"/>
    <w:rsid w:val="2FD50A6A"/>
    <w:rsid w:val="2FD5639B"/>
    <w:rsid w:val="2FEA3C14"/>
    <w:rsid w:val="303C3C68"/>
    <w:rsid w:val="30784360"/>
    <w:rsid w:val="30790D52"/>
    <w:rsid w:val="30B4396B"/>
    <w:rsid w:val="30B46D73"/>
    <w:rsid w:val="30C05C6B"/>
    <w:rsid w:val="30D5370C"/>
    <w:rsid w:val="30F03C0B"/>
    <w:rsid w:val="3182644C"/>
    <w:rsid w:val="319F7F4E"/>
    <w:rsid w:val="31ED3299"/>
    <w:rsid w:val="31FE4383"/>
    <w:rsid w:val="32246CA2"/>
    <w:rsid w:val="324803AA"/>
    <w:rsid w:val="327507F7"/>
    <w:rsid w:val="32853CB7"/>
    <w:rsid w:val="32BD13F7"/>
    <w:rsid w:val="32D33259"/>
    <w:rsid w:val="32D820F9"/>
    <w:rsid w:val="32D936FF"/>
    <w:rsid w:val="32E01504"/>
    <w:rsid w:val="33241AF1"/>
    <w:rsid w:val="334D4EF1"/>
    <w:rsid w:val="335A781C"/>
    <w:rsid w:val="3389370E"/>
    <w:rsid w:val="33A1608E"/>
    <w:rsid w:val="33FD2D4F"/>
    <w:rsid w:val="34012505"/>
    <w:rsid w:val="34216A27"/>
    <w:rsid w:val="343278BF"/>
    <w:rsid w:val="345415BC"/>
    <w:rsid w:val="34651C03"/>
    <w:rsid w:val="3546472B"/>
    <w:rsid w:val="35662CA8"/>
    <w:rsid w:val="356A3C0E"/>
    <w:rsid w:val="356A7FEF"/>
    <w:rsid w:val="356C6BA9"/>
    <w:rsid w:val="35845D9E"/>
    <w:rsid w:val="35950122"/>
    <w:rsid w:val="36250AD9"/>
    <w:rsid w:val="36334B8C"/>
    <w:rsid w:val="36371E06"/>
    <w:rsid w:val="36A60A08"/>
    <w:rsid w:val="36C379EC"/>
    <w:rsid w:val="36DB5C20"/>
    <w:rsid w:val="36FE0119"/>
    <w:rsid w:val="37366758"/>
    <w:rsid w:val="374A553B"/>
    <w:rsid w:val="376F05C8"/>
    <w:rsid w:val="37920606"/>
    <w:rsid w:val="37C2678A"/>
    <w:rsid w:val="380215B5"/>
    <w:rsid w:val="38054CB2"/>
    <w:rsid w:val="38225959"/>
    <w:rsid w:val="383D272C"/>
    <w:rsid w:val="38D526F5"/>
    <w:rsid w:val="39590A0E"/>
    <w:rsid w:val="398F2A6C"/>
    <w:rsid w:val="39AE70AB"/>
    <w:rsid w:val="3A0530CA"/>
    <w:rsid w:val="3A0C51C9"/>
    <w:rsid w:val="3A191A42"/>
    <w:rsid w:val="3A745122"/>
    <w:rsid w:val="3A9839E8"/>
    <w:rsid w:val="3AD63BA8"/>
    <w:rsid w:val="3B0F213E"/>
    <w:rsid w:val="3B120E1F"/>
    <w:rsid w:val="3B3C778B"/>
    <w:rsid w:val="3B3D1B2E"/>
    <w:rsid w:val="3B6E4664"/>
    <w:rsid w:val="3B8E3728"/>
    <w:rsid w:val="3BD422C8"/>
    <w:rsid w:val="3BFE7268"/>
    <w:rsid w:val="3C0204E4"/>
    <w:rsid w:val="3C0C0783"/>
    <w:rsid w:val="3C261559"/>
    <w:rsid w:val="3CBB7C03"/>
    <w:rsid w:val="3CC44B98"/>
    <w:rsid w:val="3D5147FD"/>
    <w:rsid w:val="3DB72DA4"/>
    <w:rsid w:val="3E1D33D0"/>
    <w:rsid w:val="3E7D4FA3"/>
    <w:rsid w:val="3EB95922"/>
    <w:rsid w:val="3ED6019C"/>
    <w:rsid w:val="3F114120"/>
    <w:rsid w:val="3F5E75E6"/>
    <w:rsid w:val="3F8B78A9"/>
    <w:rsid w:val="3F9F3A96"/>
    <w:rsid w:val="3FC610D4"/>
    <w:rsid w:val="40202410"/>
    <w:rsid w:val="406917D4"/>
    <w:rsid w:val="408B5684"/>
    <w:rsid w:val="40AF502F"/>
    <w:rsid w:val="41DE55A7"/>
    <w:rsid w:val="41FC7922"/>
    <w:rsid w:val="42B401E1"/>
    <w:rsid w:val="42DD6656"/>
    <w:rsid w:val="42F66600"/>
    <w:rsid w:val="43112282"/>
    <w:rsid w:val="43516E57"/>
    <w:rsid w:val="43542033"/>
    <w:rsid w:val="4354618A"/>
    <w:rsid w:val="43A056E2"/>
    <w:rsid w:val="43A70B17"/>
    <w:rsid w:val="43BB66E2"/>
    <w:rsid w:val="43C97429"/>
    <w:rsid w:val="447E2FA9"/>
    <w:rsid w:val="44D739AA"/>
    <w:rsid w:val="44D80218"/>
    <w:rsid w:val="453B3616"/>
    <w:rsid w:val="45A179F0"/>
    <w:rsid w:val="45E17986"/>
    <w:rsid w:val="45F4471E"/>
    <w:rsid w:val="46350169"/>
    <w:rsid w:val="468B4237"/>
    <w:rsid w:val="46950D0D"/>
    <w:rsid w:val="46B610EF"/>
    <w:rsid w:val="473D437A"/>
    <w:rsid w:val="473F44F1"/>
    <w:rsid w:val="477311CC"/>
    <w:rsid w:val="47BC0084"/>
    <w:rsid w:val="4864034B"/>
    <w:rsid w:val="487D605E"/>
    <w:rsid w:val="487F78A1"/>
    <w:rsid w:val="48BF60AB"/>
    <w:rsid w:val="48EE0E9C"/>
    <w:rsid w:val="493C1129"/>
    <w:rsid w:val="493C27E9"/>
    <w:rsid w:val="49546A54"/>
    <w:rsid w:val="496F39ED"/>
    <w:rsid w:val="497D1872"/>
    <w:rsid w:val="49820289"/>
    <w:rsid w:val="49BE58D3"/>
    <w:rsid w:val="49FF41D3"/>
    <w:rsid w:val="4A40791A"/>
    <w:rsid w:val="4ABA5A29"/>
    <w:rsid w:val="4AE742C0"/>
    <w:rsid w:val="4B1277D0"/>
    <w:rsid w:val="4B3D55D0"/>
    <w:rsid w:val="4B47037C"/>
    <w:rsid w:val="4BAA19CA"/>
    <w:rsid w:val="4BAE5F43"/>
    <w:rsid w:val="4BE068DB"/>
    <w:rsid w:val="4BE22885"/>
    <w:rsid w:val="4BF247B0"/>
    <w:rsid w:val="4BF6002B"/>
    <w:rsid w:val="4C520EBA"/>
    <w:rsid w:val="4C7D59BD"/>
    <w:rsid w:val="4C80583A"/>
    <w:rsid w:val="4C994667"/>
    <w:rsid w:val="4D135AB0"/>
    <w:rsid w:val="4D244A50"/>
    <w:rsid w:val="4D9128F2"/>
    <w:rsid w:val="4ECE2238"/>
    <w:rsid w:val="4EE5381F"/>
    <w:rsid w:val="4EF002EA"/>
    <w:rsid w:val="4F164357"/>
    <w:rsid w:val="4F4326CA"/>
    <w:rsid w:val="4FAA02DB"/>
    <w:rsid w:val="50446D9B"/>
    <w:rsid w:val="505D22A9"/>
    <w:rsid w:val="50682CF7"/>
    <w:rsid w:val="507C6FC3"/>
    <w:rsid w:val="50840425"/>
    <w:rsid w:val="5099733E"/>
    <w:rsid w:val="50BD5AA3"/>
    <w:rsid w:val="51792BF4"/>
    <w:rsid w:val="51845CAD"/>
    <w:rsid w:val="518F23B6"/>
    <w:rsid w:val="51914AC0"/>
    <w:rsid w:val="51AC6429"/>
    <w:rsid w:val="51B75619"/>
    <w:rsid w:val="51CA3DF7"/>
    <w:rsid w:val="51DB4B86"/>
    <w:rsid w:val="51E2541C"/>
    <w:rsid w:val="521C3AFA"/>
    <w:rsid w:val="52316E18"/>
    <w:rsid w:val="527B4430"/>
    <w:rsid w:val="53017419"/>
    <w:rsid w:val="53057605"/>
    <w:rsid w:val="535867AD"/>
    <w:rsid w:val="541A3F7D"/>
    <w:rsid w:val="54CA0AD4"/>
    <w:rsid w:val="54D023C8"/>
    <w:rsid w:val="54F23673"/>
    <w:rsid w:val="550D7672"/>
    <w:rsid w:val="55286BE5"/>
    <w:rsid w:val="55333C3E"/>
    <w:rsid w:val="55346B56"/>
    <w:rsid w:val="5553070E"/>
    <w:rsid w:val="55D03E47"/>
    <w:rsid w:val="55D20E00"/>
    <w:rsid w:val="55DD2E32"/>
    <w:rsid w:val="55EE4360"/>
    <w:rsid w:val="55FA7FFC"/>
    <w:rsid w:val="56167872"/>
    <w:rsid w:val="56604CE4"/>
    <w:rsid w:val="56630140"/>
    <w:rsid w:val="57122CE3"/>
    <w:rsid w:val="57443E3B"/>
    <w:rsid w:val="57AC4623"/>
    <w:rsid w:val="57BB03F3"/>
    <w:rsid w:val="57FA081C"/>
    <w:rsid w:val="58660775"/>
    <w:rsid w:val="58BA2C96"/>
    <w:rsid w:val="58DF4860"/>
    <w:rsid w:val="590E2C7B"/>
    <w:rsid w:val="59422FA0"/>
    <w:rsid w:val="594C09AD"/>
    <w:rsid w:val="595D6CD0"/>
    <w:rsid w:val="5960529A"/>
    <w:rsid w:val="599926D5"/>
    <w:rsid w:val="59E556E1"/>
    <w:rsid w:val="5A9F418E"/>
    <w:rsid w:val="5B025470"/>
    <w:rsid w:val="5B0C1A89"/>
    <w:rsid w:val="5B2376AC"/>
    <w:rsid w:val="5B32592C"/>
    <w:rsid w:val="5B3A36AC"/>
    <w:rsid w:val="5B512594"/>
    <w:rsid w:val="5B5A5F37"/>
    <w:rsid w:val="5B6638C6"/>
    <w:rsid w:val="5B8B6049"/>
    <w:rsid w:val="5BDA0083"/>
    <w:rsid w:val="5BDC06CE"/>
    <w:rsid w:val="5C5874A2"/>
    <w:rsid w:val="5C6A147E"/>
    <w:rsid w:val="5CA461BD"/>
    <w:rsid w:val="5CAC21BE"/>
    <w:rsid w:val="5CC55772"/>
    <w:rsid w:val="5CF5709B"/>
    <w:rsid w:val="5CFF1711"/>
    <w:rsid w:val="5D611538"/>
    <w:rsid w:val="5D7929A0"/>
    <w:rsid w:val="5DA850D9"/>
    <w:rsid w:val="5DB268B9"/>
    <w:rsid w:val="5DC33A23"/>
    <w:rsid w:val="5E460938"/>
    <w:rsid w:val="5E775A0A"/>
    <w:rsid w:val="5E9240A9"/>
    <w:rsid w:val="5EAC6D38"/>
    <w:rsid w:val="5EAC7930"/>
    <w:rsid w:val="5ECB5CD8"/>
    <w:rsid w:val="5F091906"/>
    <w:rsid w:val="5F5F39D6"/>
    <w:rsid w:val="5F973E7A"/>
    <w:rsid w:val="5FB47057"/>
    <w:rsid w:val="605B28E1"/>
    <w:rsid w:val="60612ABA"/>
    <w:rsid w:val="606E7A15"/>
    <w:rsid w:val="61012468"/>
    <w:rsid w:val="61643538"/>
    <w:rsid w:val="616E2ABD"/>
    <w:rsid w:val="61B1562A"/>
    <w:rsid w:val="61C61AD9"/>
    <w:rsid w:val="61CF10F7"/>
    <w:rsid w:val="61F566F2"/>
    <w:rsid w:val="62963A96"/>
    <w:rsid w:val="62CB0EF0"/>
    <w:rsid w:val="63A92112"/>
    <w:rsid w:val="63E34FE2"/>
    <w:rsid w:val="63E6561C"/>
    <w:rsid w:val="63ED2E14"/>
    <w:rsid w:val="642938FC"/>
    <w:rsid w:val="64321356"/>
    <w:rsid w:val="643D6D2D"/>
    <w:rsid w:val="64453CEF"/>
    <w:rsid w:val="647F7176"/>
    <w:rsid w:val="649E2B92"/>
    <w:rsid w:val="64CA39A1"/>
    <w:rsid w:val="651C3FF0"/>
    <w:rsid w:val="65286C15"/>
    <w:rsid w:val="655F6FC1"/>
    <w:rsid w:val="667E0A1E"/>
    <w:rsid w:val="66DD1BA2"/>
    <w:rsid w:val="67987FC9"/>
    <w:rsid w:val="67D4461D"/>
    <w:rsid w:val="67D47A22"/>
    <w:rsid w:val="67DC651E"/>
    <w:rsid w:val="67F72469"/>
    <w:rsid w:val="68397B3C"/>
    <w:rsid w:val="685240B9"/>
    <w:rsid w:val="685C4715"/>
    <w:rsid w:val="6869363E"/>
    <w:rsid w:val="689C36C6"/>
    <w:rsid w:val="68B83954"/>
    <w:rsid w:val="68C26F3A"/>
    <w:rsid w:val="69156BE8"/>
    <w:rsid w:val="695B7712"/>
    <w:rsid w:val="69630ADE"/>
    <w:rsid w:val="6A2C4AC1"/>
    <w:rsid w:val="6A367B84"/>
    <w:rsid w:val="6A6438FB"/>
    <w:rsid w:val="6A677735"/>
    <w:rsid w:val="6A920E05"/>
    <w:rsid w:val="6AB77CE9"/>
    <w:rsid w:val="6AC715CA"/>
    <w:rsid w:val="6ACC0562"/>
    <w:rsid w:val="6ADA4028"/>
    <w:rsid w:val="6AFE3298"/>
    <w:rsid w:val="6B0329E2"/>
    <w:rsid w:val="6B2366BE"/>
    <w:rsid w:val="6B2941B8"/>
    <w:rsid w:val="6B6B485E"/>
    <w:rsid w:val="6B916A88"/>
    <w:rsid w:val="6BA178E8"/>
    <w:rsid w:val="6BA27F52"/>
    <w:rsid w:val="6BBD69FB"/>
    <w:rsid w:val="6C4A05C8"/>
    <w:rsid w:val="6C4B7CD6"/>
    <w:rsid w:val="6C7A7F12"/>
    <w:rsid w:val="6C916C97"/>
    <w:rsid w:val="6CA341D2"/>
    <w:rsid w:val="6CBD1ED3"/>
    <w:rsid w:val="6D28505B"/>
    <w:rsid w:val="6D30506A"/>
    <w:rsid w:val="6D3B1A89"/>
    <w:rsid w:val="6D4B26D0"/>
    <w:rsid w:val="6D5C4BAC"/>
    <w:rsid w:val="6DA516D2"/>
    <w:rsid w:val="6DC96FAC"/>
    <w:rsid w:val="6DD24B5E"/>
    <w:rsid w:val="6DD43DB8"/>
    <w:rsid w:val="6DDD38D8"/>
    <w:rsid w:val="6E0625C9"/>
    <w:rsid w:val="6E0B156B"/>
    <w:rsid w:val="6E4561D9"/>
    <w:rsid w:val="6E4F1FA8"/>
    <w:rsid w:val="6E580517"/>
    <w:rsid w:val="6EB77792"/>
    <w:rsid w:val="6EDB6713"/>
    <w:rsid w:val="6F003B81"/>
    <w:rsid w:val="6F1E5691"/>
    <w:rsid w:val="6F7204F9"/>
    <w:rsid w:val="6FCA2516"/>
    <w:rsid w:val="70900DC5"/>
    <w:rsid w:val="70A31EB9"/>
    <w:rsid w:val="712D434C"/>
    <w:rsid w:val="715935E2"/>
    <w:rsid w:val="71BF4EC2"/>
    <w:rsid w:val="720743F5"/>
    <w:rsid w:val="72152AC9"/>
    <w:rsid w:val="724A3583"/>
    <w:rsid w:val="72734D90"/>
    <w:rsid w:val="73165162"/>
    <w:rsid w:val="733D6FE1"/>
    <w:rsid w:val="7412278C"/>
    <w:rsid w:val="74A07AC2"/>
    <w:rsid w:val="74AB4E9C"/>
    <w:rsid w:val="74E57F86"/>
    <w:rsid w:val="753C4BEE"/>
    <w:rsid w:val="75852C12"/>
    <w:rsid w:val="75AD36A7"/>
    <w:rsid w:val="75D94D49"/>
    <w:rsid w:val="76070FC2"/>
    <w:rsid w:val="761C16D5"/>
    <w:rsid w:val="76455403"/>
    <w:rsid w:val="766270CB"/>
    <w:rsid w:val="7676059A"/>
    <w:rsid w:val="769F6B7C"/>
    <w:rsid w:val="76C63CED"/>
    <w:rsid w:val="76F019FD"/>
    <w:rsid w:val="7781729D"/>
    <w:rsid w:val="779A1E78"/>
    <w:rsid w:val="77F03F8D"/>
    <w:rsid w:val="784A2736"/>
    <w:rsid w:val="784D04A1"/>
    <w:rsid w:val="78A32DE3"/>
    <w:rsid w:val="78BB3268"/>
    <w:rsid w:val="78F525EE"/>
    <w:rsid w:val="791C2497"/>
    <w:rsid w:val="79306782"/>
    <w:rsid w:val="79907A43"/>
    <w:rsid w:val="79BE2221"/>
    <w:rsid w:val="79CD5568"/>
    <w:rsid w:val="79E7B28D"/>
    <w:rsid w:val="7A0205D5"/>
    <w:rsid w:val="7A603D1D"/>
    <w:rsid w:val="7A9D463E"/>
    <w:rsid w:val="7ACF582A"/>
    <w:rsid w:val="7B1D7615"/>
    <w:rsid w:val="7B7B47F8"/>
    <w:rsid w:val="7B7C0FC5"/>
    <w:rsid w:val="7B8F7A1F"/>
    <w:rsid w:val="7B982469"/>
    <w:rsid w:val="7BA91110"/>
    <w:rsid w:val="7BB7685C"/>
    <w:rsid w:val="7BB90668"/>
    <w:rsid w:val="7C13319F"/>
    <w:rsid w:val="7C33796E"/>
    <w:rsid w:val="7C3741B3"/>
    <w:rsid w:val="7C551EBE"/>
    <w:rsid w:val="7C5A6DE3"/>
    <w:rsid w:val="7CC00FCA"/>
    <w:rsid w:val="7CD001E9"/>
    <w:rsid w:val="7CDD1952"/>
    <w:rsid w:val="7D701825"/>
    <w:rsid w:val="7D741872"/>
    <w:rsid w:val="7D7F34FA"/>
    <w:rsid w:val="7D876A81"/>
    <w:rsid w:val="7D9F008F"/>
    <w:rsid w:val="7DAE7D22"/>
    <w:rsid w:val="7DBE1AFD"/>
    <w:rsid w:val="7E29493A"/>
    <w:rsid w:val="7EA94F92"/>
    <w:rsid w:val="7EAA4352"/>
    <w:rsid w:val="7EC44F98"/>
    <w:rsid w:val="7F161DB9"/>
    <w:rsid w:val="7F1D5F36"/>
    <w:rsid w:val="7F475B9B"/>
    <w:rsid w:val="7F716472"/>
    <w:rsid w:val="7F916509"/>
    <w:rsid w:val="7F95673A"/>
    <w:rsid w:val="7F9F20EE"/>
    <w:rsid w:val="7FD21FF8"/>
    <w:rsid w:val="7FEE1A44"/>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30"/>
    </w:rPr>
  </w:style>
  <w:style w:type="paragraph" w:styleId="6">
    <w:name w:val="Body Text Indent"/>
    <w:basedOn w:val="1"/>
    <w:qFormat/>
    <w:uiPriority w:val="0"/>
    <w:pPr>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1"/>
    <w:semiHidden/>
    <w:unhideWhenUsed/>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able of figures"/>
    <w:basedOn w:val="1"/>
    <w:next w:val="1"/>
    <w:qFormat/>
    <w:uiPriority w:val="0"/>
    <w:pPr>
      <w:ind w:left="200" w:leftChars="200" w:hanging="200" w:hangingChars="200"/>
    </w:p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unhideWhenUsed/>
    <w:qFormat/>
    <w:uiPriority w:val="99"/>
    <w:pPr>
      <w:spacing w:before="100" w:beforeAutospacing="1" w:after="100" w:afterAutospacing="1"/>
      <w:jc w:val="left"/>
    </w:pPr>
    <w:rPr>
      <w:kern w:val="0"/>
      <w:sz w:val="24"/>
    </w:rPr>
  </w:style>
  <w:style w:type="paragraph" w:styleId="15">
    <w:name w:val="Body Text First Indent 2"/>
    <w:basedOn w:val="6"/>
    <w:next w:val="6"/>
    <w:qFormat/>
    <w:uiPriority w:val="0"/>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字符"/>
    <w:link w:val="10"/>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字符"/>
    <w:link w:val="9"/>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字符"/>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字符"/>
    <w:basedOn w:val="17"/>
    <w:link w:val="3"/>
    <w:qFormat/>
    <w:uiPriority w:val="9"/>
    <w:rPr>
      <w:rFonts w:ascii="Times New Roman" w:hAnsi="Times New Roman"/>
      <w:b/>
      <w:bCs/>
      <w:kern w:val="44"/>
      <w:sz w:val="44"/>
      <w:szCs w:val="44"/>
    </w:rPr>
  </w:style>
  <w:style w:type="character" w:customStyle="1" w:styleId="29">
    <w:name w:val="标题 2 字符"/>
    <w:basedOn w:val="17"/>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字符"/>
    <w:basedOn w:val="17"/>
    <w:link w:val="8"/>
    <w:semiHidden/>
    <w:qFormat/>
    <w:uiPriority w:val="99"/>
    <w:rPr>
      <w:rFonts w:ascii="Times New Roman" w:hAnsi="Times New Roman"/>
      <w:kern w:val="2"/>
      <w:sz w:val="18"/>
      <w:szCs w:val="18"/>
    </w:rPr>
  </w:style>
  <w:style w:type="character" w:customStyle="1" w:styleId="32">
    <w:name w:val="标题 3 字符"/>
    <w:basedOn w:val="17"/>
    <w:link w:val="5"/>
    <w:qFormat/>
    <w:uiPriority w:val="9"/>
    <w:rPr>
      <w:rFonts w:ascii="Times New Roman" w:hAnsi="Times New Roman"/>
      <w:b/>
      <w:bCs/>
      <w:kern w:val="2"/>
      <w:sz w:val="32"/>
      <w:szCs w:val="32"/>
    </w:rPr>
  </w:style>
  <w:style w:type="paragraph" w:customStyle="1" w:styleId="33">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font21"/>
    <w:basedOn w:val="17"/>
    <w:uiPriority w:val="0"/>
    <w:rPr>
      <w:rFonts w:hint="eastAsia" w:ascii="宋体" w:hAnsi="宋体" w:eastAsia="宋体" w:cs="宋体"/>
      <w:color w:val="000000"/>
      <w:sz w:val="20"/>
      <w:szCs w:val="20"/>
      <w:u w:val="none"/>
    </w:rPr>
  </w:style>
  <w:style w:type="character" w:customStyle="1" w:styleId="35">
    <w:name w:val="font11"/>
    <w:basedOn w:val="17"/>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E:\&#39044;&#31639;&#12289;&#20915;&#31639;&#20844;&#24320;\2023&#24180;\2022&#24180;&#20915;&#31639;&#20844;&#24320;\&#20844;&#24320;&#21450;&#25209;&#22797;&#26448;&#26009;&#65288;&#20379;&#21442;&#32771;&#65289;\&#30465;&#26412;&#32423;\&#20844;&#24320;&#26448;&#26009;\&#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39044;&#31639;&#12289;&#20915;&#31639;&#20844;&#24320;\2023&#24180;\2022&#24180;&#20915;&#31639;&#20844;&#24320;\&#20844;&#24320;&#21450;&#25209;&#22797;&#26448;&#26009;&#65288;&#20379;&#21442;&#32771;&#65289;\&#30465;&#26412;&#32423;\&#20844;&#24320;&#26448;&#26009;\&#22797;&#20214;%20&#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39044;&#31639;&#12289;&#20915;&#31639;&#20844;&#24320;\2023&#24180;\2022&#24180;&#20915;&#31639;&#20844;&#24320;\&#20844;&#24320;&#21450;&#25209;&#22797;&#26448;&#26009;&#65288;&#20379;&#21442;&#32771;&#65289;\&#30465;&#26412;&#32423;\&#20844;&#24320;&#26448;&#26009;\&#22797;&#20214;%20&#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39044;&#31639;&#12289;&#20915;&#31639;&#20844;&#24320;\2023&#24180;\2022&#24180;&#20915;&#31639;&#20844;&#24320;\&#20844;&#24320;&#21450;&#25209;&#22797;&#26448;&#26009;&#65288;&#20379;&#21442;&#32771;&#65289;\&#30465;&#26412;&#32423;\&#20844;&#24320;&#26448;&#26009;\&#22797;&#20214;%20&#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39044;&#31639;&#12289;&#20915;&#31639;&#20844;&#24320;\2023&#24180;\2022&#24180;&#20915;&#31639;&#20844;&#24320;\&#20844;&#24320;&#21450;&#25209;&#22797;&#26448;&#26009;&#65288;&#20379;&#21442;&#32771;&#65289;\&#30465;&#26412;&#32423;\&#20844;&#24320;&#26448;&#26009;\&#22797;&#20214;%20&#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39044;&#31639;&#12289;&#20915;&#31639;&#20844;&#24320;\2023&#24180;\2022&#24180;&#20915;&#31639;&#20844;&#24320;\&#20844;&#24320;&#21450;&#25209;&#22797;&#26448;&#26009;&#65288;&#20379;&#21442;&#32771;&#65289;\&#30465;&#26412;&#32423;\&#20844;&#24320;&#26448;&#26009;\&#22797;&#20214;%20&#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39044;&#31639;&#12289;&#20915;&#31639;&#20844;&#24320;\2023&#24180;\2022&#24180;&#20915;&#31639;&#20844;&#24320;\&#20844;&#24320;&#21450;&#25209;&#22797;&#26448;&#26009;&#65288;&#20379;&#21442;&#32771;&#65289;\&#30465;&#26412;&#32423;\&#20844;&#24320;&#26448;&#26009;\&#22797;&#20214;%20&#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18744.56</c:v>
                </c:pt>
                <c:pt idx="1">
                  <c:v>21515.55</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42013888888889"/>
          <c:y val="0.176388888888889"/>
          <c:w val="0.324305555555556"/>
          <c:h val="0.540509259259259"/>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elete val="1"/>
          </c:dLbls>
          <c:cat>
            <c:strRef>
              <c:f>'[复件 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'[复件 决算公开插图制作示例.xlsx]图二'!$B$1:$B$6</c:f>
              <c:numCache>
                <c:formatCode>General</c:formatCode>
                <c:ptCount val="6"/>
                <c:pt idx="0">
                  <c:v>16204.86</c:v>
                </c:pt>
                <c:pt idx="1">
                  <c:v>368.96</c:v>
                </c:pt>
                <c:pt idx="2">
                  <c:v>0</c:v>
                </c:pt>
                <c:pt idx="3">
                  <c:v>0</c:v>
                </c:pt>
                <c:pt idx="4">
                  <c:v>0</c:v>
                </c:pt>
                <c:pt idx="5">
                  <c:v>4412.91</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'[复件 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'[复件 决算公开插图制作示例.xlsx]图二'!$C$1:$C$6</c:f>
              <c:numCache>
                <c:formatCode>0.00%</c:formatCode>
                <c:ptCount val="6"/>
                <c:pt idx="0">
                  <c:v>0.772147923950039</c:v>
                </c:pt>
                <c:pt idx="1">
                  <c:v>0</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'[复件 决算公开插图制作示例.xlsx]图三'!$A$2:$B$2</c:f>
              <c:strCache>
                <c:ptCount val="2"/>
                <c:pt idx="0">
                  <c:v>基本支出</c:v>
                </c:pt>
                <c:pt idx="1">
                  <c:v>项目支出</c:v>
                </c:pt>
              </c:strCache>
            </c:strRef>
          </c:cat>
          <c:val>
            <c:numRef>
              <c:f>'[复件 决算公开插图制作示例.xlsx]图三'!$A$3:$B$3</c:f>
              <c:numCache>
                <c:formatCode>0.00%</c:formatCode>
                <c:ptCount val="2"/>
                <c:pt idx="0">
                  <c:v>0.025</c:v>
                </c:pt>
                <c:pt idx="1">
                  <c:v>0.975</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'[复件 决算公开插图制作示例.xlsx]图4 '!$A$1:$B$1</c:f>
              <c:strCache>
                <c:ptCount val="2"/>
                <c:pt idx="0">
                  <c:v>2021年</c:v>
                </c:pt>
                <c:pt idx="1">
                  <c:v>2022年</c:v>
                </c:pt>
              </c:strCache>
            </c:strRef>
          </c:cat>
          <c:val>
            <c:numRef>
              <c:f>'[复件 决算公开插图制作示例.xlsx]图4 '!$A$2:$B$2</c:f>
              <c:numCache>
                <c:formatCode>General</c:formatCode>
                <c:ptCount val="2"/>
                <c:pt idx="0">
                  <c:v>18048.32</c:v>
                </c:pt>
                <c:pt idx="1">
                  <c:v>17102.64</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'[复件 决算公开插图制作示例.xlsx]图5'!$A$1:$B$1</c:f>
              <c:strCache>
                <c:ptCount val="2"/>
                <c:pt idx="0">
                  <c:v>2021年</c:v>
                </c:pt>
                <c:pt idx="1">
                  <c:v>2022年</c:v>
                </c:pt>
              </c:strCache>
            </c:strRef>
          </c:cat>
          <c:val>
            <c:numRef>
              <c:f>'[复件 决算公开插图制作示例.xlsx]图5'!$A$2:$B$2</c:f>
              <c:numCache>
                <c:formatCode>General</c:formatCode>
                <c:ptCount val="2"/>
                <c:pt idx="0">
                  <c:v>17269.51</c:v>
                </c:pt>
                <c:pt idx="1">
                  <c:v>16608.68</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'[复件 决算公开插图制作示例.xlsx]图6'!$A$2:$A$5</c:f>
              <c:strCache>
                <c:ptCount val="4"/>
                <c:pt idx="0">
                  <c:v>一般公共服务（类）支出</c:v>
                </c:pt>
                <c:pt idx="1">
                  <c:v>社会保障和就业（类）支出</c:v>
                </c:pt>
                <c:pt idx="2">
                  <c:v>卫生健康(类)支出</c:v>
                </c:pt>
                <c:pt idx="3">
                  <c:v>住房保障（类）支出</c:v>
                </c:pt>
              </c:strCache>
            </c:strRef>
          </c:cat>
          <c:val>
            <c:numRef>
              <c:f>'[复件 决算公开插图制作示例.xlsx]图6'!$B$2:$B$5</c:f>
              <c:numCache>
                <c:formatCode>General</c:formatCode>
                <c:ptCount val="4"/>
                <c:pt idx="0">
                  <c:v>0</c:v>
                </c:pt>
                <c:pt idx="1">
                  <c:v>99.74</c:v>
                </c:pt>
                <c:pt idx="2">
                  <c:v>0.1</c:v>
                </c:pt>
                <c:pt idx="3">
                  <c:v>0.16</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explosion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'[复件 决算公开插图制作示例.xlsx]图7'!$A$2:$A$4</c:f>
              <c:strCache>
                <c:ptCount val="3"/>
                <c:pt idx="0">
                  <c:v>因公出国（境）费支出</c:v>
                </c:pt>
                <c:pt idx="1">
                  <c:v>公务用车购置及运行维护费支出</c:v>
                </c:pt>
                <c:pt idx="2">
                  <c:v>公务接待费支出</c:v>
                </c:pt>
              </c:strCache>
            </c:strRef>
          </c:cat>
          <c:val>
            <c:numRef>
              <c:f>'[复件 决算公开插图制作示例.xlsx]图7'!$B$2:$B$4</c:f>
              <c:numCache>
                <c:formatCode>General</c:formatCode>
                <c:ptCount val="3"/>
                <c:pt idx="0">
                  <c:v>0</c:v>
                </c:pt>
                <c:pt idx="1">
                  <c:v>1.81</c:v>
                </c:pt>
                <c:pt idx="2">
                  <c:v>2.56</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5274</Words>
  <Characters>626</Characters>
  <Lines>5</Lines>
  <Paragraphs>11</Paragraphs>
  <TotalTime>2</TotalTime>
  <ScaleCrop>false</ScaleCrop>
  <LinksUpToDate>false</LinksUpToDate>
  <CharactersWithSpaces>5889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2023-10-25T06:46:00Z</cp:lastPrinted>
  <dcterms:modified xsi:type="dcterms:W3CDTF">2023-11-07T07:58:35Z</dcterms:modified>
  <dc:title>四川省***</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