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90"/>
        </w:tabs>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06267"/>
      <w:bookmarkStart w:id="3" w:name="_Toc15378441"/>
      <w:bookmarkStart w:id="4" w:name="_Toc15396475"/>
      <w:bookmarkStart w:id="5" w:name="_Toc15377425"/>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06268"/>
      <w:bookmarkStart w:id="7" w:name="_Toc15377426"/>
      <w:bookmarkStart w:id="8" w:name="_Toc15396598"/>
      <w:bookmarkStart w:id="9" w:name="_Toc15396476"/>
      <w:bookmarkStart w:id="10" w:name="_Toc15378442"/>
      <w:bookmarkStart w:id="11" w:name="_Toc15377194"/>
      <w:r>
        <w:rPr>
          <w:rFonts w:hint="eastAsia" w:ascii="方正小标宋简体" w:hAnsi="方正小标宋简体" w:eastAsia="方正小标宋简体" w:cs="方正小标宋简体"/>
          <w:sz w:val="72"/>
          <w:szCs w:val="72"/>
        </w:rPr>
        <w:t>剑阁县</w:t>
      </w:r>
      <w:r>
        <w:rPr>
          <w:rFonts w:hint="eastAsia" w:ascii="方正小标宋简体" w:hAnsi="方正小标宋简体" w:eastAsia="方正小标宋简体" w:cs="方正小标宋简体"/>
          <w:sz w:val="72"/>
          <w:szCs w:val="72"/>
          <w:lang w:eastAsia="zh-CN"/>
        </w:rPr>
        <w:t>医疗保障局</w:t>
      </w:r>
    </w:p>
    <w:bookmarkEnd w:id="6"/>
    <w:bookmarkEnd w:id="7"/>
    <w:bookmarkEnd w:id="8"/>
    <w:bookmarkEnd w:id="9"/>
    <w:bookmarkEnd w:id="10"/>
    <w:bookmarkEnd w:id="11"/>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20</w:t>
      </w:r>
      <w:r>
        <w:rPr>
          <w:rFonts w:hint="eastAsia"/>
        </w:rPr>
        <w:t>日</w:t>
      </w:r>
    </w:p>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ab/>
      </w:r>
      <w:r>
        <w:rPr>
          <w:rFonts w:hint="eastAsia"/>
          <w:sz w:val="24"/>
          <w:lang w:val="en-US" w:eastAsia="zh-CN"/>
        </w:rPr>
        <w:t>1</w:t>
      </w:r>
    </w:p>
    <w:p>
      <w:pPr>
        <w:pStyle w:val="13"/>
        <w:adjustRightInd w:val="0"/>
        <w:snapToGrid w:val="0"/>
        <w:spacing w:line="440" w:lineRule="exact"/>
        <w:jc w:val="left"/>
        <w:rPr>
          <w:rFonts w:hint="default" w:eastAsia="宋体"/>
          <w:sz w:val="24"/>
          <w:lang w:val="en-US" w:eastAsia="zh-CN"/>
        </w:rPr>
      </w:pPr>
      <w:r>
        <w:rPr>
          <w:rFonts w:hint="eastAsia"/>
          <w:sz w:val="24"/>
        </w:rPr>
        <w:t>一、部门职责及重点</w:t>
      </w:r>
      <w:r>
        <w:rPr>
          <w:sz w:val="24"/>
        </w:rPr>
        <w:t>工作</w:t>
      </w:r>
      <w:r>
        <w:rPr>
          <w:rFonts w:hint="eastAsia"/>
          <w:sz w:val="24"/>
          <w:lang w:val="en-US" w:eastAsia="zh-CN"/>
        </w:rPr>
        <w:tab/>
      </w:r>
      <w:r>
        <w:rPr>
          <w:rFonts w:hint="eastAsia"/>
          <w:sz w:val="24"/>
          <w:lang w:val="en-US" w:eastAsia="zh-CN"/>
        </w:rPr>
        <w:t>1</w:t>
      </w:r>
    </w:p>
    <w:p>
      <w:pPr>
        <w:pStyle w:val="13"/>
        <w:adjustRightInd w:val="0"/>
        <w:snapToGrid w:val="0"/>
        <w:spacing w:line="440" w:lineRule="exact"/>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rPr>
        <w:t>(一)部门</w:t>
      </w:r>
      <w:r>
        <w:rPr>
          <w:rFonts w:ascii="Times New Roman" w:hAnsi="Times New Roman" w:eastAsia="宋体" w:cs="Times New Roman"/>
          <w:b w:val="0"/>
          <w:bCs w:val="0"/>
          <w:sz w:val="24"/>
          <w:szCs w:val="24"/>
        </w:rPr>
        <w:t>职责</w:t>
      </w:r>
      <w:r>
        <w:rPr>
          <w:rFonts w:hint="eastAsia" w:cs="Times New Roman"/>
          <w:b w:val="0"/>
          <w:bCs w:val="0"/>
          <w:sz w:val="24"/>
          <w:szCs w:val="24"/>
          <w:lang w:val="en-US" w:eastAsia="zh-CN"/>
        </w:rPr>
        <w:tab/>
      </w:r>
      <w:r>
        <w:rPr>
          <w:rFonts w:hint="eastAsia" w:cs="Times New Roman"/>
          <w:b w:val="0"/>
          <w:bCs w:val="0"/>
          <w:sz w:val="24"/>
          <w:szCs w:val="24"/>
          <w:lang w:val="en-US" w:eastAsia="zh-CN"/>
        </w:rPr>
        <w:t>1</w:t>
      </w:r>
    </w:p>
    <w:p>
      <w:pPr>
        <w:pStyle w:val="13"/>
        <w:adjustRightInd w:val="0"/>
        <w:snapToGrid w:val="0"/>
        <w:spacing w:line="440" w:lineRule="exact"/>
        <w:ind w:left="0" w:leftChars="0" w:firstLine="240" w:firstLineChars="100"/>
        <w:jc w:val="left"/>
        <w:rPr>
          <w:rFonts w:hint="default" w:ascii="仿宋" w:hAnsi="仿宋" w:eastAsia="宋体"/>
          <w:sz w:val="24"/>
          <w:lang w:val="en-US" w:eastAsia="zh-CN"/>
        </w:rPr>
      </w:pPr>
      <w:r>
        <w:rPr>
          <w:rFonts w:hint="eastAsia"/>
          <w:sz w:val="24"/>
        </w:rPr>
        <w:t>（二）2022年重点工作完成情况</w:t>
      </w:r>
      <w:r>
        <w:rPr>
          <w:rFonts w:hint="eastAsia"/>
          <w:sz w:val="24"/>
          <w:lang w:val="en-US" w:eastAsia="zh-CN"/>
        </w:rPr>
        <w:t>.</w:t>
      </w:r>
      <w:r>
        <w:rPr>
          <w:rFonts w:hint="eastAsia"/>
          <w:sz w:val="24"/>
          <w:lang w:val="en-US" w:eastAsia="zh-CN"/>
        </w:rPr>
        <w:tab/>
      </w:r>
      <w:r>
        <w:rPr>
          <w:rFonts w:hint="eastAsia"/>
          <w:sz w:val="24"/>
          <w:lang w:val="en-US" w:eastAsia="zh-CN"/>
        </w:rPr>
        <w:t>4</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ab/>
      </w:r>
      <w:r>
        <w:rPr>
          <w:rFonts w:hint="eastAsia"/>
          <w:sz w:val="24"/>
          <w:lang w:val="en-US" w:eastAsia="zh-CN"/>
        </w:rPr>
        <w:t>5</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ab/>
      </w:r>
      <w:r>
        <w:rPr>
          <w:rFonts w:hint="eastAsia"/>
          <w:sz w:val="24"/>
          <w:lang w:val="en-US" w:eastAsia="zh-CN"/>
        </w:rPr>
        <w:t>6</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ab/>
      </w:r>
      <w:r>
        <w:rPr>
          <w:rFonts w:hint="eastAsia"/>
          <w:sz w:val="24"/>
          <w:lang w:val="en-US" w:eastAsia="zh-CN"/>
        </w:rPr>
        <w:t>6</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ab/>
      </w:r>
      <w:r>
        <w:rPr>
          <w:rFonts w:hint="eastAsia"/>
          <w:sz w:val="24"/>
          <w:lang w:val="en-US" w:eastAsia="zh-CN"/>
        </w:rPr>
        <w:t>7</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ab/>
      </w:r>
      <w:r>
        <w:rPr>
          <w:rFonts w:hint="eastAsia"/>
          <w:sz w:val="24"/>
          <w:lang w:val="en-US" w:eastAsia="zh-CN"/>
        </w:rPr>
        <w:t>8</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ab/>
      </w:r>
      <w:r>
        <w:rPr>
          <w:rFonts w:hint="eastAsia"/>
          <w:sz w:val="24"/>
          <w:lang w:val="en-US" w:eastAsia="zh-CN"/>
        </w:rPr>
        <w:t>8</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ab/>
      </w:r>
      <w:r>
        <w:rPr>
          <w:rFonts w:hint="eastAsia"/>
          <w:sz w:val="24"/>
          <w:lang w:val="en-US" w:eastAsia="zh-CN"/>
        </w:rPr>
        <w:t>9</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ab/>
      </w:r>
      <w:r>
        <w:rPr>
          <w:rFonts w:hint="eastAsia"/>
          <w:sz w:val="24"/>
          <w:lang w:val="en-US" w:eastAsia="zh-CN"/>
        </w:rPr>
        <w:t>13</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ab/>
      </w:r>
      <w:r>
        <w:rPr>
          <w:rFonts w:hint="eastAsia"/>
          <w:sz w:val="24"/>
          <w:lang w:val="en-US" w:eastAsia="zh-CN"/>
        </w:rPr>
        <w:t>13</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ab/>
      </w:r>
      <w:r>
        <w:rPr>
          <w:rFonts w:hint="eastAsia"/>
          <w:sz w:val="24"/>
          <w:lang w:val="en-US" w:eastAsia="zh-CN"/>
        </w:rPr>
        <w:t>16</w:t>
      </w:r>
    </w:p>
    <w:p>
      <w:pPr>
        <w:pStyle w:val="13"/>
        <w:adjustRightInd w:val="0"/>
        <w:snapToGrid w:val="0"/>
        <w:spacing w:line="440" w:lineRule="exact"/>
        <w:ind w:left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ab/>
      </w:r>
      <w:r>
        <w:rPr>
          <w:rFonts w:hint="eastAsia" w:asciiTheme="minorEastAsia" w:hAnsiTheme="minorEastAsia" w:eastAsiaTheme="minorEastAsia" w:cstheme="minorEastAsia"/>
          <w:sz w:val="24"/>
          <w:lang w:val="en-US" w:eastAsia="zh-CN"/>
        </w:rPr>
        <w:t>16</w:t>
      </w:r>
    </w:p>
    <w:p>
      <w:pPr>
        <w:pStyle w:val="13"/>
        <w:adjustRightInd w:val="0"/>
        <w:snapToGrid w:val="0"/>
        <w:spacing w:line="440" w:lineRule="exact"/>
        <w:ind w:leftChars="0" w:right="643" w:rightChars="306"/>
        <w:jc w:val="left"/>
        <w:rPr>
          <w:rFonts w:hint="default" w:eastAsiaTheme="minorEastAsia"/>
          <w:lang w:val="en-US" w:eastAsia="zh-CN"/>
        </w:rPr>
      </w:pPr>
      <w:r>
        <w:rPr>
          <w:rStyle w:val="20"/>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kern w:val="2"/>
          <w:sz w:val="24"/>
          <w:szCs w:val="24"/>
          <w:lang w:val="en-US" w:eastAsia="zh-CN" w:bidi="ar-SA"/>
        </w:rPr>
        <w:t>其他重要事项的情况说</w:t>
      </w: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sz w:val="24"/>
          <w:lang w:val="en-US" w:eastAsia="zh-CN"/>
        </w:rPr>
        <w:t>16</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19</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lang w:val="en-US" w:eastAsia="zh-CN"/>
        </w:rPr>
        <w:t>23</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ab/>
      </w:r>
      <w:r>
        <w:rPr>
          <w:rFonts w:hint="eastAsia"/>
          <w:sz w:val="24"/>
          <w:lang w:val="en-US" w:eastAsia="zh-CN"/>
        </w:rPr>
        <w:t>50</w:t>
      </w:r>
    </w:p>
    <w:p>
      <w:pPr>
        <w:pStyle w:val="13"/>
        <w:adjustRightInd w:val="0"/>
        <w:snapToGrid w:val="0"/>
        <w:spacing w:line="440" w:lineRule="exact"/>
        <w:jc w:val="left"/>
        <w:rPr>
          <w:rFonts w:hint="default" w:ascii="黑体" w:hAnsi="黑体" w:eastAsia="宋体"/>
          <w:b w:val="0"/>
          <w:lang w:val="en-US" w:eastAsia="zh-CN"/>
        </w:rPr>
        <w:sectPr>
          <w:footerReference r:id="rId3" w:type="even"/>
          <w:pgSz w:w="11906" w:h="16838"/>
          <w:pgMar w:top="2098" w:right="1474" w:bottom="1247" w:left="1588" w:header="851" w:footer="1247" w:gutter="0"/>
          <w:pgNumType w:fmt="decimal"/>
          <w:cols w:space="720" w:num="1"/>
          <w:titlePg/>
          <w:docGrid w:type="lines" w:linePitch="312" w:charSpace="0"/>
        </w:sectPr>
      </w:pPr>
      <w:r>
        <w:rPr>
          <w:rFonts w:hint="eastAsia"/>
          <w:sz w:val="24"/>
        </w:rPr>
        <w:t>十三、财政拨款“三公”经费支出决算表</w:t>
      </w:r>
      <w:bookmarkStart w:id="12" w:name="_Toc15377196"/>
      <w:bookmarkStart w:id="13" w:name="_Toc15396599"/>
      <w:r>
        <w:rPr>
          <w:rFonts w:hint="eastAsia"/>
          <w:sz w:val="24"/>
          <w:lang w:val="en-US" w:eastAsia="zh-CN"/>
        </w:rPr>
        <w:tab/>
      </w:r>
      <w:r>
        <w:rPr>
          <w:rFonts w:hint="eastAsia"/>
          <w:sz w:val="24"/>
          <w:lang w:val="en-US" w:eastAsia="zh-CN"/>
        </w:rPr>
        <w:t>50</w:t>
      </w:r>
    </w:p>
    <w:p>
      <w:pPr>
        <w:pStyle w:val="3"/>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hint="eastAsia" w:ascii="黑体" w:hAnsi="黑体" w:eastAsia="黑体"/>
          <w:b w:val="0"/>
          <w:color w:val="auto"/>
        </w:rPr>
      </w:pPr>
      <w:r>
        <w:rPr>
          <w:rFonts w:hint="eastAsia" w:ascii="黑体" w:hAnsi="黑体" w:eastAsia="黑体"/>
          <w:b w:val="0"/>
          <w:color w:val="auto"/>
        </w:rPr>
        <w:t>部门职责及重点工作</w:t>
      </w:r>
    </w:p>
    <w:p>
      <w:pPr>
        <w:pStyle w:val="13"/>
        <w:adjustRightInd w:val="0"/>
        <w:snapToGrid w:val="0"/>
        <w:spacing w:line="440" w:lineRule="exact"/>
        <w:jc w:val="left"/>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(一)部门职责</w:t>
      </w:r>
    </w:p>
    <w:p>
      <w:pPr>
        <w:pStyle w:val="2"/>
        <w:adjustRightInd w:val="0"/>
        <w:snapToGrid w:val="0"/>
        <w:spacing w:before="93" w:line="600" w:lineRule="exact"/>
        <w:ind w:firstLine="960" w:firstLineChars="30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根据中共剑阁县委剑阁县人民政府关于印发《剑阁县机构改革方案》和《剑阁县机构改革方案的实施意见》的通知》（剑委</w:t>
      </w:r>
      <w:r>
        <w:rPr>
          <w:rFonts w:hint="eastAsia" w:hAnsi="宋体"/>
          <w:color w:val="auto"/>
          <w:sz w:val="32"/>
          <w:szCs w:val="32"/>
        </w:rPr>
        <w:t>〔</w:t>
      </w:r>
      <w:r>
        <w:rPr>
          <w:rFonts w:hint="eastAsia" w:hAnsi="华文中宋"/>
          <w:color w:val="auto"/>
          <w:sz w:val="32"/>
          <w:szCs w:val="32"/>
        </w:rPr>
        <w:t>20</w:t>
      </w:r>
      <w:r>
        <w:rPr>
          <w:rFonts w:hint="eastAsia" w:hAnsi="华文中宋"/>
          <w:color w:val="auto"/>
          <w:sz w:val="32"/>
          <w:szCs w:val="32"/>
          <w:lang w:eastAsia="zh-CN"/>
        </w:rPr>
        <w:t>19</w:t>
      </w:r>
      <w:r>
        <w:rPr>
          <w:rFonts w:hint="eastAsia" w:hAnsi="宋体"/>
          <w:color w:val="auto"/>
          <w:sz w:val="32"/>
          <w:szCs w:val="32"/>
        </w:rPr>
        <w:t>〕</w:t>
      </w:r>
      <w:r>
        <w:rPr>
          <w:rFonts w:hint="eastAsia" w:ascii="仿宋" w:hAnsi="仿宋" w:eastAsia="仿宋"/>
          <w:bCs/>
          <w:color w:val="auto"/>
          <w:sz w:val="32"/>
          <w:szCs w:val="32"/>
          <w:lang w:eastAsia="zh-CN"/>
        </w:rPr>
        <w:t>22号）, 成立剑阁县医疗保障局（简称县医保局）是剑阁县人民政府工作部门，为正科级，其前身剑阁县医疗保险管理局为县人力资源和社会保障局的二级经办机构。县医保局贯彻落实党中央关于医疗保障工作的方针政策和省委、市委、县委的决策部署，在履行职责过程中坚持和加强党对医疗保障工作的集中统一领导。</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县医保局主要职责是：</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1.负责贯彻执行国家、省、市、县有关医疗保险、生育保险、医疗救助、长期护理保险等医疗保障政策制度。</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2.贯彻执行有关地方性法规和规章，组织起草全县医疗保障规范性文件；负责拟订全县医疗保障事业发展规划，并组织实施和监督检查。</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3.贯彻执行医疗保障基金监督管理制度，建立健全医疗保障基金安全防控机制，监督强化全县医疗保障基金运行管理。</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4.贯彻执行医疗保障筹资和待遇政策，负责医疗保障基金归集，拟订医疗保障基金年度收支计划，按政策和标准支付医疗待遇；完善动态调整和县域调剂平衡机制，执行统筹城乡医疗保障待遇标准，建立健全与筹资水平相适应的待遇调整机制。</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5.贯彻执行上级药品、医用耗材、医疗服务项目、医疗服务设施等医疗保障目录和支付标准政策。贯彻执行上级有关医疗保障目录准入谈判规则并组织实施。</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6.贯彻执行上级药品、医用耗材价格和医疗服务项目、医疗服务设施收费等政策。建立医保支付医药服务价格合理确定和动态调整机制。推动建立市场主导的社会医药服务价格形成机制；建立价格信息监测和信息发布制度。</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7.贯彻执行上级药品、医用耗材的招标采购政策并监督实施。负责全县药品、医用耗材招标采购平台建设。组织实施大病保险招标准入和业务指导。</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8.推进医疗保障基金支付方式改革，拟定全县定点医药机构协议和支付管理办法并组织实施。负责全县医疗保障定点机构管理和考核工作。</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 xml:space="preserve"> 9.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10.负责全县医疗保障经办管理、公共服务体系建设。贯彻执行上级异地就医管理和费用结算政策。建立健全医疗保障关系转移接续制度。监督管理全县医保经办服务工作。开展医疗保障领域对外合作交流。</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11.负责推进实施全县医疗保障信息化建设，组织开展医疗保障大数据管理和应用。</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12.负责职责范围内的安全生产和职业健康、生态环境保护、审批服务便民化等工作。</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13.完成县委、县政府交办的其他任务。</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14.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15.有关职责分工，县卫生健康局、县医疗保障局和县市场监督管理局等部门在医疗、医保、医药等方面加强制度、政策衔接，建立沟通协商机制，协同推进改革，提高医疗资源使用效率和医疗保障水平。</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原县医疗保险管理局实有编制17名(含行政编制1名，参公编制14名，工勤人员2名)，负责全县城镇职工医保、城乡居民医保参保群众的基本医疗保险待遇支付和医保基金安全运行监管职责。</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机改后，县医疗保障局整合了县人力资源和社会保障局的城镇职工和城镇居民基本医疗保险、生育保险、新型农村合作医疗保险等职责，县发改局的药品和医疗服务价格管理职责，县民政局的医疗救助职责以及原县医疗保险管理局的行政职责。</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根据国家税务总局 四川省税务局等三部门《关于城乡居民基本医疗保险费征管职责划转事项的通知》（川税发〔2019〕31号）文件精神，2019年县人力资源和社会保障局将城乡居民医疗保险征收和参保登记职责移交我局。</w:t>
      </w:r>
    </w:p>
    <w:p>
      <w:pPr>
        <w:pStyle w:val="2"/>
        <w:adjustRightInd w:val="0"/>
        <w:snapToGrid w:val="0"/>
        <w:spacing w:before="93" w:line="600" w:lineRule="exact"/>
        <w:ind w:firstLine="672" w:firstLineChars="210"/>
        <w:outlineLvl w:val="2"/>
        <w:rPr>
          <w:rFonts w:hint="eastAsia" w:ascii="仿宋" w:hAnsi="仿宋" w:eastAsia="仿宋" w:cs="Times New Roman"/>
          <w:color w:val="auto"/>
          <w:kern w:val="2"/>
          <w:sz w:val="32"/>
          <w:szCs w:val="32"/>
          <w:lang w:val="en-US" w:eastAsia="zh-CN" w:bidi="ar-SA"/>
        </w:rPr>
      </w:pPr>
      <w:r>
        <w:rPr>
          <w:rFonts w:hint="eastAsia" w:ascii="仿宋" w:hAnsi="仿宋" w:eastAsia="仿宋"/>
          <w:bCs/>
          <w:color w:val="auto"/>
          <w:sz w:val="32"/>
          <w:szCs w:val="32"/>
          <w:lang w:eastAsia="zh-CN"/>
        </w:rPr>
        <w:t>根据广元市人力资源和社会保障局 广元市医疗保障局《关于做好职工医保、生育保险征收和工伤保险待遇经办等移交工作的通知》（广人社办发〔2019〕186号）要求，2020年1月1日起，职工医疗保险和生育保险参保登记、关系接续、基金归集等相关业务工作也由县人力资源和社会保障局移交我局。</w:t>
      </w:r>
    </w:p>
    <w:p>
      <w:pPr>
        <w:pStyle w:val="13"/>
        <w:adjustRightInd w:val="0"/>
        <w:snapToGrid w:val="0"/>
        <w:spacing w:line="440" w:lineRule="exact"/>
        <w:ind w:left="0" w:leftChars="0" w:firstLine="320" w:firstLineChars="100"/>
        <w:jc w:val="left"/>
        <w:rPr>
          <w:rFonts w:hint="eastAsia" w:ascii="仿宋" w:hAnsi="仿宋" w:eastAsia="仿宋" w:cs="Times New Roman"/>
          <w:color w:val="auto"/>
          <w:kern w:val="2"/>
          <w:sz w:val="32"/>
          <w:szCs w:val="32"/>
          <w:lang w:val="en-US" w:eastAsia="zh-CN" w:bidi="ar-SA"/>
        </w:rPr>
      </w:pPr>
    </w:p>
    <w:p>
      <w:pPr>
        <w:pStyle w:val="13"/>
        <w:adjustRightInd w:val="0"/>
        <w:snapToGrid w:val="0"/>
        <w:spacing w:line="440" w:lineRule="exact"/>
        <w:jc w:val="left"/>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（二）2022年重点工作完成情况</w:t>
      </w:r>
    </w:p>
    <w:p>
      <w:pPr>
        <w:rPr>
          <w:rFonts w:hint="eastAsia"/>
          <w:color w:val="auto"/>
          <w:lang w:val="en-US"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 w:hAnsi="仿宋" w:eastAsia="仿宋" w:cs="Times New Roman"/>
          <w:bCs/>
          <w:color w:val="auto"/>
          <w:kern w:val="0"/>
          <w:sz w:val="32"/>
          <w:szCs w:val="32"/>
          <w:lang w:val="en-US" w:eastAsia="zh-CN" w:bidi="ar-SA"/>
        </w:rPr>
        <w:t>1.坚决贯彻各级重大决策部署。一是巩固拓展医疗保障脱贫攻坚成果有效衔接乡村振兴战略，围绕基本医疗有保障，完善医保长效帮扶机制，防范化解因病致贫返贫风险；二是坚持抓好疫情防控医保工作。</w:t>
      </w:r>
      <w:r>
        <w:rPr>
          <w:rFonts w:hint="eastAsia" w:ascii="仿宋_GB2312" w:hAnsi="仿宋_GB2312" w:eastAsia="仿宋_GB2312" w:cs="仿宋_GB2312"/>
          <w:i w:val="0"/>
          <w:caps w:val="0"/>
          <w:color w:val="auto"/>
          <w:spacing w:val="0"/>
          <w:sz w:val="32"/>
          <w:szCs w:val="32"/>
        </w:rPr>
        <w:t>继续落实好疫情防控医保政策，做好新冠病毒疫苗及接种费用保障，做好疫情防控期间医保经办工作。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w:t>
      </w:r>
      <w:r>
        <w:rPr>
          <w:rFonts w:hint="eastAsia" w:ascii="仿宋_GB2312" w:hAnsi="仿宋_GB2312" w:eastAsia="仿宋_GB2312" w:cs="仿宋_GB2312"/>
          <w:i w:val="0"/>
          <w:caps w:val="0"/>
          <w:color w:val="auto"/>
          <w:spacing w:val="0"/>
          <w:sz w:val="32"/>
          <w:szCs w:val="32"/>
        </w:rPr>
        <w:t>稳步推进医保改革任务落实落地。一是深化医保支付方式改革；二是常态化实施药品耗材集中招标采购。</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w:t>
      </w:r>
      <w:r>
        <w:rPr>
          <w:rFonts w:hint="eastAsia" w:ascii="仿宋_GB2312" w:hAnsi="仿宋_GB2312" w:eastAsia="仿宋_GB2312" w:cs="仿宋_GB2312"/>
          <w:i w:val="0"/>
          <w:caps w:val="0"/>
          <w:color w:val="auto"/>
          <w:spacing w:val="0"/>
          <w:sz w:val="32"/>
          <w:szCs w:val="32"/>
        </w:rPr>
        <w:t>坚决守好用好医保基金。一是做好城乡居民医保保费征缴工作；二是强化医保定点协议管理；三是持续深入开展医保基金专项治理。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color w:val="auto"/>
          <w:lang w:val="en-US" w:eastAsia="zh-CN"/>
        </w:rPr>
      </w:pPr>
      <w:r>
        <w:rPr>
          <w:rFonts w:hint="eastAsia" w:ascii="仿宋" w:hAnsi="仿宋" w:eastAsia="仿宋"/>
          <w:bCs/>
          <w:color w:val="auto"/>
          <w:sz w:val="32"/>
          <w:szCs w:val="32"/>
          <w:lang w:eastAsia="zh-CN"/>
        </w:rPr>
        <w:t>4.</w:t>
      </w:r>
      <w:r>
        <w:rPr>
          <w:rFonts w:hint="eastAsia" w:ascii="仿宋_GB2312" w:hAnsi="仿宋_GB2312" w:eastAsia="仿宋_GB2312" w:cs="仿宋_GB2312"/>
          <w:i w:val="0"/>
          <w:caps w:val="0"/>
          <w:color w:val="auto"/>
          <w:spacing w:val="0"/>
          <w:sz w:val="32"/>
          <w:szCs w:val="32"/>
        </w:rPr>
        <w:t>不断提升公共服务管理能力。一是进一步健全医疗保障服务体系，增强基层医保服务能力；二是进一步深化政风行风建设，优化医保经办服务；三是进一步加大医保政策宣传。</w:t>
      </w:r>
    </w:p>
    <w:p>
      <w:pPr>
        <w:pStyle w:val="4"/>
        <w:rPr>
          <w:rStyle w:val="31"/>
          <w:b w:val="0"/>
          <w:bCs w:val="0"/>
          <w:color w:val="auto"/>
        </w:rPr>
      </w:pPr>
      <w:bookmarkStart w:id="14" w:name="_Toc15377200"/>
      <w:bookmarkStart w:id="15" w:name="_Toc15396601"/>
      <w:r>
        <w:rPr>
          <w:rFonts w:hint="eastAsia" w:ascii="黑体" w:eastAsia="黑体"/>
          <w:b w:val="0"/>
          <w:color w:val="auto"/>
        </w:rPr>
        <w:t>二、</w:t>
      </w:r>
      <w:r>
        <w:rPr>
          <w:rFonts w:hint="eastAsia" w:ascii="黑体" w:hAnsi="黑体" w:eastAsia="黑体"/>
          <w:b w:val="0"/>
          <w:color w:val="auto"/>
        </w:rPr>
        <w:t>机</w:t>
      </w:r>
      <w:r>
        <w:rPr>
          <w:rStyle w:val="31"/>
          <w:rFonts w:hint="eastAsia" w:ascii="黑体" w:hAnsi="黑体" w:eastAsia="黑体"/>
          <w:b w:val="0"/>
          <w:bCs w:val="0"/>
          <w:color w:val="auto"/>
        </w:rPr>
        <w:t>构设置</w:t>
      </w:r>
      <w:bookmarkEnd w:id="14"/>
      <w:bookmarkEnd w:id="15"/>
    </w:p>
    <w:p>
      <w:pPr>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剑阁县医疗保障局</w:t>
      </w:r>
      <w:r>
        <w:rPr>
          <w:rFonts w:hint="eastAsia" w:ascii="仿宋" w:hAnsi="仿宋" w:eastAsia="仿宋"/>
          <w:color w:val="auto"/>
          <w:sz w:val="32"/>
          <w:szCs w:val="32"/>
        </w:rPr>
        <w:t>下属二级预算单位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个，参照公务员法管理的事业单位</w:t>
      </w:r>
      <w:r>
        <w:rPr>
          <w:rFonts w:hint="eastAsia" w:ascii="仿宋" w:hAnsi="仿宋" w:eastAsia="仿宋"/>
          <w:bCs/>
          <w:color w:val="auto"/>
          <w:sz w:val="32"/>
          <w:szCs w:val="32"/>
          <w:lang w:val="en-US" w:eastAsia="zh-CN"/>
        </w:rPr>
        <w:t>0</w:t>
      </w:r>
      <w:r>
        <w:rPr>
          <w:rFonts w:hint="eastAsia" w:ascii="仿宋" w:hAnsi="仿宋" w:eastAsia="仿宋"/>
          <w:color w:val="auto"/>
          <w:sz w:val="32"/>
          <w:szCs w:val="32"/>
        </w:rPr>
        <w:t>个，其他事业单位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p>
    <w:p>
      <w:pPr>
        <w:ind w:firstLine="800" w:firstLineChars="250"/>
        <w:rPr>
          <w:rFonts w:ascii="仿宋" w:hAnsi="仿宋" w:eastAsia="仿宋"/>
          <w:color w:val="auto"/>
          <w:sz w:val="32"/>
          <w:szCs w:val="32"/>
        </w:rPr>
      </w:pPr>
      <w:r>
        <w:rPr>
          <w:rFonts w:hint="eastAsia" w:ascii="仿宋" w:hAnsi="仿宋" w:eastAsia="仿宋"/>
          <w:color w:val="auto"/>
          <w:sz w:val="32"/>
          <w:szCs w:val="32"/>
        </w:rPr>
        <w:t>纳入2022年度部门决算编制范围的二级预算单位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p>
    <w:p>
      <w:pPr>
        <w:pStyle w:val="2"/>
        <w:adjustRightInd w:val="0"/>
        <w:snapToGrid w:val="0"/>
        <w:spacing w:before="93" w:line="600" w:lineRule="exact"/>
        <w:ind w:firstLine="672" w:firstLineChars="210"/>
        <w:rPr>
          <w:rFonts w:ascii="仿宋" w:hAnsi="仿宋" w:eastAsia="仿宋"/>
          <w:color w:val="auto"/>
          <w:sz w:val="32"/>
          <w:szCs w:val="32"/>
        </w:rPr>
      </w:pPr>
    </w:p>
    <w:p>
      <w:pPr>
        <w:pStyle w:val="3"/>
        <w:ind w:right="440"/>
        <w:jc w:val="center"/>
        <w:rPr>
          <w:rFonts w:hint="eastAsia" w:ascii="黑体" w:hAnsi="黑体" w:eastAsia="黑体"/>
          <w:b w:val="0"/>
        </w:rPr>
      </w:pPr>
      <w:bookmarkStart w:id="16" w:name="_Toc15396602"/>
      <w:bookmarkStart w:id="17" w:name="_Toc15377204"/>
    </w:p>
    <w:p>
      <w:pPr>
        <w:pStyle w:val="3"/>
        <w:ind w:right="440"/>
        <w:jc w:val="center"/>
        <w:rPr>
          <w:rStyle w:val="30"/>
          <w:rFonts w:ascii="黑体" w:hAnsi="黑体" w:eastAsia="黑体"/>
          <w:b w:val="0"/>
          <w:bCs/>
        </w:rPr>
      </w:pPr>
      <w:r>
        <w:rPr>
          <w:rFonts w:hint="eastAsia" w:ascii="黑体" w:hAnsi="黑体" w:eastAsia="黑体"/>
          <w:b w:val="0"/>
        </w:rPr>
        <w:t>第二部分 2022年度</w:t>
      </w:r>
      <w:r>
        <w:rPr>
          <w:rStyle w:val="30"/>
          <w:rFonts w:hint="eastAsia" w:ascii="黑体" w:hAnsi="黑体" w:eastAsia="黑体"/>
          <w:b w:val="0"/>
          <w:bCs/>
        </w:rPr>
        <w:t>部门决算情况说明</w:t>
      </w:r>
      <w:bookmarkEnd w:id="16"/>
      <w:bookmarkEnd w:id="17"/>
    </w:p>
    <w:p/>
    <w:p>
      <w:pPr>
        <w:pStyle w:val="29"/>
        <w:numPr>
          <w:ilvl w:val="0"/>
          <w:numId w:val="2"/>
        </w:numPr>
        <w:spacing w:line="600" w:lineRule="exact"/>
        <w:ind w:firstLineChars="0"/>
        <w:outlineLvl w:val="1"/>
        <w:rPr>
          <w:rStyle w:val="31"/>
          <w:rFonts w:ascii="黑体" w:hAnsi="黑体" w:eastAsia="黑体"/>
          <w:b w:val="0"/>
        </w:rPr>
      </w:pPr>
      <w:r>
        <w:rPr>
          <w:rFonts w:hint="eastAsia" w:ascii="黑体" w:hAnsi="黑体" w:eastAsia="黑体"/>
          <w:sz w:val="32"/>
          <w:szCs w:val="32"/>
        </w:rPr>
        <w:t>收</w:t>
      </w:r>
      <w:r>
        <w:rPr>
          <w:rStyle w:val="31"/>
          <w:rFonts w:hint="eastAsia" w:ascii="黑体" w:hAnsi="黑体" w:eastAsia="黑体"/>
          <w:b w:val="0"/>
        </w:rPr>
        <w:t>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3555.82</w:t>
      </w:r>
      <w:r>
        <w:rPr>
          <w:rFonts w:hint="eastAsia" w:ascii="仿宋" w:hAnsi="仿宋" w:eastAsia="仿宋"/>
          <w:sz w:val="32"/>
          <w:szCs w:val="32"/>
        </w:rPr>
        <w:t>万元。与2021年</w:t>
      </w:r>
      <w:r>
        <w:rPr>
          <w:rFonts w:hint="eastAsia" w:ascii="仿宋" w:hAnsi="仿宋" w:eastAsia="仿宋"/>
          <w:sz w:val="32"/>
          <w:szCs w:val="32"/>
          <w:lang w:val="en-US" w:eastAsia="zh-CN"/>
        </w:rPr>
        <w:t>4024.76万元</w:t>
      </w:r>
      <w:r>
        <w:rPr>
          <w:rFonts w:hint="eastAsia" w:ascii="仿宋" w:hAnsi="仿宋" w:eastAsia="仿宋"/>
          <w:sz w:val="32"/>
          <w:szCs w:val="32"/>
        </w:rPr>
        <w:t>相比，收、支总计各减少</w:t>
      </w:r>
      <w:r>
        <w:rPr>
          <w:rFonts w:hint="eastAsia" w:ascii="仿宋" w:hAnsi="仿宋" w:eastAsia="仿宋"/>
          <w:sz w:val="32"/>
          <w:szCs w:val="32"/>
          <w:lang w:val="en-US" w:eastAsia="zh-CN"/>
        </w:rPr>
        <w:t>468.94</w:t>
      </w:r>
      <w:r>
        <w:rPr>
          <w:rFonts w:hint="eastAsia" w:ascii="仿宋" w:hAnsi="仿宋" w:eastAsia="仿宋"/>
          <w:sz w:val="32"/>
          <w:szCs w:val="32"/>
        </w:rPr>
        <w:t>万元，下降</w:t>
      </w:r>
      <w:r>
        <w:rPr>
          <w:rFonts w:hint="eastAsia" w:ascii="仿宋" w:hAnsi="仿宋" w:eastAsia="仿宋"/>
          <w:sz w:val="32"/>
          <w:szCs w:val="32"/>
          <w:lang w:val="en-US" w:eastAsia="zh-CN"/>
        </w:rPr>
        <w:t>11.65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sz w:val="32"/>
          <w:szCs w:val="32"/>
          <w:lang w:val="en-US" w:eastAsia="zh-CN"/>
        </w:rPr>
        <w:t>1、单位职工增加2人，基本支出增加33.93万元；2、项目支出减少502.87万元，其中:</w:t>
      </w:r>
      <w:r>
        <w:rPr>
          <w:rFonts w:hint="eastAsia" w:ascii="仿宋" w:hAnsi="仿宋" w:eastAsia="仿宋"/>
          <w:sz w:val="32"/>
          <w:szCs w:val="32"/>
        </w:rPr>
        <w:t>城乡居民医疗救助资金</w:t>
      </w:r>
      <w:r>
        <w:rPr>
          <w:rFonts w:hint="eastAsia" w:ascii="仿宋" w:hAnsi="仿宋" w:eastAsia="仿宋"/>
          <w:sz w:val="32"/>
          <w:szCs w:val="32"/>
          <w:lang w:val="en-US" w:eastAsia="zh-CN"/>
        </w:rPr>
        <w:t>减少399.44万元、困难群众社会保险个人缴费财政代缴经费减少103.43万元</w:t>
      </w:r>
      <w:r>
        <w:rPr>
          <w:rFonts w:hint="eastAsia" w:ascii="仿宋" w:hAnsi="仿宋" w:eastAsia="仿宋"/>
          <w:sz w:val="32"/>
          <w:szCs w:val="32"/>
        </w:rPr>
        <w:t>。</w:t>
      </w:r>
    </w:p>
    <w:p>
      <w:pPr>
        <w:pStyle w:val="8"/>
      </w:pPr>
    </w:p>
    <w:tbl>
      <w:tblPr>
        <w:tblStyle w:val="17"/>
        <w:tblW w:w="68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0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-114935</wp:posOffset>
                  </wp:positionH>
                  <wp:positionV relativeFrom="paragraph">
                    <wp:posOffset>156210</wp:posOffset>
                  </wp:positionV>
                  <wp:extent cx="5302250" cy="3348990"/>
                  <wp:effectExtent l="0" t="0" r="1270" b="3810"/>
                  <wp:wrapNone/>
                  <wp:docPr id="4" name="图表_1"/>
                  <wp:cNvGraphicFramePr/>
                  <a:graphic xmlns:a="http://schemas.openxmlformats.org/drawingml/2006/main">
                    <a:graphicData uri="http://schemas.openxmlformats.org/drawingml/2006/picture">
                      <pic:pic xmlns:pic="http://schemas.openxmlformats.org/drawingml/2006/picture">
                        <pic:nvPicPr>
                          <pic:cNvPr id="4" name="图表_1"/>
                          <pic:cNvPicPr/>
                        </pic:nvPicPr>
                        <pic:blipFill>
                          <a:blip r:embed="rId9"/>
                          <a:stretch>
                            <a:fillRect/>
                          </a:stretch>
                        </pic:blipFill>
                        <pic:spPr>
                          <a:xfrm>
                            <a:off x="0" y="0"/>
                            <a:ext cx="5302250" cy="3348990"/>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00" w:lineRule="exact"/>
        <w:ind w:firstLine="640" w:firstLineChars="200"/>
        <w:jc w:val="left"/>
        <w:rPr>
          <w:rFonts w:ascii="仿宋_GB2312" w:eastAsia="仿宋_GB2312"/>
          <w:sz w:val="32"/>
          <w:szCs w:val="32"/>
        </w:rPr>
      </w:pPr>
    </w:p>
    <w:p>
      <w:pPr>
        <w:pStyle w:val="29"/>
        <w:numPr>
          <w:ilvl w:val="0"/>
          <w:numId w:val="0"/>
        </w:numPr>
        <w:spacing w:line="600" w:lineRule="exact"/>
        <w:jc w:val="center"/>
        <w:outlineLvl w:val="1"/>
        <w:rPr>
          <w:rStyle w:val="31"/>
          <w:rFonts w:ascii="黑体" w:hAnsi="黑体" w:eastAsia="黑体"/>
          <w:b w:val="0"/>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9"/>
        <w:numPr>
          <w:ilvl w:val="0"/>
          <w:numId w:val="0"/>
        </w:numPr>
        <w:spacing w:line="600" w:lineRule="exact"/>
        <w:ind w:left="640" w:leftChars="0"/>
        <w:outlineLvl w:val="1"/>
        <w:rPr>
          <w:rStyle w:val="31"/>
          <w:rFonts w:ascii="黑体" w:hAnsi="黑体" w:eastAsia="黑体"/>
          <w:b w:val="0"/>
        </w:rPr>
      </w:pPr>
    </w:p>
    <w:p>
      <w:pPr>
        <w:pStyle w:val="29"/>
        <w:numPr>
          <w:ilvl w:val="0"/>
          <w:numId w:val="2"/>
        </w:numPr>
        <w:spacing w:line="600" w:lineRule="exact"/>
        <w:ind w:firstLineChars="0"/>
        <w:outlineLvl w:val="1"/>
        <w:rPr>
          <w:rStyle w:val="31"/>
          <w:rFonts w:ascii="黑体" w:hAnsi="黑体" w:eastAsia="黑体"/>
          <w:b w:val="0"/>
        </w:rPr>
      </w:pPr>
      <w:r>
        <w:rPr>
          <w:rFonts w:hint="eastAsia" w:ascii="黑体" w:hAnsi="黑体" w:eastAsia="黑体"/>
          <w:sz w:val="32"/>
          <w:szCs w:val="32"/>
        </w:rPr>
        <w:t>收</w:t>
      </w:r>
      <w:r>
        <w:rPr>
          <w:rStyle w:val="31"/>
          <w:rFonts w:hint="eastAsia" w:ascii="黑体" w:hAnsi="黑体" w:eastAsia="黑体"/>
          <w:b w:val="0"/>
        </w:rPr>
        <w:t>入决算情况说明</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3555.82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3429.91</w:t>
      </w:r>
      <w:r>
        <w:rPr>
          <w:rFonts w:hint="eastAsia" w:ascii="仿宋" w:hAnsi="仿宋" w:eastAsia="仿宋"/>
          <w:sz w:val="32"/>
          <w:szCs w:val="32"/>
        </w:rPr>
        <w:t>万元，占</w:t>
      </w:r>
      <w:r>
        <w:rPr>
          <w:rFonts w:hint="eastAsia" w:ascii="仿宋" w:hAnsi="仿宋" w:eastAsia="仿宋"/>
          <w:sz w:val="32"/>
          <w:szCs w:val="32"/>
          <w:lang w:val="en-US" w:eastAsia="zh-CN"/>
        </w:rPr>
        <w:t>96.46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125.91</w:t>
      </w:r>
      <w:r>
        <w:rPr>
          <w:rFonts w:hint="eastAsia" w:ascii="仿宋" w:hAnsi="仿宋" w:eastAsia="仿宋"/>
          <w:sz w:val="32"/>
          <w:szCs w:val="32"/>
        </w:rPr>
        <w:t>万元，占</w:t>
      </w:r>
      <w:r>
        <w:rPr>
          <w:rFonts w:hint="eastAsia" w:ascii="仿宋" w:hAnsi="仿宋" w:eastAsia="仿宋"/>
          <w:sz w:val="32"/>
          <w:szCs w:val="32"/>
          <w:lang w:val="en-US" w:eastAsia="zh-CN"/>
        </w:rPr>
        <w:t>3.54</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tbl>
      <w:tblPr>
        <w:tblStyle w:val="17"/>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972"/>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-90170</wp:posOffset>
                  </wp:positionH>
                  <wp:positionV relativeFrom="paragraph">
                    <wp:posOffset>8890</wp:posOffset>
                  </wp:positionV>
                  <wp:extent cx="4914900" cy="3661410"/>
                  <wp:effectExtent l="0" t="0" r="7620" b="11430"/>
                  <wp:wrapNone/>
                  <wp:docPr id="6" name="图表_2"/>
                  <wp:cNvGraphicFramePr/>
                  <a:graphic xmlns:a="http://schemas.openxmlformats.org/drawingml/2006/main">
                    <a:graphicData uri="http://schemas.openxmlformats.org/drawingml/2006/picture">
                      <pic:pic xmlns:pic="http://schemas.openxmlformats.org/drawingml/2006/picture">
                        <pic:nvPicPr>
                          <pic:cNvPr id="6" name="图表_2"/>
                          <pic:cNvPicPr/>
                        </pic:nvPicPr>
                        <pic:blipFill>
                          <a:blip r:embed="rId10"/>
                          <a:stretch>
                            <a:fillRect/>
                          </a:stretch>
                        </pic:blipFill>
                        <pic:spPr>
                          <a:xfrm>
                            <a:off x="0" y="0"/>
                            <a:ext cx="4914900" cy="3661410"/>
                          </a:xfrm>
                          <a:prstGeom prst="rect">
                            <a:avLst/>
                          </a:prstGeom>
                          <a:noFill/>
                          <a:ln>
                            <a:noFill/>
                          </a:ln>
                        </pic:spPr>
                      </pic:pic>
                    </a:graphicData>
                  </a:graphic>
                </wp:anchor>
              </w:drawing>
            </w: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00" w:lineRule="exact"/>
        <w:ind w:firstLine="640" w:firstLineChars="200"/>
        <w:rPr>
          <w:rFonts w:ascii="仿宋_GB2312" w:eastAsia="仿宋_GB2312"/>
          <w:sz w:val="32"/>
          <w:szCs w:val="32"/>
        </w:rPr>
      </w:pPr>
    </w:p>
    <w:p>
      <w:pPr>
        <w:pStyle w:val="15"/>
        <w:ind w:left="0" w:leftChars="0" w:firstLine="0" w:firstLineChars="0"/>
      </w:pPr>
    </w:p>
    <w:p>
      <w:pPr>
        <w:pStyle w:val="29"/>
        <w:numPr>
          <w:ilvl w:val="0"/>
          <w:numId w:val="0"/>
        </w:numPr>
        <w:spacing w:line="600" w:lineRule="exact"/>
        <w:ind w:firstLine="2240" w:firstLineChars="700"/>
        <w:outlineLvl w:val="1"/>
        <w:rPr>
          <w:rStyle w:val="31"/>
          <w:rFonts w:ascii="黑体" w:hAnsi="黑体" w:eastAsia="黑体"/>
          <w:b w:val="0"/>
        </w:rPr>
      </w:pPr>
      <w:r>
        <w:rPr>
          <w:rFonts w:hint="eastAsia" w:ascii="仿宋" w:hAnsi="仿宋" w:eastAsia="仿宋"/>
          <w:sz w:val="32"/>
          <w:szCs w:val="32"/>
        </w:rPr>
        <w:t>（图2：收入决算结构图）</w:t>
      </w:r>
    </w:p>
    <w:p>
      <w:pPr>
        <w:pStyle w:val="29"/>
        <w:numPr>
          <w:ilvl w:val="0"/>
          <w:numId w:val="2"/>
        </w:numPr>
        <w:spacing w:line="600" w:lineRule="exact"/>
        <w:ind w:firstLineChars="0"/>
        <w:outlineLvl w:val="1"/>
        <w:rPr>
          <w:rStyle w:val="31"/>
          <w:rFonts w:ascii="黑体" w:hAnsi="黑体" w:eastAsia="黑体"/>
          <w:b w:val="0"/>
        </w:rPr>
      </w:pPr>
      <w:r>
        <w:rPr>
          <w:rFonts w:hint="eastAsia" w:ascii="黑体" w:hAnsi="黑体" w:eastAsia="黑体"/>
          <w:sz w:val="32"/>
          <w:szCs w:val="32"/>
        </w:rPr>
        <w:t>支</w:t>
      </w:r>
      <w:r>
        <w:rPr>
          <w:rStyle w:val="31"/>
          <w:rFonts w:hint="eastAsia" w:ascii="黑体" w:hAnsi="黑体" w:eastAsia="黑体"/>
          <w:b w:val="0"/>
        </w:rPr>
        <w:t>出决算情况说明</w:t>
      </w:r>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3555.82</w:t>
      </w:r>
      <w:r>
        <w:rPr>
          <w:rFonts w:hint="eastAsia" w:ascii="仿宋" w:hAnsi="仿宋" w:eastAsia="仿宋"/>
          <w:sz w:val="32"/>
          <w:szCs w:val="32"/>
        </w:rPr>
        <w:t>万元，其中：基本支出</w:t>
      </w:r>
      <w:r>
        <w:rPr>
          <w:rFonts w:hint="eastAsia" w:ascii="仿宋" w:hAnsi="仿宋" w:eastAsia="仿宋"/>
          <w:sz w:val="32"/>
          <w:szCs w:val="32"/>
          <w:lang w:val="en-US" w:eastAsia="zh-CN"/>
        </w:rPr>
        <w:t>392.51</w:t>
      </w:r>
      <w:r>
        <w:rPr>
          <w:rFonts w:hint="eastAsia" w:ascii="仿宋" w:hAnsi="仿宋" w:eastAsia="仿宋"/>
          <w:sz w:val="32"/>
          <w:szCs w:val="32"/>
        </w:rPr>
        <w:t>万元，占</w:t>
      </w:r>
      <w:r>
        <w:rPr>
          <w:rFonts w:hint="eastAsia" w:ascii="仿宋" w:hAnsi="仿宋" w:eastAsia="仿宋"/>
          <w:sz w:val="32"/>
          <w:szCs w:val="32"/>
          <w:lang w:val="en-US" w:eastAsia="zh-CN"/>
        </w:rPr>
        <w:t>11.04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3163.31</w:t>
      </w:r>
      <w:r>
        <w:rPr>
          <w:rFonts w:hint="eastAsia" w:ascii="仿宋" w:hAnsi="仿宋" w:eastAsia="仿宋"/>
          <w:sz w:val="32"/>
          <w:szCs w:val="32"/>
        </w:rPr>
        <w:t>万元，占</w:t>
      </w:r>
      <w:r>
        <w:rPr>
          <w:rFonts w:hint="eastAsia" w:ascii="仿宋" w:hAnsi="仿宋" w:eastAsia="仿宋"/>
          <w:sz w:val="32"/>
          <w:szCs w:val="32"/>
          <w:lang w:val="en-US" w:eastAsia="zh-CN"/>
        </w:rPr>
        <w:t>88.96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tbl>
      <w:tblPr>
        <w:tblStyle w:val="17"/>
        <w:tblW w:w="1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111760</wp:posOffset>
                  </wp:positionH>
                  <wp:positionV relativeFrom="paragraph">
                    <wp:posOffset>144780</wp:posOffset>
                  </wp:positionV>
                  <wp:extent cx="4972685" cy="3416300"/>
                  <wp:effectExtent l="0" t="0" r="10795" b="12700"/>
                  <wp:wrapNone/>
                  <wp:docPr id="7" name="图表_1"/>
                  <wp:cNvGraphicFramePr/>
                  <a:graphic xmlns:a="http://schemas.openxmlformats.org/drawingml/2006/main">
                    <a:graphicData uri="http://schemas.openxmlformats.org/drawingml/2006/picture">
                      <pic:pic xmlns:pic="http://schemas.openxmlformats.org/drawingml/2006/picture">
                        <pic:nvPicPr>
                          <pic:cNvPr id="7" name="图表_1"/>
                          <pic:cNvPicPr/>
                        </pic:nvPicPr>
                        <pic:blipFill>
                          <a:blip r:embed="rId11"/>
                          <a:stretch>
                            <a:fillRect/>
                          </a:stretch>
                        </pic:blipFill>
                        <pic:spPr>
                          <a:xfrm>
                            <a:off x="0" y="0"/>
                            <a:ext cx="4972685" cy="3416300"/>
                          </a:xfrm>
                          <a:prstGeom prst="rect">
                            <a:avLst/>
                          </a:prstGeom>
                          <a:noFill/>
                          <a:ln>
                            <a:noFill/>
                          </a:ln>
                        </pic:spPr>
                      </pic:pic>
                    </a:graphicData>
                  </a:graphic>
                </wp:anchor>
              </w:drawing>
            </w: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00" w:lineRule="exact"/>
        <w:jc w:val="center"/>
        <w:outlineLvl w:val="1"/>
        <w:rPr>
          <w:rFonts w:hint="eastAsia"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四、财</w:t>
      </w:r>
      <w:r>
        <w:rPr>
          <w:rStyle w:val="31"/>
          <w:rFonts w:hint="eastAsia" w:ascii="黑体" w:hAnsi="黑体" w:eastAsia="黑体"/>
          <w:b w:val="0"/>
        </w:rPr>
        <w:t>政拨款收入支出决算总体情况说明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3555.82</w:t>
      </w:r>
      <w:r>
        <w:rPr>
          <w:rFonts w:hint="eastAsia" w:ascii="仿宋" w:hAnsi="仿宋" w:eastAsia="仿宋"/>
          <w:sz w:val="32"/>
          <w:szCs w:val="32"/>
        </w:rPr>
        <w:t>万元。与2021年</w:t>
      </w:r>
      <w:r>
        <w:rPr>
          <w:rFonts w:hint="eastAsia" w:ascii="仿宋" w:hAnsi="仿宋" w:eastAsia="仿宋"/>
          <w:sz w:val="32"/>
          <w:szCs w:val="32"/>
          <w:lang w:val="en-US" w:eastAsia="zh-CN"/>
        </w:rPr>
        <w:t>4024.76万元</w:t>
      </w:r>
      <w:r>
        <w:rPr>
          <w:rFonts w:hint="eastAsia" w:ascii="仿宋" w:hAnsi="仿宋" w:eastAsia="仿宋"/>
          <w:sz w:val="32"/>
          <w:szCs w:val="32"/>
        </w:rPr>
        <w:t>相比，收、支总计各减少</w:t>
      </w:r>
      <w:r>
        <w:rPr>
          <w:rFonts w:hint="eastAsia" w:ascii="仿宋" w:hAnsi="仿宋" w:eastAsia="仿宋"/>
          <w:sz w:val="32"/>
          <w:szCs w:val="32"/>
          <w:lang w:val="en-US" w:eastAsia="zh-CN"/>
        </w:rPr>
        <w:t>468.94</w:t>
      </w:r>
      <w:r>
        <w:rPr>
          <w:rFonts w:hint="eastAsia" w:ascii="仿宋" w:hAnsi="仿宋" w:eastAsia="仿宋"/>
          <w:sz w:val="32"/>
          <w:szCs w:val="32"/>
        </w:rPr>
        <w:t>万元，下降</w:t>
      </w:r>
      <w:r>
        <w:rPr>
          <w:rFonts w:hint="eastAsia" w:ascii="仿宋" w:hAnsi="仿宋" w:eastAsia="仿宋"/>
          <w:sz w:val="32"/>
          <w:szCs w:val="32"/>
          <w:lang w:val="en-US" w:eastAsia="zh-CN"/>
        </w:rPr>
        <w:t>11.65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sz w:val="32"/>
          <w:szCs w:val="32"/>
          <w:lang w:val="en-US" w:eastAsia="zh-CN"/>
        </w:rPr>
        <w:t>1、单位职工增加2人，基本支出增加33.93万元；2、项目支出减少502.87万元，其中:</w:t>
      </w:r>
      <w:r>
        <w:rPr>
          <w:rFonts w:hint="eastAsia" w:ascii="仿宋" w:hAnsi="仿宋" w:eastAsia="仿宋"/>
          <w:sz w:val="32"/>
          <w:szCs w:val="32"/>
        </w:rPr>
        <w:t>城乡居民医疗救助资金</w:t>
      </w:r>
      <w:r>
        <w:rPr>
          <w:rFonts w:hint="eastAsia" w:ascii="仿宋" w:hAnsi="仿宋" w:eastAsia="仿宋"/>
          <w:sz w:val="32"/>
          <w:szCs w:val="32"/>
          <w:lang w:val="en-US" w:eastAsia="zh-CN"/>
        </w:rPr>
        <w:t>减少399.44万元、困难群众社会保险个人缴费财政代缴经费减少103.43万元</w:t>
      </w:r>
      <w:r>
        <w:rPr>
          <w:rFonts w:hint="eastAsia" w:ascii="仿宋" w:hAnsi="仿宋" w:eastAsia="仿宋"/>
          <w:sz w:val="32"/>
          <w:szCs w:val="32"/>
        </w:rPr>
        <w:t>。</w:t>
      </w:r>
    </w:p>
    <w:p>
      <w:pPr>
        <w:pStyle w:val="15"/>
        <w:ind w:left="0" w:leftChars="0" w:firstLine="0" w:firstLineChars="0"/>
        <w:rPr>
          <w:rFonts w:ascii="仿宋" w:hAnsi="仿宋" w:eastAsia="仿宋"/>
          <w:b/>
          <w:sz w:val="32"/>
          <w:szCs w:val="32"/>
        </w:rPr>
      </w:pPr>
    </w:p>
    <w:tbl>
      <w:tblPr>
        <w:tblStyle w:val="17"/>
        <w:tblW w:w="77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972"/>
        <w:gridCol w:w="972"/>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285750</wp:posOffset>
                  </wp:positionH>
                  <wp:positionV relativeFrom="paragraph">
                    <wp:posOffset>62865</wp:posOffset>
                  </wp:positionV>
                  <wp:extent cx="5073650" cy="3458845"/>
                  <wp:effectExtent l="0" t="0" r="1270" b="635"/>
                  <wp:wrapNone/>
                  <wp:docPr id="9" name="图表_1"/>
                  <wp:cNvGraphicFramePr/>
                  <a:graphic xmlns:a="http://schemas.openxmlformats.org/drawingml/2006/main">
                    <a:graphicData uri="http://schemas.openxmlformats.org/drawingml/2006/picture">
                      <pic:pic xmlns:pic="http://schemas.openxmlformats.org/drawingml/2006/picture">
                        <pic:nvPicPr>
                          <pic:cNvPr id="9" name="图表_1"/>
                          <pic:cNvPicPr/>
                        </pic:nvPicPr>
                        <pic:blipFill>
                          <a:blip r:embed="rId12"/>
                          <a:stretch>
                            <a:fillRect/>
                          </a:stretch>
                        </pic:blipFill>
                        <pic:spPr>
                          <a:xfrm>
                            <a:off x="0" y="0"/>
                            <a:ext cx="5073650" cy="3458845"/>
                          </a:xfrm>
                          <a:prstGeom prst="rect">
                            <a:avLst/>
                          </a:prstGeom>
                          <a:noFill/>
                          <a:ln>
                            <a:noFill/>
                          </a:ln>
                        </pic:spPr>
                      </pic:pic>
                    </a:graphicData>
                  </a:graphic>
                </wp:anchor>
              </w:drawing>
            </w: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图4：财政拨款收、决算总计变动情况图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5"/>
        <w:rPr>
          <w:rFonts w:ascii="仿宋" w:hAnsi="仿宋" w:eastAsia="仿宋"/>
          <w:b/>
          <w:sz w:val="32"/>
          <w:szCs w:val="32"/>
        </w:rPr>
      </w:pPr>
    </w:p>
    <w:p>
      <w:pPr>
        <w:pStyle w:val="16"/>
        <w:rPr>
          <w:rFonts w:ascii="仿宋" w:hAnsi="仿宋" w:eastAsia="仿宋"/>
          <w:b/>
          <w:sz w:val="32"/>
          <w:szCs w:val="32"/>
        </w:rPr>
      </w:pPr>
    </w:p>
    <w:p>
      <w:pPr>
        <w:pStyle w:val="15"/>
        <w:rPr>
          <w:rFonts w:hint="eastAsia" w:ascii="仿宋" w:hAnsi="仿宋" w:eastAsia="仿宋"/>
          <w:sz w:val="32"/>
          <w:szCs w:val="32"/>
        </w:rPr>
      </w:pPr>
    </w:p>
    <w:p>
      <w:pPr>
        <w:pStyle w:val="15"/>
        <w:jc w:val="center"/>
      </w:pPr>
      <w:r>
        <w:rPr>
          <w:rFonts w:hint="eastAsia" w:ascii="仿宋" w:hAnsi="仿宋" w:eastAsia="仿宋"/>
          <w:sz w:val="32"/>
          <w:szCs w:val="32"/>
        </w:rPr>
        <w:t>（图4：财政拨款收、支决算总计变动情况）</w:t>
      </w:r>
    </w:p>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3429.91</w:t>
      </w:r>
      <w:r>
        <w:rPr>
          <w:rFonts w:hint="eastAsia" w:ascii="仿宋" w:hAnsi="仿宋" w:eastAsia="仿宋"/>
          <w:sz w:val="32"/>
          <w:szCs w:val="32"/>
        </w:rPr>
        <w:t>万元，占本年支出合计的</w:t>
      </w:r>
      <w:r>
        <w:rPr>
          <w:rFonts w:hint="eastAsia" w:ascii="仿宋" w:hAnsi="仿宋" w:eastAsia="仿宋"/>
          <w:sz w:val="32"/>
          <w:szCs w:val="32"/>
          <w:lang w:val="en-US" w:eastAsia="zh-CN"/>
        </w:rPr>
        <w:t>96.46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sz w:val="32"/>
          <w:szCs w:val="32"/>
          <w:lang w:val="en-US" w:eastAsia="zh-CN"/>
        </w:rPr>
        <w:t>3857.99万元</w:t>
      </w:r>
      <w:r>
        <w:rPr>
          <w:rFonts w:hint="eastAsia" w:ascii="仿宋" w:hAnsi="仿宋" w:eastAsia="仿宋"/>
          <w:sz w:val="32"/>
          <w:szCs w:val="32"/>
        </w:rPr>
        <w:t>相比，一般公共预算财政拨款支出减少</w:t>
      </w:r>
      <w:r>
        <w:rPr>
          <w:rFonts w:hint="eastAsia" w:ascii="仿宋" w:hAnsi="仿宋" w:eastAsia="仿宋"/>
          <w:sz w:val="32"/>
          <w:szCs w:val="32"/>
          <w:lang w:val="en-US" w:eastAsia="zh-CN"/>
        </w:rPr>
        <w:t>428.08</w:t>
      </w:r>
      <w:r>
        <w:rPr>
          <w:rFonts w:hint="eastAsia" w:ascii="仿宋" w:hAnsi="仿宋" w:eastAsia="仿宋"/>
          <w:sz w:val="32"/>
          <w:szCs w:val="32"/>
        </w:rPr>
        <w:t>万元，下降</w:t>
      </w:r>
      <w:r>
        <w:rPr>
          <w:rFonts w:hint="eastAsia" w:ascii="仿宋" w:hAnsi="仿宋" w:eastAsia="仿宋"/>
          <w:sz w:val="32"/>
          <w:szCs w:val="32"/>
          <w:lang w:val="en-US" w:eastAsia="zh-CN"/>
        </w:rPr>
        <w:t>11.10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sz w:val="32"/>
          <w:szCs w:val="32"/>
        </w:rPr>
        <w:t>1、单位职工增加2人，基本支出增加33.93万元；2、项目支出减少</w:t>
      </w:r>
      <w:r>
        <w:rPr>
          <w:rFonts w:hint="eastAsia" w:ascii="仿宋" w:hAnsi="仿宋" w:eastAsia="仿宋"/>
          <w:sz w:val="32"/>
          <w:szCs w:val="32"/>
          <w:lang w:val="en-US" w:eastAsia="zh-CN"/>
        </w:rPr>
        <w:t>462.01</w:t>
      </w:r>
      <w:r>
        <w:rPr>
          <w:rFonts w:hint="eastAsia" w:ascii="仿宋" w:hAnsi="仿宋" w:eastAsia="仿宋"/>
          <w:sz w:val="32"/>
          <w:szCs w:val="32"/>
        </w:rPr>
        <w:t>万元，其中:城乡居民医疗救助资金减少</w:t>
      </w:r>
      <w:r>
        <w:rPr>
          <w:rFonts w:hint="eastAsia" w:ascii="仿宋" w:hAnsi="仿宋" w:eastAsia="仿宋"/>
          <w:sz w:val="32"/>
          <w:szCs w:val="32"/>
          <w:lang w:val="en-US" w:eastAsia="zh-CN"/>
        </w:rPr>
        <w:t>358.58</w:t>
      </w:r>
      <w:r>
        <w:rPr>
          <w:rFonts w:hint="eastAsia" w:ascii="仿宋" w:hAnsi="仿宋" w:eastAsia="仿宋"/>
          <w:sz w:val="32"/>
          <w:szCs w:val="32"/>
        </w:rPr>
        <w:t>万元、困难群众社会保险个人缴费财政代缴经费减少103.43万元。</w:t>
      </w:r>
    </w:p>
    <w:p>
      <w:pPr>
        <w:pStyle w:val="15"/>
        <w:ind w:left="0" w:leftChars="0" w:firstLine="0" w:firstLineChars="0"/>
      </w:pPr>
    </w:p>
    <w:tbl>
      <w:tblPr>
        <w:tblStyle w:val="17"/>
        <w:tblW w:w="77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1000"/>
        <w:gridCol w:w="1000"/>
        <w:gridCol w:w="1000"/>
        <w:gridCol w:w="1000"/>
        <w:gridCol w:w="1001"/>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-59055</wp:posOffset>
                  </wp:positionH>
                  <wp:positionV relativeFrom="paragraph">
                    <wp:posOffset>3175</wp:posOffset>
                  </wp:positionV>
                  <wp:extent cx="5160010" cy="3761105"/>
                  <wp:effectExtent l="0" t="0" r="6350" b="3175"/>
                  <wp:wrapNone/>
                  <wp:docPr id="11" name="图表_2"/>
                  <wp:cNvGraphicFramePr/>
                  <a:graphic xmlns:a="http://schemas.openxmlformats.org/drawingml/2006/main">
                    <a:graphicData uri="http://schemas.openxmlformats.org/drawingml/2006/picture">
                      <pic:pic xmlns:pic="http://schemas.openxmlformats.org/drawingml/2006/picture">
                        <pic:nvPicPr>
                          <pic:cNvPr id="11" name="图表_2"/>
                          <pic:cNvPicPr/>
                        </pic:nvPicPr>
                        <pic:blipFill>
                          <a:blip r:embed="rId13"/>
                          <a:stretch>
                            <a:fillRect/>
                          </a:stretch>
                        </pic:blipFill>
                        <pic:spPr>
                          <a:xfrm>
                            <a:off x="0" y="0"/>
                            <a:ext cx="5160010" cy="376110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图5：一般公共预算财政拨款支出决算变动情况图</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5"/>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3429.91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37.51</w:t>
      </w:r>
      <w:r>
        <w:rPr>
          <w:rFonts w:hint="eastAsia" w:ascii="仿宋" w:hAnsi="仿宋" w:eastAsia="仿宋"/>
          <w:sz w:val="32"/>
          <w:szCs w:val="32"/>
        </w:rPr>
        <w:t>万元，占</w:t>
      </w:r>
      <w:r>
        <w:rPr>
          <w:rFonts w:hint="eastAsia" w:ascii="仿宋" w:hAnsi="仿宋" w:eastAsia="仿宋"/>
          <w:sz w:val="32"/>
          <w:szCs w:val="32"/>
          <w:lang w:val="en-US" w:eastAsia="zh-CN"/>
        </w:rPr>
        <w:t>1.09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2681.68</w:t>
      </w:r>
      <w:r>
        <w:rPr>
          <w:rFonts w:hint="eastAsia" w:ascii="仿宋" w:hAnsi="仿宋" w:eastAsia="仿宋"/>
          <w:sz w:val="32"/>
          <w:szCs w:val="32"/>
        </w:rPr>
        <w:t>万元，占</w:t>
      </w:r>
      <w:r>
        <w:rPr>
          <w:rFonts w:hint="eastAsia" w:ascii="仿宋" w:hAnsi="仿宋" w:eastAsia="仿宋"/>
          <w:sz w:val="32"/>
          <w:szCs w:val="32"/>
          <w:lang w:val="en-US" w:eastAsia="zh-CN"/>
        </w:rPr>
        <w:t>78.19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21.15</w:t>
      </w:r>
      <w:r>
        <w:rPr>
          <w:rFonts w:hint="eastAsia" w:ascii="仿宋" w:hAnsi="仿宋" w:eastAsia="仿宋"/>
          <w:sz w:val="32"/>
          <w:szCs w:val="32"/>
        </w:rPr>
        <w:t>万元，占</w:t>
      </w:r>
      <w:r>
        <w:rPr>
          <w:rFonts w:hint="eastAsia" w:ascii="仿宋" w:hAnsi="仿宋" w:eastAsia="仿宋"/>
          <w:sz w:val="32"/>
          <w:szCs w:val="32"/>
          <w:lang w:val="en-US" w:eastAsia="zh-CN"/>
        </w:rPr>
        <w:t>0.62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689.57</w:t>
      </w:r>
      <w:r>
        <w:rPr>
          <w:rFonts w:hint="eastAsia" w:ascii="仿宋" w:hAnsi="仿宋" w:eastAsia="仿宋"/>
          <w:sz w:val="32"/>
          <w:szCs w:val="32"/>
        </w:rPr>
        <w:t>万元，占</w:t>
      </w:r>
      <w:r>
        <w:rPr>
          <w:rFonts w:hint="eastAsia" w:ascii="仿宋" w:hAnsi="仿宋" w:eastAsia="仿宋"/>
          <w:sz w:val="32"/>
          <w:szCs w:val="32"/>
          <w:lang w:val="en-US" w:eastAsia="zh-CN"/>
        </w:rPr>
        <w:t>20.10</w:t>
      </w:r>
      <w:r>
        <w:rPr>
          <w:rFonts w:ascii="仿宋" w:hAnsi="仿宋" w:eastAsia="仿宋"/>
          <w:sz w:val="32"/>
          <w:szCs w:val="32"/>
        </w:rPr>
        <w:t>%</w:t>
      </w:r>
      <w:r>
        <w:rPr>
          <w:rFonts w:hint="eastAsia" w:ascii="仿宋" w:hAnsi="仿宋" w:eastAsia="仿宋"/>
          <w:b/>
          <w:bCs/>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p>
    <w:tbl>
      <w:tblPr>
        <w:tblStyle w:val="17"/>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972"/>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-83185</wp:posOffset>
                  </wp:positionH>
                  <wp:positionV relativeFrom="paragraph">
                    <wp:posOffset>-15240</wp:posOffset>
                  </wp:positionV>
                  <wp:extent cx="5216525" cy="3779520"/>
                  <wp:effectExtent l="0" t="0" r="10795" b="0"/>
                  <wp:wrapNone/>
                  <wp:docPr id="12" name="图表_1"/>
                  <wp:cNvGraphicFramePr/>
                  <a:graphic xmlns:a="http://schemas.openxmlformats.org/drawingml/2006/main">
                    <a:graphicData uri="http://schemas.openxmlformats.org/drawingml/2006/picture">
                      <pic:pic xmlns:pic="http://schemas.openxmlformats.org/drawingml/2006/picture">
                        <pic:nvPicPr>
                          <pic:cNvPr id="12" name="图表_1"/>
                          <pic:cNvPicPr/>
                        </pic:nvPicPr>
                        <pic:blipFill>
                          <a:blip r:embed="rId14"/>
                          <a:stretch>
                            <a:fillRect/>
                          </a:stretch>
                        </pic:blipFill>
                        <pic:spPr>
                          <a:xfrm>
                            <a:off x="0" y="0"/>
                            <a:ext cx="5216525" cy="3779520"/>
                          </a:xfrm>
                          <a:prstGeom prst="rect">
                            <a:avLst/>
                          </a:prstGeom>
                          <a:noFill/>
                          <a:ln>
                            <a:noFill/>
                          </a:ln>
                        </pic:spPr>
                      </pic:pic>
                    </a:graphicData>
                  </a:graphic>
                </wp:anchor>
              </w:drawing>
            </w:r>
          </w:p>
        </w:tc>
        <w:tc>
          <w:tcPr>
            <w:tcW w:w="583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图六：一般公共预算财政拨款支出决算结构图</w:t>
            </w: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5"/>
        <w:ind w:left="0" w:leftChars="0" w:firstLine="0" w:firstLineChars="0"/>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pPr>
        <w:spacing w:line="600" w:lineRule="exact"/>
        <w:ind w:firstLine="642" w:firstLineChars="200"/>
        <w:outlineLvl w:val="2"/>
        <w:rPr>
          <w:rFonts w:ascii="仿宋" w:hAnsi="仿宋" w:eastAsia="仿宋"/>
          <w:sz w:val="32"/>
          <w:szCs w:val="32"/>
        </w:rPr>
      </w:pPr>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3429.91万元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p>
    <w:p>
      <w:pPr>
        <w:numPr>
          <w:ilvl w:val="0"/>
          <w:numId w:val="0"/>
        </w:numPr>
        <w:spacing w:line="600" w:lineRule="exact"/>
        <w:ind w:firstLine="642" w:firstLineChars="200"/>
        <w:rPr>
          <w:rStyle w:val="19"/>
          <w:rFonts w:hint="eastAsia" w:ascii="仿宋" w:hAnsi="仿宋" w:eastAsia="仿宋"/>
          <w:b w:val="0"/>
          <w:bCs/>
          <w:color w:val="000000"/>
          <w:sz w:val="32"/>
          <w:szCs w:val="32"/>
        </w:rPr>
      </w:pPr>
      <w:r>
        <w:rPr>
          <w:rStyle w:val="19"/>
          <w:rFonts w:ascii="仿宋" w:hAnsi="仿宋" w:eastAsia="仿宋"/>
          <w:bCs/>
          <w:sz w:val="32"/>
          <w:szCs w:val="32"/>
        </w:rPr>
        <w:t>1.</w:t>
      </w:r>
      <w:r>
        <w:rPr>
          <w:rFonts w:hint="eastAsia" w:ascii="仿宋_GB2312" w:hAnsi="Calibri" w:eastAsia="仿宋_GB2312" w:cs="仿宋"/>
          <w:color w:val="000000"/>
          <w:kern w:val="0"/>
          <w:sz w:val="32"/>
          <w:szCs w:val="32"/>
        </w:rPr>
        <w:t>社会保障和就业</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val="en-US" w:eastAsia="zh-CN"/>
        </w:rPr>
        <w:t>人力资源和社会保障管理事务</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val="en-US" w:eastAsia="zh-CN"/>
        </w:rPr>
        <w:t>其他人力资源和社会保障管理事务</w:t>
      </w:r>
      <w:r>
        <w:rPr>
          <w:rFonts w:hint="eastAsia" w:ascii="仿宋_GB2312" w:hAnsi="Calibri" w:eastAsia="仿宋_GB2312" w:cs="仿宋"/>
          <w:color w:val="000000"/>
          <w:kern w:val="0"/>
          <w:sz w:val="32"/>
          <w:szCs w:val="32"/>
        </w:rPr>
        <w:t>（项）</w:t>
      </w:r>
      <w:r>
        <w:rPr>
          <w:rStyle w:val="19"/>
          <w:rFonts w:hint="eastAsia" w:ascii="仿宋" w:hAnsi="仿宋" w:eastAsia="仿宋"/>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9.3</w:t>
      </w:r>
      <w:r>
        <w:rPr>
          <w:rStyle w:val="19"/>
          <w:rFonts w:hint="eastAsia" w:ascii="仿宋" w:hAnsi="仿宋" w:eastAsia="仿宋"/>
          <w:b w:val="0"/>
          <w:bCs/>
          <w:color w:val="000000"/>
          <w:sz w:val="32"/>
          <w:szCs w:val="32"/>
        </w:rPr>
        <w:t>万元，完成预算100%。</w:t>
      </w:r>
    </w:p>
    <w:p>
      <w:pPr>
        <w:numPr>
          <w:ilvl w:val="0"/>
          <w:numId w:val="0"/>
        </w:numPr>
        <w:spacing w:line="600" w:lineRule="exact"/>
        <w:ind w:firstLine="642" w:firstLineChars="200"/>
        <w:rPr>
          <w:rStyle w:val="19"/>
          <w:rFonts w:hint="eastAsia" w:ascii="仿宋" w:hAnsi="仿宋" w:eastAsia="仿宋"/>
          <w:b w:val="0"/>
          <w:bCs/>
          <w:color w:val="000000"/>
          <w:sz w:val="32"/>
          <w:szCs w:val="32"/>
        </w:rPr>
      </w:pPr>
      <w:r>
        <w:rPr>
          <w:rStyle w:val="19"/>
          <w:rFonts w:ascii="仿宋" w:hAnsi="仿宋" w:eastAsia="仿宋"/>
          <w:bCs/>
          <w:sz w:val="32"/>
          <w:szCs w:val="32"/>
        </w:rPr>
        <w:t>2.</w:t>
      </w:r>
      <w:r>
        <w:rPr>
          <w:rFonts w:hint="eastAsia" w:ascii="仿宋_GB2312" w:hAnsi="Calibri" w:eastAsia="仿宋_GB2312" w:cs="仿宋"/>
          <w:color w:val="000000"/>
          <w:kern w:val="0"/>
          <w:sz w:val="32"/>
          <w:szCs w:val="32"/>
        </w:rPr>
        <w:t>社会保障和就业</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（类）行政事业单位</w:t>
      </w:r>
      <w:r>
        <w:rPr>
          <w:rFonts w:hint="eastAsia" w:ascii="仿宋_GB2312" w:hAnsi="Calibri" w:eastAsia="仿宋_GB2312" w:cs="仿宋"/>
          <w:color w:val="000000"/>
          <w:kern w:val="0"/>
          <w:sz w:val="32"/>
          <w:szCs w:val="32"/>
          <w:lang w:eastAsia="zh-CN"/>
        </w:rPr>
        <w:t>养老支出</w:t>
      </w:r>
      <w:r>
        <w:rPr>
          <w:rFonts w:hint="eastAsia" w:ascii="仿宋_GB2312" w:hAnsi="Calibri" w:eastAsia="仿宋_GB2312" w:cs="仿宋"/>
          <w:color w:val="000000"/>
          <w:kern w:val="0"/>
          <w:sz w:val="32"/>
          <w:szCs w:val="32"/>
        </w:rPr>
        <w:t>（款）机关事业单位基本养老保险缴费支出（项）</w:t>
      </w:r>
      <w:r>
        <w:rPr>
          <w:rStyle w:val="19"/>
          <w:rFonts w:hint="eastAsia" w:ascii="仿宋" w:hAnsi="仿宋" w:eastAsia="仿宋"/>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28.21</w:t>
      </w:r>
      <w:r>
        <w:rPr>
          <w:rStyle w:val="19"/>
          <w:rFonts w:hint="eastAsia" w:ascii="仿宋" w:hAnsi="仿宋" w:eastAsia="仿宋"/>
          <w:b w:val="0"/>
          <w:bCs/>
          <w:color w:val="000000"/>
          <w:sz w:val="32"/>
          <w:szCs w:val="32"/>
        </w:rPr>
        <w:t>万元，完成预算100%。</w:t>
      </w:r>
    </w:p>
    <w:p>
      <w:pPr>
        <w:spacing w:line="600" w:lineRule="exact"/>
        <w:ind w:firstLine="642" w:firstLineChars="200"/>
        <w:rPr>
          <w:rStyle w:val="19"/>
          <w:rFonts w:hint="eastAsia" w:ascii="仿宋" w:hAnsi="仿宋" w:eastAsia="仿宋"/>
          <w:b w:val="0"/>
          <w:bCs/>
          <w:color w:val="000000"/>
          <w:sz w:val="32"/>
          <w:szCs w:val="32"/>
        </w:rPr>
      </w:pPr>
      <w:r>
        <w:rPr>
          <w:rStyle w:val="19"/>
          <w:rFonts w:ascii="仿宋" w:hAnsi="仿宋" w:eastAsia="仿宋"/>
          <w:bCs/>
          <w:sz w:val="32"/>
          <w:szCs w:val="32"/>
        </w:rPr>
        <w:t>3.</w:t>
      </w:r>
      <w:r>
        <w:rPr>
          <w:rFonts w:hint="eastAsia" w:ascii="仿宋_GB2312" w:hAnsi="Calibri" w:eastAsia="仿宋_GB2312" w:cs="仿宋"/>
          <w:color w:val="000000"/>
          <w:kern w:val="0"/>
          <w:sz w:val="32"/>
          <w:szCs w:val="32"/>
        </w:rPr>
        <w:t>卫生健康</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（类）行政事业单位医疗（款）行政单位医疗（项）：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11.85</w:t>
      </w:r>
      <w:r>
        <w:rPr>
          <w:rStyle w:val="19"/>
          <w:rFonts w:hint="eastAsia" w:ascii="仿宋" w:hAnsi="仿宋" w:eastAsia="仿宋"/>
          <w:b w:val="0"/>
          <w:bCs/>
          <w:color w:val="000000"/>
          <w:sz w:val="32"/>
          <w:szCs w:val="32"/>
        </w:rPr>
        <w:t>万元，完成预算100%。</w:t>
      </w:r>
    </w:p>
    <w:p>
      <w:pPr>
        <w:spacing w:line="600" w:lineRule="exact"/>
        <w:ind w:firstLine="642" w:firstLineChars="200"/>
        <w:rPr>
          <w:rStyle w:val="19"/>
          <w:rFonts w:hint="eastAsia" w:ascii="仿宋" w:hAnsi="仿宋" w:eastAsia="仿宋"/>
          <w:b w:val="0"/>
          <w:bCs/>
          <w:color w:val="000000"/>
          <w:sz w:val="32"/>
          <w:szCs w:val="32"/>
        </w:rPr>
      </w:pPr>
      <w:r>
        <w:rPr>
          <w:rStyle w:val="19"/>
          <w:rFonts w:ascii="仿宋" w:hAnsi="仿宋" w:eastAsia="仿宋"/>
          <w:bCs/>
          <w:sz w:val="32"/>
          <w:szCs w:val="32"/>
        </w:rPr>
        <w:t>4.</w:t>
      </w:r>
      <w:r>
        <w:rPr>
          <w:rFonts w:hint="eastAsia" w:ascii="仿宋_GB2312" w:hAnsi="Calibri" w:eastAsia="仿宋_GB2312" w:cs="仿宋"/>
          <w:color w:val="000000"/>
          <w:kern w:val="0"/>
          <w:sz w:val="32"/>
          <w:szCs w:val="32"/>
        </w:rPr>
        <w:t>卫生健康</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（类）行政事业单位医疗（款）</w:t>
      </w:r>
      <w:r>
        <w:rPr>
          <w:rFonts w:hint="eastAsia" w:ascii="仿宋_GB2312" w:hAnsi="Calibri" w:eastAsia="仿宋_GB2312" w:cs="仿宋"/>
          <w:color w:val="000000"/>
          <w:kern w:val="0"/>
          <w:sz w:val="32"/>
          <w:szCs w:val="32"/>
          <w:lang w:val="en-US" w:eastAsia="zh-CN"/>
        </w:rPr>
        <w:t>事业</w:t>
      </w:r>
      <w:r>
        <w:rPr>
          <w:rFonts w:hint="eastAsia" w:ascii="仿宋_GB2312" w:hAnsi="Calibri" w:eastAsia="仿宋_GB2312" w:cs="仿宋"/>
          <w:color w:val="000000"/>
          <w:kern w:val="0"/>
          <w:sz w:val="32"/>
          <w:szCs w:val="32"/>
        </w:rPr>
        <w:t>单位医疗（项）：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2.25</w:t>
      </w:r>
      <w:r>
        <w:rPr>
          <w:rStyle w:val="19"/>
          <w:rFonts w:hint="eastAsia" w:ascii="仿宋" w:hAnsi="仿宋" w:eastAsia="仿宋"/>
          <w:b w:val="0"/>
          <w:bCs/>
          <w:color w:val="000000"/>
          <w:sz w:val="32"/>
          <w:szCs w:val="32"/>
        </w:rPr>
        <w:t>万元，完成预算100%。</w:t>
      </w:r>
    </w:p>
    <w:p>
      <w:pPr>
        <w:numPr>
          <w:ilvl w:val="0"/>
          <w:numId w:val="0"/>
        </w:numPr>
        <w:spacing w:line="600" w:lineRule="exact"/>
        <w:ind w:firstLine="642" w:firstLineChars="200"/>
        <w:rPr>
          <w:rFonts w:ascii="仿宋" w:hAnsi="仿宋" w:eastAsia="仿宋"/>
          <w:b/>
          <w:sz w:val="32"/>
          <w:szCs w:val="32"/>
        </w:rPr>
      </w:pPr>
      <w:r>
        <w:rPr>
          <w:rStyle w:val="19"/>
          <w:rFonts w:ascii="仿宋" w:hAnsi="仿宋" w:eastAsia="仿宋"/>
          <w:bCs/>
          <w:sz w:val="32"/>
          <w:szCs w:val="32"/>
        </w:rPr>
        <w:t>5.</w:t>
      </w:r>
      <w:r>
        <w:rPr>
          <w:rFonts w:hint="eastAsia" w:ascii="仿宋_GB2312" w:hAnsi="Calibri" w:eastAsia="仿宋_GB2312" w:cs="仿宋"/>
          <w:color w:val="000000"/>
          <w:kern w:val="0"/>
          <w:sz w:val="32"/>
          <w:szCs w:val="32"/>
        </w:rPr>
        <w:t>卫生健康支出（类）医疗救助（款）城乡医疗救助（项）：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2299.53</w:t>
      </w:r>
      <w:r>
        <w:rPr>
          <w:rStyle w:val="19"/>
          <w:rFonts w:hint="eastAsia" w:ascii="仿宋" w:hAnsi="仿宋" w:eastAsia="仿宋"/>
          <w:b w:val="0"/>
          <w:bCs/>
          <w:color w:val="000000"/>
          <w:sz w:val="32"/>
          <w:szCs w:val="32"/>
        </w:rPr>
        <w:t>万元，完成预算100%。</w:t>
      </w:r>
    </w:p>
    <w:p>
      <w:pPr>
        <w:numPr>
          <w:ilvl w:val="0"/>
          <w:numId w:val="0"/>
        </w:numPr>
        <w:spacing w:line="600" w:lineRule="exact"/>
        <w:ind w:firstLine="642" w:firstLineChars="200"/>
        <w:rPr>
          <w:rStyle w:val="19"/>
          <w:rFonts w:hint="eastAsia" w:ascii="仿宋" w:hAnsi="仿宋" w:eastAsia="仿宋"/>
          <w:b w:val="0"/>
          <w:bCs/>
          <w:color w:val="000000"/>
          <w:sz w:val="32"/>
          <w:szCs w:val="32"/>
        </w:rPr>
      </w:pPr>
      <w:r>
        <w:rPr>
          <w:rStyle w:val="19"/>
          <w:rFonts w:ascii="仿宋" w:hAnsi="仿宋" w:eastAsia="仿宋"/>
          <w:bCs/>
          <w:sz w:val="32"/>
          <w:szCs w:val="32"/>
        </w:rPr>
        <w:t>6.</w:t>
      </w:r>
      <w:r>
        <w:rPr>
          <w:rFonts w:hint="eastAsia" w:ascii="仿宋_GB2312" w:hAnsi="Calibri" w:eastAsia="仿宋_GB2312" w:cs="仿宋"/>
          <w:color w:val="000000"/>
          <w:kern w:val="0"/>
          <w:sz w:val="32"/>
          <w:szCs w:val="32"/>
        </w:rPr>
        <w:t>卫生健康支出（类）医疗保障管理事务（款）</w:t>
      </w:r>
      <w:r>
        <w:rPr>
          <w:rFonts w:hint="eastAsia" w:hAnsi="Calibri" w:cs="仿宋"/>
          <w:color w:val="000000"/>
          <w:kern w:val="0"/>
          <w:sz w:val="32"/>
          <w:szCs w:val="32"/>
          <w:lang w:eastAsia="zh-CN"/>
        </w:rPr>
        <w:t>行政运行</w:t>
      </w:r>
      <w:r>
        <w:rPr>
          <w:rFonts w:hint="eastAsia" w:ascii="仿宋_GB2312" w:hAnsi="Calibri" w:eastAsia="仿宋_GB2312" w:cs="仿宋"/>
          <w:color w:val="000000"/>
          <w:kern w:val="0"/>
          <w:sz w:val="32"/>
          <w:szCs w:val="32"/>
        </w:rPr>
        <w:t>（项）：</w:t>
      </w:r>
      <w:r>
        <w:rPr>
          <w:rStyle w:val="19"/>
          <w:rFonts w:hint="eastAsia" w:ascii="仿宋" w:hAnsi="仿宋" w:eastAsia="仿宋"/>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274.45</w:t>
      </w:r>
      <w:r>
        <w:rPr>
          <w:rStyle w:val="19"/>
          <w:rFonts w:hint="eastAsia" w:ascii="仿宋" w:hAnsi="仿宋" w:eastAsia="仿宋"/>
          <w:b w:val="0"/>
          <w:bCs/>
          <w:color w:val="000000"/>
          <w:sz w:val="32"/>
          <w:szCs w:val="32"/>
        </w:rPr>
        <w:t>万元，完成预算100%。</w:t>
      </w:r>
    </w:p>
    <w:p>
      <w:pPr>
        <w:numPr>
          <w:ilvl w:val="0"/>
          <w:numId w:val="0"/>
        </w:numPr>
        <w:spacing w:line="600" w:lineRule="exact"/>
        <w:ind w:firstLine="640" w:firstLineChars="200"/>
        <w:rPr>
          <w:rStyle w:val="19"/>
          <w:rFonts w:hint="eastAsia" w:ascii="仿宋" w:hAnsi="仿宋" w:eastAsia="仿宋"/>
          <w:b w:val="0"/>
          <w:bCs/>
          <w:color w:val="000000"/>
          <w:sz w:val="32"/>
          <w:szCs w:val="32"/>
        </w:rPr>
      </w:pPr>
      <w:r>
        <w:rPr>
          <w:rFonts w:hint="eastAsia" w:ascii="仿宋_GB2312" w:hAnsi="Calibri" w:eastAsia="仿宋_GB2312" w:cs="仿宋"/>
          <w:color w:val="000000"/>
          <w:kern w:val="0"/>
          <w:sz w:val="32"/>
          <w:szCs w:val="32"/>
          <w:lang w:val="en-US" w:eastAsia="zh-CN"/>
        </w:rPr>
        <w:t>7.</w:t>
      </w:r>
      <w:r>
        <w:rPr>
          <w:rFonts w:hint="eastAsia" w:ascii="仿宋_GB2312" w:hAnsi="Calibri" w:eastAsia="仿宋_GB2312" w:cs="仿宋"/>
          <w:color w:val="000000"/>
          <w:kern w:val="0"/>
          <w:sz w:val="32"/>
          <w:szCs w:val="32"/>
        </w:rPr>
        <w:t>卫生健康支出（类）医疗保障管理事务（款）</w:t>
      </w:r>
      <w:r>
        <w:rPr>
          <w:rFonts w:hint="eastAsia" w:ascii="仿宋_GB2312" w:hAnsi="Calibri" w:eastAsia="仿宋_GB2312" w:cs="仿宋"/>
          <w:color w:val="000000"/>
          <w:kern w:val="0"/>
          <w:sz w:val="32"/>
          <w:szCs w:val="32"/>
          <w:lang w:eastAsia="zh-CN"/>
        </w:rPr>
        <w:t>事业运行</w:t>
      </w:r>
      <w:r>
        <w:rPr>
          <w:rFonts w:hint="eastAsia" w:ascii="仿宋_GB2312" w:hAnsi="Calibri" w:eastAsia="仿宋_GB2312" w:cs="仿宋"/>
          <w:color w:val="000000"/>
          <w:kern w:val="0"/>
          <w:sz w:val="32"/>
          <w:szCs w:val="32"/>
        </w:rPr>
        <w:t>（项）：</w:t>
      </w:r>
      <w:r>
        <w:rPr>
          <w:rStyle w:val="19"/>
          <w:rFonts w:hint="eastAsia" w:ascii="仿宋" w:hAnsi="仿宋" w:eastAsia="仿宋"/>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54.60</w:t>
      </w:r>
      <w:r>
        <w:rPr>
          <w:rStyle w:val="19"/>
          <w:rFonts w:hint="eastAsia" w:ascii="仿宋" w:hAnsi="仿宋" w:eastAsia="仿宋"/>
          <w:b w:val="0"/>
          <w:bCs/>
          <w:color w:val="000000"/>
          <w:sz w:val="32"/>
          <w:szCs w:val="32"/>
        </w:rPr>
        <w:t>万元，完成预算100%。</w:t>
      </w:r>
    </w:p>
    <w:p>
      <w:pPr>
        <w:pStyle w:val="2"/>
        <w:numPr>
          <w:ilvl w:val="0"/>
          <w:numId w:val="0"/>
        </w:numPr>
        <w:ind w:firstLine="640" w:firstLineChars="200"/>
        <w:rPr>
          <w:rStyle w:val="19"/>
          <w:rFonts w:hint="eastAsia" w:ascii="仿宋" w:hAnsi="仿宋" w:eastAsia="仿宋"/>
          <w:b w:val="0"/>
          <w:bCs/>
          <w:color w:val="000000"/>
          <w:sz w:val="32"/>
          <w:szCs w:val="32"/>
        </w:rPr>
      </w:pPr>
      <w:r>
        <w:rPr>
          <w:rFonts w:hint="eastAsia" w:hAnsi="Calibri" w:cs="仿宋"/>
          <w:color w:val="000000"/>
          <w:kern w:val="0"/>
          <w:sz w:val="32"/>
          <w:szCs w:val="32"/>
          <w:lang w:val="en-US" w:eastAsia="zh-CN"/>
        </w:rPr>
        <w:t>8.</w:t>
      </w:r>
      <w:r>
        <w:rPr>
          <w:rFonts w:hint="eastAsia" w:ascii="仿宋_GB2312" w:hAnsi="Calibri" w:eastAsia="仿宋_GB2312" w:cs="仿宋"/>
          <w:color w:val="000000"/>
          <w:kern w:val="0"/>
          <w:sz w:val="32"/>
          <w:szCs w:val="32"/>
        </w:rPr>
        <w:t>卫生健康支出（类）医疗保障管理事务（款）</w:t>
      </w:r>
      <w:r>
        <w:rPr>
          <w:rFonts w:hint="eastAsia" w:ascii="仿宋_GB2312" w:hAnsi="Calibri" w:eastAsia="仿宋_GB2312" w:cs="仿宋"/>
          <w:color w:val="000000"/>
          <w:kern w:val="0"/>
          <w:sz w:val="32"/>
          <w:szCs w:val="32"/>
          <w:lang w:eastAsia="zh-CN"/>
        </w:rPr>
        <w:t>其他医疗保障管理事务支出</w:t>
      </w:r>
      <w:r>
        <w:rPr>
          <w:rFonts w:hint="eastAsia" w:ascii="仿宋_GB2312" w:hAnsi="Calibri" w:eastAsia="仿宋_GB2312" w:cs="仿宋"/>
          <w:color w:val="000000"/>
          <w:kern w:val="0"/>
          <w:sz w:val="32"/>
          <w:szCs w:val="32"/>
        </w:rPr>
        <w:t>（项）：</w:t>
      </w:r>
      <w:r>
        <w:rPr>
          <w:rStyle w:val="19"/>
          <w:rFonts w:hint="eastAsia" w:ascii="仿宋" w:hAnsi="仿宋" w:eastAsia="仿宋"/>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39.00</w:t>
      </w:r>
      <w:r>
        <w:rPr>
          <w:rStyle w:val="19"/>
          <w:rFonts w:hint="eastAsia" w:ascii="仿宋" w:hAnsi="仿宋" w:eastAsia="仿宋"/>
          <w:b w:val="0"/>
          <w:bCs/>
          <w:color w:val="000000"/>
          <w:sz w:val="32"/>
          <w:szCs w:val="32"/>
        </w:rPr>
        <w:t>万元，完成预算100%。</w:t>
      </w:r>
    </w:p>
    <w:p>
      <w:pPr>
        <w:pStyle w:val="2"/>
        <w:numPr>
          <w:ilvl w:val="0"/>
          <w:numId w:val="0"/>
        </w:numPr>
        <w:ind w:firstLine="640" w:firstLineChars="200"/>
        <w:rPr>
          <w:rFonts w:ascii="仿宋" w:hAnsi="仿宋" w:eastAsia="仿宋"/>
          <w:b/>
          <w:color w:val="000000"/>
          <w:sz w:val="32"/>
          <w:szCs w:val="32"/>
        </w:rPr>
      </w:pPr>
      <w:r>
        <w:rPr>
          <w:rFonts w:hint="eastAsia" w:hAnsi="Calibri" w:cs="仿宋"/>
          <w:color w:val="000000"/>
          <w:kern w:val="0"/>
          <w:sz w:val="32"/>
          <w:szCs w:val="32"/>
          <w:lang w:val="en-US" w:eastAsia="zh-CN"/>
        </w:rPr>
        <w:t>9.</w:t>
      </w:r>
      <w:r>
        <w:rPr>
          <w:rFonts w:hint="eastAsia" w:ascii="仿宋_GB2312" w:hAnsi="Calibri" w:eastAsia="仿宋_GB2312" w:cs="仿宋"/>
          <w:color w:val="000000"/>
          <w:kern w:val="0"/>
          <w:sz w:val="32"/>
          <w:szCs w:val="32"/>
        </w:rPr>
        <w:t>农林水支出（类）</w:t>
      </w:r>
      <w:r>
        <w:rPr>
          <w:rFonts w:hint="eastAsia" w:hAnsi="Calibri" w:cs="仿宋"/>
          <w:color w:val="000000"/>
          <w:kern w:val="0"/>
          <w:sz w:val="32"/>
          <w:szCs w:val="32"/>
          <w:lang w:val="en-US" w:eastAsia="zh-CN"/>
        </w:rPr>
        <w:t>巩固</w:t>
      </w:r>
      <w:r>
        <w:rPr>
          <w:rFonts w:hint="eastAsia" w:ascii="仿宋_GB2312" w:hAnsi="Calibri" w:eastAsia="仿宋_GB2312" w:cs="仿宋"/>
          <w:color w:val="000000"/>
          <w:kern w:val="0"/>
          <w:sz w:val="32"/>
          <w:szCs w:val="32"/>
        </w:rPr>
        <w:t>扶贫</w:t>
      </w:r>
      <w:r>
        <w:rPr>
          <w:rFonts w:hint="eastAsia" w:hAnsi="Calibri" w:cs="仿宋"/>
          <w:color w:val="000000"/>
          <w:kern w:val="0"/>
          <w:sz w:val="32"/>
          <w:szCs w:val="32"/>
          <w:lang w:val="en-US" w:eastAsia="zh-CN"/>
        </w:rPr>
        <w:t>衔接乡村振兴</w:t>
      </w:r>
      <w:r>
        <w:rPr>
          <w:rFonts w:hint="eastAsia" w:ascii="仿宋_GB2312" w:hAnsi="Calibri" w:eastAsia="仿宋_GB2312" w:cs="仿宋"/>
          <w:color w:val="000000"/>
          <w:kern w:val="0"/>
          <w:sz w:val="32"/>
          <w:szCs w:val="32"/>
        </w:rPr>
        <w:t>（款）社会发展（项）：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689.57</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16"/>
        <w:ind w:left="0" w:leftChars="0" w:firstLine="640" w:firstLineChars="200"/>
        <w:rPr>
          <w:rFonts w:ascii="仿宋" w:hAnsi="仿宋" w:eastAsia="仿宋"/>
          <w:b/>
          <w:sz w:val="32"/>
          <w:szCs w:val="32"/>
        </w:rPr>
      </w:pPr>
      <w:r>
        <w:rPr>
          <w:rFonts w:hint="eastAsia" w:ascii="仿宋_GB2312" w:hAnsi="Calibri" w:eastAsia="仿宋_GB2312" w:cs="仿宋"/>
          <w:color w:val="000000"/>
          <w:kern w:val="0"/>
          <w:sz w:val="32"/>
          <w:szCs w:val="32"/>
          <w:lang w:val="en-US" w:eastAsia="zh-CN"/>
        </w:rPr>
        <w:t>10.</w:t>
      </w:r>
      <w:r>
        <w:rPr>
          <w:rFonts w:hint="eastAsia" w:ascii="仿宋_GB2312" w:hAnsi="Calibri" w:eastAsia="仿宋_GB2312" w:cs="仿宋"/>
          <w:color w:val="000000"/>
          <w:kern w:val="0"/>
          <w:sz w:val="32"/>
          <w:szCs w:val="32"/>
        </w:rPr>
        <w:t>住房保障（类）住房改革支出（款）住房公积金（项）：</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21.15</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tabs>
          <w:tab w:val="right" w:pos="8306"/>
        </w:tabs>
        <w:spacing w:line="600" w:lineRule="exact"/>
        <w:ind w:firstLine="640"/>
        <w:outlineLvl w:val="1"/>
        <w:rPr>
          <w:rStyle w:val="31"/>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3429.91</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345.91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46.60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2.85万元相比</w:t>
      </w:r>
      <w:r>
        <w:rPr>
          <w:rFonts w:hint="eastAsia" w:ascii="仿宋" w:hAnsi="仿宋" w:eastAsia="仿宋"/>
          <w:sz w:val="32"/>
          <w:szCs w:val="32"/>
        </w:rPr>
        <w:t>减少</w:t>
      </w:r>
      <w:r>
        <w:rPr>
          <w:rFonts w:hint="eastAsia" w:ascii="仿宋" w:hAnsi="仿宋" w:eastAsia="仿宋"/>
          <w:sz w:val="32"/>
          <w:szCs w:val="32"/>
          <w:lang w:val="en-US" w:eastAsia="zh-CN"/>
        </w:rPr>
        <w:t>1.35</w:t>
      </w:r>
      <w:r>
        <w:rPr>
          <w:rFonts w:hint="eastAsia" w:ascii="仿宋" w:hAnsi="仿宋" w:eastAsia="仿宋"/>
          <w:sz w:val="32"/>
          <w:szCs w:val="32"/>
        </w:rPr>
        <w:t>万元，下降</w:t>
      </w:r>
      <w:r>
        <w:rPr>
          <w:rFonts w:hint="eastAsia" w:ascii="仿宋" w:hAnsi="仿宋" w:eastAsia="仿宋"/>
          <w:sz w:val="32"/>
          <w:szCs w:val="32"/>
          <w:lang w:val="en-US" w:eastAsia="zh-CN"/>
        </w:rPr>
        <w:t>47.37</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2022年压缩“三公”经费</w:t>
      </w:r>
      <w:bookmarkStart w:id="36" w:name="_GoBack"/>
      <w:bookmarkEnd w:id="36"/>
      <w:r>
        <w:rPr>
          <w:rFonts w:hint="eastAsia" w:ascii="仿宋" w:hAnsi="仿宋" w:eastAsia="仿宋"/>
          <w:sz w:val="32"/>
          <w:szCs w:val="32"/>
          <w:lang w:val="en-US" w:eastAsia="zh-CN"/>
        </w:rPr>
        <w:t>财政拨款支出</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1.50</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pStyle w:val="15"/>
        <w:ind w:left="0" w:leftChars="0" w:firstLine="0" w:firstLineChars="0"/>
        <w:rPr>
          <w:rFonts w:hint="eastAsia" w:ascii="仿宋" w:hAnsi="仿宋" w:eastAsia="仿宋"/>
          <w:sz w:val="32"/>
          <w:szCs w:val="32"/>
        </w:rPr>
      </w:pPr>
    </w:p>
    <w:tbl>
      <w:tblPr>
        <w:tblStyle w:val="17"/>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972"/>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1312" behindDoc="0" locked="0" layoutInCell="1" allowOverlap="1">
                  <wp:simplePos x="0" y="0"/>
                  <wp:positionH relativeFrom="column">
                    <wp:posOffset>197485</wp:posOffset>
                  </wp:positionH>
                  <wp:positionV relativeFrom="paragraph">
                    <wp:posOffset>36195</wp:posOffset>
                  </wp:positionV>
                  <wp:extent cx="4915535" cy="3376295"/>
                  <wp:effectExtent l="0" t="0" r="6985" b="6985"/>
                  <wp:wrapNone/>
                  <wp:docPr id="1" name="图表_1"/>
                  <wp:cNvGraphicFramePr/>
                  <a:graphic xmlns:a="http://schemas.openxmlformats.org/drawingml/2006/main">
                    <a:graphicData uri="http://schemas.openxmlformats.org/drawingml/2006/picture">
                      <pic:pic xmlns:pic="http://schemas.openxmlformats.org/drawingml/2006/picture">
                        <pic:nvPicPr>
                          <pic:cNvPr id="1" name="图表_1"/>
                          <pic:cNvPicPr/>
                        </pic:nvPicPr>
                        <pic:blipFill>
                          <a:blip r:embed="rId15"/>
                          <a:stretch>
                            <a:fillRect/>
                          </a:stretch>
                        </pic:blipFill>
                        <pic:spPr>
                          <a:xfrm>
                            <a:off x="0" y="0"/>
                            <a:ext cx="4915535" cy="3376295"/>
                          </a:xfrm>
                          <a:prstGeom prst="rect">
                            <a:avLst/>
                          </a:prstGeom>
                          <a:noFill/>
                          <a:ln>
                            <a:noFill/>
                          </a:ln>
                        </pic:spPr>
                      </pic:pic>
                    </a:graphicData>
                  </a:graphic>
                </wp:anchor>
              </w:drawing>
            </w: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图7：“三公”经费财政拨款支出结构图</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5"/>
        <w:jc w:val="cente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1.50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2.85万元相比</w:t>
      </w:r>
      <w:r>
        <w:rPr>
          <w:rFonts w:hint="eastAsia" w:ascii="仿宋_GB2312" w:eastAsia="仿宋_GB2312"/>
          <w:sz w:val="32"/>
          <w:szCs w:val="32"/>
        </w:rPr>
        <w:t>减少</w:t>
      </w:r>
      <w:r>
        <w:rPr>
          <w:rFonts w:hint="eastAsia" w:ascii="仿宋_GB2312" w:eastAsia="仿宋_GB2312"/>
          <w:sz w:val="32"/>
          <w:szCs w:val="32"/>
          <w:lang w:val="en-US" w:eastAsia="zh-CN"/>
        </w:rPr>
        <w:t>1.35</w:t>
      </w:r>
      <w:r>
        <w:rPr>
          <w:rFonts w:hint="eastAsia" w:ascii="仿宋_GB2312" w:eastAsia="仿宋_GB2312"/>
          <w:sz w:val="32"/>
          <w:szCs w:val="32"/>
        </w:rPr>
        <w:t>万元，增下降</w:t>
      </w:r>
      <w:r>
        <w:rPr>
          <w:rFonts w:hint="eastAsia" w:ascii="仿宋_GB2312" w:eastAsia="仿宋_GB2312"/>
          <w:sz w:val="32"/>
          <w:szCs w:val="32"/>
          <w:lang w:val="en-US" w:eastAsia="zh-CN"/>
        </w:rPr>
        <w:t>47.37</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rPr>
        <w:t>是</w:t>
      </w:r>
      <w:r>
        <w:rPr>
          <w:rFonts w:hint="eastAsia" w:ascii="仿宋" w:hAnsi="仿宋" w:eastAsia="仿宋"/>
          <w:sz w:val="32"/>
          <w:szCs w:val="32"/>
          <w:lang w:val="en-US" w:eastAsia="zh-CN"/>
        </w:rPr>
        <w:t>2022年压缩“三公”经费财政拨款支出</w:t>
      </w:r>
      <w:r>
        <w:rPr>
          <w:rFonts w:hint="eastAsia" w:ascii="仿宋" w:hAnsi="仿宋" w:eastAsia="仿宋"/>
          <w:sz w:val="32"/>
          <w:szCs w:val="32"/>
        </w:rPr>
        <w:t>。</w:t>
      </w:r>
      <w:r>
        <w:rPr>
          <w:rFonts w:hint="eastAsia" w:ascii="仿宋_GB2312" w:eastAsia="仿宋_GB2312"/>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1.50</w:t>
      </w:r>
      <w:r>
        <w:rPr>
          <w:rFonts w:hint="eastAsia" w:ascii="仿宋_GB2312" w:eastAsia="仿宋_GB2312"/>
          <w:sz w:val="32"/>
          <w:szCs w:val="32"/>
        </w:rPr>
        <w:t>万元，主要用于</w:t>
      </w:r>
      <w:r>
        <w:rPr>
          <w:rFonts w:hint="eastAsia" w:ascii="仿宋_GB2312" w:eastAsia="仿宋_GB2312"/>
          <w:color w:val="000000"/>
          <w:sz w:val="32"/>
          <w:szCs w:val="32"/>
        </w:rPr>
        <w:t>出席会议、考察调研、执行任务、学习交流、检查指导、请示汇报工作等公务活动</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45</w:t>
      </w:r>
      <w:r>
        <w:rPr>
          <w:rFonts w:hint="eastAsia" w:ascii="仿宋_GB2312" w:eastAsia="仿宋_GB2312"/>
          <w:sz w:val="32"/>
          <w:szCs w:val="32"/>
        </w:rPr>
        <w:t>批次，</w:t>
      </w:r>
      <w:r>
        <w:rPr>
          <w:rFonts w:hint="eastAsia" w:ascii="仿宋_GB2312" w:eastAsia="仿宋_GB2312"/>
          <w:sz w:val="32"/>
          <w:szCs w:val="32"/>
          <w:lang w:val="en-US" w:eastAsia="zh-CN"/>
        </w:rPr>
        <w:t>360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1.50</w:t>
      </w:r>
      <w:r>
        <w:rPr>
          <w:rFonts w:hint="eastAsia" w:ascii="仿宋_GB2312" w:eastAsia="仿宋_GB2312"/>
          <w:sz w:val="32"/>
          <w:szCs w:val="32"/>
        </w:rPr>
        <w:t>万元，具体内容包括：</w:t>
      </w:r>
      <w:r>
        <w:rPr>
          <w:rFonts w:hint="eastAsia" w:ascii="仿宋_GB2312" w:eastAsia="仿宋_GB2312"/>
          <w:color w:val="000000"/>
          <w:sz w:val="32"/>
          <w:szCs w:val="32"/>
        </w:rPr>
        <w:t>支付</w:t>
      </w:r>
      <w:r>
        <w:rPr>
          <w:rFonts w:hint="eastAsia" w:ascii="仿宋_GB2312" w:eastAsia="仿宋_GB2312"/>
          <w:color w:val="000000"/>
          <w:sz w:val="32"/>
          <w:szCs w:val="32"/>
          <w:lang w:val="en-US" w:eastAsia="zh-CN"/>
        </w:rPr>
        <w:t>2021年电子科技大学物理学院招生人才引进工作接待费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支付省医保局对接工作接待费、支付接待市医保局党组书记一行调研组人员接待费、支付接待市人社局考察组人员接待费、支付接待脱贫攻坚成效考核期间市医保局驻派剑阁现场指导组接待费</w:t>
      </w:r>
      <w:r>
        <w:rPr>
          <w:rFonts w:hint="eastAsia" w:ascii="仿宋_GB2312" w:eastAsia="仿宋_GB2312"/>
          <w:color w:val="000000"/>
          <w:sz w:val="32"/>
          <w:szCs w:val="32"/>
        </w:rPr>
        <w:t>等。</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125.91</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r>
        <w:rPr>
          <w:rStyle w:val="31"/>
          <w:rFonts w:hint="eastAsia" w:ascii="黑体" w:hAnsi="黑体" w:eastAsia="黑体"/>
          <w:b w:val="0"/>
        </w:rPr>
        <w:t>国有资本经营预算支出决算情况说明</w:t>
      </w:r>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r>
        <w:rPr>
          <w:rStyle w:val="31"/>
          <w:rFonts w:hint="eastAsia" w:ascii="黑体" w:hAnsi="黑体" w:eastAsia="黑体"/>
          <w:b w:val="0"/>
        </w:rPr>
        <w:t>其他重要事项的情况说明</w:t>
      </w:r>
    </w:p>
    <w:p>
      <w:pPr>
        <w:spacing w:line="600" w:lineRule="exact"/>
        <w:ind w:firstLine="642"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全年</w:t>
      </w:r>
      <w:r>
        <w:rPr>
          <w:rFonts w:hint="eastAsia" w:ascii="仿宋_GB2312" w:eastAsia="仿宋_GB2312"/>
          <w:sz w:val="32"/>
          <w:szCs w:val="32"/>
        </w:rPr>
        <w:t>机关运行经费支出</w:t>
      </w:r>
      <w:r>
        <w:rPr>
          <w:rFonts w:hint="eastAsia" w:ascii="仿宋_GB2312" w:eastAsia="仿宋_GB2312"/>
          <w:sz w:val="32"/>
          <w:szCs w:val="32"/>
          <w:lang w:val="en-US" w:eastAsia="zh-CN"/>
        </w:rPr>
        <w:t>46.60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53.70</w:t>
      </w:r>
      <w:r>
        <w:rPr>
          <w:rFonts w:hint="eastAsia" w:ascii="仿宋_GB2312" w:eastAsia="仿宋_GB2312"/>
          <w:sz w:val="32"/>
          <w:szCs w:val="32"/>
        </w:rPr>
        <w:t>减少</w:t>
      </w:r>
      <w:r>
        <w:rPr>
          <w:rFonts w:hint="eastAsia" w:ascii="仿宋_GB2312" w:eastAsia="仿宋_GB2312"/>
          <w:sz w:val="32"/>
          <w:szCs w:val="32"/>
          <w:lang w:val="en-US" w:eastAsia="zh-CN"/>
        </w:rPr>
        <w:t>7.10</w:t>
      </w:r>
      <w:r>
        <w:rPr>
          <w:rFonts w:hint="eastAsia" w:ascii="仿宋_GB2312" w:eastAsia="仿宋_GB2312"/>
          <w:sz w:val="32"/>
          <w:szCs w:val="32"/>
        </w:rPr>
        <w:t>万元，下降</w:t>
      </w:r>
      <w:r>
        <w:rPr>
          <w:rFonts w:hint="eastAsia" w:ascii="仿宋_GB2312" w:eastAsia="仿宋_GB2312"/>
          <w:sz w:val="32"/>
          <w:szCs w:val="32"/>
          <w:lang w:val="en-US" w:eastAsia="zh-CN"/>
        </w:rPr>
        <w:t>13.22</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val="en-US" w:eastAsia="zh-CN"/>
        </w:rPr>
        <w:t>压缩办公经费，培训费、公务接接费、</w:t>
      </w:r>
      <w:r>
        <w:rPr>
          <w:rFonts w:hint="eastAsia" w:ascii="仿宋" w:hAnsi="仿宋" w:eastAsia="仿宋"/>
          <w:sz w:val="32"/>
          <w:szCs w:val="32"/>
          <w:lang w:eastAsia="zh-CN"/>
        </w:rPr>
        <w:t>基金监管</w:t>
      </w:r>
      <w:r>
        <w:rPr>
          <w:rFonts w:hint="eastAsia" w:ascii="仿宋" w:hAnsi="仿宋" w:eastAsia="仿宋"/>
          <w:color w:val="000000" w:themeColor="text1"/>
          <w:sz w:val="32"/>
          <w:szCs w:val="32"/>
          <w14:textFill>
            <w14:solidFill>
              <w14:schemeClr w14:val="tx1"/>
            </w14:solidFill>
          </w14:textFill>
        </w:rPr>
        <w:t>费</w:t>
      </w:r>
      <w:r>
        <w:rPr>
          <w:rFonts w:hint="eastAsia" w:ascii="仿宋" w:hAnsi="仿宋" w:eastAsia="仿宋"/>
          <w:color w:val="000000" w:themeColor="text1"/>
          <w:sz w:val="32"/>
          <w:szCs w:val="32"/>
          <w:lang w:val="en-US" w:eastAsia="zh-CN"/>
          <w14:textFill>
            <w14:solidFill>
              <w14:schemeClr w14:val="tx1"/>
            </w14:solidFill>
          </w14:textFill>
        </w:rPr>
        <w:t>等费用的减少</w:t>
      </w:r>
      <w:r>
        <w:rPr>
          <w:rFonts w:hint="eastAsia" w:ascii="仿宋_GB2312" w:eastAsia="仿宋_GB2312"/>
          <w:sz w:val="32"/>
          <w:szCs w:val="32"/>
          <w:lang w:val="en-US"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rFonts w:hint="eastAsia" w:hAnsi="仿宋_GB2312" w:cs="仿宋_GB2312"/>
          <w:sz w:val="32"/>
          <w:szCs w:val="32"/>
          <w:lang w:eastAsia="zh-CN"/>
        </w:rPr>
      </w:pPr>
      <w:r>
        <w:rPr>
          <w:rFonts w:hint="eastAsia" w:hAnsi="仿宋_GB2312" w:cs="仿宋_GB2312"/>
          <w:sz w:val="32"/>
          <w:szCs w:val="32"/>
        </w:rPr>
        <w:t>根据预算绩效管理要求，本单位在2022年度预算编制阶段，组织对2022年度城乡居民补助资金</w:t>
      </w:r>
      <w:r>
        <w:rPr>
          <w:rFonts w:hint="eastAsia" w:hAnsi="仿宋_GB2312" w:cs="仿宋_GB2312"/>
          <w:sz w:val="32"/>
          <w:szCs w:val="32"/>
          <w:lang w:eastAsia="zh-CN"/>
        </w:rPr>
        <w:t>、2022年度新冠疫苗及接种费用财政补助资金、健康扶贫一站式基金、</w:t>
      </w:r>
      <w:r>
        <w:rPr>
          <w:rFonts w:hint="eastAsia" w:hAnsi="仿宋_GB2312" w:cs="仿宋_GB2312"/>
          <w:sz w:val="32"/>
          <w:szCs w:val="32"/>
        </w:rPr>
        <w:t>2022年省级财政人社公共服务能力建设资金</w:t>
      </w:r>
      <w:r>
        <w:rPr>
          <w:rFonts w:hint="eastAsia" w:hAnsi="仿宋_GB2312" w:cs="仿宋_GB2312"/>
          <w:sz w:val="32"/>
          <w:szCs w:val="32"/>
          <w:lang w:eastAsia="zh-CN"/>
        </w:rPr>
        <w:t>、城乡居民医疗救助资金、建国初期人员医疗照顾红残</w:t>
      </w:r>
      <w:r>
        <w:rPr>
          <w:rFonts w:hint="eastAsia" w:hAnsi="仿宋_GB2312" w:cs="仿宋_GB2312"/>
          <w:sz w:val="32"/>
          <w:szCs w:val="32"/>
          <w:lang w:val="en-US" w:eastAsia="zh-CN"/>
        </w:rPr>
        <w:t>费</w:t>
      </w:r>
      <w:r>
        <w:rPr>
          <w:rFonts w:hint="eastAsia" w:hAnsi="仿宋_GB2312" w:cs="仿宋_GB2312"/>
          <w:sz w:val="32"/>
          <w:szCs w:val="32"/>
          <w:lang w:eastAsia="zh-CN"/>
        </w:rPr>
        <w:t>、离休医疗费、医疗服务与保障能力提升补助资金、困难群众社会保险个人缴费财政代缴经费</w:t>
      </w:r>
      <w:r>
        <w:rPr>
          <w:rFonts w:hint="eastAsia" w:hAnsi="仿宋_GB2312" w:cs="仿宋_GB2312"/>
          <w:sz w:val="32"/>
          <w:szCs w:val="32"/>
        </w:rPr>
        <w:t>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9</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9</w:t>
      </w:r>
      <w:r>
        <w:rPr>
          <w:rFonts w:hint="eastAsia" w:hAnsi="仿宋_GB2312" w:cs="仿宋_GB2312"/>
          <w:sz w:val="32"/>
          <w:szCs w:val="32"/>
        </w:rPr>
        <w:t>个项目开展绩效监控</w:t>
      </w:r>
      <w:r>
        <w:rPr>
          <w:rFonts w:hint="eastAsia" w:hAnsi="仿宋_GB2312" w:cs="仿宋_GB2312"/>
          <w:sz w:val="32"/>
          <w:szCs w:val="32"/>
          <w:lang w:eastAsia="zh-CN"/>
        </w:rPr>
        <w:t>。</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组织对2022年度</w:t>
      </w:r>
      <w:r>
        <w:rPr>
          <w:rFonts w:hint="eastAsia" w:ascii="仿宋_GB2312" w:hAnsi="仿宋_GB2312" w:eastAsia="仿宋_GB2312" w:cs="仿宋_GB2312"/>
          <w:sz w:val="32"/>
          <w:szCs w:val="32"/>
          <w:lang w:val="en-US" w:eastAsia="zh-CN"/>
        </w:rPr>
        <w:t>财政支出</w:t>
      </w:r>
      <w:r>
        <w:rPr>
          <w:rFonts w:hint="eastAsia" w:ascii="仿宋_GB2312" w:hAnsi="仿宋_GB2312" w:eastAsia="仿宋_GB2312" w:cs="仿宋_GB2312"/>
          <w:sz w:val="32"/>
          <w:szCs w:val="32"/>
        </w:rPr>
        <w:t>全面开展绩效自评，形成</w:t>
      </w:r>
      <w:r>
        <w:rPr>
          <w:rFonts w:hint="eastAsia" w:hAnsi="仿宋_GB2312" w:cs="仿宋_GB2312"/>
          <w:sz w:val="32"/>
          <w:szCs w:val="32"/>
          <w:lang w:val="en-US" w:eastAsia="zh-CN"/>
        </w:rPr>
        <w:t>2022年</w:t>
      </w:r>
      <w:r>
        <w:rPr>
          <w:rFonts w:hint="eastAsia" w:ascii="仿宋_GB2312" w:hAnsi="仿宋_GB2312" w:eastAsia="仿宋_GB2312" w:cs="仿宋_GB2312"/>
          <w:sz w:val="32"/>
          <w:szCs w:val="32"/>
        </w:rPr>
        <w:t>部门整体（含部门预算项目）绩效自评报告、2022年医疗保障与服务能力提升专项资金绩效评价报告等专项预算项目绩效自评报告，其中，</w:t>
      </w:r>
      <w:r>
        <w:rPr>
          <w:rFonts w:hint="eastAsia" w:hAnsi="仿宋_GB2312" w:cs="仿宋_GB2312"/>
          <w:sz w:val="32"/>
          <w:szCs w:val="32"/>
          <w:lang w:val="en-US" w:eastAsia="zh-CN"/>
        </w:rPr>
        <w:t>2022年</w:t>
      </w:r>
      <w:r>
        <w:rPr>
          <w:rFonts w:hint="eastAsia" w:ascii="仿宋_GB2312" w:hAnsi="仿宋_GB2312" w:eastAsia="仿宋_GB2312" w:cs="仿宋_GB2312"/>
          <w:sz w:val="32"/>
          <w:szCs w:val="32"/>
        </w:rPr>
        <w:t>部门整体（含部门预算项目）绩效自评得分为</w:t>
      </w:r>
      <w:r>
        <w:rPr>
          <w:rFonts w:hint="eastAsia" w:hAnsi="仿宋_GB2312" w:cs="仿宋_GB2312"/>
          <w:sz w:val="32"/>
          <w:szCs w:val="32"/>
          <w:lang w:val="en-US" w:eastAsia="zh-CN"/>
        </w:rPr>
        <w:t>100</w:t>
      </w:r>
      <w:r>
        <w:rPr>
          <w:rFonts w:hint="eastAsia" w:ascii="仿宋_GB2312" w:hAnsi="仿宋_GB2312" w:eastAsia="仿宋_GB2312" w:cs="仿宋_GB2312"/>
          <w:sz w:val="32"/>
          <w:szCs w:val="32"/>
        </w:rPr>
        <w:t>分，绩效自评综述：做好单位权限范围内工作，完成上级交办的任务。在规定时间内完成辖区内普通城乡居民、学生城乡基本医疗保险参保筹资工作，参保率达应参保人数的95%以上。县级财政参保配套资金到位率100%，并及时拨付到位，完善医疗保障制度，强化医保基金监管。；2022年医疗保障与服务能力提升专项资金绩效评价报告等专项预算项目绩效自评得分为</w:t>
      </w:r>
      <w:r>
        <w:rPr>
          <w:rFonts w:hint="eastAsia" w:hAnsi="仿宋_GB2312" w:cs="仿宋_GB2312"/>
          <w:sz w:val="32"/>
          <w:szCs w:val="32"/>
          <w:lang w:val="en-US" w:eastAsia="zh-CN"/>
        </w:rPr>
        <w:t>98</w:t>
      </w:r>
      <w:r>
        <w:rPr>
          <w:rFonts w:hint="eastAsia" w:ascii="仿宋_GB2312" w:hAnsi="仿宋_GB2312" w:eastAsia="仿宋_GB2312" w:cs="仿宋_GB2312"/>
          <w:sz w:val="32"/>
          <w:szCs w:val="32"/>
        </w:rPr>
        <w:t>分，绩效自评综述：</w:t>
      </w:r>
      <w:r>
        <w:rPr>
          <w:rFonts w:hint="eastAsia" w:ascii="仿宋_GB2312" w:hAnsi="楷体" w:eastAsia="仿宋_GB2312" w:cs="楷体"/>
          <w:color w:val="000000" w:themeColor="text1"/>
          <w:sz w:val="32"/>
          <w:szCs w:val="32"/>
          <w14:textFill>
            <w14:solidFill>
              <w14:schemeClr w14:val="tx1"/>
            </w14:solidFill>
          </w14:textFill>
        </w:rPr>
        <w:t>我县</w:t>
      </w:r>
      <w:r>
        <w:rPr>
          <w:rFonts w:hint="eastAsia" w:ascii="仿宋_GB2312" w:hAnsi="黑体" w:eastAsia="仿宋_GB2312" w:cs="宋体"/>
          <w:color w:val="000000" w:themeColor="text1"/>
          <w:sz w:val="32"/>
          <w:szCs w:val="32"/>
          <w14:textFill>
            <w14:solidFill>
              <w14:schemeClr w14:val="tx1"/>
            </w14:solidFill>
          </w14:textFill>
        </w:rPr>
        <w:t>医疗保障与服务能力提升专项资金使用合规、高效，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优异成绩。</w:t>
      </w:r>
    </w:p>
    <w:p>
      <w:pPr>
        <w:pStyle w:val="2"/>
        <w:spacing w:before="93"/>
        <w:rPr>
          <w:highlight w:val="yellow"/>
        </w:rPr>
      </w:pPr>
      <w:r>
        <w:rPr>
          <w:rFonts w:hint="eastAsia" w:ascii="仿宋_GB2312" w:hAnsi="仿宋_GB2312" w:eastAsia="仿宋_GB2312" w:cs="仿宋_GB2312"/>
          <w:sz w:val="32"/>
          <w:szCs w:val="32"/>
        </w:rPr>
        <w:t>绩效自评报告详见</w:t>
      </w:r>
      <w:r>
        <w:rPr>
          <w:rFonts w:hint="eastAsia" w:hAnsi="仿宋_GB2312" w:cs="仿宋_GB2312"/>
          <w:sz w:val="32"/>
          <w:szCs w:val="32"/>
        </w:rPr>
        <w:t>第四部分附件。</w:t>
      </w:r>
    </w:p>
    <w:p>
      <w:pPr>
        <w:widowControl/>
        <w:ind w:firstLine="642" w:firstLineChars="200"/>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18" w:name="_Toc15396613"/>
      <w:bookmarkStart w:id="19" w:name="_Toc15377225"/>
      <w:r>
        <w:rPr>
          <w:rFonts w:hint="eastAsia" w:ascii="黑体" w:hAnsi="黑体" w:eastAsia="黑体"/>
          <w:sz w:val="44"/>
          <w:szCs w:val="44"/>
        </w:rPr>
        <w:t>名</w:t>
      </w:r>
      <w:r>
        <w:rPr>
          <w:rStyle w:val="30"/>
          <w:rFonts w:hint="eastAsia" w:ascii="黑体" w:hAnsi="黑体" w:eastAsia="黑体"/>
          <w:b w:val="0"/>
        </w:rPr>
        <w:t>词解释</w:t>
      </w:r>
      <w:bookmarkEnd w:id="18"/>
      <w:bookmarkEnd w:id="19"/>
    </w:p>
    <w:p>
      <w:pPr>
        <w:spacing w:line="600" w:lineRule="exact"/>
        <w:jc w:val="left"/>
        <w:rPr>
          <w:rFonts w:ascii="宋体"/>
          <w:b/>
          <w:sz w:val="44"/>
          <w:szCs w:val="44"/>
        </w:rPr>
      </w:pPr>
    </w:p>
    <w:p>
      <w:pPr>
        <w:spacing w:line="600" w:lineRule="exact"/>
        <w:jc w:val="left"/>
        <w:outlineLvl w:val="0"/>
        <w:rPr>
          <w:rFonts w:hint="eastAsia" w:ascii="仿宋_GB2312" w:hAnsi="Calibri" w:eastAsia="仿宋_GB2312" w:cs="仿宋"/>
          <w:color w:val="000000"/>
          <w:kern w:val="0"/>
          <w:sz w:val="32"/>
          <w:szCs w:val="32"/>
        </w:rPr>
      </w:pPr>
      <w:bookmarkStart w:id="20" w:name="_Toc15396614"/>
      <w:bookmarkStart w:id="21" w:name="_Toc15377226"/>
      <w:r>
        <w:rPr>
          <w:rFonts w:hint="eastAsia" w:ascii="仿宋_GB2312" w:hAnsi="Calibri" w:eastAsia="仿宋_GB2312" w:cs="仿宋"/>
          <w:color w:val="000000"/>
          <w:kern w:val="0"/>
          <w:sz w:val="32"/>
          <w:szCs w:val="32"/>
        </w:rPr>
        <w:t>（一）一般公共预算拨款收入：指县级财政当年拨付的资金。</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（二）上年结转：指以前年度尚未完成，结转到本年仍按原规定用途继续使用的资金。</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（三）社会保障和就业</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（类）行政事业单位</w:t>
      </w:r>
      <w:r>
        <w:rPr>
          <w:rFonts w:hint="eastAsia" w:ascii="仿宋_GB2312" w:hAnsi="Calibri" w:eastAsia="仿宋_GB2312" w:cs="仿宋"/>
          <w:color w:val="000000"/>
          <w:kern w:val="0"/>
          <w:sz w:val="32"/>
          <w:szCs w:val="32"/>
          <w:lang w:eastAsia="zh-CN"/>
        </w:rPr>
        <w:t>养老支出</w:t>
      </w:r>
      <w:r>
        <w:rPr>
          <w:rFonts w:hint="eastAsia" w:ascii="仿宋_GB2312" w:hAnsi="Calibri" w:eastAsia="仿宋_GB2312" w:cs="仿宋"/>
          <w:color w:val="000000"/>
          <w:kern w:val="0"/>
          <w:sz w:val="32"/>
          <w:szCs w:val="32"/>
        </w:rPr>
        <w:t>（款）机关事业单位基本养老保险缴费支出（项）：指</w:t>
      </w:r>
      <w:r>
        <w:rPr>
          <w:rFonts w:hint="eastAsia" w:ascii="仿宋_GB2312" w:hAnsi="Calibri" w:eastAsia="仿宋_GB2312" w:cs="仿宋"/>
          <w:color w:val="000000"/>
          <w:kern w:val="0"/>
          <w:sz w:val="32"/>
          <w:szCs w:val="32"/>
          <w:lang w:eastAsia="zh-CN"/>
        </w:rPr>
        <w:t>机关事业单位</w:t>
      </w:r>
      <w:r>
        <w:rPr>
          <w:rFonts w:hint="eastAsia" w:ascii="仿宋_GB2312" w:hAnsi="Calibri" w:eastAsia="仿宋_GB2312" w:cs="仿宋"/>
          <w:color w:val="000000"/>
          <w:kern w:val="0"/>
          <w:sz w:val="32"/>
          <w:szCs w:val="32"/>
        </w:rPr>
        <w:t>实施养老保险制度由单位缴纳的养老保险费的支出。</w:t>
      </w:r>
    </w:p>
    <w:p>
      <w:pPr>
        <w:spacing w:line="600" w:lineRule="exact"/>
        <w:jc w:val="left"/>
        <w:outlineLvl w:val="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rPr>
        <w:t>（四）社会保障和就业</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eastAsia="zh-CN"/>
        </w:rPr>
        <w:t>财政代缴社会保险费支出</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财政代缴其他社会保险费支出</w:t>
      </w:r>
      <w:r>
        <w:rPr>
          <w:rFonts w:hint="eastAsia"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指在政策规定范围内，财政为生活困难人员缴纳的其他社会保险费支出。</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eastAsia="zh-CN"/>
        </w:rPr>
        <w:t>（五）</w:t>
      </w:r>
      <w:r>
        <w:rPr>
          <w:rFonts w:hint="eastAsia" w:ascii="仿宋_GB2312" w:hAnsi="Calibri" w:eastAsia="仿宋_GB2312" w:cs="仿宋"/>
          <w:color w:val="000000"/>
          <w:kern w:val="0"/>
          <w:sz w:val="32"/>
          <w:szCs w:val="32"/>
        </w:rPr>
        <w:t>卫生健康</w:t>
      </w:r>
      <w:r>
        <w:rPr>
          <w:rFonts w:hint="eastAsia" w:ascii="仿宋_GB2312" w:hAnsi="Calibri" w:eastAsia="仿宋_GB2312" w:cs="仿宋"/>
          <w:color w:val="000000"/>
          <w:kern w:val="0"/>
          <w:sz w:val="32"/>
          <w:szCs w:val="32"/>
          <w:lang w:eastAsia="zh-CN"/>
        </w:rPr>
        <w:t>支出</w:t>
      </w:r>
      <w:r>
        <w:rPr>
          <w:rFonts w:hint="eastAsia" w:ascii="仿宋_GB2312" w:hAnsi="Calibri" w:eastAsia="仿宋_GB2312" w:cs="仿宋"/>
          <w:color w:val="000000"/>
          <w:kern w:val="0"/>
          <w:sz w:val="32"/>
          <w:szCs w:val="32"/>
        </w:rPr>
        <w:t>（类）行政事业单位医疗（款）行政单位医疗（项）：指</w:t>
      </w:r>
      <w:r>
        <w:rPr>
          <w:rFonts w:hint="eastAsia" w:ascii="仿宋_GB2312" w:hAnsi="Calibri" w:eastAsia="仿宋_GB2312" w:cs="仿宋"/>
          <w:color w:val="000000"/>
          <w:kern w:val="0"/>
          <w:sz w:val="32"/>
          <w:szCs w:val="32"/>
          <w:lang w:eastAsia="zh-CN"/>
        </w:rPr>
        <w:t>财政部门安排的行政单位基本医疗保险缴费经费，未参加医疗保险的行政单位的公费医疗经费，按国家规定享受离休人员、红军老战士待遇人员的医疗经费</w:t>
      </w:r>
      <w:r>
        <w:rPr>
          <w:rFonts w:hint="eastAsia" w:ascii="仿宋_GB2312" w:hAnsi="Calibri" w:eastAsia="仿宋_GB2312" w:cs="仿宋"/>
          <w:color w:val="000000"/>
          <w:kern w:val="0"/>
          <w:sz w:val="32"/>
          <w:szCs w:val="32"/>
        </w:rPr>
        <w:t>。</w:t>
      </w:r>
    </w:p>
    <w:p>
      <w:pPr>
        <w:spacing w:line="600" w:lineRule="exact"/>
        <w:jc w:val="left"/>
        <w:outlineLvl w:val="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六</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卫生健康支出（类）</w:t>
      </w:r>
      <w:r>
        <w:rPr>
          <w:rFonts w:hint="eastAsia" w:ascii="仿宋_GB2312" w:hAnsi="Calibri" w:eastAsia="仿宋_GB2312" w:cs="仿宋"/>
          <w:color w:val="000000"/>
          <w:kern w:val="0"/>
          <w:sz w:val="32"/>
          <w:szCs w:val="32"/>
          <w:lang w:eastAsia="zh-CN"/>
        </w:rPr>
        <w:t>财政对基本医疗保险基金的补助</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财政对职工基本医疗保险基金的补助（</w:t>
      </w:r>
      <w:r>
        <w:rPr>
          <w:rFonts w:hint="eastAsia"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指财政对职工基本医疗保险基金的补助支出。</w:t>
      </w:r>
    </w:p>
    <w:p>
      <w:pPr>
        <w:spacing w:line="600" w:lineRule="exact"/>
        <w:jc w:val="left"/>
        <w:outlineLvl w:val="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lang w:eastAsia="zh-CN"/>
        </w:rPr>
        <w:t>（七）</w:t>
      </w:r>
      <w:r>
        <w:rPr>
          <w:rFonts w:hint="eastAsia" w:ascii="仿宋_GB2312" w:hAnsi="Calibri" w:eastAsia="仿宋_GB2312" w:cs="仿宋"/>
          <w:color w:val="000000"/>
          <w:kern w:val="0"/>
          <w:sz w:val="32"/>
          <w:szCs w:val="32"/>
        </w:rPr>
        <w:t>卫生健康支出（类）</w:t>
      </w:r>
      <w:r>
        <w:rPr>
          <w:rFonts w:hint="eastAsia" w:ascii="仿宋_GB2312" w:hAnsi="Calibri" w:eastAsia="仿宋_GB2312" w:cs="仿宋"/>
          <w:color w:val="000000"/>
          <w:kern w:val="0"/>
          <w:sz w:val="32"/>
          <w:szCs w:val="32"/>
          <w:lang w:eastAsia="zh-CN"/>
        </w:rPr>
        <w:t>财政对基本医疗保险基金的补助</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财政对城乡居民基本医疗保险基金的补助（</w:t>
      </w:r>
      <w:r>
        <w:rPr>
          <w:rFonts w:hint="eastAsia"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指财政对城乡居民基本医疗保险基金的补助支出。</w:t>
      </w:r>
    </w:p>
    <w:p>
      <w:pPr>
        <w:spacing w:line="600" w:lineRule="exact"/>
        <w:jc w:val="left"/>
        <w:outlineLvl w:val="0"/>
        <w:rPr>
          <w:rFonts w:hint="eastAsia" w:ascii="仿宋_GB2312" w:hAnsi="Calibri" w:eastAsia="仿宋_GB2312" w:cs="仿宋"/>
          <w:color w:val="000000"/>
          <w:kern w:val="0"/>
          <w:sz w:val="32"/>
          <w:szCs w:val="32"/>
        </w:rPr>
      </w:pPr>
      <w:r>
        <w:rPr>
          <w:rFonts w:hint="eastAsia" w:hAnsi="Calibri" w:cs="仿宋"/>
          <w:color w:val="000000"/>
          <w:kern w:val="0"/>
          <w:sz w:val="32"/>
          <w:szCs w:val="32"/>
          <w:lang w:eastAsia="zh-CN"/>
        </w:rPr>
        <w:t>（八）</w:t>
      </w:r>
      <w:r>
        <w:rPr>
          <w:rFonts w:hint="eastAsia" w:ascii="仿宋_GB2312" w:hAnsi="Calibri" w:eastAsia="仿宋_GB2312" w:cs="仿宋"/>
          <w:color w:val="000000"/>
          <w:kern w:val="0"/>
          <w:sz w:val="32"/>
          <w:szCs w:val="32"/>
        </w:rPr>
        <w:t>卫生健康支出（类）医疗救助（款）城乡医疗救助（项）：指用于城乡困难群众医疗救助支出。</w:t>
      </w:r>
    </w:p>
    <w:p>
      <w:pPr>
        <w:spacing w:line="600" w:lineRule="exact"/>
        <w:jc w:val="left"/>
        <w:outlineLvl w:val="0"/>
        <w:rPr>
          <w:rFonts w:hint="eastAsia" w:hAnsi="Calibri" w:cs="仿宋"/>
          <w:color w:val="000000"/>
          <w:kern w:val="0"/>
          <w:sz w:val="32"/>
          <w:szCs w:val="32"/>
          <w:lang w:eastAsia="zh-CN"/>
        </w:rPr>
      </w:pPr>
      <w:r>
        <w:rPr>
          <w:rFonts w:hint="eastAsia" w:hAnsi="Calibri" w:cs="仿宋"/>
          <w:color w:val="000000"/>
          <w:kern w:val="0"/>
          <w:sz w:val="32"/>
          <w:szCs w:val="32"/>
          <w:lang w:eastAsia="zh-CN"/>
        </w:rPr>
        <w:t>（九）</w:t>
      </w:r>
      <w:r>
        <w:rPr>
          <w:rFonts w:hint="eastAsia" w:ascii="仿宋_GB2312" w:hAnsi="Calibri" w:eastAsia="仿宋_GB2312" w:cs="仿宋"/>
          <w:color w:val="000000"/>
          <w:kern w:val="0"/>
          <w:sz w:val="32"/>
          <w:szCs w:val="32"/>
        </w:rPr>
        <w:t>卫生健康支出（类）医疗保障管理事务（款）</w:t>
      </w:r>
      <w:r>
        <w:rPr>
          <w:rFonts w:hint="eastAsia" w:hAnsi="Calibri" w:cs="仿宋"/>
          <w:color w:val="000000"/>
          <w:kern w:val="0"/>
          <w:sz w:val="32"/>
          <w:szCs w:val="32"/>
          <w:lang w:eastAsia="zh-CN"/>
        </w:rPr>
        <w:t>行政运行</w:t>
      </w:r>
      <w:r>
        <w:rPr>
          <w:rFonts w:hint="eastAsia" w:ascii="仿宋_GB2312" w:hAnsi="Calibri" w:eastAsia="仿宋_GB2312" w:cs="仿宋"/>
          <w:color w:val="000000"/>
          <w:kern w:val="0"/>
          <w:sz w:val="32"/>
          <w:szCs w:val="32"/>
        </w:rPr>
        <w:t>（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hAnsi="Calibri" w:cs="仿宋"/>
          <w:color w:val="000000"/>
          <w:kern w:val="0"/>
          <w:sz w:val="32"/>
          <w:szCs w:val="32"/>
          <w:lang w:eastAsia="zh-CN"/>
        </w:rPr>
      </w:pPr>
      <w:r>
        <w:rPr>
          <w:rFonts w:hint="eastAsia" w:hAnsi="Calibri" w:cs="仿宋"/>
          <w:color w:val="000000"/>
          <w:kern w:val="0"/>
          <w:sz w:val="32"/>
          <w:szCs w:val="32"/>
          <w:lang w:eastAsia="zh-CN"/>
        </w:rPr>
        <w:t>（十）</w:t>
      </w:r>
      <w:r>
        <w:rPr>
          <w:rFonts w:hint="eastAsia" w:ascii="仿宋_GB2312" w:hAnsi="Calibri" w:eastAsia="仿宋_GB2312" w:cs="仿宋"/>
          <w:color w:val="000000"/>
          <w:kern w:val="0"/>
          <w:sz w:val="32"/>
          <w:szCs w:val="32"/>
        </w:rPr>
        <w:t>卫生健康支出（类）医疗保障管理事务（款）</w:t>
      </w:r>
      <w:r>
        <w:rPr>
          <w:rFonts w:hint="eastAsia" w:hAnsi="Calibri" w:cs="仿宋"/>
          <w:color w:val="000000"/>
          <w:kern w:val="0"/>
          <w:sz w:val="32"/>
          <w:szCs w:val="32"/>
          <w:lang w:eastAsia="zh-CN"/>
        </w:rPr>
        <w:t>医疗保障政策管理</w:t>
      </w:r>
      <w:r>
        <w:rPr>
          <w:rFonts w:hint="eastAsia" w:ascii="仿宋_GB2312" w:hAnsi="Calibri" w:eastAsia="仿宋_GB2312" w:cs="仿宋"/>
          <w:color w:val="000000"/>
          <w:kern w:val="0"/>
          <w:sz w:val="32"/>
          <w:szCs w:val="32"/>
        </w:rPr>
        <w:t>（项）：</w:t>
      </w:r>
      <w:r>
        <w:rPr>
          <w:rFonts w:hint="eastAsia" w:hAnsi="Calibri" w:cs="仿宋"/>
          <w:color w:val="000000"/>
          <w:kern w:val="0"/>
          <w:sz w:val="32"/>
          <w:szCs w:val="32"/>
          <w:lang w:eastAsia="zh-CN"/>
        </w:rPr>
        <w:t>指医疗保障待遇管理、医药服务管理、医药价格和招标采购管理、医疗保障基金监管等支出。</w:t>
      </w:r>
    </w:p>
    <w:p>
      <w:pPr>
        <w:pStyle w:val="2"/>
        <w:rPr>
          <w:rFonts w:hint="eastAsia" w:ascii="仿宋_GB2312" w:hAnsi="Calibri" w:eastAsia="仿宋_GB2312" w:cs="仿宋"/>
          <w:color w:val="000000"/>
          <w:kern w:val="0"/>
          <w:sz w:val="32"/>
          <w:szCs w:val="32"/>
        </w:rPr>
      </w:pPr>
      <w:r>
        <w:rPr>
          <w:rFonts w:hint="eastAsia" w:hAnsi="Calibri" w:cs="仿宋"/>
          <w:color w:val="000000"/>
          <w:kern w:val="0"/>
          <w:sz w:val="32"/>
          <w:szCs w:val="32"/>
          <w:lang w:eastAsia="zh-CN"/>
        </w:rPr>
        <w:t>（十一）</w:t>
      </w:r>
      <w:r>
        <w:rPr>
          <w:rFonts w:hint="eastAsia" w:ascii="仿宋_GB2312" w:hAnsi="Calibri" w:eastAsia="仿宋_GB2312" w:cs="仿宋"/>
          <w:color w:val="000000"/>
          <w:kern w:val="0"/>
          <w:sz w:val="32"/>
          <w:szCs w:val="32"/>
        </w:rPr>
        <w:t>卫生健康支出（类）医疗保障管理事务（款）医疗保障经办事务（项）：指用于医保基金核算、精算、参保登记、权益记录、转移接续等医疗保障经办支出。</w:t>
      </w:r>
    </w:p>
    <w:p>
      <w:pPr>
        <w:spacing w:line="600" w:lineRule="exact"/>
        <w:jc w:val="left"/>
        <w:outlineLvl w:val="0"/>
        <w:rPr>
          <w:rFonts w:hint="eastAsia" w:ascii="仿宋_GB2312" w:hAnsi="Calibri" w:eastAsia="仿宋_GB2312" w:cs="仿宋"/>
          <w:color w:val="000000"/>
          <w:kern w:val="0"/>
          <w:sz w:val="32"/>
          <w:szCs w:val="32"/>
          <w:lang w:eastAsia="zh-CN"/>
        </w:rPr>
      </w:pPr>
      <w:r>
        <w:rPr>
          <w:rFonts w:hint="eastAsia" w:hAnsi="Calibri" w:cs="仿宋"/>
          <w:color w:val="000000"/>
          <w:kern w:val="0"/>
          <w:sz w:val="32"/>
          <w:szCs w:val="32"/>
          <w:lang w:eastAsia="zh-CN"/>
        </w:rPr>
        <w:t>（十二）</w:t>
      </w:r>
      <w:r>
        <w:rPr>
          <w:rFonts w:hint="eastAsia" w:ascii="仿宋_GB2312" w:hAnsi="Calibri" w:eastAsia="仿宋_GB2312" w:cs="仿宋"/>
          <w:color w:val="000000"/>
          <w:kern w:val="0"/>
          <w:sz w:val="32"/>
          <w:szCs w:val="32"/>
        </w:rPr>
        <w:t>卫生健康支出（类）医疗保障管理事务（款）</w:t>
      </w:r>
      <w:r>
        <w:rPr>
          <w:rFonts w:hint="eastAsia" w:ascii="仿宋_GB2312" w:hAnsi="Calibri" w:eastAsia="仿宋_GB2312" w:cs="仿宋"/>
          <w:color w:val="000000"/>
          <w:kern w:val="0"/>
          <w:sz w:val="32"/>
          <w:szCs w:val="32"/>
          <w:lang w:eastAsia="zh-CN"/>
        </w:rPr>
        <w:t>事业运行</w:t>
      </w:r>
      <w:r>
        <w:rPr>
          <w:rFonts w:hint="eastAsia" w:ascii="仿宋_GB2312" w:hAnsi="Calibri" w:eastAsia="仿宋_GB2312" w:cs="仿宋"/>
          <w:color w:val="000000"/>
          <w:kern w:val="0"/>
          <w:sz w:val="32"/>
          <w:szCs w:val="32"/>
        </w:rPr>
        <w:t>（项）：指事业单位的为保障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Calibri" w:eastAsia="仿宋_GB2312" w:cs="仿宋"/>
          <w:color w:val="000000"/>
          <w:kern w:val="0"/>
          <w:sz w:val="32"/>
          <w:szCs w:val="32"/>
          <w:lang w:eastAsia="zh-CN"/>
        </w:rPr>
        <w:t>不包括行政单位后勤服务中心、医务室等附属事业单位。</w:t>
      </w:r>
    </w:p>
    <w:p>
      <w:pPr>
        <w:spacing w:line="600" w:lineRule="exact"/>
        <w:jc w:val="left"/>
        <w:outlineLvl w:val="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lang w:eastAsia="zh-CN"/>
        </w:rPr>
        <w:t>（十三）</w:t>
      </w:r>
      <w:r>
        <w:rPr>
          <w:rFonts w:hint="eastAsia" w:ascii="仿宋_GB2312" w:hAnsi="Calibri" w:eastAsia="仿宋_GB2312" w:cs="仿宋"/>
          <w:color w:val="000000"/>
          <w:kern w:val="0"/>
          <w:sz w:val="32"/>
          <w:szCs w:val="32"/>
        </w:rPr>
        <w:t>卫生健康支出（类）医疗保障管理事务（款）</w:t>
      </w:r>
      <w:r>
        <w:rPr>
          <w:rFonts w:hint="eastAsia" w:ascii="仿宋_GB2312" w:hAnsi="Calibri" w:eastAsia="仿宋_GB2312" w:cs="仿宋"/>
          <w:color w:val="000000"/>
          <w:kern w:val="0"/>
          <w:sz w:val="32"/>
          <w:szCs w:val="32"/>
          <w:lang w:eastAsia="zh-CN"/>
        </w:rPr>
        <w:t>其他医疗保障管理事务支出</w:t>
      </w:r>
      <w:r>
        <w:rPr>
          <w:rFonts w:hint="eastAsia" w:ascii="仿宋_GB2312" w:hAnsi="Calibri" w:eastAsia="仿宋_GB2312" w:cs="仿宋"/>
          <w:color w:val="000000"/>
          <w:kern w:val="0"/>
          <w:sz w:val="32"/>
          <w:szCs w:val="32"/>
        </w:rPr>
        <w:t>（项）：指</w:t>
      </w:r>
      <w:r>
        <w:rPr>
          <w:rFonts w:hint="eastAsia" w:ascii="仿宋_GB2312" w:hAnsi="Calibri" w:eastAsia="仿宋_GB2312" w:cs="仿宋"/>
          <w:color w:val="000000"/>
          <w:kern w:val="0"/>
          <w:sz w:val="32"/>
          <w:szCs w:val="32"/>
          <w:lang w:eastAsia="zh-CN"/>
        </w:rPr>
        <w:t>其他用于医疗保障管理事务方面的支出。</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eastAsia="zh-CN"/>
        </w:rPr>
        <w:t>（十四）</w:t>
      </w:r>
      <w:r>
        <w:rPr>
          <w:rFonts w:hint="eastAsia" w:ascii="仿宋_GB2312" w:hAnsi="Calibri" w:eastAsia="仿宋_GB2312" w:cs="仿宋"/>
          <w:color w:val="000000"/>
          <w:kern w:val="0"/>
          <w:sz w:val="32"/>
          <w:szCs w:val="32"/>
        </w:rPr>
        <w:t>农林水支出（类）</w:t>
      </w:r>
      <w:r>
        <w:rPr>
          <w:rFonts w:hint="eastAsia" w:ascii="仿宋_GB2312" w:hAnsi="Calibri" w:eastAsia="仿宋_GB2312" w:cs="仿宋"/>
          <w:color w:val="000000"/>
          <w:kern w:val="0"/>
          <w:sz w:val="32"/>
          <w:szCs w:val="32"/>
          <w:lang w:val="en-US" w:eastAsia="zh-CN"/>
        </w:rPr>
        <w:t>巩固脱贫衔接乡村振兴</w:t>
      </w:r>
      <w:r>
        <w:rPr>
          <w:rFonts w:hint="eastAsia" w:ascii="仿宋_GB2312" w:hAnsi="Calibri" w:eastAsia="仿宋_GB2312" w:cs="仿宋"/>
          <w:color w:val="000000"/>
          <w:kern w:val="0"/>
          <w:sz w:val="32"/>
          <w:szCs w:val="32"/>
        </w:rPr>
        <w:t>（款）社会发展（项）：指用于农村贫困地区中小学教育、文化、广播、电视、医疗、卫生等方面的项目支出。</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eastAsia="zh-CN"/>
        </w:rPr>
        <w:t>（十五）</w:t>
      </w:r>
      <w:r>
        <w:rPr>
          <w:rFonts w:hint="eastAsia" w:ascii="仿宋_GB2312" w:hAnsi="Calibri" w:eastAsia="仿宋_GB2312" w:cs="仿宋"/>
          <w:color w:val="000000"/>
          <w:kern w:val="0"/>
          <w:sz w:val="32"/>
          <w:szCs w:val="32"/>
        </w:rPr>
        <w:t>住房保障（类）住房改革支出（款）住房公积金（项）：指</w:t>
      </w:r>
      <w:r>
        <w:rPr>
          <w:rFonts w:hint="eastAsia" w:ascii="仿宋_GB2312" w:hAnsi="Calibri" w:eastAsia="仿宋_GB2312" w:cs="仿宋"/>
          <w:color w:val="000000"/>
          <w:kern w:val="0"/>
          <w:sz w:val="32"/>
          <w:szCs w:val="32"/>
          <w:lang w:eastAsia="zh-CN"/>
        </w:rPr>
        <w:t>行政事业按人力资源和社会保障部、财政部规定的基本工资和津贴补贴以及规定比例为职工缴纳的住房公积金</w:t>
      </w:r>
      <w:r>
        <w:rPr>
          <w:rFonts w:hint="eastAsia" w:ascii="仿宋_GB2312" w:hAnsi="Calibri" w:eastAsia="仿宋_GB2312" w:cs="仿宋"/>
          <w:color w:val="000000"/>
          <w:kern w:val="0"/>
          <w:sz w:val="32"/>
          <w:szCs w:val="32"/>
        </w:rPr>
        <w:t>。</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（十六）基本支出：指为保证机构正常运转，完成日常工作任务而发生的人员支出和公用支出。</w:t>
      </w:r>
    </w:p>
    <w:p>
      <w:pPr>
        <w:spacing w:line="600" w:lineRule="exact"/>
        <w:jc w:val="left"/>
        <w:outlineLvl w:val="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（十</w:t>
      </w:r>
      <w:r>
        <w:rPr>
          <w:rFonts w:hint="eastAsia" w:ascii="仿宋_GB2312" w:hAnsi="Calibri" w:eastAsia="仿宋_GB2312" w:cs="仿宋"/>
          <w:color w:val="000000"/>
          <w:kern w:val="0"/>
          <w:sz w:val="32"/>
          <w:szCs w:val="32"/>
          <w:lang w:eastAsia="zh-CN"/>
        </w:rPr>
        <w:t>七</w:t>
      </w:r>
      <w:r>
        <w:rPr>
          <w:rFonts w:hint="eastAsia" w:ascii="仿宋_GB2312" w:hAnsi="Calibri" w:eastAsia="仿宋_GB2312" w:cs="仿宋"/>
          <w:color w:val="000000"/>
          <w:kern w:val="0"/>
          <w:sz w:val="32"/>
          <w:szCs w:val="32"/>
        </w:rPr>
        <w:t>）项目支出：指在基本支出之外为完成特定行政任务和事业发展目标所发生的支出。</w:t>
      </w:r>
    </w:p>
    <w:p>
      <w:pPr>
        <w:pStyle w:val="28"/>
        <w:spacing w:line="560" w:lineRule="exact"/>
        <w:rPr>
          <w:rFonts w:ascii="仿宋_GB2312" w:eastAsia="仿宋_GB2312"/>
          <w:color w:val="auto"/>
          <w:sz w:val="32"/>
          <w:szCs w:val="32"/>
        </w:rPr>
      </w:pPr>
      <w:r>
        <w:rPr>
          <w:rFonts w:hint="eastAsia" w:ascii="仿宋_GB2312" w:hAnsi="Calibri" w:eastAsia="仿宋_GB2312" w:cs="仿宋"/>
          <w:color w:val="000000"/>
          <w:kern w:val="0"/>
          <w:sz w:val="32"/>
          <w:szCs w:val="32"/>
        </w:rPr>
        <w:t>（十</w:t>
      </w:r>
      <w:r>
        <w:rPr>
          <w:rFonts w:hint="eastAsia" w:ascii="仿宋_GB2312" w:hAnsi="Calibri" w:eastAsia="仿宋_GB2312" w:cs="仿宋"/>
          <w:color w:val="000000"/>
          <w:kern w:val="0"/>
          <w:sz w:val="32"/>
          <w:szCs w:val="32"/>
          <w:lang w:eastAsia="zh-CN"/>
        </w:rPr>
        <w:t>八</w:t>
      </w:r>
      <w:r>
        <w:rPr>
          <w:rFonts w:hint="eastAsia" w:ascii="仿宋_GB2312" w:hAnsi="Calibri" w:eastAsia="仿宋_GB2312" w:cs="仿宋"/>
          <w:color w:val="000000"/>
          <w:kern w:val="0"/>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十九)</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pStyle w:val="8"/>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Style w:val="30"/>
          <w:rFonts w:ascii="黑体" w:hAnsi="黑体" w:eastAsia="黑体"/>
          <w:b w:val="0"/>
        </w:rPr>
      </w:pPr>
      <w:r>
        <w:rPr>
          <w:rFonts w:hint="eastAsia" w:ascii="黑体" w:hAnsi="黑体" w:eastAsia="黑体"/>
          <w:sz w:val="44"/>
          <w:szCs w:val="44"/>
        </w:rPr>
        <w:t>第</w:t>
      </w:r>
      <w:r>
        <w:rPr>
          <w:rStyle w:val="30"/>
          <w:rFonts w:hint="eastAsia" w:ascii="黑体" w:hAnsi="黑体" w:eastAsia="黑体"/>
          <w:b w:val="0"/>
        </w:rPr>
        <w:t>四部分 附</w:t>
      </w:r>
      <w:r>
        <w:rPr>
          <w:rStyle w:val="30"/>
          <w:rFonts w:hint="eastAsia" w:ascii="黑体" w:hAnsi="黑体" w:eastAsia="黑体"/>
          <w:b w:val="0"/>
          <w:lang w:val="en-US" w:eastAsia="zh-CN"/>
        </w:rPr>
        <w:t xml:space="preserve"> </w:t>
      </w:r>
      <w:r>
        <w:rPr>
          <w:rStyle w:val="30"/>
          <w:rFonts w:hint="eastAsia" w:ascii="黑体" w:hAnsi="黑体" w:eastAsia="黑体"/>
          <w:b w:val="0"/>
        </w:rPr>
        <w:t>件</w:t>
      </w:r>
      <w:bookmarkEnd w:id="20"/>
    </w:p>
    <w:p>
      <w:pPr>
        <w:spacing w:line="572" w:lineRule="exact"/>
        <w:jc w:val="left"/>
        <w:outlineLvl w:val="0"/>
        <w:rPr>
          <w:rFonts w:hint="eastAsia" w:ascii="黑体" w:hAnsi="黑体" w:eastAsia="黑体" w:cs="黑体"/>
          <w:sz w:val="32"/>
          <w:szCs w:val="32"/>
        </w:rPr>
      </w:pPr>
    </w:p>
    <w:p>
      <w:pPr>
        <w:spacing w:line="572" w:lineRule="exact"/>
        <w:jc w:val="left"/>
        <w:outlineLvl w:val="0"/>
        <w:rPr>
          <w:rFonts w:hint="eastAsia" w:ascii="宋体" w:hAnsi="宋体" w:eastAsia="宋体"/>
          <w:b/>
          <w:sz w:val="44"/>
          <w:szCs w:val="44"/>
          <w:highlight w:val="none"/>
          <w:shd w:val="clear" w:color="auto" w:fill="FFFFFF"/>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val="en-US" w:eastAsia="zh-CN"/>
        </w:rPr>
      </w:pPr>
      <w:r>
        <w:rPr>
          <w:rFonts w:hint="eastAsia" w:ascii="宋体" w:hAnsi="宋体" w:eastAsia="宋体"/>
          <w:b/>
          <w:sz w:val="44"/>
          <w:szCs w:val="44"/>
          <w:highlight w:val="none"/>
          <w:shd w:val="clear" w:color="auto" w:fill="FFFFFF"/>
        </w:rPr>
        <w:t>20</w:t>
      </w:r>
      <w:r>
        <w:rPr>
          <w:rFonts w:hint="eastAsia" w:ascii="宋体" w:hAnsi="宋体" w:eastAsia="宋体"/>
          <w:b/>
          <w:sz w:val="44"/>
          <w:szCs w:val="44"/>
          <w:highlight w:val="none"/>
          <w:shd w:val="clear" w:color="auto" w:fill="FFFFFF"/>
          <w:lang w:val="en-US" w:eastAsia="zh-CN"/>
        </w:rPr>
        <w:t>23</w:t>
      </w:r>
      <w:r>
        <w:rPr>
          <w:rFonts w:hint="eastAsia" w:ascii="宋体" w:hAnsi="宋体" w:eastAsia="宋体"/>
          <w:b/>
          <w:sz w:val="44"/>
          <w:szCs w:val="44"/>
          <w:highlight w:val="none"/>
          <w:shd w:val="clear" w:color="auto" w:fill="FFFFFF"/>
        </w:rPr>
        <w:t>年</w:t>
      </w:r>
      <w:r>
        <w:rPr>
          <w:rFonts w:hint="eastAsia" w:ascii="宋体" w:hAnsi="宋体" w:eastAsia="宋体"/>
          <w:b/>
          <w:sz w:val="44"/>
          <w:szCs w:val="44"/>
          <w:highlight w:val="none"/>
          <w:shd w:val="clear" w:color="auto" w:fill="FFFFFF"/>
          <w:lang w:val="en-US" w:eastAsia="zh-CN"/>
        </w:rPr>
        <w:t>剑阁县医疗保障局</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w:t>
      </w:r>
      <w:r>
        <w:rPr>
          <w:rFonts w:hint="eastAsia" w:ascii="宋体" w:hAnsi="宋体" w:eastAsia="宋体"/>
          <w:b/>
          <w:sz w:val="44"/>
          <w:szCs w:val="44"/>
          <w:highlight w:val="none"/>
          <w:shd w:val="clear" w:color="auto" w:fill="FFFFFF"/>
          <w:lang w:val="en-US" w:eastAsia="zh-CN"/>
        </w:rPr>
        <w:t>自评</w:t>
      </w:r>
      <w:r>
        <w:rPr>
          <w:rFonts w:hint="eastAsia" w:ascii="宋体" w:hAnsi="宋体" w:eastAsia="宋体"/>
          <w:b/>
          <w:sz w:val="44"/>
          <w:szCs w:val="44"/>
          <w:highlight w:val="none"/>
          <w:shd w:val="clear" w:color="auto" w:fill="FFFFFF"/>
        </w:rPr>
        <w:t>报告</w:t>
      </w:r>
    </w:p>
    <w:p>
      <w:pPr>
        <w:adjustRightInd w:val="0"/>
        <w:snapToGrid w:val="0"/>
        <w:spacing w:line="576" w:lineRule="exact"/>
        <w:ind w:firstLine="560" w:firstLineChars="200"/>
        <w:contextualSpacing/>
        <w:jc w:val="left"/>
        <w:rPr>
          <w:rFonts w:hint="eastAsia" w:ascii="仿宋_GB2312" w:hAnsi="宋体" w:eastAsia="仿宋_GB2312"/>
          <w:sz w:val="28"/>
          <w:szCs w:val="28"/>
        </w:rPr>
      </w:pPr>
    </w:p>
    <w:p>
      <w:pPr>
        <w:adjustRightInd w:val="0"/>
        <w:snapToGrid w:val="0"/>
        <w:spacing w:line="576" w:lineRule="exact"/>
        <w:ind w:firstLine="560" w:firstLineChars="200"/>
        <w:contextualSpacing/>
        <w:jc w:val="left"/>
        <w:rPr>
          <w:rFonts w:ascii="黑体" w:hAnsi="宋体" w:eastAsia="黑体" w:cs="宋体"/>
          <w:color w:val="000000"/>
          <w:kern w:val="0"/>
          <w:sz w:val="24"/>
          <w:szCs w:val="32"/>
          <w:highlight w:val="none"/>
          <w:shd w:val="clear" w:color="auto" w:fill="FFFFFF"/>
        </w:rPr>
      </w:pPr>
      <w:r>
        <w:rPr>
          <w:rFonts w:hint="eastAsia" w:ascii="仿宋_GB2312" w:hAnsi="宋体" w:eastAsia="仿宋_GB2312"/>
          <w:sz w:val="28"/>
          <w:szCs w:val="28"/>
        </w:rPr>
        <w:t>根据《关于202</w:t>
      </w:r>
      <w:r>
        <w:rPr>
          <w:rFonts w:hint="eastAsia" w:ascii="仿宋_GB2312" w:hAnsi="宋体"/>
          <w:sz w:val="28"/>
          <w:szCs w:val="28"/>
          <w:lang w:val="en-US" w:eastAsia="zh-CN"/>
        </w:rPr>
        <w:t>3</w:t>
      </w:r>
      <w:r>
        <w:rPr>
          <w:rFonts w:hint="eastAsia" w:ascii="仿宋_GB2312" w:hAnsi="宋体" w:eastAsia="仿宋_GB2312"/>
          <w:sz w:val="28"/>
          <w:szCs w:val="28"/>
        </w:rPr>
        <w:t>年开展财政支出绩效评价工作的通知》（剑财政〔202</w:t>
      </w:r>
      <w:r>
        <w:rPr>
          <w:rFonts w:hint="eastAsia" w:ascii="仿宋_GB2312" w:hAnsi="宋体"/>
          <w:sz w:val="28"/>
          <w:szCs w:val="28"/>
          <w:lang w:val="en-US" w:eastAsia="zh-CN"/>
        </w:rPr>
        <w:t>3</w:t>
      </w:r>
      <w:r>
        <w:rPr>
          <w:rFonts w:hint="eastAsia" w:ascii="仿宋_GB2312" w:hAnsi="宋体" w:eastAsia="仿宋_GB2312"/>
          <w:sz w:val="28"/>
          <w:szCs w:val="28"/>
        </w:rPr>
        <w:t>〕</w:t>
      </w:r>
      <w:r>
        <w:rPr>
          <w:rFonts w:hint="eastAsia" w:ascii="仿宋_GB2312" w:hAnsi="宋体"/>
          <w:sz w:val="28"/>
          <w:szCs w:val="28"/>
          <w:lang w:val="en-US" w:eastAsia="zh-CN"/>
        </w:rPr>
        <w:t>49</w:t>
      </w:r>
      <w:r>
        <w:rPr>
          <w:rFonts w:hint="eastAsia" w:ascii="仿宋_GB2312" w:hAnsi="宋体" w:eastAsia="仿宋_GB2312"/>
          <w:sz w:val="28"/>
          <w:szCs w:val="28"/>
        </w:rPr>
        <w:t>号）文件精神，剑阁县医疗保障局</w:t>
      </w:r>
      <w:r>
        <w:rPr>
          <w:rFonts w:hint="eastAsia" w:ascii="仿宋" w:hAnsi="仿宋" w:eastAsia="仿宋" w:cs="仿宋"/>
          <w:kern w:val="2"/>
          <w:sz w:val="32"/>
          <w:szCs w:val="32"/>
          <w:lang w:val="en-US" w:eastAsia="zh-CN" w:bidi="ar-SA"/>
        </w:rPr>
        <w:t>及时召开专题党组会议研究，迅速展开了全面自查。</w:t>
      </w:r>
      <w:r>
        <w:rPr>
          <w:rFonts w:hint="eastAsia" w:ascii="仿宋_GB2312" w:hAnsi="宋体" w:eastAsia="仿宋_GB2312"/>
          <w:sz w:val="28"/>
          <w:szCs w:val="28"/>
        </w:rPr>
        <w:t>现将评价情况报告如下：</w:t>
      </w:r>
    </w:p>
    <w:p>
      <w:pPr>
        <w:adjustRightInd w:val="0"/>
        <w:snapToGrid w:val="0"/>
        <w:spacing w:line="576" w:lineRule="exact"/>
        <w:ind w:firstLine="560" w:firstLineChars="200"/>
        <w:contextualSpacing/>
        <w:jc w:val="left"/>
        <w:rPr>
          <w:rFonts w:hint="eastAsia" w:ascii="仿宋_GB2312" w:hAnsi="宋体" w:eastAsia="仿宋_GB2312"/>
          <w:sz w:val="28"/>
          <w:szCs w:val="28"/>
          <w:lang w:val="zh-CN"/>
        </w:rPr>
      </w:pPr>
      <w:r>
        <w:rPr>
          <w:rFonts w:hint="eastAsia" w:ascii="仿宋_GB2312" w:hAnsi="宋体"/>
          <w:sz w:val="28"/>
          <w:szCs w:val="28"/>
          <w:lang w:val="zh-CN"/>
        </w:rPr>
        <w:t>一、</w:t>
      </w:r>
      <w:r>
        <w:rPr>
          <w:rFonts w:hint="eastAsia" w:ascii="仿宋_GB2312" w:hAnsi="宋体" w:eastAsia="仿宋_GB2312"/>
          <w:sz w:val="28"/>
          <w:szCs w:val="28"/>
          <w:lang w:val="zh-CN"/>
        </w:rPr>
        <w:t>部门（单位）基本情况</w:t>
      </w:r>
    </w:p>
    <w:p>
      <w:pPr>
        <w:adjustRightInd w:val="0"/>
        <w:snapToGrid w:val="0"/>
        <w:spacing w:line="576" w:lineRule="exact"/>
        <w:ind w:firstLine="560" w:firstLineChars="200"/>
        <w:contextualSpacing/>
        <w:jc w:val="left"/>
        <w:rPr>
          <w:rFonts w:hint="eastAsia" w:ascii="仿宋_GB2312" w:hAnsi="宋体" w:eastAsia="仿宋_GB2312"/>
          <w:sz w:val="28"/>
          <w:szCs w:val="28"/>
          <w:lang w:val="zh-CN"/>
        </w:rPr>
      </w:pPr>
      <w:r>
        <w:rPr>
          <w:rFonts w:hint="eastAsia" w:ascii="仿宋_GB2312" w:hAnsi="宋体" w:eastAsia="仿宋_GB2312"/>
          <w:sz w:val="28"/>
          <w:szCs w:val="28"/>
          <w:lang w:val="zh-CN"/>
        </w:rPr>
        <w:t>机构组成。</w:t>
      </w:r>
    </w:p>
    <w:p>
      <w:pPr>
        <w:adjustRightInd w:val="0"/>
        <w:snapToGrid w:val="0"/>
        <w:spacing w:line="576" w:lineRule="exact"/>
        <w:ind w:firstLine="560" w:firstLineChars="200"/>
        <w:contextualSpacing/>
        <w:jc w:val="left"/>
        <w:rPr>
          <w:rFonts w:hint="eastAsia" w:ascii="仿宋_GB2312" w:hAnsi="宋体" w:eastAsia="仿宋_GB2312"/>
          <w:sz w:val="28"/>
          <w:szCs w:val="28"/>
          <w:lang w:val="zh-CN"/>
        </w:rPr>
      </w:pPr>
      <w:r>
        <w:rPr>
          <w:rFonts w:hint="eastAsia" w:ascii="仿宋_GB2312" w:hAnsi="宋体" w:eastAsia="仿宋_GB2312"/>
          <w:sz w:val="28"/>
          <w:szCs w:val="28"/>
          <w:lang w:val="zh-CN"/>
        </w:rPr>
        <w:t>我局内设有办公室、基金监管股、待遇保障股、医药服务管理股，下设公益一类的事业单位县医疗保障事务中心（未定级）、信息中心。</w:t>
      </w:r>
    </w:p>
    <w:p>
      <w:pPr>
        <w:adjustRightInd w:val="0"/>
        <w:snapToGrid w:val="0"/>
        <w:spacing w:line="576" w:lineRule="exact"/>
        <w:ind w:firstLine="560" w:firstLineChars="200"/>
        <w:contextualSpacing/>
        <w:jc w:val="left"/>
        <w:rPr>
          <w:rFonts w:hint="eastAsia" w:ascii="仿宋_GB2312" w:hAnsi="宋体" w:eastAsia="仿宋_GB2312"/>
          <w:sz w:val="28"/>
          <w:szCs w:val="28"/>
          <w:lang w:val="zh-CN"/>
        </w:rPr>
      </w:pPr>
      <w:r>
        <w:rPr>
          <w:rFonts w:hint="eastAsia" w:ascii="仿宋_GB2312" w:hAnsi="宋体" w:eastAsia="仿宋_GB2312"/>
          <w:sz w:val="28"/>
          <w:szCs w:val="28"/>
          <w:lang w:val="zh-CN"/>
        </w:rPr>
        <w:t>机构职能和人员概况。</w:t>
      </w:r>
    </w:p>
    <w:p>
      <w:pPr>
        <w:adjustRightInd w:val="0"/>
        <w:snapToGrid w:val="0"/>
        <w:spacing w:line="576" w:lineRule="exact"/>
        <w:ind w:firstLine="560" w:firstLineChars="200"/>
        <w:contextualSpacing/>
        <w:jc w:val="left"/>
        <w:rPr>
          <w:rFonts w:hint="default" w:eastAsia="仿宋_GB2312"/>
          <w:lang w:val="en-US" w:eastAsia="zh-CN"/>
        </w:rPr>
      </w:pPr>
      <w:r>
        <w:rPr>
          <w:rFonts w:hint="eastAsia" w:ascii="仿宋_GB2312" w:hAnsi="宋体" w:eastAsia="仿宋_GB2312"/>
          <w:sz w:val="28"/>
          <w:szCs w:val="28"/>
          <w:lang w:val="en-US" w:eastAsia="zh-CN"/>
        </w:rPr>
        <w:t>剑阁县医疗保障局主要负责</w:t>
      </w:r>
      <w:r>
        <w:rPr>
          <w:rFonts w:hint="eastAsia" w:ascii="仿宋_GB2312" w:hAnsi="宋体" w:eastAsia="仿宋_GB2312"/>
          <w:sz w:val="28"/>
          <w:szCs w:val="28"/>
          <w:lang w:val="zh-CN"/>
        </w:rPr>
        <w:t>贯彻执行国家医疗保障法律法规，地方性法规、规章，组织实施医疗保险、生育保险、医疗救助等医疗保障制度的政策、规划和标准。组织实施医疗保障基金监督管理办法，建立健全医疗保障基金安全防控机制，推进医疗保障基金支付方式改革。组织实施医疗保障筹资和待遇，完善动态调整和区域调剂平衡机制，统筹城乡医疗保障待遇标准，建立健全与筹资水平相适应的待遇调整机制。组织实施长期护理保险制度改革方案。组织实施药品、医用耗材价格和医疗服务项目、医疗 服务设施收费等，组织实施药品、医用耗材的招标采购政策，指导药品、医用耗材招标采购平台建设。</w:t>
      </w:r>
      <w:r>
        <w:rPr>
          <w:rFonts w:hint="eastAsia" w:ascii="仿宋_GB2312" w:hAnsi="宋体" w:eastAsia="仿宋_GB2312"/>
          <w:sz w:val="28"/>
          <w:szCs w:val="28"/>
          <w:lang w:val="en-US" w:eastAsia="zh-CN"/>
        </w:rPr>
        <w:t>2022年，我局在岗财政供养人员共27人，其中：行政人员5人、参公人员12人、机关工勤人员2人、事业人员8人（其中人才专编2人）</w:t>
      </w:r>
      <w:r>
        <w:rPr>
          <w:rFonts w:hint="eastAsia" w:ascii="仿宋_GB2312" w:hAnsi="宋体"/>
          <w:color w:val="auto"/>
          <w:sz w:val="28"/>
          <w:szCs w:val="28"/>
          <w:lang w:val="en-US" w:eastAsia="zh-CN"/>
        </w:rPr>
        <w:t>。</w:t>
      </w:r>
    </w:p>
    <w:p>
      <w:pPr>
        <w:numPr>
          <w:ilvl w:val="0"/>
          <w:numId w:val="0"/>
        </w:numPr>
        <w:adjustRightInd w:val="0"/>
        <w:snapToGrid w:val="0"/>
        <w:spacing w:line="576" w:lineRule="exact"/>
        <w:ind w:leftChars="200"/>
        <w:contextualSpacing/>
        <w:jc w:val="left"/>
        <w:rPr>
          <w:rFonts w:hint="eastAsia"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sz w:val="28"/>
          <w:szCs w:val="28"/>
          <w:lang w:eastAsia="zh-CN"/>
        </w:rPr>
        <w:t>部门（单位）</w:t>
      </w:r>
      <w:r>
        <w:rPr>
          <w:rFonts w:hint="eastAsia" w:ascii="仿宋_GB2312" w:hAnsi="宋体" w:eastAsia="仿宋_GB2312"/>
          <w:sz w:val="28"/>
          <w:szCs w:val="28"/>
        </w:rPr>
        <w:t>资金收支情况</w:t>
      </w:r>
    </w:p>
    <w:p>
      <w:pPr>
        <w:adjustRightInd w:val="0"/>
        <w:snapToGrid w:val="0"/>
        <w:spacing w:line="576" w:lineRule="exact"/>
        <w:ind w:firstLine="560" w:firstLineChars="200"/>
        <w:contextualSpacing/>
        <w:jc w:val="left"/>
        <w:rPr>
          <w:rFonts w:hint="eastAsia" w:ascii="仿宋_GB2312" w:hAnsi="宋体" w:eastAsia="仿宋_GB2312"/>
          <w:sz w:val="28"/>
          <w:szCs w:val="28"/>
          <w:lang w:val="zh-CN"/>
        </w:rPr>
      </w:pPr>
      <w:r>
        <w:rPr>
          <w:rFonts w:hint="eastAsia" w:ascii="仿宋_GB2312" w:hAnsi="宋体" w:eastAsia="仿宋_GB2312"/>
          <w:sz w:val="28"/>
          <w:szCs w:val="28"/>
          <w:lang w:val="zh-CN"/>
        </w:rPr>
        <w:t>（一）部门（单位）财政拨款收支情况。</w:t>
      </w:r>
    </w:p>
    <w:p>
      <w:pPr>
        <w:adjustRightInd w:val="0"/>
        <w:snapToGrid w:val="0"/>
        <w:spacing w:line="576" w:lineRule="exact"/>
        <w:ind w:firstLine="560" w:firstLineChars="200"/>
        <w:contextualSpacing/>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1.部门（单位）财政拨款收入情况</w:t>
      </w:r>
    </w:p>
    <w:p>
      <w:pPr>
        <w:adjustRightInd w:val="0"/>
        <w:snapToGrid w:val="0"/>
        <w:spacing w:line="576" w:lineRule="exact"/>
        <w:ind w:firstLine="560" w:firstLineChars="200"/>
        <w:contextualSpacing/>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剑阁县医疗保障局202</w:t>
      </w:r>
      <w:r>
        <w:rPr>
          <w:rFonts w:hint="eastAsia" w:ascii="仿宋_GB2312" w:hAnsi="宋体" w:eastAsia="仿宋_GB2312"/>
          <w:sz w:val="28"/>
          <w:szCs w:val="28"/>
          <w:lang w:val="en-US" w:eastAsia="zh-CN"/>
        </w:rPr>
        <w:t>2</w:t>
      </w:r>
      <w:r>
        <w:rPr>
          <w:rFonts w:hint="eastAsia" w:ascii="仿宋_GB2312" w:hAnsi="宋体" w:eastAsia="仿宋_GB2312"/>
          <w:sz w:val="28"/>
          <w:szCs w:val="28"/>
        </w:rPr>
        <w:t>年收入预算</w:t>
      </w:r>
      <w:r>
        <w:rPr>
          <w:rFonts w:hint="eastAsia" w:ascii="仿宋_GB2312" w:hAnsi="宋体" w:eastAsia="仿宋_GB2312"/>
          <w:sz w:val="28"/>
          <w:szCs w:val="28"/>
          <w:lang w:val="en-US" w:eastAsia="zh-CN"/>
        </w:rPr>
        <w:t>65,601,382.24</w:t>
      </w:r>
      <w:r>
        <w:rPr>
          <w:rFonts w:hint="eastAsia" w:ascii="仿宋_GB2312" w:hAnsi="宋体" w:eastAsia="仿宋_GB2312"/>
          <w:sz w:val="28"/>
          <w:szCs w:val="28"/>
        </w:rPr>
        <w:t>元，其中:一般公共预算</w:t>
      </w:r>
      <w:r>
        <w:rPr>
          <w:rFonts w:hint="eastAsia" w:ascii="仿宋_GB2312" w:hAnsi="宋体" w:eastAsia="仿宋_GB2312"/>
          <w:sz w:val="28"/>
          <w:szCs w:val="28"/>
          <w:lang w:eastAsia="zh-CN"/>
        </w:rPr>
        <w:t>财政拨款</w:t>
      </w:r>
      <w:r>
        <w:rPr>
          <w:rFonts w:hint="eastAsia" w:ascii="仿宋_GB2312" w:hAnsi="宋体" w:eastAsia="仿宋_GB2312"/>
          <w:sz w:val="28"/>
          <w:szCs w:val="28"/>
        </w:rPr>
        <w:t>收入</w:t>
      </w:r>
      <w:r>
        <w:rPr>
          <w:rFonts w:hint="eastAsia" w:ascii="仿宋_GB2312" w:hAnsi="宋体" w:eastAsia="仿宋_GB2312"/>
          <w:sz w:val="28"/>
          <w:szCs w:val="28"/>
          <w:lang w:val="en-US" w:eastAsia="zh-CN"/>
        </w:rPr>
        <w:t>64,342,282.24</w:t>
      </w:r>
      <w:r>
        <w:rPr>
          <w:rFonts w:hint="eastAsia" w:ascii="仿宋_GB2312" w:hAnsi="宋体" w:eastAsia="仿宋_GB2312"/>
          <w:sz w:val="28"/>
          <w:szCs w:val="28"/>
        </w:rPr>
        <w:t>元，占</w:t>
      </w:r>
      <w:r>
        <w:rPr>
          <w:rFonts w:hint="eastAsia" w:ascii="仿宋_GB2312" w:hAnsi="宋体" w:eastAsia="仿宋_GB2312"/>
          <w:sz w:val="28"/>
          <w:szCs w:val="28"/>
          <w:lang w:val="en-US" w:eastAsia="zh-CN"/>
        </w:rPr>
        <w:t>98.08</w:t>
      </w:r>
      <w:r>
        <w:rPr>
          <w:rFonts w:hint="eastAsia" w:ascii="仿宋_GB2312" w:hAnsi="宋体" w:eastAsia="仿宋_GB2312"/>
          <w:sz w:val="28"/>
          <w:szCs w:val="28"/>
        </w:rPr>
        <w:t>%；政府性基金预算</w:t>
      </w:r>
      <w:r>
        <w:rPr>
          <w:rFonts w:hint="eastAsia" w:ascii="仿宋_GB2312" w:hAnsi="宋体" w:eastAsia="仿宋_GB2312"/>
          <w:sz w:val="28"/>
          <w:szCs w:val="28"/>
          <w:lang w:eastAsia="zh-CN"/>
        </w:rPr>
        <w:t>财政拨款</w:t>
      </w:r>
      <w:r>
        <w:rPr>
          <w:rFonts w:hint="eastAsia" w:ascii="仿宋_GB2312" w:hAnsi="宋体" w:eastAsia="仿宋_GB2312"/>
          <w:sz w:val="28"/>
          <w:szCs w:val="28"/>
        </w:rPr>
        <w:t>收入</w:t>
      </w:r>
      <w:r>
        <w:rPr>
          <w:rFonts w:hint="eastAsia" w:ascii="仿宋_GB2312" w:hAnsi="宋体" w:eastAsia="仿宋_GB2312"/>
          <w:sz w:val="28"/>
          <w:szCs w:val="28"/>
          <w:lang w:val="en-US" w:eastAsia="zh-CN"/>
        </w:rPr>
        <w:t>1,259,100.00</w:t>
      </w:r>
      <w:r>
        <w:rPr>
          <w:rFonts w:hint="eastAsia" w:ascii="仿宋_GB2312" w:hAnsi="宋体" w:eastAsia="仿宋_GB2312"/>
          <w:sz w:val="28"/>
          <w:szCs w:val="28"/>
        </w:rPr>
        <w:t>元，占</w:t>
      </w:r>
      <w:r>
        <w:rPr>
          <w:rFonts w:hint="eastAsia" w:ascii="仿宋_GB2312" w:hAnsi="宋体" w:eastAsia="仿宋_GB2312"/>
          <w:sz w:val="28"/>
          <w:szCs w:val="28"/>
          <w:lang w:val="en-US" w:eastAsia="zh-CN"/>
        </w:rPr>
        <w:t>1.92</w:t>
      </w:r>
      <w:r>
        <w:rPr>
          <w:rFonts w:hint="eastAsia" w:ascii="仿宋_GB2312" w:hAnsi="宋体" w:eastAsia="仿宋_GB2312"/>
          <w:sz w:val="28"/>
          <w:szCs w:val="28"/>
        </w:rPr>
        <w:t>%。</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2.部门（单位）财政拨款支出情况</w:t>
      </w:r>
    </w:p>
    <w:p>
      <w:pPr>
        <w:adjustRightInd w:val="0"/>
        <w:snapToGrid w:val="0"/>
        <w:spacing w:line="576" w:lineRule="exact"/>
        <w:ind w:firstLine="840" w:firstLineChars="300"/>
        <w:contextualSpacing/>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剑阁县医疗保障局202</w:t>
      </w:r>
      <w:r>
        <w:rPr>
          <w:rFonts w:hint="eastAsia" w:ascii="仿宋_GB2312" w:hAnsi="宋体" w:eastAsia="仿宋_GB2312" w:cs="Times New Roman"/>
          <w:sz w:val="28"/>
          <w:szCs w:val="28"/>
          <w:lang w:val="en-US" w:eastAsia="zh-CN"/>
        </w:rPr>
        <w:t>2</w:t>
      </w:r>
      <w:r>
        <w:rPr>
          <w:rFonts w:hint="eastAsia" w:ascii="仿宋_GB2312" w:hAnsi="宋体" w:eastAsia="仿宋_GB2312" w:cs="Times New Roman"/>
          <w:sz w:val="28"/>
          <w:szCs w:val="28"/>
        </w:rPr>
        <w:t>年支出预算</w:t>
      </w:r>
      <w:r>
        <w:rPr>
          <w:rFonts w:hint="eastAsia" w:ascii="仿宋_GB2312" w:hAnsi="宋体" w:eastAsia="仿宋_GB2312" w:cs="Times New Roman"/>
          <w:sz w:val="28"/>
          <w:szCs w:val="28"/>
          <w:lang w:val="en-US" w:eastAsia="zh-CN"/>
        </w:rPr>
        <w:t>65,601,382.24</w:t>
      </w:r>
      <w:r>
        <w:rPr>
          <w:rFonts w:hint="eastAsia" w:ascii="仿宋_GB2312" w:hAnsi="宋体" w:eastAsia="仿宋_GB2312" w:cs="Times New Roman"/>
          <w:sz w:val="28"/>
          <w:szCs w:val="28"/>
        </w:rPr>
        <w:t>元，其中：</w:t>
      </w:r>
      <w:r>
        <w:rPr>
          <w:rFonts w:hint="eastAsia" w:ascii="仿宋_GB2312" w:hAnsi="宋体" w:eastAsia="仿宋_GB2312" w:cs="Times New Roman"/>
          <w:sz w:val="28"/>
          <w:szCs w:val="28"/>
          <w:lang w:val="en-US" w:eastAsia="zh-CN"/>
        </w:rPr>
        <w:t>人员经费3,459,115.14</w:t>
      </w:r>
      <w:r>
        <w:rPr>
          <w:rFonts w:hint="eastAsia" w:ascii="仿宋_GB2312" w:hAnsi="宋体" w:eastAsia="仿宋_GB2312" w:cs="Times New Roman"/>
          <w:sz w:val="28"/>
          <w:szCs w:val="28"/>
        </w:rPr>
        <w:t>元，占</w:t>
      </w:r>
      <w:r>
        <w:rPr>
          <w:rFonts w:hint="eastAsia" w:ascii="仿宋_GB2312" w:hAnsi="宋体" w:eastAsia="仿宋_GB2312" w:cs="Times New Roman"/>
          <w:sz w:val="28"/>
          <w:szCs w:val="28"/>
          <w:lang w:val="en-US" w:eastAsia="zh-CN"/>
        </w:rPr>
        <w:t>5.27</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公用经费465,961.38</w:t>
      </w:r>
      <w:r>
        <w:rPr>
          <w:rFonts w:hint="eastAsia" w:ascii="仿宋_GB2312" w:hAnsi="宋体" w:eastAsia="仿宋_GB2312" w:cs="Times New Roman"/>
          <w:sz w:val="28"/>
          <w:szCs w:val="28"/>
        </w:rPr>
        <w:t>元，占</w:t>
      </w:r>
      <w:r>
        <w:rPr>
          <w:rFonts w:hint="eastAsia" w:ascii="仿宋_GB2312" w:hAnsi="宋体" w:eastAsia="仿宋_GB2312" w:cs="Times New Roman"/>
          <w:sz w:val="28"/>
          <w:szCs w:val="28"/>
          <w:lang w:val="en-US" w:eastAsia="zh-CN"/>
        </w:rPr>
        <w:t>0.71</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项目支出61,676,305.72</w:t>
      </w:r>
      <w:r>
        <w:rPr>
          <w:rFonts w:hint="eastAsia" w:ascii="仿宋_GB2312" w:hAnsi="宋体" w:eastAsia="仿宋_GB2312" w:cs="Times New Roman"/>
          <w:sz w:val="28"/>
          <w:szCs w:val="28"/>
        </w:rPr>
        <w:t>元，占</w:t>
      </w:r>
      <w:r>
        <w:rPr>
          <w:rFonts w:hint="eastAsia" w:ascii="仿宋_GB2312" w:hAnsi="宋体" w:eastAsia="仿宋_GB2312" w:cs="Times New Roman"/>
          <w:sz w:val="28"/>
          <w:szCs w:val="28"/>
          <w:lang w:val="en-US" w:eastAsia="zh-CN"/>
        </w:rPr>
        <w:t>94.02</w:t>
      </w:r>
      <w:r>
        <w:rPr>
          <w:rFonts w:hint="eastAsia" w:ascii="仿宋_GB2312" w:hAnsi="宋体" w:eastAsia="仿宋_GB2312" w:cs="Times New Roman"/>
          <w:sz w:val="28"/>
          <w:szCs w:val="28"/>
        </w:rPr>
        <w:t>%。</w:t>
      </w:r>
    </w:p>
    <w:p>
      <w:pPr>
        <w:adjustRightInd w:val="0"/>
        <w:snapToGrid w:val="0"/>
        <w:spacing w:line="576" w:lineRule="exact"/>
        <w:ind w:firstLine="840" w:firstLineChars="300"/>
        <w:contextualSpacing/>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公用经费含办公费101,750.00元、印刷费30,000.00、水费2,000.00、电费24,000.00、物业管理费10,000.00、差旅费40,000.00元、维修（护）费5,000.00元、租赁费30,000.00元、公务接待费15,000.00元、劳务费5,000.00、工会经费12,604.27元、福利费21,007.11元、其他交通费用169,600.00元。</w:t>
      </w:r>
    </w:p>
    <w:p>
      <w:pPr>
        <w:adjustRightInd w:val="0"/>
        <w:snapToGrid w:val="0"/>
        <w:spacing w:line="576" w:lineRule="exact"/>
        <w:ind w:firstLine="560" w:firstLineChars="200"/>
        <w:contextualSpacing/>
        <w:jc w:val="left"/>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  项目支出含2022年省级财政人社公共服务能力建设资金93,000.00元、医疗保险资助参保部分（县级财政配套）25,730,173.00元、新冠疫情防控2,441,900.00元、城乡居民医疗救助资金（县级财政配套）2,400,000.00元、健康扶贫一站式基金271,152.72元、建国初期人员医疗照顾费248,800.00元、城乡居民医疗救助资金（省级补助）3,819,700.00元、红残、离休医疗费251,200.00元、城乡居民医疗救助资金（中央级补助）17,875,600.00元、医疗服务与保障能力提升补助资金(第一批）390,000.00元、困难群众社会保险个人缴费财政代缴经费6,895,680.00元、城乡居民医疗救助资金（中央级补助）1,259,100.00元。</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3.部门（单位）财政拨款结转结余情况</w:t>
      </w:r>
    </w:p>
    <w:p>
      <w:pPr>
        <w:adjustRightInd w:val="0"/>
        <w:snapToGrid w:val="0"/>
        <w:spacing w:line="576" w:lineRule="exact"/>
        <w:ind w:firstLine="560" w:firstLineChars="200"/>
        <w:contextualSpacing/>
        <w:jc w:val="left"/>
        <w:rPr>
          <w:rFonts w:hint="default" w:ascii="仿宋_GB2312" w:hAnsi="宋体" w:eastAsia="仿宋_GB2312" w:cs="Times New Roman"/>
          <w:sz w:val="28"/>
          <w:szCs w:val="28"/>
          <w:lang w:val="en-US" w:eastAsia="zh-CN"/>
        </w:rPr>
      </w:pPr>
      <w:r>
        <w:rPr>
          <w:rFonts w:hint="default" w:ascii="仿宋_GB2312" w:hAnsi="宋体" w:eastAsia="仿宋_GB2312" w:cs="Times New Roman"/>
          <w:sz w:val="28"/>
          <w:szCs w:val="28"/>
          <w:lang w:val="en-US" w:eastAsia="zh-CN"/>
        </w:rPr>
        <w:t>2022年无财政拨款结转。</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eastAsia="zh-CN"/>
        </w:rPr>
      </w:pPr>
      <w:r>
        <w:rPr>
          <w:rFonts w:hint="eastAsia" w:ascii="仿宋_GB2312" w:hAnsi="宋体" w:cs="Times New Roman"/>
          <w:sz w:val="28"/>
          <w:szCs w:val="28"/>
          <w:lang w:val="en-US" w:eastAsia="zh-CN"/>
        </w:rPr>
        <w:t>三、</w:t>
      </w:r>
      <w:r>
        <w:rPr>
          <w:rFonts w:hint="eastAsia" w:ascii="仿宋_GB2312" w:hAnsi="宋体" w:eastAsia="仿宋_GB2312" w:cs="Times New Roman"/>
          <w:sz w:val="28"/>
          <w:szCs w:val="28"/>
          <w:lang w:eastAsia="zh-CN"/>
        </w:rPr>
        <w:t>部门（单位）</w:t>
      </w:r>
      <w:r>
        <w:rPr>
          <w:rFonts w:hint="eastAsia" w:ascii="仿宋_GB2312" w:hAnsi="宋体" w:eastAsia="仿宋_GB2312" w:cs="Times New Roman"/>
          <w:sz w:val="28"/>
          <w:szCs w:val="28"/>
        </w:rPr>
        <w:t>整体绩效</w:t>
      </w:r>
      <w:r>
        <w:rPr>
          <w:rFonts w:hint="eastAsia" w:ascii="仿宋_GB2312" w:hAnsi="宋体" w:eastAsia="仿宋_GB2312" w:cs="Times New Roman"/>
          <w:sz w:val="28"/>
          <w:szCs w:val="28"/>
          <w:lang w:eastAsia="zh-CN"/>
        </w:rPr>
        <w:t>分析</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lang w:val="zh-CN"/>
        </w:rPr>
        <w:t>（一）部门（单位）预算项目绩效分析。</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1.人员类项目绩效分析</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1）绩效目标制定及预算编制情况:严格按照县财政局预算编制要求，按时完成了基础信息、项目库的报送工作，完成基础信息的更新，按时完成预算编制并提交部门预算草案。预算编制中，特别注意对预算编制准确性的把握，确保预算编制完整无漏项，并严格按照要求进行预算执行调整,按时完成待批复提前细化。</w:t>
      </w:r>
    </w:p>
    <w:p>
      <w:pPr>
        <w:adjustRightInd w:val="0"/>
        <w:snapToGrid w:val="0"/>
        <w:spacing w:line="576" w:lineRule="exact"/>
        <w:ind w:firstLine="560" w:firstLineChars="200"/>
        <w:contextualSpacing/>
        <w:jc w:val="left"/>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（2）支出控制及预算完成情况：严格执行预算，执行中不调整预算项目，年度预算执行收支平衡，按时报送决算，单位决算编制人员与供养人员数据相符，决算数据真实准确。</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en-US" w:eastAsia="zh-CN"/>
        </w:rPr>
      </w:pPr>
      <w:r>
        <w:rPr>
          <w:rFonts w:hint="eastAsia" w:ascii="仿宋_GB2312" w:hAnsi="宋体" w:cs="Times New Roman"/>
          <w:sz w:val="28"/>
          <w:szCs w:val="28"/>
          <w:lang w:val="en-US" w:eastAsia="zh-CN"/>
        </w:rPr>
        <w:t>2</w:t>
      </w:r>
      <w:r>
        <w:rPr>
          <w:rFonts w:hint="eastAsia" w:ascii="仿宋_GB2312" w:hAnsi="宋体" w:eastAsia="仿宋_GB2312" w:cs="Times New Roman"/>
          <w:sz w:val="28"/>
          <w:szCs w:val="28"/>
          <w:lang w:val="en-US" w:eastAsia="zh-CN"/>
        </w:rPr>
        <w:t>.运转类项目绩效分析</w:t>
      </w:r>
    </w:p>
    <w:p>
      <w:pPr>
        <w:adjustRightInd w:val="0"/>
        <w:snapToGrid w:val="0"/>
        <w:spacing w:line="576" w:lineRule="exact"/>
        <w:ind w:firstLine="560" w:firstLineChars="200"/>
        <w:contextualSpacing/>
        <w:jc w:val="left"/>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    我</w:t>
      </w:r>
      <w:r>
        <w:rPr>
          <w:rFonts w:hint="eastAsia" w:ascii="仿宋_GB2312" w:hAnsi="宋体" w:cs="Times New Roman"/>
          <w:sz w:val="28"/>
          <w:szCs w:val="28"/>
          <w:lang w:val="en-US" w:eastAsia="zh-CN"/>
        </w:rPr>
        <w:t>局</w:t>
      </w:r>
      <w:r>
        <w:rPr>
          <w:rFonts w:hint="eastAsia" w:ascii="仿宋_GB2312" w:hAnsi="宋体" w:eastAsia="仿宋_GB2312" w:cs="Times New Roman"/>
          <w:sz w:val="28"/>
          <w:szCs w:val="28"/>
          <w:lang w:val="en-US" w:eastAsia="zh-CN"/>
        </w:rPr>
        <w:t>运转类</w:t>
      </w:r>
      <w:r>
        <w:rPr>
          <w:rFonts w:hint="eastAsia" w:ascii="仿宋_GB2312" w:hAnsi="宋体" w:cs="Times New Roman"/>
          <w:sz w:val="28"/>
          <w:szCs w:val="28"/>
          <w:lang w:val="en-US" w:eastAsia="zh-CN"/>
        </w:rPr>
        <w:t>项目</w:t>
      </w:r>
      <w:r>
        <w:rPr>
          <w:rFonts w:hint="eastAsia" w:ascii="仿宋_GB2312" w:hAnsi="宋体" w:eastAsia="仿宋_GB2312" w:cs="Times New Roman"/>
          <w:sz w:val="28"/>
          <w:szCs w:val="28"/>
          <w:lang w:val="en-US" w:eastAsia="zh-CN"/>
        </w:rPr>
        <w:t xml:space="preserve">公用经费，公用经费严格按照财政人头经费编制预算及执行预算，执行中除人员晋级晋档外，无其他调整预算资金。  </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en-US" w:eastAsia="zh-CN"/>
        </w:rPr>
      </w:pPr>
      <w:r>
        <w:rPr>
          <w:rFonts w:hint="eastAsia" w:ascii="仿宋_GB2312" w:hAnsi="宋体" w:cs="Times New Roman"/>
          <w:sz w:val="28"/>
          <w:szCs w:val="28"/>
          <w:lang w:val="en-US" w:eastAsia="zh-CN"/>
        </w:rPr>
        <w:t>3</w:t>
      </w:r>
      <w:r>
        <w:rPr>
          <w:rFonts w:hint="eastAsia" w:ascii="仿宋_GB2312" w:hAnsi="宋体" w:eastAsia="仿宋_GB2312" w:cs="Times New Roman"/>
          <w:sz w:val="28"/>
          <w:szCs w:val="28"/>
          <w:lang w:val="en-US" w:eastAsia="zh-CN"/>
        </w:rPr>
        <w:t>.特定目标类项目绩效分析</w:t>
      </w:r>
    </w:p>
    <w:p>
      <w:pPr>
        <w:adjustRightInd w:val="0"/>
        <w:snapToGrid w:val="0"/>
        <w:spacing w:line="576" w:lineRule="exact"/>
        <w:ind w:firstLine="560" w:firstLineChars="200"/>
        <w:contextualSpacing/>
        <w:jc w:val="left"/>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  2022年项目申报内容与具体实施内容相符、申报目标合理可行。2022年省级财政人社公共服务能力建设资金项目、医疗保险资助参保部分项目、新冠疫情防控项目、城乡居民医疗救助资金项目、健康扶贫一站式基金项目、建国初期人员医疗照顾费项目、红残、离休医疗费项目、医疗服务与保障能力提升补助资金项目、困难群众社会保险个人缴费财政代缴经费项目由剑阁县</w:t>
      </w:r>
      <w:r>
        <w:rPr>
          <w:rFonts w:hint="eastAsia" w:ascii="仿宋_GB2312" w:hAnsi="宋体" w:cs="Times New Roman"/>
          <w:sz w:val="28"/>
          <w:szCs w:val="28"/>
          <w:lang w:val="en-US" w:eastAsia="zh-CN"/>
        </w:rPr>
        <w:t>医疗保障局</w:t>
      </w:r>
      <w:r>
        <w:rPr>
          <w:rFonts w:hint="eastAsia" w:ascii="仿宋_GB2312" w:hAnsi="宋体" w:eastAsia="仿宋_GB2312" w:cs="Times New Roman"/>
          <w:sz w:val="28"/>
          <w:szCs w:val="28"/>
          <w:lang w:val="en-US" w:eastAsia="zh-CN"/>
        </w:rPr>
        <w:t>组织管理具体实施，</w:t>
      </w:r>
      <w:r>
        <w:rPr>
          <w:rFonts w:hint="eastAsia" w:ascii="仿宋_GB2312" w:hAnsi="宋体" w:cs="Times New Roman"/>
          <w:sz w:val="28"/>
          <w:szCs w:val="28"/>
          <w:lang w:val="en-US" w:eastAsia="zh-CN"/>
        </w:rPr>
        <w:t>项目已全部</w:t>
      </w:r>
      <w:r>
        <w:rPr>
          <w:rFonts w:hint="eastAsia" w:ascii="仿宋_GB2312" w:hAnsi="宋体" w:eastAsia="仿宋_GB2312" w:cs="Times New Roman"/>
          <w:sz w:val="28"/>
          <w:szCs w:val="28"/>
          <w:lang w:val="en-US" w:eastAsia="zh-CN"/>
        </w:rPr>
        <w:t>组织完成</w:t>
      </w:r>
      <w:r>
        <w:rPr>
          <w:rFonts w:hint="eastAsia" w:ascii="仿宋_GB2312" w:hAnsi="宋体" w:cs="Times New Roman"/>
          <w:sz w:val="28"/>
          <w:szCs w:val="28"/>
          <w:lang w:val="en-US" w:eastAsia="zh-CN"/>
        </w:rPr>
        <w:t>。</w:t>
      </w:r>
      <w:r>
        <w:rPr>
          <w:rFonts w:hint="eastAsia" w:ascii="仿宋_GB2312" w:hAnsi="宋体" w:eastAsia="仿宋_GB2312" w:cs="Times New Roman"/>
          <w:sz w:val="28"/>
          <w:szCs w:val="28"/>
          <w:lang w:val="en-US" w:eastAsia="zh-CN"/>
        </w:rPr>
        <w:t>年初下达目标任务，年底严格按照考核结果</w:t>
      </w:r>
      <w:r>
        <w:rPr>
          <w:rFonts w:hint="eastAsia" w:ascii="仿宋_GB2312" w:hAnsi="宋体" w:cs="Times New Roman"/>
          <w:sz w:val="28"/>
          <w:szCs w:val="28"/>
          <w:lang w:val="en-US" w:eastAsia="zh-CN"/>
        </w:rPr>
        <w:t>绩效自评</w:t>
      </w:r>
      <w:r>
        <w:rPr>
          <w:rFonts w:hint="eastAsia" w:ascii="仿宋_GB2312" w:hAnsi="宋体" w:eastAsia="仿宋_GB2312" w:cs="Times New Roman"/>
          <w:sz w:val="28"/>
          <w:szCs w:val="28"/>
          <w:lang w:val="en-US" w:eastAsia="zh-CN"/>
        </w:rPr>
        <w:t>。</w:t>
      </w:r>
      <w:r>
        <w:rPr>
          <w:rFonts w:hint="eastAsia" w:ascii="仿宋_GB2312" w:hAnsi="宋体" w:cs="Times New Roman"/>
          <w:sz w:val="28"/>
          <w:szCs w:val="28"/>
          <w:lang w:val="en-US" w:eastAsia="zh-CN"/>
        </w:rPr>
        <w:t>上述项目</w:t>
      </w:r>
      <w:r>
        <w:rPr>
          <w:rFonts w:hint="eastAsia" w:ascii="仿宋_GB2312" w:hAnsi="宋体" w:eastAsia="仿宋_GB2312" w:cs="Times New Roman"/>
          <w:sz w:val="28"/>
          <w:szCs w:val="28"/>
          <w:lang w:val="en-US" w:eastAsia="zh-CN"/>
        </w:rPr>
        <w:t>符合资金管理办法等相关规定，依法依规申报及执行。</w:t>
      </w:r>
    </w:p>
    <w:p>
      <w:pPr>
        <w:adjustRightInd w:val="0"/>
        <w:snapToGrid w:val="0"/>
        <w:spacing w:line="576" w:lineRule="exact"/>
        <w:ind w:firstLine="560" w:firstLineChars="200"/>
        <w:contextualSpacing/>
        <w:jc w:val="left"/>
        <w:rPr>
          <w:rFonts w:hint="eastAsia" w:ascii="仿宋_GB2312" w:hAnsi="宋体" w:eastAsia="仿宋_GB2312" w:cs="Times New Roman"/>
          <w:sz w:val="28"/>
          <w:szCs w:val="28"/>
          <w:lang w:val="zh-CN" w:eastAsia="zh-CN"/>
        </w:rPr>
      </w:pPr>
      <w:r>
        <w:rPr>
          <w:rFonts w:hint="eastAsia" w:ascii="仿宋_GB2312" w:hAnsi="宋体" w:eastAsia="仿宋_GB2312" w:cs="Times New Roman"/>
          <w:sz w:val="28"/>
          <w:szCs w:val="28"/>
          <w:lang w:val="zh-CN"/>
        </w:rPr>
        <w:t>（</w:t>
      </w:r>
      <w:r>
        <w:rPr>
          <w:rFonts w:hint="eastAsia" w:ascii="仿宋_GB2312" w:hAnsi="宋体" w:cs="Times New Roman"/>
          <w:sz w:val="28"/>
          <w:szCs w:val="28"/>
          <w:lang w:val="en-US" w:eastAsia="zh-CN"/>
        </w:rPr>
        <w:t>二</w:t>
      </w:r>
      <w:r>
        <w:rPr>
          <w:rFonts w:hint="eastAsia" w:ascii="仿宋_GB2312" w:hAnsi="宋体" w:eastAsia="仿宋_GB2312" w:cs="Times New Roman"/>
          <w:sz w:val="28"/>
          <w:szCs w:val="28"/>
          <w:lang w:val="zh-CN"/>
        </w:rPr>
        <w:t>）</w:t>
      </w:r>
      <w:r>
        <w:rPr>
          <w:rFonts w:hint="eastAsia" w:ascii="仿宋_GB2312" w:hAnsi="宋体" w:eastAsia="仿宋_GB2312" w:cs="Times New Roman"/>
          <w:sz w:val="28"/>
          <w:szCs w:val="28"/>
          <w:lang w:val="zh-CN" w:eastAsia="zh-CN"/>
        </w:rPr>
        <w:t>结果应用情况。</w:t>
      </w:r>
    </w:p>
    <w:p>
      <w:pPr>
        <w:adjustRightInd w:val="0"/>
        <w:snapToGrid w:val="0"/>
        <w:spacing w:line="576" w:lineRule="exact"/>
        <w:ind w:firstLine="560" w:firstLineChars="200"/>
        <w:contextualSpacing/>
        <w:jc w:val="left"/>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  我</w:t>
      </w:r>
      <w:r>
        <w:rPr>
          <w:rFonts w:hint="eastAsia" w:ascii="仿宋_GB2312" w:hAnsi="宋体" w:cs="Times New Roman"/>
          <w:sz w:val="28"/>
          <w:szCs w:val="28"/>
          <w:lang w:val="en-US" w:eastAsia="zh-CN"/>
        </w:rPr>
        <w:t>局</w:t>
      </w:r>
      <w:r>
        <w:rPr>
          <w:rFonts w:hint="eastAsia" w:ascii="仿宋_GB2312" w:hAnsi="宋体" w:eastAsia="仿宋_GB2312" w:cs="Times New Roman"/>
          <w:sz w:val="28"/>
          <w:szCs w:val="28"/>
          <w:lang w:val="en-US" w:eastAsia="zh-CN"/>
        </w:rPr>
        <w:t>项目支出合理编制绩效目标，积极开展自评，发现问题及时整改。我</w:t>
      </w:r>
      <w:r>
        <w:rPr>
          <w:rFonts w:hint="eastAsia" w:ascii="仿宋_GB2312" w:hAnsi="宋体" w:cs="Times New Roman"/>
          <w:sz w:val="28"/>
          <w:szCs w:val="28"/>
          <w:lang w:val="en-US" w:eastAsia="zh-CN"/>
        </w:rPr>
        <w:t>局</w:t>
      </w:r>
      <w:r>
        <w:rPr>
          <w:rFonts w:hint="eastAsia" w:ascii="仿宋_GB2312" w:hAnsi="宋体" w:eastAsia="仿宋_GB2312" w:cs="Times New Roman"/>
          <w:sz w:val="28"/>
          <w:szCs w:val="28"/>
          <w:lang w:val="en-US" w:eastAsia="zh-CN"/>
        </w:rPr>
        <w:t>绩效自评工作自开展以来都按照上级安排及时报送及时公开、对评价结果及时整改并运用，整体运行良好。</w:t>
      </w:r>
    </w:p>
    <w:p>
      <w:pPr>
        <w:adjustRightInd w:val="0"/>
        <w:snapToGrid w:val="0"/>
        <w:spacing w:line="576" w:lineRule="exact"/>
        <w:ind w:firstLine="560" w:firstLineChars="200"/>
        <w:contextualSpacing/>
        <w:jc w:val="left"/>
        <w:rPr>
          <w:rFonts w:hint="eastAsia" w:ascii="仿宋_GB2312" w:hAnsi="宋体" w:eastAsia="仿宋_GB2312"/>
          <w:sz w:val="28"/>
          <w:szCs w:val="28"/>
        </w:rPr>
      </w:pPr>
      <w:r>
        <w:rPr>
          <w:rFonts w:hint="eastAsia" w:ascii="仿宋_GB2312" w:hAnsi="宋体" w:eastAsia="仿宋_GB2312"/>
          <w:sz w:val="28"/>
          <w:szCs w:val="28"/>
        </w:rPr>
        <w:t>四、评价结论及建议</w:t>
      </w:r>
    </w:p>
    <w:p>
      <w:pPr>
        <w:adjustRightInd w:val="0"/>
        <w:snapToGrid w:val="0"/>
        <w:spacing w:line="576" w:lineRule="exact"/>
        <w:ind w:firstLine="560" w:firstLineChars="200"/>
        <w:contextualSpacing/>
        <w:jc w:val="left"/>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zh-CN"/>
        </w:rPr>
        <w:t>一）评价结</w:t>
      </w:r>
      <w:r>
        <w:rPr>
          <w:rFonts w:hint="eastAsia" w:ascii="仿宋_GB2312" w:hAnsi="宋体" w:eastAsia="仿宋_GB2312"/>
          <w:sz w:val="28"/>
          <w:szCs w:val="28"/>
        </w:rPr>
        <w:t>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000000"/>
          <w:kern w:val="0"/>
          <w:szCs w:val="32"/>
          <w:highlight w:val="none"/>
          <w:shd w:val="clear" w:color="auto" w:fill="FFFFFF"/>
          <w:lang w:val="zh-CN"/>
        </w:rPr>
      </w:pPr>
      <w:r>
        <w:rPr>
          <w:rFonts w:hint="eastAsia" w:ascii="仿宋" w:hAnsi="仿宋" w:eastAsia="仿宋" w:cs="仿宋_GB2312"/>
          <w:sz w:val="32"/>
          <w:szCs w:val="32"/>
        </w:rPr>
        <w:t>综上所述，通过绩效自评，</w:t>
      </w:r>
      <w:r>
        <w:rPr>
          <w:rFonts w:hint="eastAsia" w:ascii="仿宋" w:hAnsi="仿宋" w:eastAsia="仿宋" w:cs="仿宋_GB2312"/>
          <w:sz w:val="32"/>
          <w:szCs w:val="32"/>
          <w:lang w:val="en-US" w:eastAsia="zh-CN"/>
        </w:rPr>
        <w:t>2022</w:t>
      </w:r>
      <w:r>
        <w:rPr>
          <w:rFonts w:hint="eastAsia" w:ascii="仿宋" w:hAnsi="仿宋" w:eastAsia="仿宋" w:cs="仿宋_GB2312"/>
          <w:sz w:val="32"/>
          <w:szCs w:val="32"/>
        </w:rPr>
        <w:t>年</w:t>
      </w:r>
      <w:r>
        <w:rPr>
          <w:rFonts w:hint="eastAsia" w:ascii="仿宋" w:hAnsi="仿宋" w:eastAsia="仿宋" w:cs="仿宋_GB2312"/>
          <w:sz w:val="32"/>
          <w:szCs w:val="32"/>
          <w:lang w:eastAsia="zh-CN"/>
        </w:rPr>
        <w:t>整体支出</w:t>
      </w:r>
      <w:r>
        <w:rPr>
          <w:rFonts w:hint="eastAsia" w:ascii="仿宋" w:hAnsi="仿宋" w:eastAsia="仿宋" w:cs="仿宋_GB2312"/>
          <w:sz w:val="32"/>
          <w:szCs w:val="32"/>
        </w:rPr>
        <w:t>政策依据充分，目标制定明确；按照计划有序实施，资金到位及时，经费使用严格按照相关财务管理制度执行，对资金的使用监管有力有效。整个</w:t>
      </w:r>
      <w:r>
        <w:rPr>
          <w:rFonts w:hint="eastAsia" w:ascii="仿宋" w:hAnsi="仿宋" w:eastAsia="仿宋" w:cs="仿宋_GB2312"/>
          <w:sz w:val="32"/>
          <w:szCs w:val="32"/>
          <w:lang w:eastAsia="zh-CN"/>
        </w:rPr>
        <w:t>支出</w:t>
      </w:r>
      <w:r>
        <w:rPr>
          <w:rFonts w:hint="eastAsia" w:ascii="仿宋" w:hAnsi="仿宋" w:eastAsia="仿宋" w:cs="仿宋_GB2312"/>
          <w:sz w:val="32"/>
          <w:szCs w:val="32"/>
        </w:rPr>
        <w:t>实施达到了预期的绩效目标。</w:t>
      </w:r>
    </w:p>
    <w:p>
      <w:pPr>
        <w:adjustRightInd w:val="0"/>
        <w:snapToGrid w:val="0"/>
        <w:spacing w:line="576" w:lineRule="exact"/>
        <w:ind w:firstLine="560" w:firstLineChars="200"/>
        <w:contextualSpacing/>
        <w:jc w:val="left"/>
        <w:rPr>
          <w:rFonts w:hint="eastAsia" w:ascii="仿宋_GB2312" w:hAnsi="宋体" w:eastAsia="仿宋_GB2312"/>
          <w:sz w:val="28"/>
          <w:szCs w:val="28"/>
        </w:rPr>
      </w:pPr>
      <w:r>
        <w:rPr>
          <w:rFonts w:hint="eastAsia" w:ascii="仿宋_GB2312" w:hAnsi="宋体" w:eastAsia="仿宋_GB2312"/>
          <w:sz w:val="28"/>
          <w:szCs w:val="28"/>
        </w:rPr>
        <w:t>（二）存在问题</w:t>
      </w:r>
    </w:p>
    <w:p>
      <w:pPr>
        <w:adjustRightInd w:val="0"/>
        <w:snapToGrid w:val="0"/>
        <w:spacing w:line="576" w:lineRule="exact"/>
        <w:ind w:firstLine="640" w:firstLineChars="200"/>
        <w:contextualSpacing/>
        <w:jc w:val="left"/>
        <w:rPr>
          <w:rFonts w:hint="eastAsia" w:ascii="仿宋" w:hAnsi="仿宋" w:eastAsia="仿宋" w:cs="仿宋_GB2312"/>
          <w:sz w:val="32"/>
          <w:szCs w:val="32"/>
        </w:rPr>
      </w:pPr>
      <w:r>
        <w:rPr>
          <w:rFonts w:hint="eastAsia" w:ascii="仿宋" w:hAnsi="仿宋" w:eastAsia="仿宋" w:cs="仿宋_GB2312"/>
          <w:sz w:val="32"/>
          <w:szCs w:val="32"/>
          <w:lang w:eastAsia="zh-CN"/>
        </w:rPr>
        <w:t>单位小，事情多，任务重，</w:t>
      </w:r>
      <w:r>
        <w:rPr>
          <w:rFonts w:hint="eastAsia" w:ascii="仿宋" w:hAnsi="仿宋" w:eastAsia="仿宋" w:cs="仿宋_GB2312"/>
          <w:sz w:val="32"/>
          <w:szCs w:val="32"/>
        </w:rPr>
        <w:t>人员配备</w:t>
      </w:r>
      <w:r>
        <w:rPr>
          <w:rFonts w:hint="eastAsia" w:ascii="仿宋" w:hAnsi="仿宋" w:eastAsia="仿宋" w:cs="仿宋_GB2312"/>
          <w:sz w:val="32"/>
          <w:szCs w:val="32"/>
          <w:lang w:eastAsia="zh-CN"/>
        </w:rPr>
        <w:t>严重</w:t>
      </w:r>
      <w:r>
        <w:rPr>
          <w:rFonts w:hint="eastAsia" w:ascii="仿宋" w:hAnsi="仿宋" w:eastAsia="仿宋" w:cs="仿宋_GB2312"/>
          <w:sz w:val="32"/>
          <w:szCs w:val="32"/>
        </w:rPr>
        <w:t>不足</w:t>
      </w:r>
      <w:r>
        <w:rPr>
          <w:rFonts w:hint="eastAsia" w:ascii="仿宋" w:hAnsi="仿宋" w:eastAsia="仿宋" w:cs="仿宋_GB2312"/>
          <w:sz w:val="32"/>
          <w:szCs w:val="32"/>
          <w:lang w:eastAsia="zh-CN"/>
        </w:rPr>
        <w:t>，工作</w:t>
      </w:r>
      <w:r>
        <w:rPr>
          <w:rFonts w:hint="eastAsia" w:ascii="仿宋" w:hAnsi="仿宋" w:eastAsia="仿宋" w:cs="仿宋_GB2312"/>
          <w:sz w:val="32"/>
          <w:szCs w:val="32"/>
        </w:rPr>
        <w:t>经费差口较大，希望在经费方面给与更多的支持。</w:t>
      </w:r>
    </w:p>
    <w:p>
      <w:pPr>
        <w:adjustRightInd w:val="0"/>
        <w:snapToGrid w:val="0"/>
        <w:spacing w:line="576" w:lineRule="exact"/>
        <w:ind w:firstLine="560" w:firstLineChars="200"/>
        <w:contextualSpacing/>
        <w:jc w:val="left"/>
        <w:rPr>
          <w:rFonts w:hint="eastAsia" w:ascii="仿宋_GB2312" w:hAnsi="宋体" w:eastAsia="仿宋_GB2312"/>
          <w:sz w:val="28"/>
          <w:szCs w:val="28"/>
        </w:rPr>
      </w:pPr>
      <w:r>
        <w:rPr>
          <w:rFonts w:hint="eastAsia" w:ascii="仿宋_GB2312" w:hAnsi="宋体" w:eastAsia="仿宋_GB2312"/>
          <w:sz w:val="28"/>
          <w:szCs w:val="28"/>
        </w:rPr>
        <w:t>（三）改进建议</w:t>
      </w:r>
    </w:p>
    <w:p>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我</w:t>
      </w:r>
      <w:r>
        <w:rPr>
          <w:rFonts w:hint="eastAsia" w:ascii="仿宋" w:hAnsi="仿宋" w:eastAsia="仿宋" w:cs="仿宋_GB2312"/>
          <w:sz w:val="32"/>
          <w:szCs w:val="32"/>
          <w:lang w:val="en-US" w:eastAsia="zh-CN"/>
        </w:rPr>
        <w:t>局</w:t>
      </w:r>
      <w:r>
        <w:rPr>
          <w:rFonts w:hint="eastAsia" w:ascii="仿宋" w:hAnsi="仿宋" w:eastAsia="仿宋" w:cs="仿宋_GB2312"/>
          <w:sz w:val="32"/>
          <w:szCs w:val="32"/>
        </w:rPr>
        <w:t>在编制预算与执行中，将进一步重视预算的编制工作，提高预算编制的精确度，提高财政资金使用效率，尽量减少预算执行调整，把有限的经费做到科学、合理的分配</w:t>
      </w:r>
      <w:r>
        <w:rPr>
          <w:rFonts w:hint="eastAsia" w:ascii="仿宋" w:hAnsi="仿宋" w:eastAsia="仿宋" w:cs="仿宋_GB2312"/>
          <w:sz w:val="32"/>
          <w:szCs w:val="32"/>
          <w:lang w:eastAsia="zh-CN"/>
        </w:rPr>
        <w:t>。</w:t>
      </w:r>
    </w:p>
    <w:p>
      <w:pPr>
        <w:pStyle w:val="16"/>
        <w:spacing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adjustRightInd w:val="0"/>
        <w:snapToGrid w:val="0"/>
        <w:spacing w:line="576" w:lineRule="exact"/>
        <w:ind w:firstLine="560" w:firstLineChars="200"/>
        <w:contextualSpacing/>
        <w:jc w:val="left"/>
        <w:rPr>
          <w:rFonts w:hint="eastAsia" w:ascii="仿宋_GB2312" w:hAnsi="宋体" w:eastAsia="仿宋_GB2312"/>
          <w:sz w:val="28"/>
          <w:szCs w:val="28"/>
        </w:rPr>
      </w:pPr>
    </w:p>
    <w:p>
      <w:pPr>
        <w:adjustRightInd w:val="0"/>
        <w:snapToGrid w:val="0"/>
        <w:spacing w:line="576" w:lineRule="exact"/>
        <w:ind w:firstLine="560" w:firstLineChars="200"/>
        <w:contextualSpacing/>
        <w:jc w:val="left"/>
        <w:rPr>
          <w:rFonts w:hint="eastAsia" w:ascii="仿宋_GB2312" w:hAnsi="宋体" w:eastAsia="仿宋_GB2312"/>
          <w:sz w:val="28"/>
          <w:szCs w:val="28"/>
        </w:rPr>
      </w:pPr>
    </w:p>
    <w:p>
      <w:pPr>
        <w:adjustRightInd w:val="0"/>
        <w:snapToGrid w:val="0"/>
        <w:spacing w:line="576" w:lineRule="exact"/>
        <w:ind w:firstLine="4200" w:firstLineChars="1500"/>
        <w:contextualSpacing/>
        <w:jc w:val="left"/>
        <w:rPr>
          <w:rFonts w:hint="eastAsia" w:ascii="仿宋_GB2312" w:hAnsi="宋体" w:eastAsia="仿宋_GB2312"/>
          <w:sz w:val="28"/>
          <w:szCs w:val="28"/>
        </w:rPr>
      </w:pPr>
    </w:p>
    <w:p>
      <w:pPr>
        <w:adjustRightInd w:val="0"/>
        <w:snapToGrid w:val="0"/>
        <w:spacing w:line="576" w:lineRule="exact"/>
        <w:ind w:firstLine="4200" w:firstLineChars="1500"/>
        <w:contextualSpacing/>
        <w:jc w:val="left"/>
        <w:rPr>
          <w:rFonts w:hint="eastAsia" w:ascii="仿宋_GB2312" w:hAnsi="宋体" w:eastAsia="仿宋_GB2312"/>
          <w:sz w:val="28"/>
          <w:szCs w:val="28"/>
        </w:rPr>
      </w:pPr>
    </w:p>
    <w:p>
      <w:pPr>
        <w:adjustRightInd w:val="0"/>
        <w:snapToGrid w:val="0"/>
        <w:spacing w:line="576" w:lineRule="exact"/>
        <w:ind w:firstLine="4200" w:firstLineChars="1500"/>
        <w:contextualSpacing/>
        <w:jc w:val="left"/>
        <w:rPr>
          <w:rFonts w:hint="eastAsia" w:ascii="仿宋_GB2312" w:hAnsi="宋体" w:eastAsia="仿宋_GB2312"/>
          <w:sz w:val="28"/>
          <w:szCs w:val="28"/>
        </w:rPr>
      </w:pPr>
      <w:r>
        <w:rPr>
          <w:rFonts w:hint="eastAsia" w:ascii="仿宋_GB2312" w:hAnsi="宋体" w:eastAsia="仿宋_GB2312"/>
          <w:sz w:val="28"/>
          <w:szCs w:val="28"/>
        </w:rPr>
        <w:t>剑阁县医疗保障局</w:t>
      </w:r>
    </w:p>
    <w:p>
      <w:pPr>
        <w:adjustRightInd w:val="0"/>
        <w:snapToGrid w:val="0"/>
        <w:spacing w:line="576" w:lineRule="exact"/>
        <w:ind w:firstLine="4200" w:firstLineChars="1500"/>
        <w:contextualSpacing/>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2023年4月30日</w:t>
      </w:r>
    </w:p>
    <w:p>
      <w:pPr>
        <w:adjustRightInd w:val="0"/>
        <w:snapToGrid w:val="0"/>
        <w:spacing w:line="576" w:lineRule="exact"/>
        <w:ind w:firstLine="560" w:firstLineChars="200"/>
        <w:contextualSpacing/>
        <w:jc w:val="left"/>
        <w:rPr>
          <w:rFonts w:hint="default" w:ascii="仿宋_GB2312" w:hAnsi="宋体" w:eastAsia="仿宋_GB2312"/>
          <w:sz w:val="28"/>
          <w:szCs w:val="28"/>
          <w:lang w:val="en-US" w:eastAsia="zh-CN"/>
        </w:rPr>
      </w:pPr>
    </w:p>
    <w:p>
      <w:pPr>
        <w:pStyle w:val="2"/>
        <w:spacing w:before="93"/>
        <w:rPr>
          <w:rFonts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sectPr>
          <w:footerReference r:id="rId5" w:type="first"/>
          <w:footerReference r:id="rId4" w:type="default"/>
          <w:pgSz w:w="11906" w:h="16838"/>
          <w:pgMar w:top="2098" w:right="1474" w:bottom="1247" w:left="1588" w:header="851" w:footer="1247" w:gutter="0"/>
          <w:pgNumType w:fmt="decimal" w:start="1"/>
          <w:cols w:space="720" w:num="1"/>
          <w:titlePg/>
          <w:docGrid w:type="lines" w:linePitch="312" w:charSpace="0"/>
        </w:sectPr>
      </w:pPr>
    </w:p>
    <w:tbl>
      <w:tblPr>
        <w:tblStyle w:val="1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661"/>
        <w:gridCol w:w="565"/>
        <w:gridCol w:w="607"/>
        <w:gridCol w:w="944"/>
        <w:gridCol w:w="1059"/>
        <w:gridCol w:w="496"/>
        <w:gridCol w:w="382"/>
        <w:gridCol w:w="1020"/>
        <w:gridCol w:w="313"/>
        <w:gridCol w:w="866"/>
        <w:gridCol w:w="815"/>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16"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附表1</w:t>
            </w:r>
          </w:p>
        </w:tc>
        <w:tc>
          <w:tcPr>
            <w:tcW w:w="335"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4"/>
                <w:szCs w:val="24"/>
                <w:u w:val="none"/>
              </w:rPr>
            </w:pPr>
          </w:p>
        </w:tc>
        <w:tc>
          <w:tcPr>
            <w:tcW w:w="52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58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27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0"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56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398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年度主要任务</w:t>
            </w: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做好我县新冠病毒疫苗及接种费用保障工作，负责新冠病毒疫苗及接种费用结算、资金监管以及配合县财政做好新冠病毒疫苗及接种费用专项预算、专户资金划拨，加快推进疫苗免费接种，构筑保障人民群众生命健康免疫屏障，切实提高人民群众的获得感、安全感。</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做好我县新冠病毒疫苗及接种费用保障工作，负责新冠病毒疫苗及接种费用结算、资金监管以及配合县财政做好新冠病毒疫苗及接种费用专项预算、专户资金划拨，加快推进疫苗免费接种，构筑保障人民群众生命健康免疫屏障，切实提高人民群众的获得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强化对医保定点机构发生费用的实时监控、常态稽核。</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强化对医保定点机构发生费用的实时监控、常态稽核。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解决离休干部实际生活困难</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解决离休干部实际生活困难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保障我局职工的工资及社会保障缴费</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保障我局职工的工资及社会保障缴费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保障我局日常工作的正常运转</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保障我局日常工作的正常运转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确保参加革命工作的部分退休干部给予适当医疗照顾。</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确保参加革命工作的部分退休干部给予适当医疗照顾。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最大限度减轻困难群众医疗支出负担，切实保障困难群众获得基本医疗卫生服务。</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最大限度减轻困难群众医疗支出负担，切实保障困难群众获得基本医疗卫生服务。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确保建档立卡贫困人员参加城乡居民基本医疗保险参保率达到100%，进一步减轻建档立卡贫困人口医疗费用负担，防止因病致贫、因病返贫，助力脱贫攻坚。</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确保建档立卡贫困人员参加城乡居民基本医疗保险参保率达到100%，进一步减轻建档立卡贫困人口医疗费用负担，防止因病致贫、因病返贫，助力脱贫攻坚。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确保城乡居民基本医疗保险参保人员的医疗保险待遇落实．</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确保城乡居民基本医疗保险参保人员的医疗保险待遇落实．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确保医保档案的管理能方便群众查询和翻阅复印，更好的实现对档案的再利用。</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确保医保档案的管理能方便群众查询和翻阅复印，更好的实现对档案的再利用。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6560.14</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6560.14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 xml:space="preserve"> 其中：财政拨款</w:t>
            </w: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6560.14</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6560.14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11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542"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42"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单位权限范围内工作，完成上级交办的任务。在规定时间内完成辖区内普通城乡居民、学生城乡基本医疗保险参保筹资工作，参保率达应参保人数的95%以上。县级财政参保配套资金到位率100%，并及时拨付到位，完善医疗保障制度，强化医保基金监管。</w:t>
            </w:r>
          </w:p>
        </w:tc>
        <w:tc>
          <w:tcPr>
            <w:tcW w:w="25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单位权限范围内工作，完成上级交办的任务。在规定时间内完成辖区内普通城乡居民、学生城乡基本医疗保险参保筹资工作，参保率达应参保人数的95%以上。县级财政参保配套资金到位率100%，并及时拨付到位，完善医疗保障制度，强化医保基金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6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配合上级专项稽核</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全年对区域内城乡居民医保定点医疗机构进行全面检查</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完成辖区内普通城乡居民人数参保缴费任务</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≥52万人</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≥52万人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基本医疗保险的参保率达应参保人数的比例</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县级财政参保配套资金到位率</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按时完成配套资金的拨付</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2022-12-31</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2022-12-31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保障全县参保群众利益，规范管理医药机构</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成效明显</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成效明显</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对减轻区内患者医疗费用负担，保障人民群众医疗权利的作用</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不断增强</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不断增强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受益群众的满意程度</w:t>
            </w:r>
          </w:p>
        </w:tc>
        <w:tc>
          <w:tcPr>
            <w:tcW w:w="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bl>
    <w:p>
      <w:pPr>
        <w:pStyle w:val="2"/>
        <w:spacing w:before="93"/>
        <w:rPr>
          <w:rFonts w:hint="eastAsia" w:hAnsi="宋体" w:cs="宋体"/>
          <w:sz w:val="32"/>
          <w:szCs w:val="32"/>
          <w:shd w:val="clear" w:color="auto" w:fill="FFFFFF"/>
          <w:lang w:val="zh-CN"/>
        </w:rPr>
        <w:sectPr>
          <w:pgSz w:w="11906" w:h="16838"/>
          <w:pgMar w:top="2098" w:right="1474" w:bottom="1247" w:left="1588" w:header="851" w:footer="1247" w:gutter="0"/>
          <w:pgNumType w:fmt="decimal"/>
          <w:cols w:space="720" w:num="1"/>
          <w:titlePg/>
          <w:docGrid w:type="lines" w:linePitch="312" w:charSpace="0"/>
        </w:sectPr>
      </w:pP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6"/>
        <w:spacing w:line="578" w:lineRule="exact"/>
        <w:jc w:val="center"/>
        <w:rPr>
          <w:rFonts w:hint="eastAsia" w:ascii="方正小标宋简体" w:hAnsi="方正小标宋简体" w:eastAsia="方正小标宋简体" w:cs="方正小标宋简体"/>
          <w:color w:val="auto"/>
          <w:kern w:val="2"/>
          <w:sz w:val="32"/>
          <w:szCs w:val="32"/>
          <w:lang w:val="en-US"/>
        </w:rPr>
      </w:pPr>
    </w:p>
    <w:p>
      <w:pPr>
        <w:adjustRightInd w:val="0"/>
        <w:snapToGrid w:val="0"/>
        <w:spacing w:line="600" w:lineRule="exact"/>
        <w:jc w:val="center"/>
        <w:rPr>
          <w:rFonts w:ascii="方正小标宋简体" w:hAnsi="黑体" w:eastAsia="方正小标宋简体" w:cs="宋体"/>
          <w:b/>
          <w:bCs/>
          <w:color w:val="000000" w:themeColor="text1"/>
          <w:sz w:val="44"/>
          <w:szCs w:val="44"/>
          <w14:textFill>
            <w14:solidFill>
              <w14:schemeClr w14:val="tx1"/>
            </w14:solidFill>
          </w14:textFill>
        </w:rPr>
      </w:pPr>
      <w:bookmarkStart w:id="22" w:name="_Toc15396618"/>
      <w:r>
        <w:rPr>
          <w:rFonts w:hint="eastAsia" w:ascii="方正小标宋简体" w:hAnsi="黑体" w:eastAsia="方正小标宋简体" w:cs="宋体"/>
          <w:b/>
          <w:bCs/>
          <w:color w:val="000000" w:themeColor="text1"/>
          <w:sz w:val="44"/>
          <w:szCs w:val="44"/>
          <w14:textFill>
            <w14:solidFill>
              <w14:schemeClr w14:val="tx1"/>
            </w14:solidFill>
          </w14:textFill>
        </w:rPr>
        <w:t>剑阁县医疗保障局</w:t>
      </w:r>
    </w:p>
    <w:p>
      <w:pPr>
        <w:adjustRightInd w:val="0"/>
        <w:snapToGrid w:val="0"/>
        <w:spacing w:line="600" w:lineRule="exact"/>
        <w:jc w:val="center"/>
        <w:rPr>
          <w:rFonts w:ascii="方正小标宋简体" w:hAnsi="黑体" w:eastAsia="方正小标宋简体" w:cs="宋体"/>
          <w:b/>
          <w:bCs/>
          <w:color w:val="000000" w:themeColor="text1"/>
          <w:sz w:val="44"/>
          <w:szCs w:val="44"/>
          <w14:textFill>
            <w14:solidFill>
              <w14:schemeClr w14:val="tx1"/>
            </w14:solidFill>
          </w14:textFill>
        </w:rPr>
      </w:pPr>
      <w:r>
        <w:rPr>
          <w:rFonts w:hint="eastAsia" w:ascii="方正小标宋简体" w:hAnsi="黑体" w:eastAsia="方正小标宋简体" w:cs="宋体"/>
          <w:b/>
          <w:bCs/>
          <w:color w:val="000000" w:themeColor="text1"/>
          <w:sz w:val="44"/>
          <w:szCs w:val="44"/>
          <w14:textFill>
            <w14:solidFill>
              <w14:schemeClr w14:val="tx1"/>
            </w14:solidFill>
          </w14:textFill>
        </w:rPr>
        <w:t>2022年医疗保障与服务能力提升专项资金</w:t>
      </w:r>
    </w:p>
    <w:p>
      <w:pPr>
        <w:adjustRightInd w:val="0"/>
        <w:snapToGrid w:val="0"/>
        <w:spacing w:line="600" w:lineRule="exact"/>
        <w:jc w:val="center"/>
        <w:rPr>
          <w:rFonts w:ascii="方正小标宋简体" w:hAnsi="黑体" w:eastAsia="方正小标宋简体" w:cs="宋体"/>
          <w:b/>
          <w:bCs/>
          <w:color w:val="000000" w:themeColor="text1"/>
          <w:sz w:val="44"/>
          <w:szCs w:val="44"/>
          <w14:textFill>
            <w14:solidFill>
              <w14:schemeClr w14:val="tx1"/>
            </w14:solidFill>
          </w14:textFill>
        </w:rPr>
      </w:pPr>
      <w:r>
        <w:rPr>
          <w:rFonts w:hint="eastAsia" w:ascii="方正小标宋简体" w:hAnsi="黑体" w:eastAsia="方正小标宋简体" w:cs="宋体"/>
          <w:b/>
          <w:bCs/>
          <w:color w:val="000000" w:themeColor="text1"/>
          <w:sz w:val="44"/>
          <w:szCs w:val="44"/>
          <w14:textFill>
            <w14:solidFill>
              <w14:schemeClr w14:val="tx1"/>
            </w14:solidFill>
          </w14:textFill>
        </w:rPr>
        <w:t>绩效评价报告</w:t>
      </w:r>
    </w:p>
    <w:p>
      <w:pPr>
        <w:adjustRightInd w:val="0"/>
        <w:snapToGrid w:val="0"/>
        <w:spacing w:line="576" w:lineRule="exact"/>
        <w:ind w:firstLine="640" w:firstLineChars="200"/>
        <w:rPr>
          <w:rFonts w:ascii="仿宋_GB2312" w:hAnsi="黑体" w:eastAsia="仿宋_GB2312"/>
          <w:color w:val="000000" w:themeColor="text1"/>
          <w:sz w:val="32"/>
          <w:szCs w:val="32"/>
          <w14:textFill>
            <w14:solidFill>
              <w14:schemeClr w14:val="tx1"/>
            </w14:solidFill>
          </w14:textFill>
        </w:rPr>
      </w:pPr>
    </w:p>
    <w:p>
      <w:pPr>
        <w:adjustRightInd w:val="0"/>
        <w:snapToGrid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一、基本情况</w:t>
      </w:r>
    </w:p>
    <w:p>
      <w:pPr>
        <w:adjustRightInd w:val="0"/>
        <w:snapToGrid w:val="0"/>
        <w:spacing w:line="576" w:lineRule="exact"/>
        <w:ind w:firstLine="640" w:firstLineChars="200"/>
        <w:rPr>
          <w:rFonts w:ascii="方正楷体简体" w:hAnsi="楷体" w:eastAsia="方正楷体简体"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（一）项目总体情况</w:t>
      </w:r>
    </w:p>
    <w:p>
      <w:pPr>
        <w:spacing w:line="576" w:lineRule="exact"/>
        <w:ind w:firstLine="640" w:firstLineChars="200"/>
        <w:rPr>
          <w:rFonts w:ascii="仿宋_GB2312" w:hAnsi="仿宋_GB2312" w:eastAsia="仿宋_GB2312" w:cs="仿宋_GB2312"/>
          <w:sz w:val="32"/>
          <w:szCs w:val="32"/>
        </w:rPr>
      </w:pPr>
      <w:r>
        <w:rPr>
          <w:rFonts w:hint="eastAsia" w:ascii="仿宋_GB2312" w:hAnsi="宋体" w:eastAsia="仿宋_GB2312"/>
          <w:bCs/>
          <w:color w:val="000000" w:themeColor="text1"/>
          <w:sz w:val="32"/>
          <w:szCs w:val="32"/>
          <w14:textFill>
            <w14:solidFill>
              <w14:schemeClr w14:val="tx1"/>
            </w14:solidFill>
          </w14:textFill>
        </w:rPr>
        <w:t>2022年</w:t>
      </w:r>
      <w:r>
        <w:rPr>
          <w:rFonts w:hint="eastAsia" w:ascii="仿宋_GB2312" w:hAnsi="仿宋_GB2312" w:eastAsia="仿宋_GB2312" w:cs="仿宋_GB2312"/>
          <w:sz w:val="32"/>
          <w:szCs w:val="32"/>
        </w:rPr>
        <w:t>市局</w:t>
      </w:r>
      <w:r>
        <w:rPr>
          <w:rFonts w:hint="eastAsia" w:ascii="仿宋_GB2312" w:hAnsi="宋体" w:eastAsia="仿宋_GB2312"/>
          <w:bCs/>
          <w:color w:val="000000" w:themeColor="text1"/>
          <w:sz w:val="32"/>
          <w:szCs w:val="32"/>
          <w14:textFill>
            <w14:solidFill>
              <w14:schemeClr w14:val="tx1"/>
            </w14:solidFill>
          </w14:textFill>
        </w:rPr>
        <w:t>安排我县</w:t>
      </w:r>
      <w:r>
        <w:rPr>
          <w:rFonts w:hint="eastAsia" w:ascii="仿宋_GB2312" w:hAnsi="黑体" w:eastAsia="仿宋_GB2312" w:cs="宋体"/>
          <w:color w:val="000000" w:themeColor="text1"/>
          <w:sz w:val="32"/>
          <w:szCs w:val="32"/>
          <w14:textFill>
            <w14:solidFill>
              <w14:schemeClr w14:val="tx1"/>
            </w14:solidFill>
          </w14:textFill>
        </w:rPr>
        <w:t>医疗保障与服务能力提升</w:t>
      </w:r>
      <w:r>
        <w:rPr>
          <w:rFonts w:hint="eastAsia" w:ascii="仿宋_GB2312" w:hAnsi="宋体" w:eastAsia="仿宋_GB2312"/>
          <w:bCs/>
          <w:color w:val="000000" w:themeColor="text1"/>
          <w:sz w:val="32"/>
          <w:szCs w:val="32"/>
          <w14:textFill>
            <w14:solidFill>
              <w14:schemeClr w14:val="tx1"/>
            </w14:solidFill>
          </w14:textFill>
        </w:rPr>
        <w:t>专项资金69万元。</w:t>
      </w:r>
      <w:r>
        <w:rPr>
          <w:rFonts w:hint="eastAsia" w:ascii="仿宋_GB2312" w:hAnsi="仿宋_GB2312" w:eastAsia="仿宋_GB2312" w:cs="仿宋_GB2312"/>
          <w:sz w:val="32"/>
          <w:szCs w:val="32"/>
        </w:rPr>
        <w:t>2022年，市局下达剑阁县中央财政补助资金共计69万元，其中，第一批中央财政补助资金39万元财政已全部拨付到位并完成使用，第二批中央财政补助资金30万元项目正在实施，县级财政未拨付到位，待资金拨付到位后立即支付。项目资金主要用于县域内县乡村三级医保服务体系建设、持续打击欺诈骗保、医保政策宣传、医保信息平台网络维护等方面。</w:t>
      </w:r>
    </w:p>
    <w:p>
      <w:pPr>
        <w:adjustRightInd w:val="0"/>
        <w:snapToGrid w:val="0"/>
        <w:spacing w:line="576" w:lineRule="exact"/>
        <w:ind w:firstLine="640" w:firstLineChars="200"/>
        <w:rPr>
          <w:rFonts w:ascii="方正楷体简体" w:hAnsi="楷体" w:eastAsia="方正楷体简体"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（二）项目绩效目标</w:t>
      </w:r>
    </w:p>
    <w:p>
      <w:pPr>
        <w:spacing w:line="576" w:lineRule="exact"/>
        <w:ind w:firstLine="640" w:firstLineChars="200"/>
        <w:rPr>
          <w:rFonts w:ascii="仿宋_GB2312" w:hAnsi="宋体" w:eastAsia="仿宋_GB2312" w:cs="仿宋"/>
          <w:bCs/>
          <w:color w:val="000000" w:themeColor="text1"/>
          <w:sz w:val="32"/>
          <w:szCs w:val="32"/>
          <w14:textFill>
            <w14:solidFill>
              <w14:schemeClr w14:val="tx1"/>
            </w14:solidFill>
          </w14:textFill>
        </w:rPr>
      </w:pPr>
      <w:r>
        <w:rPr>
          <w:rFonts w:hint="eastAsia" w:ascii="仿宋_GB2312" w:hAnsi="宋体" w:eastAsia="仿宋_GB2312" w:cs="仿宋"/>
          <w:bCs/>
          <w:color w:val="000000" w:themeColor="text1"/>
          <w:sz w:val="32"/>
          <w:szCs w:val="32"/>
          <w14:textFill>
            <w14:solidFill>
              <w14:schemeClr w14:val="tx1"/>
            </w14:solidFill>
          </w14:textFill>
        </w:rPr>
        <w:t>1．总体目标</w:t>
      </w:r>
    </w:p>
    <w:p>
      <w:pPr>
        <w:spacing w:line="576" w:lineRule="exact"/>
        <w:ind w:firstLine="640" w:firstLineChars="200"/>
        <w:rPr>
          <w:rFonts w:ascii="仿宋_GB2312" w:hAnsi="宋体" w:eastAsia="仿宋_GB2312" w:cs="仿宋"/>
          <w:bCs/>
          <w:color w:val="000000" w:themeColor="text1"/>
          <w:sz w:val="32"/>
          <w:szCs w:val="32"/>
          <w14:textFill>
            <w14:solidFill>
              <w14:schemeClr w14:val="tx1"/>
            </w14:solidFill>
          </w14:textFill>
        </w:rPr>
      </w:pPr>
      <w:r>
        <w:rPr>
          <w:rFonts w:hint="eastAsia" w:ascii="仿宋_GB2312" w:hAnsi="宋体" w:eastAsia="仿宋_GB2312" w:cs="仿宋"/>
          <w:bCs/>
          <w:color w:val="000000" w:themeColor="text1"/>
          <w:sz w:val="32"/>
          <w:szCs w:val="32"/>
          <w14:textFill>
            <w14:solidFill>
              <w14:schemeClr w14:val="tx1"/>
            </w14:solidFill>
          </w14:textFill>
        </w:rPr>
        <w:t>一是提升医保业务信息化水平，加强医保信息平台运维管理，确保医保骨干网络安全运行，建设广元市医保数据资源共享服务区，提高数据采集质量和效率；二是持续推进DRG支付方式改革扩面和政策优化，完成改革目标任务；三是建立聘请第三方机构参与医疗保障基金监管机制，加快推进基金监管制度体系改革和执法体系建设，保持打击欺诈骗保高压态势；四是邀请专家讲党课，组织党员干部实地接受红色教育，着力提升医保系统党员干部为民服务能力；五是全域推开医保服务体系建设试点，实施基层医保网络化管理，推进医保经办管理服务标准化建设，改善群众医保服务体验；六是完善困难群众医疗救助制度，推进医疗救助市级统筹，提高医疗救助资金使用绩效，切实保障困难群众基本医疗需求；七是开展医保系统人才队伍建设及培训，购置党建、医疗专业用书、综合提升全县医疗保障服务能力；八是加强医疗保障宣传力度，提升宣传引导水平，提高医保重要政策知晓率。</w:t>
      </w:r>
    </w:p>
    <w:p>
      <w:pPr>
        <w:spacing w:line="576" w:lineRule="exact"/>
        <w:ind w:firstLine="640" w:firstLineChars="200"/>
        <w:rPr>
          <w:rFonts w:ascii="仿宋_GB2312" w:hAnsi="宋体" w:eastAsia="仿宋_GB2312" w:cs="仿宋"/>
          <w:bCs/>
          <w:color w:val="000000" w:themeColor="text1"/>
          <w:sz w:val="32"/>
          <w:szCs w:val="32"/>
          <w14:textFill>
            <w14:solidFill>
              <w14:schemeClr w14:val="tx1"/>
            </w14:solidFill>
          </w14:textFill>
        </w:rPr>
      </w:pPr>
      <w:r>
        <w:rPr>
          <w:rFonts w:hint="eastAsia" w:ascii="仿宋_GB2312" w:hAnsi="宋体" w:eastAsia="仿宋_GB2312" w:cs="仿宋"/>
          <w:bCs/>
          <w:color w:val="000000" w:themeColor="text1"/>
          <w:sz w:val="32"/>
          <w:szCs w:val="32"/>
          <w14:textFill>
            <w14:solidFill>
              <w14:schemeClr w14:val="tx1"/>
            </w14:solidFill>
          </w14:textFill>
        </w:rPr>
        <w:t>2．具体绩效指标</w:t>
      </w:r>
    </w:p>
    <w:p>
      <w:pPr>
        <w:spacing w:line="576"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（1）数量指标。</w:t>
      </w:r>
      <w:r>
        <w:rPr>
          <w:rFonts w:hint="eastAsia" w:ascii="仿宋_GB2312" w:eastAsia="仿宋_GB2312" w:cs="仿宋_GB2312"/>
          <w:color w:val="000000" w:themeColor="text1"/>
          <w:sz w:val="32"/>
          <w:szCs w:val="32"/>
          <w14:textFill>
            <w14:solidFill>
              <w14:schemeClr w14:val="tx1"/>
            </w14:solidFill>
          </w14:textFill>
        </w:rPr>
        <w:t>召开监管业务、待遇保障、DRG、信息化、宣传、人才和经办工作会议及培训1次以上，开展全县定点医疗机构检查1次以上，地方媒体进行医保工作专题报道1次以上。</w:t>
      </w:r>
    </w:p>
    <w:p>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（2）质量指标。医保信息系统正常运行率90%以上，专项检查违规查处率100%，医保窗口标准化建设验收合格率70%以上。</w:t>
      </w:r>
    </w:p>
    <w:p>
      <w:pPr>
        <w:spacing w:line="576"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 w:eastAsia="仿宋_GB2312" w:cs="仿宋_GB2312"/>
          <w:color w:val="000000" w:themeColor="text1"/>
          <w:sz w:val="32"/>
          <w:szCs w:val="32"/>
          <w14:textFill>
            <w14:solidFill>
              <w14:schemeClr w14:val="tx1"/>
            </w14:solidFill>
          </w14:textFill>
        </w:rPr>
        <w:t>社会效益指标。医保经办服务信息化水平有所提高，医保付费方式力度持续增强，医保重要政策知晓率90%以上，医保服务能力水平显著提升，医保法治建设水平逐步提高，符合条件的参保人员跨省异地应医直接结算率85%以上。</w:t>
      </w:r>
    </w:p>
    <w:p>
      <w:pPr>
        <w:adjustRightInd w:val="0"/>
        <w:snapToGrid w:val="0"/>
        <w:spacing w:line="576"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（4）服务对象满意度。参保人员对医保服务的满意度90%以上，定点医疗机构对医保管理服务满意度90%以上。</w:t>
      </w:r>
    </w:p>
    <w:p>
      <w:pPr>
        <w:adjustRightInd w:val="0"/>
        <w:snapToGrid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二、绩效评价工作开展情况</w:t>
      </w:r>
    </w:p>
    <w:p>
      <w:pPr>
        <w:adjustRightInd w:val="0"/>
        <w:snapToGrid w:val="0"/>
        <w:spacing w:line="576"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（一）评价目的、对象和范围。对我县2022年医疗保障与服务能力提升专项资金绩效进行评价。</w:t>
      </w:r>
    </w:p>
    <w:p>
      <w:pPr>
        <w:adjustRightInd w:val="0"/>
        <w:snapToGrid w:val="0"/>
        <w:spacing w:line="576"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（二）评价方法和评价等次。本次评价主要采用对表对标自评方法。评价等级根据评价得分分为4个等级，90分以上为优秀，80分以上为良好，60分以上为合格，60分以下为不合格。本次评定等级优秀。</w:t>
      </w:r>
    </w:p>
    <w:p>
      <w:pPr>
        <w:adjustRightInd w:val="0"/>
        <w:snapToGrid w:val="0"/>
        <w:spacing w:line="576"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三）指标体系设置绩效评价指标分为共性指标和个性指标。共性指标是适用于所有评价对象的指标。主要包括预算编制和执行情况、财务管理状况、资产配置、使用、处置及其收益管理情况以及社会效益、经济效益等。个性指标是针对本部门或项目特点设定的，适用于不同预算部门或项目的业绩评价指标。</w:t>
      </w:r>
    </w:p>
    <w:p>
      <w:pPr>
        <w:adjustRightInd w:val="0"/>
        <w:snapToGrid w:val="0"/>
        <w:spacing w:line="576"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（四）评价工作过程。为确保绩效评价工作的客观公正，我局医疗保障与服务能力提升专项资金绩效评价工作严格遵守规</w:t>
      </w:r>
      <w:r>
        <w:rPr>
          <w:rFonts w:hint="eastAsia" w:ascii="仿宋_GB2312" w:hAnsi="宋体" w:eastAsia="仿宋_GB2312" w:cs="宋体"/>
          <w:color w:val="000000" w:themeColor="text1"/>
          <w:sz w:val="32"/>
          <w:szCs w:val="32"/>
          <w14:textFill>
            <w14:solidFill>
              <w14:schemeClr w14:val="tx1"/>
            </w14:solidFill>
          </w14:textFill>
        </w:rPr>
        <w:t>范的工作程序来组织实施，按照项目资金的管理要求和内控制度要求，明确绩效评价实施工作目标、任务、时间安排和工作要求等具体事项。</w:t>
      </w:r>
    </w:p>
    <w:p>
      <w:pPr>
        <w:adjustRightInd w:val="0"/>
        <w:snapToGrid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三、绩效评价结论</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（一）评价得分：</w:t>
      </w:r>
      <w:r>
        <w:rPr>
          <w:rFonts w:hint="eastAsia" w:ascii="仿宋_GB2312" w:hAnsi="楷体" w:eastAsia="仿宋_GB2312" w:cs="楷体"/>
          <w:color w:val="000000" w:themeColor="text1"/>
          <w:sz w:val="32"/>
          <w:szCs w:val="32"/>
          <w14:textFill>
            <w14:solidFill>
              <w14:schemeClr w14:val="tx1"/>
            </w14:solidFill>
          </w14:textFill>
        </w:rPr>
        <w:t>经过绩效评价，我县</w:t>
      </w:r>
      <w:r>
        <w:rPr>
          <w:rFonts w:hint="eastAsia" w:ascii="仿宋_GB2312" w:hAnsi="黑体" w:eastAsia="仿宋_GB2312" w:cs="宋体"/>
          <w:color w:val="000000" w:themeColor="text1"/>
          <w:sz w:val="32"/>
          <w:szCs w:val="32"/>
          <w14:textFill>
            <w14:solidFill>
              <w14:schemeClr w14:val="tx1"/>
            </w14:solidFill>
          </w14:textFill>
        </w:rPr>
        <w:t>医疗保障与服务能力提升专项资金得分为98分，详见附件。</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（二）评价结论：</w:t>
      </w:r>
      <w:r>
        <w:rPr>
          <w:rFonts w:hint="eastAsia" w:ascii="仿宋_GB2312" w:hAnsi="楷体" w:eastAsia="仿宋_GB2312" w:cs="楷体"/>
          <w:color w:val="000000" w:themeColor="text1"/>
          <w:sz w:val="32"/>
          <w:szCs w:val="32"/>
          <w14:textFill>
            <w14:solidFill>
              <w14:schemeClr w14:val="tx1"/>
            </w14:solidFill>
          </w14:textFill>
        </w:rPr>
        <w:t>我县</w:t>
      </w:r>
      <w:r>
        <w:rPr>
          <w:rFonts w:hint="eastAsia" w:ascii="仿宋_GB2312" w:hAnsi="黑体" w:eastAsia="仿宋_GB2312" w:cs="宋体"/>
          <w:color w:val="000000" w:themeColor="text1"/>
          <w:sz w:val="32"/>
          <w:szCs w:val="32"/>
          <w14:textFill>
            <w14:solidFill>
              <w14:schemeClr w14:val="tx1"/>
            </w14:solidFill>
          </w14:textFill>
        </w:rPr>
        <w:t>医疗保障与服务能力提升专项资金使用合规、高效，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优异成绩。</w:t>
      </w:r>
    </w:p>
    <w:p>
      <w:pPr>
        <w:adjustRightInd w:val="0"/>
        <w:snapToGrid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四、绩效评价指标分析</w:t>
      </w:r>
    </w:p>
    <w:p>
      <w:pPr>
        <w:adjustRightInd w:val="0"/>
        <w:snapToGrid w:val="0"/>
        <w:spacing w:line="576" w:lineRule="exact"/>
        <w:ind w:firstLine="640" w:firstLineChars="200"/>
        <w:rPr>
          <w:rFonts w:ascii="方正楷体简体" w:hAnsi="楷体" w:eastAsia="方正楷体简体"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（一）项目决策得分18分。</w:t>
      </w:r>
    </w:p>
    <w:p>
      <w:pPr>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1．贯彻中央医疗保障制度改革有关医疗保障能力建设决策部署得分4分。</w:t>
      </w:r>
      <w:r>
        <w:rPr>
          <w:rFonts w:hint="eastAsia" w:ascii="仿宋_GB2312" w:hAnsi="仿宋_GB2312" w:eastAsia="仿宋_GB2312" w:cs="仿宋_GB2312"/>
          <w:sz w:val="32"/>
          <w:szCs w:val="32"/>
        </w:rPr>
        <w:t>自2022年“全市医保营商环境与服务体系能力建设工作会”以来，我局</w:t>
      </w:r>
      <w:r>
        <w:rPr>
          <w:rFonts w:hint="eastAsia" w:ascii="仿宋_GB2312" w:hAnsi="楷体" w:eastAsia="仿宋_GB2312" w:cs="楷体"/>
          <w:color w:val="000000" w:themeColor="text1"/>
          <w:sz w:val="32"/>
          <w:szCs w:val="32"/>
          <w14:textFill>
            <w14:solidFill>
              <w14:schemeClr w14:val="tx1"/>
            </w14:solidFill>
          </w14:textFill>
        </w:rPr>
        <w:t>深入贯彻中央医疗保障制度改革关于有关能力建设决策部署，严格</w:t>
      </w:r>
      <w:r>
        <w:rPr>
          <w:rFonts w:hint="eastAsia" w:ascii="仿宋_GB2312" w:hAnsi="黑体" w:eastAsia="仿宋_GB2312" w:cs="宋体"/>
          <w:color w:val="000000" w:themeColor="text1"/>
          <w:sz w:val="32"/>
          <w:szCs w:val="32"/>
          <w14:textFill>
            <w14:solidFill>
              <w14:schemeClr w14:val="tx1"/>
            </w14:solidFill>
          </w14:textFill>
        </w:rPr>
        <w:t>依据中央和国务院深化医疗保障制度改革的意见进行决策，</w:t>
      </w:r>
      <w:r>
        <w:rPr>
          <w:rFonts w:hint="eastAsia" w:ascii="仿宋_GB2312" w:hAnsi="仿宋_GB2312" w:eastAsia="仿宋_GB2312" w:cs="仿宋_GB2312"/>
          <w:sz w:val="32"/>
          <w:szCs w:val="32"/>
        </w:rPr>
        <w:t>坚持市医保局元昊书记提出的打造“最佳”医保服务体系目标不动摇，牢牢把握县区提升、乡镇升级、村社布点的服务体系建设思路，充分结合剑阁实际，因地制宜，集成嵌入，有序有效推进我县医保经办服务能力提升工作。</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2.执行预算绩效管理和资金管理办法得分2分。我局严格贯彻执行专项资金预算绩效管理和资金管理等相关管理办法。</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宋体" w:eastAsia="仿宋_GB2312"/>
          <w:color w:val="000000" w:themeColor="text1"/>
          <w:sz w:val="32"/>
          <w:szCs w:val="32"/>
          <w14:textFill>
            <w14:solidFill>
              <w14:schemeClr w14:val="tx1"/>
            </w14:solidFill>
          </w14:textFill>
        </w:rPr>
        <w:t>3.决策程序规范得分2分。我局</w:t>
      </w:r>
      <w:r>
        <w:rPr>
          <w:rFonts w:hint="eastAsia" w:ascii="仿宋_GB2312" w:hAnsi="仿宋_GB2312" w:eastAsia="仿宋_GB2312" w:cs="仿宋_GB2312"/>
          <w:sz w:val="32"/>
          <w:szCs w:val="32"/>
        </w:rPr>
        <w:t>按照全市统一工作部署，迅速召开服务体系能力建设专题会，成立了剑阁县医保营商环境与服务体系能力建设工作小组，制定工作方案，对拟定项目进行必要性、可行性论证，按规定履行立项审批、预算评审等报批程序，确保决策程序规范有序。</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4.绩效目标设置科学得分2分。我局绩效目标设置从产出指标、效益指标、满意度指标等三个方面进行科学制定，全维度提升我县医疗保障服务能力。</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5.绩效目标分解细化得分2分。按照总体目标内容，围绕绩效目标3个方面进行细化分解为14项指标，确保医疗保障服务能力提升工作具体可行。</w:t>
      </w:r>
    </w:p>
    <w:p>
      <w:pPr>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6.资金分配规范得分2分。我县</w:t>
      </w:r>
      <w:r>
        <w:rPr>
          <w:rFonts w:hint="eastAsia" w:ascii="仿宋_GB2312" w:hAnsi="仿宋_GB2312" w:eastAsia="仿宋_GB2312" w:cs="仿宋_GB2312"/>
          <w:sz w:val="32"/>
          <w:szCs w:val="32"/>
        </w:rPr>
        <w:t>专项资金主要用于县域内县乡村三级医保服务体系建设、持续打击欺诈骗保、医保政策宣传、医保信息平台网络维护等方面，根据项目侧重规范合理分配资金，确保项目高效推进，提高专项资金使用效益。</w:t>
      </w:r>
    </w:p>
    <w:p>
      <w:pPr>
        <w:pStyle w:val="37"/>
        <w:widowControl w:val="0"/>
        <w:adjustRightInd w:val="0"/>
        <w:snapToGrid w:val="0"/>
        <w:spacing w:after="0" w:line="576"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7.资金分配合理性得分4分。</w:t>
      </w:r>
      <w:r>
        <w:rPr>
          <w:rFonts w:hint="eastAsia" w:ascii="仿宋_GB2312" w:hAnsi="仿宋_GB2312" w:eastAsia="仿宋_GB2312" w:cs="仿宋_GB2312"/>
          <w:sz w:val="32"/>
          <w:szCs w:val="32"/>
        </w:rPr>
        <w:t>根据项目侧重规范合理分配资金，确保项目高效推进，提高专项资金使用效益。</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（二）过程管理得分为22分</w:t>
      </w:r>
    </w:p>
    <w:p>
      <w:pPr>
        <w:pStyle w:val="29"/>
        <w:spacing w:line="576" w:lineRule="exact"/>
        <w:ind w:firstLine="640"/>
        <w:rPr>
          <w:rFonts w:ascii="仿宋_GB2312" w:hAnsi="宋体" w:eastAsia="仿宋_GB2312"/>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1. 预算执行率得分10分。</w:t>
      </w:r>
      <w:r>
        <w:rPr>
          <w:rFonts w:hint="eastAsia" w:ascii="仿宋_GB2312" w:hAnsi="宋体" w:eastAsia="仿宋_GB2312"/>
          <w:color w:val="000000" w:themeColor="text1"/>
          <w:sz w:val="32"/>
          <w:szCs w:val="32"/>
          <w14:textFill>
            <w14:solidFill>
              <w14:schemeClr w14:val="tx1"/>
            </w14:solidFill>
          </w14:textFill>
        </w:rPr>
        <w:t>2022年全县医疗保障与服务能力提升专项资金支出累计分配69万元，当年预算执行率为100%。</w:t>
      </w:r>
    </w:p>
    <w:p>
      <w:pPr>
        <w:pStyle w:val="29"/>
        <w:spacing w:line="576" w:lineRule="exact"/>
        <w:ind w:firstLine="64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2.资金使用合规性得分3分。我局严格执行相关财务管理制度，认真按照批准项目和资金计划执行，对专项资金独立核算，专款专用，过程资料真实完整准确。</w:t>
      </w:r>
    </w:p>
    <w:p>
      <w:pPr>
        <w:pStyle w:val="29"/>
        <w:spacing w:line="576" w:lineRule="exact"/>
        <w:ind w:firstLine="64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资金监管有效性得分4分。加强专项资金监管，突出统筹协调、拨付速度、财政监管、使用效益等方面的管理，推行预算绩效管理制度，加强内控机制建设，完善管理办法，进一步提高专项资金使用的安全性、规范性和有效性。 </w:t>
      </w:r>
    </w:p>
    <w:p>
      <w:pPr>
        <w:pStyle w:val="29"/>
        <w:spacing w:line="576" w:lineRule="exact"/>
        <w:ind w:firstLine="64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4.管理制度健全有效性得分2分。严格按照专项资金管理制度规定的资金申报制度、资金使用制度、资金监督管理制度、资金财务支出制度执行。</w:t>
      </w:r>
    </w:p>
    <w:p>
      <w:pPr>
        <w:pStyle w:val="29"/>
        <w:spacing w:line="576" w:lineRule="exact"/>
        <w:ind w:firstLine="64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5.绩效评价机制健全性得分3分。我局按照全市统一的医疗服务与保障能力提升补助资金绩效评价指标体系进行绩效评价。</w:t>
      </w:r>
    </w:p>
    <w:p>
      <w:pPr>
        <w:adjustRightInd w:val="0"/>
        <w:snapToGrid w:val="0"/>
        <w:spacing w:line="576" w:lineRule="exact"/>
        <w:ind w:firstLine="640" w:firstLineChars="200"/>
        <w:rPr>
          <w:rFonts w:ascii="方正楷体简体" w:hAnsi="楷体" w:eastAsia="方正楷体简体"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（三）项目产出得分48分。</w:t>
      </w:r>
    </w:p>
    <w:p>
      <w:pPr>
        <w:adjustRightInd w:val="0"/>
        <w:snapToGrid w:val="0"/>
        <w:spacing w:line="576" w:lineRule="exact"/>
        <w:ind w:firstLine="640" w:firstLineChars="200"/>
        <w:rPr>
          <w:rFonts w:ascii="仿宋_GB2312" w:hAnsi="宋体" w:eastAsia="仿宋_GB2312"/>
          <w:color w:val="0000FF"/>
          <w:sz w:val="32"/>
          <w:szCs w:val="32"/>
        </w:rPr>
      </w:pPr>
      <w:r>
        <w:rPr>
          <w:rFonts w:hint="eastAsia" w:ascii="仿宋_GB2312" w:hAnsi="楷体" w:eastAsia="仿宋_GB2312" w:cs="楷体"/>
          <w:color w:val="000000" w:themeColor="text1"/>
          <w:sz w:val="32"/>
          <w:szCs w:val="32"/>
          <w14:textFill>
            <w14:solidFill>
              <w14:schemeClr w14:val="tx1"/>
            </w14:solidFill>
          </w14:textFill>
        </w:rPr>
        <w:t>1.召开医保工作省级新闻发布会和政策吹风会得分0分。我县未召开省级新闻发布会和政策吹风会。</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2.推进医保政府信息公开得分2分。我局全年主动公开所有“主动公开”文件，有效办理信息公开申请。</w:t>
      </w:r>
    </w:p>
    <w:p>
      <w:pPr>
        <w:adjustRightInd w:val="0"/>
        <w:snapToGrid w:val="0"/>
        <w:spacing w:line="576" w:lineRule="exact"/>
        <w:ind w:firstLine="640" w:firstLineChars="200"/>
        <w:rPr>
          <w:rFonts w:ascii="仿宋_GB2312" w:hAnsi="楷体" w:eastAsia="仿宋_GB2312" w:cs="楷体"/>
          <w:color w:val="0000FF"/>
          <w:sz w:val="32"/>
          <w:szCs w:val="32"/>
        </w:rPr>
      </w:pPr>
      <w:r>
        <w:rPr>
          <w:rFonts w:hint="eastAsia" w:ascii="仿宋_GB2312" w:hAnsi="楷体" w:eastAsia="仿宋_GB2312" w:cs="楷体"/>
          <w:color w:val="000000" w:themeColor="text1"/>
          <w:sz w:val="32"/>
          <w:szCs w:val="32"/>
          <w14:textFill>
            <w14:solidFill>
              <w14:schemeClr w14:val="tx1"/>
            </w14:solidFill>
          </w14:textFill>
        </w:rPr>
        <w:t>3.在官方网站或微信公众号发布政策文件和解读得分2分。我局2022年在县级官方网站或部门相关微信公众号发布政策文件和解读共36次。</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4.报送工作信息情况得分2分。2022年我局向市医疗保障局报送政务信信息18条，采用2条，信息亮点突出、问题鲜明、建议可行。</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5.医保规范性文件和政策措施的合法性审查、公平竞争审查得分1分。我局严格按照相关规定对医保规范性文件和政策措施进行合法性审查、公平竞争审查。</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6.医保信息系统验收合格率得分2分。医保信息系统验收合格率99%，达到设定目标。</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7.医保信息系统正常运行率得分2分。医保信息系统服务全县50多万医保参保人群，接入实时联网结算定点医药机构168余家，信息系统正常运行率100%，达到设定目标。</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8.医保信息系统重大安全事件响应时间得分2分。我县严格按照市医保信息系统安全保障方案及运维应急预案执行，明确重大安全事件诊断和恢复处理时间，符合设定1小时内设定目标。</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9.医保信息系统运行维护响应时间得分2分。我县严格按照市医保信息系统安全保障方案及运维应急预案执行，明确重大安全事件诊断和恢复处理时间，符合设定1小时内设定目标。</w:t>
      </w:r>
    </w:p>
    <w:p>
      <w:pPr>
        <w:adjustRightInd w:val="0"/>
        <w:snapToGrid w:val="0"/>
        <w:spacing w:line="576" w:lineRule="exact"/>
        <w:ind w:firstLine="640" w:firstLineChars="200"/>
        <w:rPr>
          <w:rFonts w:ascii="仿宋_GB2312" w:hAnsi="宋体" w:eastAsia="仿宋_GB2312"/>
          <w:color w:val="0000FF"/>
          <w:sz w:val="32"/>
          <w:szCs w:val="32"/>
        </w:rPr>
      </w:pPr>
      <w:r>
        <w:rPr>
          <w:rFonts w:hint="eastAsia" w:ascii="仿宋_GB2312" w:hAnsi="楷体" w:eastAsia="仿宋_GB2312" w:cs="楷体"/>
          <w:color w:val="000000" w:themeColor="text1"/>
          <w:sz w:val="32"/>
          <w:szCs w:val="32"/>
          <w14:textFill>
            <w14:solidFill>
              <w14:schemeClr w14:val="tx1"/>
            </w14:solidFill>
          </w14:textFill>
        </w:rPr>
        <w:t>10.定点医药机构监督检查覆盖率得分2分。通过组织“双随机一公开”检查、飞行检查、专项行动、举报核查，结合日常巡查、网上监控等形式，实现监督检查全方位、常态化，全年检查定点医药机构168家，检查覆盖率100%，达到设定目标。</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11.推行医保支付方式改革和DRG、DIP试点得分2分。持续推进以DRG付费为核心的多元付费方式改革，全县40家定点医院全覆盖实行DRG付费。</w:t>
      </w:r>
    </w:p>
    <w:p>
      <w:pPr>
        <w:adjustRightInd w:val="0"/>
        <w:snapToGrid w:val="0"/>
        <w:spacing w:line="576" w:lineRule="exact"/>
        <w:ind w:firstLine="640" w:firstLineChars="200"/>
        <w:rPr>
          <w:rFonts w:ascii="仿宋_GB2312" w:hAnsi="宋体" w:eastAsia="仿宋_GB2312"/>
          <w:color w:val="0000FF"/>
          <w:sz w:val="32"/>
          <w:szCs w:val="32"/>
        </w:rPr>
      </w:pPr>
      <w:r>
        <w:rPr>
          <w:rFonts w:hint="eastAsia" w:ascii="仿宋_GB2312" w:hAnsi="楷体" w:eastAsia="仿宋_GB2312" w:cs="楷体"/>
          <w:color w:val="000000" w:themeColor="text1"/>
          <w:sz w:val="32"/>
          <w:szCs w:val="32"/>
          <w14:textFill>
            <w14:solidFill>
              <w14:schemeClr w14:val="tx1"/>
            </w14:solidFill>
          </w14:textFill>
        </w:rPr>
        <w:t>12.医保法治建设能力得分4分。我局紧紧围绕法治建设工作要求，推进法治建设组织领导，加强法治建设制度建设，开展法治建设宣传教育，不断完善行政执法公示、重大执法决定法制审核制度，着力提高运用法治思维和法治方式推动医保高质量发展，应对医保基金风险的能力，不断提升医保行业依法行政水平。</w:t>
      </w:r>
    </w:p>
    <w:p>
      <w:pPr>
        <w:adjustRightInd w:val="0"/>
        <w:snapToGrid w:val="0"/>
        <w:spacing w:line="576" w:lineRule="exact"/>
        <w:ind w:firstLine="640" w:firstLineChars="200"/>
        <w:rPr>
          <w:rFonts w:ascii="仿宋_GB2312" w:hAnsi="宋体" w:eastAsia="仿宋_GB2312"/>
          <w:color w:val="0000FF"/>
          <w:sz w:val="32"/>
          <w:szCs w:val="32"/>
        </w:rPr>
      </w:pPr>
      <w:r>
        <w:rPr>
          <w:rFonts w:hint="eastAsia" w:ascii="仿宋_GB2312" w:hAnsi="楷体" w:eastAsia="仿宋_GB2312" w:cs="楷体"/>
          <w:color w:val="000000" w:themeColor="text1"/>
          <w:sz w:val="32"/>
          <w:szCs w:val="32"/>
          <w14:textFill>
            <w14:solidFill>
              <w14:schemeClr w14:val="tx1"/>
            </w14:solidFill>
          </w14:textFill>
        </w:rPr>
        <w:t>13.基金预警和风险防控能力得分5分。实时监控定点医疗机构医保信息数据，加强部门协调联动，加大欺诈骗保打击力度，加强医保协议管理，实现监管手段有效衔接，综合运用多部门、大数据、纠指标、严处理等方式，建立常态化医保基金风险预警防控机制，前置医保基金监管，保障基金运行安全。</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14.医保标准化水平得分4分。一是迅速发动，覆盖全县。我县率先启动县级医保服务大厅的标准化设计和改造，同步加强对29个乡镇医疗保障服务站、364个村（社区）医疗保障服务室的标准化建设，实现县乡村三级医保经办服务体系全覆盖；二是因地制宜，量身打造。做优县级经办，做强镇级经办，做实村级经办；三是系统完善，内外兼修。健全大厅管理制度，强化人员培训学习，全面提升业务经办人员综合素质。</w:t>
      </w:r>
    </w:p>
    <w:p>
      <w:pPr>
        <w:adjustRightInd w:val="0"/>
        <w:snapToGrid w:val="0"/>
        <w:spacing w:line="576" w:lineRule="exact"/>
        <w:ind w:firstLine="640" w:firstLineChars="200"/>
        <w:rPr>
          <w:rFonts w:ascii="仿宋_GB2312" w:hAnsi="楷体" w:eastAsia="仿宋_GB2312" w:cs="楷体"/>
          <w:color w:val="000000" w:themeColor="text1"/>
          <w:sz w:val="32"/>
          <w:szCs w:val="32"/>
          <w:u w:val="single"/>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15.医保经办服务能力得分10分。通过对医保经办服务事项全面梳理、分类细化和流程明确，规范窗口和热线服务岗位等人员文明用语、行为准则、服务礼仪，创新政务服务方式，大力推行“网上办”、“掌上办”，实行综合柜员制和一窗办理，实行全市、全县通办，落实政务服务“好差评”制度，持续优化营商环境，推动我县医保经办服务水平提质增效。</w:t>
      </w:r>
    </w:p>
    <w:p>
      <w:pPr>
        <w:adjustRightInd w:val="0"/>
        <w:snapToGrid w:val="0"/>
        <w:spacing w:line="576" w:lineRule="exact"/>
        <w:ind w:firstLine="640" w:firstLineChars="200"/>
      </w:pPr>
      <w:r>
        <w:rPr>
          <w:rFonts w:hint="eastAsia" w:ascii="仿宋_GB2312" w:hAnsi="楷体" w:eastAsia="仿宋_GB2312" w:cs="楷体"/>
          <w:color w:val="000000" w:themeColor="text1"/>
          <w:sz w:val="32"/>
          <w:szCs w:val="32"/>
          <w14:textFill>
            <w14:solidFill>
              <w14:schemeClr w14:val="tx1"/>
            </w14:solidFill>
          </w14:textFill>
        </w:rPr>
        <w:t>16.医保综合监管能力得分2分。我局通过自查自纠，强力监管，构建长效机制等方式，让医保基金监管逐步形成堵漏洞、强监管、重规范、严震摄的工作态势。2022年１-10月追回医疗机构违规医保基金51.37万元，并处违约金50.9万元，曝光案例72起，中止协议6家，行政处罚6例，追回个人违规使用医保基金2.16万元，暂停6人医保待遇联网结算，共计104.43万元,有效保障了医保基金安全和群众合法权益。</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17.跨省异地就医直接结算率得分2分。根据基本医疗保险异地就医情况统计，2022年职工、居民基本医疗保险跨省直接结算率较往年明显提高。</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18.医保新闻宣传、政府信息工作和政策研究能力等方面培训得分2分。我县充分运用各种媒介，全方位多角度开展医保宣传工作，加大医保政策宣传力度，结合医保政策宣传月集中宣传医保政策，启动打击欺诈骗保宣传月活动，助推医保政策深入民心，提升群众医保政策知晓率和满意度。</w:t>
      </w:r>
    </w:p>
    <w:p>
      <w:pPr>
        <w:adjustRightInd w:val="0"/>
        <w:snapToGrid w:val="0"/>
        <w:spacing w:line="576" w:lineRule="exact"/>
        <w:ind w:firstLine="640" w:firstLineChars="200"/>
        <w:rPr>
          <w:rFonts w:ascii="方正楷体简体" w:hAnsi="楷体" w:eastAsia="方正楷体简体" w:cs="楷体"/>
          <w:color w:val="000000" w:themeColor="text1"/>
          <w:sz w:val="32"/>
          <w:szCs w:val="32"/>
          <w14:textFill>
            <w14:solidFill>
              <w14:schemeClr w14:val="tx1"/>
            </w14:solidFill>
          </w14:textFill>
        </w:rPr>
      </w:pPr>
      <w:r>
        <w:rPr>
          <w:rFonts w:hint="eastAsia" w:ascii="方正楷体简体" w:hAnsi="楷体" w:eastAsia="方正楷体简体" w:cs="楷体"/>
          <w:color w:val="000000" w:themeColor="text1"/>
          <w:sz w:val="32"/>
          <w:szCs w:val="32"/>
          <w14:textFill>
            <w14:solidFill>
              <w14:schemeClr w14:val="tx1"/>
            </w14:solidFill>
          </w14:textFill>
        </w:rPr>
        <w:t>（四）项目效益得分10分。</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服务对象满意度得分10分。经过绩效测评，实施医疗保障服务能力项目后，参保人员对医保服务的满意度99%以上，定点医疗机构对医保管理服务满意度99%以上。</w:t>
      </w:r>
    </w:p>
    <w:p>
      <w:pPr>
        <w:numPr>
          <w:ilvl w:val="0"/>
          <w:numId w:val="5"/>
        </w:numPr>
        <w:adjustRightInd w:val="0"/>
        <w:snapToGrid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存在问题</w:t>
      </w:r>
    </w:p>
    <w:p>
      <w:pPr>
        <w:adjustRightInd w:val="0"/>
        <w:snapToGrid w:val="0"/>
        <w:spacing w:line="576" w:lineRule="exact"/>
        <w:ind w:firstLine="640"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 xml:space="preserve"> 2022年我县医疗保障与服务能力提升补助资金根据实际工作情况需要，已将资金在2022年执行使用完毕，预算执行率已达100%，2023年还需市局加大对我县医疗保障与服务能力提升补助资金投入，确保我县医保服务能力持续提升。</w:t>
      </w:r>
    </w:p>
    <w:p>
      <w:pPr>
        <w:pBdr>
          <w:bottom w:val="single" w:color="FFFFFF" w:sz="4" w:space="31"/>
        </w:pBdr>
        <w:tabs>
          <w:tab w:val="left" w:pos="1440"/>
        </w:tabs>
        <w:overflowPunct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六、有关建议及整改措施</w:t>
      </w:r>
    </w:p>
    <w:p>
      <w:pPr>
        <w:pBdr>
          <w:bottom w:val="single" w:color="FFFFFF" w:sz="4" w:space="31"/>
        </w:pBdr>
        <w:tabs>
          <w:tab w:val="left" w:pos="1440"/>
        </w:tabs>
        <w:overflowPunct w:val="0"/>
        <w:spacing w:line="576"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楷体" w:eastAsia="仿宋_GB2312" w:cs="楷体"/>
          <w:color w:val="000000" w:themeColor="text1"/>
          <w:sz w:val="32"/>
          <w:szCs w:val="32"/>
          <w14:textFill>
            <w14:solidFill>
              <w14:schemeClr w14:val="tx1"/>
            </w14:solidFill>
          </w14:textFill>
        </w:rPr>
        <w:t>绩效自评结果体现了年度专项资金转移支付的使用情况和发挥的效益。在今后的工作中，我局将会把绩效自评结果作为以后年度专项转移支付预算申请、安排、分配的重要依据。根据绩效自评结果，进一步加大对专项资金的使用监管。对绩效评价发现的问题进行认真整改，并在一定范围内适当的将绩效自评结果进行公开。</w:t>
      </w:r>
    </w:p>
    <w:p>
      <w:pPr>
        <w:pBdr>
          <w:bottom w:val="single" w:color="FFFFFF" w:sz="4" w:space="31"/>
        </w:pBdr>
        <w:tabs>
          <w:tab w:val="left" w:pos="1440"/>
        </w:tabs>
        <w:overflowPunct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p>
    <w:p>
      <w:pPr>
        <w:pBdr>
          <w:bottom w:val="single" w:color="FFFFFF" w:sz="4" w:space="31"/>
        </w:pBdr>
        <w:tabs>
          <w:tab w:val="left" w:pos="1440"/>
        </w:tabs>
        <w:overflowPunct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附件：医疗服务与保障能力提升补助资金绩效评价指标体系及评价得分情况</w:t>
      </w:r>
    </w:p>
    <w:p>
      <w:pPr>
        <w:pBdr>
          <w:bottom w:val="single" w:color="FFFFFF" w:sz="4" w:space="31"/>
        </w:pBdr>
        <w:tabs>
          <w:tab w:val="left" w:pos="1440"/>
        </w:tabs>
        <w:overflowPunct w:val="0"/>
        <w:spacing w:line="576" w:lineRule="exact"/>
        <w:rPr>
          <w:rFonts w:ascii="仿宋_GB2312" w:hAnsi="仿宋_GB2312" w:eastAsia="仿宋_GB2312" w:cs="仿宋_GB2312"/>
          <w:bCs/>
          <w:color w:val="000000" w:themeColor="text1"/>
          <w:sz w:val="32"/>
          <w:szCs w:val="32"/>
          <w14:textFill>
            <w14:solidFill>
              <w14:schemeClr w14:val="tx1"/>
            </w14:solidFill>
          </w14:textFill>
        </w:rPr>
      </w:pPr>
    </w:p>
    <w:p>
      <w:pPr>
        <w:pStyle w:val="16"/>
        <w:spacing w:after="0" w:line="576" w:lineRule="exact"/>
        <w:ind w:left="0" w:leftChars="0" w:firstLine="420"/>
      </w:pPr>
    </w:p>
    <w:p>
      <w:pPr>
        <w:pBdr>
          <w:bottom w:val="single" w:color="FFFFFF" w:sz="4" w:space="31"/>
        </w:pBdr>
        <w:tabs>
          <w:tab w:val="left" w:pos="1440"/>
        </w:tabs>
        <w:overflowPunct w:val="0"/>
        <w:spacing w:line="576" w:lineRule="exac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剑阁县医疗保障局</w:t>
      </w:r>
    </w:p>
    <w:p>
      <w:pPr>
        <w:pBdr>
          <w:bottom w:val="single" w:color="FFFFFF" w:sz="4" w:space="31"/>
        </w:pBdr>
        <w:tabs>
          <w:tab w:val="left" w:pos="1440"/>
        </w:tabs>
        <w:overflowPunct w:val="0"/>
        <w:spacing w:line="576" w:lineRule="exact"/>
        <w:rPr>
          <w:rFonts w:hint="eastAsia" w:ascii="仿宋_GB2312" w:hAnsi="宋体" w:eastAsia="仿宋_GB2312"/>
          <w:color w:val="000000" w:themeColor="text1"/>
          <w:sz w:val="32"/>
          <w:szCs w:val="32"/>
          <w:lang w:val="en-US" w:eastAsia="zh-CN"/>
          <w14:textFill>
            <w14:solidFill>
              <w14:schemeClr w14:val="tx1"/>
            </w14:solidFill>
          </w14:textFill>
        </w:rPr>
        <w:sectPr>
          <w:pgSz w:w="11906" w:h="16838"/>
          <w:pgMar w:top="2098" w:right="1474" w:bottom="1247" w:left="1588" w:header="851" w:footer="1247" w:gutter="0"/>
          <w:pgNumType w:fmt="decimal"/>
          <w:cols w:space="720" w:num="1"/>
          <w:titlePg/>
          <w:docGrid w:type="lines" w:linePitch="312" w:charSpace="0"/>
        </w:sect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2023年1月3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日</w:t>
      </w:r>
    </w:p>
    <w:p>
      <w:pPr>
        <w:widowControl/>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p>
    <w:p>
      <w:pPr>
        <w:spacing w:line="64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医疗服务与保障能力提升补助资金（医疗保障服务能力提升部分）</w:t>
      </w:r>
    </w:p>
    <w:p>
      <w:pPr>
        <w:spacing w:line="640" w:lineRule="exact"/>
        <w:jc w:val="center"/>
        <w:rPr>
          <w:color w:val="000000" w:themeColor="text1"/>
          <w:sz w:val="44"/>
          <w:szCs w:val="44"/>
          <w14:textFill>
            <w14:solidFill>
              <w14:schemeClr w14:val="tx1"/>
            </w14:solidFill>
          </w14:textFill>
        </w:rPr>
      </w:pPr>
      <w:r>
        <w:rPr>
          <w:rFonts w:hint="eastAsia" w:ascii="方正小标宋简体" w:hAnsi="宋体" w:eastAsia="方正小标宋简体" w:cs="宋体"/>
          <w:color w:val="000000"/>
          <w:spacing w:val="125"/>
          <w:kern w:val="0"/>
          <w:sz w:val="44"/>
          <w:szCs w:val="44"/>
          <w:fitText w:val="5280" w:id="595793970"/>
        </w:rPr>
        <w:t>绩效评价指标体</w:t>
      </w:r>
      <w:r>
        <w:rPr>
          <w:rFonts w:hint="eastAsia" w:ascii="方正小标宋简体" w:hAnsi="宋体" w:eastAsia="方正小标宋简体" w:cs="宋体"/>
          <w:color w:val="000000"/>
          <w:spacing w:val="5"/>
          <w:kern w:val="0"/>
          <w:sz w:val="44"/>
          <w:szCs w:val="44"/>
          <w:fitText w:val="5280" w:id="595793970"/>
        </w:rPr>
        <w:t>系</w:t>
      </w:r>
    </w:p>
    <w:tbl>
      <w:tblPr>
        <w:tblStyle w:val="17"/>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1609"/>
        <w:gridCol w:w="1578"/>
        <w:gridCol w:w="2962"/>
        <w:gridCol w:w="2374"/>
        <w:gridCol w:w="567"/>
        <w:gridCol w:w="69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1271"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一级</w:t>
            </w:r>
          </w:p>
          <w:p>
            <w:pPr>
              <w:widowControl/>
              <w:spacing w:line="300" w:lineRule="exact"/>
              <w:jc w:val="center"/>
              <w:rPr>
                <w:rFonts w:ascii="宋体" w:hAnsi="宋体" w:cs="宋体"/>
                <w:bCs/>
                <w:color w:val="000000"/>
                <w:kern w:val="0"/>
              </w:rPr>
            </w:pPr>
            <w:r>
              <w:rPr>
                <w:rFonts w:hint="eastAsia" w:ascii="宋体" w:hAnsi="宋体" w:cs="宋体"/>
                <w:bCs/>
                <w:color w:val="000000"/>
                <w:kern w:val="0"/>
              </w:rPr>
              <w:t>指标</w:t>
            </w:r>
          </w:p>
        </w:tc>
        <w:tc>
          <w:tcPr>
            <w:tcW w:w="1134"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二级</w:t>
            </w:r>
          </w:p>
          <w:p>
            <w:pPr>
              <w:widowControl/>
              <w:spacing w:line="300" w:lineRule="exact"/>
              <w:jc w:val="center"/>
              <w:rPr>
                <w:rFonts w:ascii="宋体" w:hAnsi="宋体" w:cs="宋体"/>
                <w:bCs/>
                <w:color w:val="000000"/>
                <w:kern w:val="0"/>
              </w:rPr>
            </w:pPr>
            <w:r>
              <w:rPr>
                <w:rFonts w:hint="eastAsia" w:ascii="宋体" w:hAnsi="宋体" w:cs="宋体"/>
                <w:bCs/>
                <w:color w:val="000000"/>
                <w:kern w:val="0"/>
              </w:rPr>
              <w:t>指标</w:t>
            </w:r>
          </w:p>
        </w:tc>
        <w:tc>
          <w:tcPr>
            <w:tcW w:w="1609"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三级指标</w:t>
            </w:r>
          </w:p>
        </w:tc>
        <w:tc>
          <w:tcPr>
            <w:tcW w:w="1578"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标准值</w:t>
            </w:r>
          </w:p>
        </w:tc>
        <w:tc>
          <w:tcPr>
            <w:tcW w:w="2962"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实际值</w:t>
            </w:r>
          </w:p>
          <w:p>
            <w:pPr>
              <w:widowControl/>
              <w:spacing w:line="300" w:lineRule="exact"/>
              <w:jc w:val="center"/>
              <w:rPr>
                <w:rFonts w:ascii="宋体" w:hAnsi="宋体" w:cs="宋体"/>
                <w:bCs/>
                <w:color w:val="000000"/>
                <w:kern w:val="0"/>
              </w:rPr>
            </w:pPr>
            <w:r>
              <w:rPr>
                <w:rFonts w:hint="eastAsia" w:ascii="宋体" w:hAnsi="宋体" w:cs="宋体"/>
                <w:bCs/>
                <w:color w:val="000000"/>
                <w:kern w:val="0"/>
              </w:rPr>
              <w:t>(2022年)</w:t>
            </w:r>
          </w:p>
        </w:tc>
        <w:tc>
          <w:tcPr>
            <w:tcW w:w="2374"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评分标准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分值</w:t>
            </w:r>
          </w:p>
        </w:tc>
        <w:tc>
          <w:tcPr>
            <w:tcW w:w="691" w:type="dxa"/>
            <w:shd w:val="clear" w:color="auto" w:fill="auto"/>
            <w:tcMar>
              <w:left w:w="11" w:type="dxa"/>
              <w:right w:w="11" w:type="dxa"/>
            </w:tcMar>
            <w:vAlign w:val="center"/>
          </w:tcPr>
          <w:p>
            <w:pPr>
              <w:widowControl/>
              <w:spacing w:line="300" w:lineRule="exact"/>
              <w:jc w:val="center"/>
              <w:rPr>
                <w:rFonts w:ascii="宋体" w:hAnsi="宋体" w:cs="宋体"/>
                <w:bCs/>
                <w:color w:val="000000"/>
                <w:kern w:val="0"/>
              </w:rPr>
            </w:pPr>
            <w:r>
              <w:rPr>
                <w:rFonts w:hint="eastAsia" w:ascii="宋体" w:hAnsi="宋体" w:cs="宋体"/>
                <w:bCs/>
                <w:color w:val="000000"/>
                <w:kern w:val="0"/>
              </w:rPr>
              <w:t>自评</w:t>
            </w:r>
          </w:p>
          <w:p>
            <w:pPr>
              <w:widowControl/>
              <w:spacing w:line="300" w:lineRule="exact"/>
              <w:jc w:val="center"/>
              <w:rPr>
                <w:rFonts w:ascii="宋体" w:hAnsi="宋体" w:cs="宋体"/>
                <w:bCs/>
                <w:color w:val="000000"/>
                <w:kern w:val="0"/>
              </w:rPr>
            </w:pPr>
            <w:r>
              <w:rPr>
                <w:rFonts w:hint="eastAsia" w:ascii="宋体" w:hAnsi="宋体" w:cs="宋体"/>
                <w:bCs/>
                <w:color w:val="000000"/>
                <w:kern w:val="0"/>
              </w:rPr>
              <w:t>得分</w:t>
            </w:r>
          </w:p>
        </w:tc>
        <w:tc>
          <w:tcPr>
            <w:tcW w:w="2126" w:type="dxa"/>
            <w:shd w:val="clear" w:color="auto" w:fill="auto"/>
            <w:tcMar>
              <w:left w:w="11" w:type="dxa"/>
              <w:right w:w="11" w:type="dxa"/>
            </w:tcMar>
            <w:vAlign w:val="bottom"/>
          </w:tcPr>
          <w:p>
            <w:pPr>
              <w:widowControl/>
              <w:spacing w:line="300" w:lineRule="exact"/>
              <w:jc w:val="center"/>
              <w:rPr>
                <w:rFonts w:ascii="宋体" w:hAnsi="宋体" w:cs="宋体"/>
                <w:bCs/>
                <w:color w:val="000000"/>
                <w:kern w:val="0"/>
              </w:rPr>
            </w:pPr>
            <w:r>
              <w:rPr>
                <w:rFonts w:hint="eastAsia" w:ascii="宋体" w:hAnsi="宋体" w:cs="宋体"/>
                <w:bCs/>
                <w:color w:val="000000"/>
                <w:kern w:val="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项目</w:t>
            </w:r>
            <w:r>
              <w:rPr>
                <w:rFonts w:hint="eastAsia" w:ascii="宋体" w:hAnsi="宋体" w:cs="宋体"/>
                <w:color w:val="000000"/>
                <w:kern w:val="0"/>
              </w:rPr>
              <w:br w:type="textWrapping"/>
            </w:r>
            <w:r>
              <w:rPr>
                <w:rFonts w:hint="eastAsia" w:ascii="宋体" w:hAnsi="宋体" w:cs="宋体"/>
                <w:color w:val="000000"/>
                <w:kern w:val="0"/>
              </w:rPr>
              <w:t>决策</w:t>
            </w:r>
            <w:r>
              <w:rPr>
                <w:rFonts w:hint="eastAsia" w:ascii="宋体" w:hAnsi="宋体" w:cs="宋体"/>
                <w:color w:val="000000"/>
                <w:kern w:val="0"/>
              </w:rPr>
              <w:br w:type="textWrapping"/>
            </w:r>
            <w:r>
              <w:rPr>
                <w:rFonts w:hint="eastAsia" w:ascii="宋体" w:hAnsi="宋体" w:cs="宋体"/>
                <w:color w:val="000000"/>
                <w:kern w:val="0"/>
              </w:rPr>
              <w:t>(18分)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决策依据</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贯彻中央医疗保障制度改革有关医疗保障能力建设决策部署</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依据中央和国务院深化医疗保障制度改革的意见进行决策</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深入贯彻中央医疗保障制度改革关于有关能力建设决策部署，严格依据中央和国务院深化医疗保障制度改革的意见进行决策，坚持市医保局元昊书记提出的打造“最佳”医保服务体系目标不动摇，牢牢把握县区提升、乡镇升级、村社布点的服务体系建设思路，充分结合剑阁实际，因地制宜，集成嵌入，有序有效推进我县医保经办服务能力提升工作。</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1、符合《中共中央国务院关于深化医疗保障制度改革的意见》（2分）</w:t>
            </w:r>
          </w:p>
          <w:p>
            <w:pPr>
              <w:widowControl/>
              <w:spacing w:line="300" w:lineRule="exact"/>
              <w:jc w:val="left"/>
              <w:rPr>
                <w:rFonts w:ascii="宋体" w:hAnsi="宋体" w:cs="宋体"/>
                <w:color w:val="000000"/>
                <w:kern w:val="0"/>
              </w:rPr>
            </w:pPr>
            <w:r>
              <w:rPr>
                <w:rFonts w:hint="eastAsia" w:ascii="宋体" w:hAnsi="宋体" w:cs="宋体"/>
                <w:color w:val="000000"/>
                <w:kern w:val="0"/>
              </w:rPr>
              <w:t>2.印发《“十四五”全民医疗保障规划》2022年度任务的相关文件(2分)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用以反映和考核各级医保部门贯彻中央医疗保障制度改革有关医疗保障能力建设决策部署情况和《十四五”全民医疗保障规划》有关医保服务能力提升的决策部署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执行预算绩效管理和资金管理办法</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决策符合预算绩效管理要求和资金管理办法</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严格贯彻执行专项资金预算绩效管理和资金管理等相关管理办法</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①符合《国家医疗保障局关于全面实施预算绩效管理的意见》（1分）</w:t>
            </w:r>
            <w:r>
              <w:rPr>
                <w:rFonts w:hint="eastAsia" w:ascii="宋体" w:hAnsi="宋体" w:cs="宋体"/>
                <w:color w:val="000000"/>
                <w:kern w:val="0"/>
              </w:rPr>
              <w:br w:type="textWrapping"/>
            </w:r>
            <w:r>
              <w:rPr>
                <w:rFonts w:hint="eastAsia" w:ascii="宋体" w:hAnsi="宋体" w:cs="宋体"/>
                <w:color w:val="000000"/>
                <w:kern w:val="0"/>
              </w:rPr>
              <w:t>③符合《医疗服务与保障能力提升补助资金管理办法》以及各省市制定的相关管理办法（1分）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用以反映和考核决策是否符合预算绩效管理要求和资金管理办法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shd w:val="clear" w:color="auto" w:fill="auto"/>
            <w:tcMar>
              <w:left w:w="11" w:type="dxa"/>
              <w:right w:w="11" w:type="dxa"/>
            </w:tcMar>
            <w:vAlign w:val="center"/>
          </w:tcPr>
          <w:p>
            <w:pPr>
              <w:widowControl/>
              <w:spacing w:line="300" w:lineRule="exact"/>
              <w:rPr>
                <w:rFonts w:ascii="宋体" w:hAnsi="宋体" w:cs="宋体"/>
                <w:color w:val="000000"/>
                <w:kern w:val="0"/>
              </w:rPr>
            </w:pPr>
            <w:r>
              <w:rPr>
                <w:rFonts w:hint="eastAsia" w:ascii="宋体" w:hAnsi="宋体" w:cs="宋体"/>
                <w:color w:val="000000"/>
                <w:kern w:val="0"/>
              </w:rPr>
              <w:t>决策过程</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决策程序规范</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程序合规完整</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按照全市统一工作部署，召开专题会，成立了剑阁县医保营商环境与服务体系能力建设工作小组，制定工作方案，对拟定项目进行必要性、可行性论证，按规定履行立项审批、预算评审等报批程序，确保决策程序规范有序。</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①对转移支付资金支持项目的必要性、可行性等进行科学论证(1分)</w:t>
            </w:r>
            <w:r>
              <w:rPr>
                <w:rFonts w:hint="eastAsia" w:ascii="宋体" w:hAnsi="宋体" w:cs="宋体"/>
                <w:color w:val="000000"/>
                <w:kern w:val="0"/>
              </w:rPr>
              <w:br w:type="textWrapping"/>
            </w:r>
            <w:r>
              <w:rPr>
                <w:rFonts w:hint="eastAsia" w:ascii="宋体" w:hAnsi="宋体" w:cs="宋体"/>
                <w:color w:val="000000"/>
                <w:kern w:val="0"/>
              </w:rPr>
              <w:t>②按规定履行立项审批、预算评审等报批程序（1分）</w:t>
            </w:r>
            <w:r>
              <w:rPr>
                <w:rFonts w:hint="eastAsia" w:ascii="宋体" w:hAnsi="宋体" w:cs="宋体"/>
                <w:color w:val="000000"/>
                <w:kern w:val="0"/>
              </w:rPr>
              <w:br w:type="textWrapping"/>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用以反映和考核项目决策规范程度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项目</w:t>
            </w:r>
            <w:r>
              <w:rPr>
                <w:rFonts w:hint="eastAsia" w:ascii="宋体" w:hAnsi="宋体" w:cs="宋体"/>
                <w:color w:val="000000"/>
                <w:kern w:val="0"/>
              </w:rPr>
              <w:br w:type="textWrapping"/>
            </w:r>
            <w:r>
              <w:rPr>
                <w:rFonts w:hint="eastAsia" w:ascii="宋体" w:hAnsi="宋体" w:cs="宋体"/>
                <w:color w:val="000000"/>
                <w:kern w:val="0"/>
              </w:rPr>
              <w:t>决策</w:t>
            </w:r>
            <w:r>
              <w:rPr>
                <w:rFonts w:hint="eastAsia" w:ascii="宋体" w:hAnsi="宋体" w:cs="宋体"/>
                <w:color w:val="000000"/>
                <w:kern w:val="0"/>
              </w:rPr>
              <w:br w:type="textWrapping"/>
            </w:r>
            <w:r>
              <w:rPr>
                <w:rFonts w:hint="eastAsia" w:ascii="宋体" w:hAnsi="宋体" w:cs="宋体"/>
                <w:color w:val="000000"/>
                <w:kern w:val="0"/>
              </w:rPr>
              <w:t>(22分)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绩效目标</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绩效目标设置科学</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遵照财政厅和省医疗保障局下达的年度总体目标和具体绩效指标</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我局绩效目标设置从产出指标、效益指标、满意度指标等三个方面进行科学制定，全维度提升我县医疗保障服务能力。</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①按照财政厅和省医疗保障局下达的绩效目标表进行细化，目标设置合理科学（1分）②明确产出指标、满意度指标等绩效指标要求（1分）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用以反映绩效目标的设置情况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绩效目标分解细化</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对财政厅和省医疗保障局下达的年度绩效目标结合实际进行分解细化</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按照总体目标内容，围绕绩效目标3个方面进行细化分解为14项指标，确保医疗保障服务能力提升工作具体可行。</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①市级按照要求同步细化分解下达绩效目标（1分）</w:t>
            </w:r>
            <w:r>
              <w:rPr>
                <w:rFonts w:hint="eastAsia" w:ascii="宋体" w:hAnsi="宋体" w:cs="宋体"/>
                <w:color w:val="000000"/>
                <w:kern w:val="0"/>
              </w:rPr>
              <w:br w:type="textWrapping"/>
            </w:r>
            <w:r>
              <w:rPr>
                <w:rFonts w:hint="eastAsia" w:ascii="宋体" w:hAnsi="宋体" w:cs="宋体"/>
                <w:color w:val="000000"/>
                <w:kern w:val="0"/>
              </w:rPr>
              <w:t>②细化分解下达的绩效目标与财政厅和省医疗保障局要求一致（1分）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用以反映绩效目标的分解情况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资金分配</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资金分配规范性</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按规定时限下达资金</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我县专项资金主要用于县域内县乡村三级医保服务体系建设、持续打击欺诈骗保、医保政策宣传、医保信息平台网络维护等方面，根据项目侧重规范合理分配资金，确保项目高效推进，提高专项资金使用效益。</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市级财政部门收到中央财政转移支付资金预算后,在30日内会同医保部门正式下达到本行政区域县级财政部门和医保部门（2分）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用以反映资金分配的规范性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资金分配合理性</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符合预算管理和医疗服务与保障能力提升补助资金管理要求</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根据项目侧重规范合理分配资金，确保项目高效推进，提高专项资金使用效益。</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①资金分配方案符合财政厅和省医疗保障局下达的文件要求（1分）</w:t>
            </w:r>
            <w:r>
              <w:rPr>
                <w:rFonts w:hint="eastAsia" w:ascii="宋体" w:hAnsi="宋体" w:cs="宋体"/>
                <w:color w:val="000000"/>
                <w:kern w:val="0"/>
              </w:rPr>
              <w:br w:type="textWrapping"/>
            </w:r>
            <w:r>
              <w:rPr>
                <w:rFonts w:hint="eastAsia" w:ascii="宋体" w:hAnsi="宋体" w:cs="宋体"/>
                <w:color w:val="000000"/>
                <w:kern w:val="0"/>
              </w:rPr>
              <w:t>2、资金分配与绩效评价结果挂钩（3分）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用以反映预算资金分配的合理性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hint="eastAsia" w:ascii="宋体" w:hAnsi="宋体" w:cs="宋体"/>
                <w:color w:val="000000"/>
                <w:kern w:val="0"/>
              </w:rPr>
            </w:pPr>
            <w:r>
              <w:rPr>
                <w:rFonts w:hint="eastAsia" w:ascii="宋体" w:hAnsi="宋体" w:cs="宋体"/>
                <w:color w:val="000000"/>
                <w:kern w:val="0"/>
              </w:rPr>
              <w:t>过程管理</w:t>
            </w:r>
          </w:p>
          <w:p>
            <w:pPr>
              <w:widowControl/>
              <w:spacing w:line="300" w:lineRule="exact"/>
              <w:jc w:val="center"/>
              <w:rPr>
                <w:rFonts w:ascii="宋体" w:hAnsi="宋体" w:cs="宋体"/>
                <w:color w:val="000000"/>
                <w:kern w:val="0"/>
              </w:rPr>
            </w:pPr>
            <w:r>
              <w:rPr>
                <w:rFonts w:hint="eastAsia" w:ascii="宋体" w:hAnsi="宋体" w:cs="宋体"/>
                <w:color w:val="000000"/>
                <w:kern w:val="0"/>
              </w:rPr>
              <w:t>（22分）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资金管理</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预算执行率</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≥90%</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2022年全县医疗保障与服务能力提升专项资金支出累计分配69万元，当年预算执行率为100%。</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全年执行数/全年预算数*10分(执行率≥90%,按10分计算)</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10</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10</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用以反映和考核项目预算执行情况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71"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资金使用合规性</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资金使用符合相关规定</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我局严格执行相关财务管理制度，认真按照批准项目和资金计划执行，对专项资金独立核算，专款专用，过程资料真实完整准确。</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①符合财经法规和有关专项资金管理办法(1分)②有完整的审批程序和手续(1分)③未发生截留、挤占、挪用、虚列支出等情况(1分)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3</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3</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用以反映和考核项目资金的规范运行情况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资金监管有效性</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监管措施有力</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通过加强专项资金监管，突出统筹协调、拨付速度、财政监管、使用效益等方面的管理，推行预算绩效管理制度，加强内控机制建设，完善管理办法，进一步提高专项资金使用的安全性、规范性和有效性。 </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各级医疗保障、财政部门以及转移支付资金具体使用单位，按照财政预算和国库管理有关规定，制定资金管理办法(3分)②市级医疗保障部门会同财政部门，做好能力提升补助资金支出监管，建立监管长效机制(1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用以反映各级部门资金管理、监管的措施和执行情况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组织管理</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管理制度健全有效性</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制度健全且执行有效</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严格按照专项资金管理制度规定的资金申报制度、资金使用制度、资金监督管理制度、资金财务支出制度执行。</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①别建立相应的管理制度(1分）</w:t>
            </w:r>
            <w:r>
              <w:rPr>
                <w:rFonts w:hint="eastAsia" w:ascii="宋体" w:hAnsi="宋体" w:cs="宋体"/>
                <w:color w:val="000000"/>
                <w:kern w:val="0"/>
              </w:rPr>
              <w:br w:type="textWrapping"/>
            </w:r>
            <w:r>
              <w:rPr>
                <w:rFonts w:hint="eastAsia" w:ascii="宋体" w:hAnsi="宋体" w:cs="宋体"/>
                <w:color w:val="000000"/>
                <w:kern w:val="0"/>
              </w:rPr>
              <w:t>②立项审批、招标采购、工程结算等规范运作、手续齐全(1分)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用以反映各级部门项目管理、监管的措施和执行情况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271"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绩效评价机制健全性</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全面实现绩效管理</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我局按照全市统一的医疗服务与保障能力提升补助资金绩效评价指标体系进行绩效评价。</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1绩效指标细化明确(1分)2评价报告规范完整(1分)3自评报告上报及时(1分)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3</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3</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用以反映全过程预算绩效管理情况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项目</w:t>
            </w:r>
          </w:p>
          <w:p>
            <w:pPr>
              <w:widowControl/>
              <w:spacing w:line="300" w:lineRule="exact"/>
              <w:jc w:val="center"/>
              <w:rPr>
                <w:rFonts w:ascii="宋体" w:hAnsi="宋体" w:cs="宋体"/>
                <w:color w:val="000000"/>
                <w:kern w:val="0"/>
              </w:rPr>
            </w:pPr>
            <w:r>
              <w:rPr>
                <w:rFonts w:hint="eastAsia" w:ascii="宋体" w:hAnsi="宋体" w:cs="宋体"/>
                <w:color w:val="000000"/>
                <w:kern w:val="0"/>
              </w:rPr>
              <w:t>产出</w:t>
            </w:r>
          </w:p>
          <w:p>
            <w:pPr>
              <w:widowControl/>
              <w:spacing w:line="300" w:lineRule="exact"/>
              <w:jc w:val="center"/>
              <w:rPr>
                <w:rFonts w:ascii="宋体" w:hAnsi="宋体" w:cs="宋体"/>
                <w:color w:val="000000"/>
                <w:kern w:val="0"/>
              </w:rPr>
            </w:pPr>
            <w:r>
              <w:rPr>
                <w:rFonts w:hint="eastAsia" w:ascii="宋体" w:hAnsi="宋体" w:cs="宋体"/>
                <w:color w:val="000000"/>
                <w:kern w:val="0"/>
              </w:rPr>
              <w:t>（50分）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数量指标</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spacing w:val="-6"/>
                <w:kern w:val="0"/>
              </w:rPr>
            </w:pPr>
            <w:r>
              <w:rPr>
                <w:rFonts w:hint="eastAsia" w:ascii="宋体" w:hAnsi="宋体" w:cs="宋体"/>
                <w:color w:val="000000"/>
                <w:spacing w:val="-6"/>
                <w:kern w:val="0"/>
              </w:rPr>
              <w:t>召开医保工作省级新闻发布会和政策吹风会</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≥2次</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我县未召开省级新闻发布会和政策吹风会。</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满分:≥2次</w:t>
            </w:r>
            <w:r>
              <w:rPr>
                <w:rFonts w:hint="eastAsia" w:ascii="宋体" w:hAnsi="宋体" w:cs="宋体"/>
                <w:color w:val="000000"/>
                <w:kern w:val="0"/>
              </w:rPr>
              <w:br w:type="textWrapping"/>
            </w:r>
            <w:r>
              <w:rPr>
                <w:rFonts w:hint="eastAsia" w:ascii="宋体" w:hAnsi="宋体" w:cs="宋体"/>
                <w:color w:val="000000"/>
                <w:kern w:val="0"/>
              </w:rPr>
              <w:t>合格:1次</w:t>
            </w:r>
            <w:r>
              <w:rPr>
                <w:rFonts w:hint="eastAsia" w:ascii="宋体" w:hAnsi="宋体" w:cs="宋体"/>
                <w:color w:val="000000"/>
                <w:kern w:val="0"/>
              </w:rPr>
              <w:br w:type="textWrapping"/>
            </w:r>
            <w:r>
              <w:rPr>
                <w:rFonts w:hint="eastAsia" w:ascii="宋体" w:hAnsi="宋体" w:cs="宋体"/>
                <w:color w:val="000000"/>
                <w:kern w:val="0"/>
              </w:rPr>
              <w:t>零分:0次</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0</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召开医保工作政府信息公开省级工作会的情况</w:t>
            </w:r>
            <w:r>
              <w:rPr>
                <w:rFonts w:hint="eastAsia" w:ascii="宋体" w:hAnsi="宋体" w:cs="宋体"/>
                <w:color w:val="0000FF"/>
                <w:kern w:val="0"/>
              </w:rPr>
              <w:t>（此项无填0分）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推进医保政府信息公开</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医保政府信息</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我局全年主动公开所有“主动公开”文件，有效办理信息公开申请。</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①主动公开所有“主动公开”文件（1分）</w:t>
            </w:r>
            <w:r>
              <w:rPr>
                <w:rFonts w:hint="eastAsia" w:ascii="宋体" w:hAnsi="宋体" w:cs="宋体"/>
                <w:color w:val="000000"/>
                <w:kern w:val="0"/>
              </w:rPr>
              <w:br w:type="textWrapping"/>
            </w:r>
            <w:r>
              <w:rPr>
                <w:rFonts w:hint="eastAsia" w:ascii="宋体" w:hAnsi="宋体" w:cs="宋体"/>
                <w:color w:val="000000"/>
                <w:kern w:val="0"/>
              </w:rPr>
              <w:t>②有效办理信息公开申请（1分）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提升政府信息公开工作的透明性和公开性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spacing w:val="-6"/>
                <w:kern w:val="0"/>
              </w:rPr>
            </w:pPr>
            <w:r>
              <w:rPr>
                <w:rFonts w:hint="eastAsia" w:ascii="宋体" w:hAnsi="宋体" w:cs="宋体"/>
                <w:color w:val="000000"/>
                <w:spacing w:val="-6"/>
                <w:kern w:val="0"/>
              </w:rPr>
              <w:t>在官方网站或微信公众号发布政策文件和解读</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实现医保信息公开</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我局2022年在县级官方网站或部门相关微信公众号发布政策文件和解读共36次。</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满分:≥31次</w:t>
            </w:r>
            <w:r>
              <w:rPr>
                <w:rFonts w:hint="eastAsia" w:ascii="宋体" w:hAnsi="宋体" w:cs="宋体"/>
                <w:color w:val="000000"/>
                <w:kern w:val="0"/>
              </w:rPr>
              <w:br w:type="textWrapping"/>
            </w:r>
            <w:r>
              <w:rPr>
                <w:rFonts w:hint="eastAsia" w:ascii="宋体" w:hAnsi="宋体" w:cs="宋体"/>
                <w:color w:val="000000"/>
                <w:kern w:val="0"/>
              </w:rPr>
              <w:t>合格:≥20次</w:t>
            </w:r>
            <w:r>
              <w:rPr>
                <w:rFonts w:hint="eastAsia" w:ascii="宋体" w:hAnsi="宋体" w:cs="宋体"/>
                <w:color w:val="000000"/>
                <w:kern w:val="0"/>
              </w:rPr>
              <w:br w:type="textWrapping"/>
            </w:r>
            <w:r>
              <w:rPr>
                <w:rFonts w:hint="eastAsia" w:ascii="宋体" w:hAnsi="宋体" w:cs="宋体"/>
                <w:color w:val="000000"/>
                <w:kern w:val="0"/>
              </w:rPr>
              <w:t>零分:＜10次</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在官方网站或微信公众号发布医保政策文件和解读情况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报送工作信息情况</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工作信息报送及时，质量较高</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2022年我局向市医疗保障局报送政务信信息18条，采用2条，信息亮点突出、问题鲜明、建议可行。</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①信息报送及时反映本地工作进展情况（1分）</w:t>
            </w:r>
            <w:r>
              <w:rPr>
                <w:rFonts w:hint="eastAsia" w:ascii="宋体" w:hAnsi="宋体" w:cs="宋体"/>
                <w:color w:val="000000"/>
                <w:kern w:val="0"/>
              </w:rPr>
              <w:br w:type="textWrapping"/>
            </w:r>
            <w:r>
              <w:rPr>
                <w:rFonts w:hint="eastAsia" w:ascii="宋体" w:hAnsi="宋体" w:cs="宋体"/>
                <w:color w:val="000000"/>
                <w:kern w:val="0"/>
              </w:rPr>
              <w:t>②信息亮点突出、问题鲜明、建议可行（1分）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spacing w:val="-6"/>
                <w:kern w:val="0"/>
              </w:rPr>
              <w:t>向市、省医疗保障局、国家医保局办公室报送政务信息，包括亮点工作、问题反映或政策建议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医保规范性文件和政策措施的合法性审查、公平竞争审查</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全覆盖</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我局严格按照相关规定对医保规范性文件和政策措施进行合法性审查、公平竞争审查。</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满分：全覆盖</w:t>
            </w:r>
            <w:r>
              <w:rPr>
                <w:rFonts w:hint="eastAsia" w:ascii="宋体" w:hAnsi="宋体" w:cs="宋体"/>
                <w:color w:val="000000"/>
                <w:kern w:val="0"/>
              </w:rPr>
              <w:br w:type="textWrapping"/>
            </w:r>
            <w:r>
              <w:rPr>
                <w:rFonts w:hint="eastAsia" w:ascii="宋体" w:hAnsi="宋体" w:cs="宋体"/>
                <w:color w:val="000000"/>
                <w:kern w:val="0"/>
              </w:rPr>
              <w:t>发现1项不合格扣为0分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医保规范性文件和政策措施的合法性审查、公平竞争审查情况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医保信息系统验收合格率</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≥90%</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医保信息系统验收合格率99%，达到设定目标。</w:t>
            </w:r>
          </w:p>
          <w:p>
            <w:pPr>
              <w:widowControl/>
              <w:spacing w:line="300" w:lineRule="exact"/>
              <w:jc w:val="left"/>
              <w:rPr>
                <w:rFonts w:ascii="宋体" w:hAnsi="宋体" w:cs="宋体"/>
                <w:color w:val="000000"/>
                <w:kern w:val="0"/>
              </w:rPr>
            </w:pP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满分:≥90%</w:t>
            </w:r>
          </w:p>
          <w:p>
            <w:pPr>
              <w:widowControl/>
              <w:spacing w:line="300" w:lineRule="exact"/>
              <w:jc w:val="left"/>
              <w:rPr>
                <w:rFonts w:ascii="宋体" w:hAnsi="宋体" w:cs="宋体"/>
                <w:color w:val="000000"/>
                <w:kern w:val="0"/>
              </w:rPr>
            </w:pPr>
            <w:r>
              <w:rPr>
                <w:rFonts w:hint="eastAsia" w:ascii="宋体" w:hAnsi="宋体" w:cs="宋体"/>
                <w:color w:val="000000"/>
                <w:kern w:val="0"/>
              </w:rPr>
              <w:t>合格:≥80%</w:t>
            </w:r>
          </w:p>
          <w:p>
            <w:pPr>
              <w:widowControl/>
              <w:spacing w:line="300" w:lineRule="exact"/>
              <w:jc w:val="left"/>
              <w:rPr>
                <w:rFonts w:ascii="宋体" w:hAnsi="宋体" w:cs="宋体"/>
                <w:color w:val="000000"/>
                <w:kern w:val="0"/>
              </w:rPr>
            </w:pPr>
            <w:r>
              <w:rPr>
                <w:rFonts w:hint="eastAsia" w:ascii="宋体" w:hAnsi="宋体" w:cs="宋体"/>
                <w:color w:val="000000"/>
                <w:kern w:val="0"/>
              </w:rPr>
              <w:t>零分:≤50%其他:合格之上:60+40*(实际值-80%)/10%合格之下: 60-60*(80%-实际值)/30%</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报告期内新建医保信息系统项目验收合格数量占新建医保信息系统项目数量的比重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项目</w:t>
            </w:r>
          </w:p>
          <w:p>
            <w:pPr>
              <w:widowControl/>
              <w:spacing w:line="300" w:lineRule="exact"/>
              <w:jc w:val="center"/>
              <w:rPr>
                <w:rFonts w:ascii="宋体" w:hAnsi="宋体" w:cs="宋体"/>
                <w:color w:val="000000"/>
                <w:kern w:val="0"/>
              </w:rPr>
            </w:pPr>
            <w:r>
              <w:rPr>
                <w:rFonts w:hint="eastAsia" w:ascii="宋体" w:hAnsi="宋体" w:cs="宋体"/>
                <w:color w:val="000000"/>
                <w:kern w:val="0"/>
              </w:rPr>
              <w:t>产出</w:t>
            </w:r>
          </w:p>
          <w:p>
            <w:pPr>
              <w:widowControl/>
              <w:spacing w:line="300" w:lineRule="exact"/>
              <w:jc w:val="center"/>
              <w:rPr>
                <w:rFonts w:ascii="宋体" w:hAnsi="宋体" w:cs="宋体"/>
                <w:color w:val="000000"/>
                <w:kern w:val="0"/>
              </w:rPr>
            </w:pPr>
            <w:r>
              <w:rPr>
                <w:rFonts w:hint="eastAsia" w:ascii="宋体" w:hAnsi="宋体" w:cs="宋体"/>
                <w:color w:val="000000"/>
                <w:kern w:val="0"/>
              </w:rPr>
              <w:t>（50分）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数量指标</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医保信息系统正常运行率</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≥90%</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医保信息系统服务全县50多万医保参保人群，接入实时联网结算定点医药机构168余家，信息系统正常运行率100%，达到设定目标。</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满分:≥90%</w:t>
            </w:r>
            <w:r>
              <w:rPr>
                <w:rFonts w:hint="eastAsia" w:ascii="宋体" w:hAnsi="宋体" w:cs="宋体"/>
                <w:color w:val="000000"/>
                <w:kern w:val="0"/>
              </w:rPr>
              <w:br w:type="textWrapping"/>
            </w:r>
            <w:r>
              <w:rPr>
                <w:rFonts w:hint="eastAsia" w:ascii="宋体" w:hAnsi="宋体" w:cs="宋体"/>
                <w:color w:val="000000"/>
                <w:kern w:val="0"/>
              </w:rPr>
              <w:t>合格:≥80%</w:t>
            </w:r>
            <w:r>
              <w:rPr>
                <w:rFonts w:hint="eastAsia" w:ascii="宋体" w:hAnsi="宋体" w:cs="宋体"/>
                <w:color w:val="000000"/>
                <w:kern w:val="0"/>
              </w:rPr>
              <w:br w:type="textWrapping"/>
            </w:r>
            <w:r>
              <w:rPr>
                <w:rFonts w:hint="eastAsia" w:ascii="宋体" w:hAnsi="宋体" w:cs="宋体"/>
                <w:color w:val="000000"/>
                <w:kern w:val="0"/>
              </w:rPr>
              <w:t>零分:≤50%</w:t>
            </w:r>
          </w:p>
          <w:p>
            <w:pPr>
              <w:widowControl/>
              <w:spacing w:line="300" w:lineRule="exact"/>
              <w:jc w:val="left"/>
              <w:rPr>
                <w:rFonts w:ascii="宋体" w:hAnsi="宋体" w:cs="宋体"/>
                <w:color w:val="000000"/>
                <w:kern w:val="0"/>
              </w:rPr>
            </w:pPr>
            <w:r>
              <w:rPr>
                <w:rFonts w:hint="eastAsia" w:ascii="宋体" w:hAnsi="宋体" w:cs="宋体"/>
                <w:color w:val="000000"/>
                <w:kern w:val="0"/>
              </w:rPr>
              <w:t>其他:合格之上:60+40*(实际值-80%)/10%合格之下:60-60*(80%-实际值)/30%</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报告期内完工并正常运行的医保信息系统数量占完工医保信息系统数量的比重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医保信息系统重大安全事件响应时间</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≤60分钟</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我县严格按照市医保信息系统安全保障方案及运维应急预案执行，明确重大安全事件诊断和恢复处理时间，符合设定1小时内设定目标。</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满分:≤60分钟</w:t>
            </w:r>
            <w:r>
              <w:rPr>
                <w:rFonts w:hint="eastAsia" w:ascii="宋体" w:hAnsi="宋体" w:cs="宋体"/>
                <w:color w:val="000000"/>
                <w:kern w:val="0"/>
              </w:rPr>
              <w:br w:type="textWrapping"/>
            </w:r>
            <w:r>
              <w:rPr>
                <w:rFonts w:hint="eastAsia" w:ascii="宋体" w:hAnsi="宋体" w:cs="宋体"/>
                <w:color w:val="000000"/>
                <w:kern w:val="0"/>
              </w:rPr>
              <w:t>合格:系统建设有设定</w:t>
            </w:r>
            <w:r>
              <w:rPr>
                <w:rFonts w:hint="eastAsia" w:ascii="宋体" w:hAnsi="宋体" w:cs="宋体"/>
                <w:color w:val="000000"/>
                <w:kern w:val="0"/>
              </w:rPr>
              <w:br w:type="textWrapping"/>
            </w:r>
            <w:r>
              <w:rPr>
                <w:rFonts w:hint="eastAsia" w:ascii="宋体" w:hAnsi="宋体" w:cs="宋体"/>
                <w:color w:val="000000"/>
                <w:kern w:val="0"/>
              </w:rPr>
              <w:t>零分:无设定</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信息系统发生重点安全事件做出响应的时间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医保信息系统运行维护响应时间</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≤30分钟</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我县严格按照市医保信息系统安全保障方案及运维应急预案执行，明确重大安全事件诊断和恢复处理时间，符合设定1小时内设定目标。</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满分:≤30分钟</w:t>
            </w:r>
            <w:r>
              <w:rPr>
                <w:rFonts w:hint="eastAsia" w:ascii="宋体" w:hAnsi="宋体" w:cs="宋体"/>
                <w:color w:val="000000"/>
                <w:kern w:val="0"/>
              </w:rPr>
              <w:br w:type="textWrapping"/>
            </w:r>
            <w:r>
              <w:rPr>
                <w:rFonts w:hint="eastAsia" w:ascii="宋体" w:hAnsi="宋体" w:cs="宋体"/>
                <w:color w:val="000000"/>
                <w:kern w:val="0"/>
              </w:rPr>
              <w:t>合格:系统建设有设定</w:t>
            </w:r>
            <w:r>
              <w:rPr>
                <w:rFonts w:hint="eastAsia" w:ascii="宋体" w:hAnsi="宋体" w:cs="宋体"/>
                <w:color w:val="000000"/>
                <w:kern w:val="0"/>
              </w:rPr>
              <w:br w:type="textWrapping"/>
            </w:r>
            <w:r>
              <w:rPr>
                <w:rFonts w:hint="eastAsia" w:ascii="宋体" w:hAnsi="宋体" w:cs="宋体"/>
                <w:color w:val="000000"/>
                <w:kern w:val="0"/>
              </w:rPr>
              <w:t>零分:无设定</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医保信息系统故障运行维护的响应时间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飞行监督检查覆盖率</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100%</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通过组织“双随机一公开”检查、飞行检查、专项行动、举报核查，结合日常巡查、网上监控等形式，实现监督检查全方位、常态化，全年检查定点医药机构168家，检查覆盖率100%，达到设定目标。</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满分:100%</w:t>
            </w:r>
            <w:r>
              <w:rPr>
                <w:rFonts w:hint="eastAsia" w:ascii="宋体" w:hAnsi="宋体" w:cs="宋体"/>
                <w:color w:val="000000"/>
                <w:kern w:val="0"/>
              </w:rPr>
              <w:br w:type="textWrapping"/>
            </w:r>
            <w:r>
              <w:rPr>
                <w:rFonts w:hint="eastAsia" w:ascii="宋体" w:hAnsi="宋体" w:cs="宋体"/>
                <w:color w:val="000000"/>
                <w:kern w:val="0"/>
              </w:rPr>
              <w:t>合格:95%</w:t>
            </w:r>
            <w:r>
              <w:rPr>
                <w:rFonts w:hint="eastAsia" w:ascii="宋体" w:hAnsi="宋体" w:cs="宋体"/>
                <w:color w:val="000000"/>
                <w:kern w:val="0"/>
              </w:rPr>
              <w:br w:type="textWrapping"/>
            </w:r>
            <w:r>
              <w:rPr>
                <w:rFonts w:hint="eastAsia" w:ascii="宋体" w:hAnsi="宋体" w:cs="宋体"/>
                <w:color w:val="000000"/>
                <w:kern w:val="0"/>
              </w:rPr>
              <w:t>零分:&lt;95%</w:t>
            </w:r>
            <w:r>
              <w:rPr>
                <w:rFonts w:hint="eastAsia" w:ascii="宋体" w:hAnsi="宋体" w:cs="宋体"/>
                <w:color w:val="000000"/>
                <w:kern w:val="0"/>
              </w:rPr>
              <w:br w:type="textWrapping"/>
            </w:r>
            <w:r>
              <w:rPr>
                <w:rFonts w:hint="eastAsia" w:ascii="宋体" w:hAnsi="宋体" w:cs="宋体"/>
                <w:color w:val="000000"/>
                <w:kern w:val="0"/>
              </w:rPr>
              <w:t>其他:合格之上:60+40*(实际值-95%)/5%</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对定点医疗机构和定点零售药店监督检查全覆盖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推行医保支付方式改革和DRG、DIP试点</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逐步推开</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持续推进以DRG付费为核心的多元付费方式改革，全县40家定点医院全覆盖实行DRG付费。</w:t>
            </w:r>
          </w:p>
        </w:tc>
        <w:tc>
          <w:tcPr>
            <w:tcW w:w="2374" w:type="dxa"/>
            <w:shd w:val="clear" w:color="auto" w:fill="auto"/>
            <w:tcMar>
              <w:left w:w="11" w:type="dxa"/>
              <w:right w:w="11" w:type="dxa"/>
            </w:tcMar>
            <w:vAlign w:val="center"/>
          </w:tcPr>
          <w:p>
            <w:pPr>
              <w:widowControl/>
              <w:spacing w:line="300" w:lineRule="exact"/>
              <w:rPr>
                <w:rFonts w:ascii="宋体" w:hAnsi="宋体" w:cs="宋体"/>
                <w:color w:val="000000"/>
                <w:kern w:val="0"/>
              </w:rPr>
            </w:pPr>
            <w:r>
              <w:rPr>
                <w:rFonts w:hint="eastAsia" w:ascii="宋体" w:hAnsi="宋体" w:cs="宋体"/>
                <w:color w:val="000000"/>
                <w:kern w:val="0"/>
              </w:rPr>
              <w:t>满分:市级出台支付方式改革文件并落实到位。DRG、DIP付费国家试点进展监测评估结果为“进度优秀”</w:t>
            </w:r>
            <w:r>
              <w:rPr>
                <w:rFonts w:hint="eastAsia" w:ascii="宋体" w:hAnsi="宋体" w:cs="宋体"/>
                <w:color w:val="000000"/>
                <w:kern w:val="0"/>
              </w:rPr>
              <w:br w:type="textWrapping"/>
            </w:r>
            <w:r>
              <w:rPr>
                <w:rFonts w:hint="eastAsia" w:ascii="宋体" w:hAnsi="宋体" w:cs="宋体"/>
                <w:color w:val="000000"/>
                <w:kern w:val="0"/>
              </w:rPr>
              <w:t>合格（1分）:市级出台支付方式改革文件并落实到位，有国家支付方式改革和DRG、DIP试点通过试点监测评估</w:t>
            </w:r>
            <w:r>
              <w:rPr>
                <w:rFonts w:hint="eastAsia" w:ascii="宋体" w:hAnsi="宋体" w:cs="宋体"/>
                <w:color w:val="000000"/>
                <w:kern w:val="0"/>
              </w:rPr>
              <w:br w:type="textWrapping"/>
            </w:r>
            <w:r>
              <w:rPr>
                <w:rFonts w:hint="eastAsia" w:ascii="宋体" w:hAnsi="宋体" w:cs="宋体"/>
                <w:color w:val="000000"/>
                <w:kern w:val="0"/>
              </w:rPr>
              <w:t>零分:未开展任何医保支付方式改革</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通过省级政府出台支付改革文件,国家试点进展情况,试点监测评估结果等衡量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项目</w:t>
            </w:r>
          </w:p>
          <w:p>
            <w:pPr>
              <w:widowControl/>
              <w:spacing w:line="300" w:lineRule="exact"/>
              <w:jc w:val="center"/>
              <w:rPr>
                <w:rFonts w:ascii="宋体" w:hAnsi="宋体" w:cs="宋体"/>
                <w:color w:val="000000"/>
                <w:kern w:val="0"/>
              </w:rPr>
            </w:pPr>
            <w:r>
              <w:rPr>
                <w:rFonts w:hint="eastAsia" w:ascii="宋体" w:hAnsi="宋体" w:cs="宋体"/>
                <w:color w:val="000000"/>
                <w:kern w:val="0"/>
              </w:rPr>
              <w:t>产出</w:t>
            </w:r>
          </w:p>
          <w:p>
            <w:pPr>
              <w:widowControl/>
              <w:spacing w:line="300" w:lineRule="exact"/>
              <w:jc w:val="center"/>
              <w:rPr>
                <w:rFonts w:ascii="宋体" w:hAnsi="宋体" w:cs="宋体"/>
                <w:color w:val="000000"/>
                <w:kern w:val="0"/>
              </w:rPr>
            </w:pPr>
            <w:r>
              <w:rPr>
                <w:rFonts w:hint="eastAsia" w:ascii="宋体" w:hAnsi="宋体" w:cs="宋体"/>
                <w:color w:val="000000"/>
                <w:kern w:val="0"/>
              </w:rPr>
              <w:t>（50分）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质量指标</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医保法治建设能力</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有所提高</w:t>
            </w:r>
          </w:p>
        </w:tc>
        <w:tc>
          <w:tcPr>
            <w:tcW w:w="2962" w:type="dxa"/>
            <w:shd w:val="clear" w:color="auto" w:fill="auto"/>
            <w:tcMar>
              <w:left w:w="11" w:type="dxa"/>
              <w:right w:w="11"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我局紧紧围绕法治建设工作要求，推进法治建设组织领导，加强法治建设制度建设和专业人员配备，开展法治建设宣传教育，不断完善行政执法公示、重大执法决定法制审核制度，提高运用法治思维和法治方式推动医保高质量发展，应对医保基金风险的能力，不断提升医保行业依法行政水平。</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1.制定医保法治建设方面制度实施（2分）</w:t>
            </w:r>
          </w:p>
          <w:p>
            <w:pPr>
              <w:widowControl/>
              <w:spacing w:line="300" w:lineRule="exact"/>
              <w:jc w:val="left"/>
              <w:rPr>
                <w:rFonts w:ascii="宋体" w:hAnsi="宋体" w:cs="宋体"/>
                <w:color w:val="000000"/>
                <w:kern w:val="0"/>
              </w:rPr>
            </w:pPr>
            <w:r>
              <w:rPr>
                <w:rFonts w:hint="eastAsia" w:ascii="宋体" w:hAnsi="宋体" w:cs="宋体"/>
                <w:color w:val="000000"/>
                <w:kern w:val="0"/>
              </w:rPr>
              <w:t>2.配备专职或兼职法律工作人员（2分）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用以反映医保法治建设能力情况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基金预警和风险防控能力</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有所提高</w:t>
            </w:r>
          </w:p>
        </w:tc>
        <w:tc>
          <w:tcPr>
            <w:tcW w:w="2962" w:type="dxa"/>
            <w:shd w:val="clear" w:color="auto" w:fill="auto"/>
            <w:tcMar>
              <w:left w:w="11" w:type="dxa"/>
              <w:right w:w="11"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实时监控定点医疗机构医保信息数据，加强部门协调联动，加大欺诈骗保打击力度，加强医保协议管理，实现监管手段有效衔接，综合运用多部门、大数据、纠指标、严处理等方式，建立常态化医保基金风险预警防控机制，前置医保基金监管，保障基金运行安全。</w:t>
            </w:r>
          </w:p>
        </w:tc>
        <w:tc>
          <w:tcPr>
            <w:tcW w:w="2374" w:type="dxa"/>
            <w:shd w:val="clear" w:color="auto" w:fill="auto"/>
            <w:tcMar>
              <w:left w:w="11" w:type="dxa"/>
              <w:right w:w="11" w:type="dxa"/>
            </w:tcMar>
            <w:vAlign w:val="center"/>
          </w:tcPr>
          <w:p>
            <w:pPr>
              <w:widowControl/>
              <w:numPr>
                <w:ilvl w:val="0"/>
                <w:numId w:val="6"/>
              </w:numPr>
              <w:spacing w:line="300" w:lineRule="exact"/>
              <w:jc w:val="left"/>
              <w:rPr>
                <w:rFonts w:ascii="宋体" w:hAnsi="宋体" w:cs="宋体"/>
                <w:color w:val="000000"/>
                <w:kern w:val="0"/>
              </w:rPr>
            </w:pPr>
            <w:r>
              <w:rPr>
                <w:rFonts w:hint="eastAsia" w:ascii="宋体" w:hAnsi="宋体" w:cs="宋体"/>
                <w:color w:val="000000"/>
                <w:kern w:val="0"/>
              </w:rPr>
              <w:t>定期进行医保基金运行分析（2分）</w:t>
            </w:r>
          </w:p>
          <w:p>
            <w:pPr>
              <w:widowControl/>
              <w:numPr>
                <w:ilvl w:val="0"/>
                <w:numId w:val="6"/>
              </w:numPr>
              <w:spacing w:line="300" w:lineRule="exact"/>
              <w:jc w:val="left"/>
              <w:rPr>
                <w:rFonts w:ascii="宋体" w:hAnsi="宋体" w:cs="宋体"/>
                <w:color w:val="000000"/>
                <w:kern w:val="0"/>
              </w:rPr>
            </w:pPr>
            <w:r>
              <w:rPr>
                <w:rFonts w:hint="eastAsia" w:ascii="宋体" w:hAnsi="宋体" w:cs="宋体"/>
                <w:color w:val="000000"/>
                <w:kern w:val="0"/>
              </w:rPr>
              <w:t>建立医保基金分析防控机制（3分）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5</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5</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用以反映基金预警和风险防控能力情况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医保标准化水平</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显著提升</w:t>
            </w:r>
          </w:p>
        </w:tc>
        <w:tc>
          <w:tcPr>
            <w:tcW w:w="2962" w:type="dxa"/>
            <w:shd w:val="clear" w:color="auto" w:fill="auto"/>
            <w:tcMar>
              <w:left w:w="11" w:type="dxa"/>
              <w:right w:w="11"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一是迅速发动，覆盖全县。我县率先启动县级医保服务大厅的标准化设计和改造，同步加强对29个乡镇医疗保障服务站、364个村（社区）医疗保障服务室的标准化建设，实现县乡村三级医保经办服务体系全覆盖；二是因地制宜，量身打造。做优县级经办，做强镇级经办，做实村级经办；三是系统完善，内外兼修。健全大厅管理制度，强化人员培训学习，全面提升业务经办人员综合素质。</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承担国家、省、市医保公共服务标准化试点项目（3分）</w:t>
            </w:r>
            <w:r>
              <w:rPr>
                <w:rFonts w:hint="eastAsia" w:ascii="宋体" w:hAnsi="宋体" w:cs="宋体"/>
                <w:color w:val="000000"/>
                <w:kern w:val="0"/>
              </w:rPr>
              <w:br w:type="textWrapping"/>
            </w:r>
            <w:r>
              <w:rPr>
                <w:rFonts w:hint="eastAsia" w:ascii="宋体" w:hAnsi="宋体" w:cs="宋体"/>
                <w:color w:val="000000"/>
                <w:kern w:val="0"/>
              </w:rPr>
              <w:t>完成国家医保标准化15项标准的贯标工作（1分）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4</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用以反映标准化建设项目资金的效果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医保经办服务能力</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有所提升</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通过对医保经办服务事项全面梳理、分类细化和流程明确，规范窗口和热线服务岗位等人员文明用语、行为准则、服务礼仪，创新政务服务方式，大力推行“网上办”、“掌上办”，实行综合柜员制和一窗办理，实行全市、全县通办，落实政务服务“好差评”制度，持续优化营商环境，推动我县医保经办服务水平提质增效。</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医保经办机构归口管理、独立运行。（4分）</w:t>
            </w:r>
          </w:p>
          <w:p>
            <w:pPr>
              <w:widowControl/>
              <w:spacing w:line="300" w:lineRule="exact"/>
              <w:jc w:val="left"/>
              <w:rPr>
                <w:rFonts w:ascii="宋体" w:hAnsi="宋体" w:cs="宋体"/>
                <w:color w:val="000000"/>
                <w:kern w:val="0"/>
              </w:rPr>
            </w:pPr>
            <w:r>
              <w:rPr>
                <w:rFonts w:hint="eastAsia" w:ascii="宋体" w:hAnsi="宋体" w:cs="宋体"/>
                <w:color w:val="000000"/>
                <w:kern w:val="0"/>
              </w:rPr>
              <w:t>医保经办清单全面落实（2分）</w:t>
            </w:r>
          </w:p>
          <w:p>
            <w:pPr>
              <w:widowControl/>
              <w:spacing w:line="300" w:lineRule="exact"/>
              <w:jc w:val="left"/>
              <w:rPr>
                <w:rFonts w:ascii="宋体" w:hAnsi="宋体" w:cs="宋体"/>
                <w:color w:val="000000"/>
                <w:kern w:val="0"/>
              </w:rPr>
            </w:pPr>
            <w:r>
              <w:rPr>
                <w:rFonts w:hint="eastAsia" w:ascii="宋体" w:hAnsi="宋体" w:cs="宋体"/>
                <w:color w:val="000000"/>
                <w:kern w:val="0"/>
              </w:rPr>
              <w:t>实行综合柜员制和一窗办理，实行全市、全县通办（2分）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10</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10</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用以反映医保经办机构的服务能力,可依据第三方评估结果（部分地区）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1271"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医保综合监管能力</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显著提升</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我局通过自查自纠，强力监管，构建长效机制等方式，让医保基金监管逐步形成堵漏洞、强监管、重规范、严震摄的工作态势。</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满分（2分）:医保综合监管能力较上年提高5%及以上</w:t>
            </w:r>
            <w:r>
              <w:rPr>
                <w:rFonts w:hint="eastAsia" w:ascii="宋体" w:hAnsi="宋体" w:cs="宋体"/>
                <w:color w:val="000000"/>
                <w:kern w:val="0"/>
              </w:rPr>
              <w:br w:type="textWrapping"/>
            </w:r>
            <w:r>
              <w:rPr>
                <w:rFonts w:hint="eastAsia" w:ascii="宋体" w:hAnsi="宋体" w:cs="宋体"/>
                <w:color w:val="000000"/>
                <w:kern w:val="0"/>
              </w:rPr>
              <w:t>合格（1）:医保综合监管能力较上年提高5%以内</w:t>
            </w:r>
            <w:r>
              <w:rPr>
                <w:rFonts w:hint="eastAsia" w:ascii="宋体" w:hAnsi="宋体" w:cs="宋体"/>
                <w:color w:val="000000"/>
                <w:kern w:val="0"/>
              </w:rPr>
              <w:br w:type="textWrapping"/>
            </w:r>
            <w:r>
              <w:rPr>
                <w:rFonts w:hint="eastAsia" w:ascii="宋体" w:hAnsi="宋体" w:cs="宋体"/>
                <w:color w:val="000000"/>
                <w:kern w:val="0"/>
              </w:rPr>
              <w:t>零分:医保综合监管能力较上年下降</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用以反映医保监管项目资金的效果（开展监管的相关记录）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271"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项目</w:t>
            </w:r>
          </w:p>
          <w:p>
            <w:pPr>
              <w:widowControl/>
              <w:spacing w:line="300" w:lineRule="exact"/>
              <w:jc w:val="center"/>
              <w:rPr>
                <w:rFonts w:ascii="宋体" w:hAnsi="宋体" w:cs="宋体"/>
                <w:color w:val="000000"/>
                <w:kern w:val="0"/>
              </w:rPr>
            </w:pPr>
            <w:r>
              <w:rPr>
                <w:rFonts w:hint="eastAsia" w:ascii="宋体" w:hAnsi="宋体" w:cs="宋体"/>
                <w:color w:val="000000"/>
                <w:kern w:val="0"/>
              </w:rPr>
              <w:t>产出</w:t>
            </w:r>
          </w:p>
          <w:p>
            <w:pPr>
              <w:widowControl/>
              <w:spacing w:line="300" w:lineRule="exact"/>
              <w:jc w:val="center"/>
              <w:rPr>
                <w:rFonts w:ascii="宋体" w:hAnsi="宋体" w:cs="宋体"/>
                <w:color w:val="000000"/>
                <w:kern w:val="0"/>
              </w:rPr>
            </w:pPr>
            <w:r>
              <w:rPr>
                <w:rFonts w:hint="eastAsia" w:ascii="宋体" w:hAnsi="宋体" w:cs="宋体"/>
                <w:color w:val="000000"/>
                <w:kern w:val="0"/>
              </w:rPr>
              <w:t>（50分）</w:t>
            </w:r>
          </w:p>
        </w:tc>
        <w:tc>
          <w:tcPr>
            <w:tcW w:w="1134" w:type="dxa"/>
            <w:vMerge w:val="restart"/>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质量指标</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跨省异地就医直接结算率</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有所提高</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根据基本医疗保险异地就医情况统计，2022年职工、居民基本医疗保险跨省直接结算率较往年明显提高。</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满分:较往年提高（2分）</w:t>
            </w:r>
            <w:r>
              <w:rPr>
                <w:rFonts w:hint="eastAsia" w:ascii="宋体" w:hAnsi="宋体" w:cs="宋体"/>
                <w:color w:val="000000"/>
                <w:kern w:val="0"/>
              </w:rPr>
              <w:br w:type="textWrapping"/>
            </w:r>
            <w:r>
              <w:rPr>
                <w:rFonts w:hint="eastAsia" w:ascii="宋体" w:hAnsi="宋体" w:cs="宋体"/>
                <w:color w:val="000000"/>
                <w:kern w:val="0"/>
              </w:rPr>
              <w:t>合格:较往年持平（1分）</w:t>
            </w:r>
            <w:r>
              <w:rPr>
                <w:rFonts w:hint="eastAsia" w:ascii="宋体" w:hAnsi="宋体" w:cs="宋体"/>
                <w:color w:val="000000"/>
                <w:kern w:val="0"/>
              </w:rPr>
              <w:br w:type="textWrapping"/>
            </w:r>
            <w:r>
              <w:rPr>
                <w:rFonts w:hint="eastAsia" w:ascii="宋体" w:hAnsi="宋体" w:cs="宋体"/>
                <w:color w:val="000000"/>
                <w:kern w:val="0"/>
              </w:rPr>
              <w:t>零分:较往年降低（0分）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报告期居民医保跨省异地就医直接结算人数占跨省异地就医人数的比重变化情况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1271" w:type="dxa"/>
            <w:vMerge w:val="continue"/>
            <w:shd w:val="clear" w:color="auto" w:fill="auto"/>
            <w:tcMar>
              <w:left w:w="11" w:type="dxa"/>
              <w:right w:w="11" w:type="dxa"/>
            </w:tcMar>
            <w:vAlign w:val="center"/>
          </w:tcPr>
          <w:p>
            <w:pPr>
              <w:widowControl/>
              <w:spacing w:line="300" w:lineRule="exact"/>
              <w:jc w:val="center"/>
              <w:rPr>
                <w:rFonts w:ascii="宋体" w:hAnsi="宋体" w:cs="宋体"/>
                <w:color w:val="000000"/>
                <w:kern w:val="0"/>
              </w:rPr>
            </w:pPr>
          </w:p>
        </w:tc>
        <w:tc>
          <w:tcPr>
            <w:tcW w:w="1134" w:type="dxa"/>
            <w:vMerge w:val="continue"/>
            <w:shd w:val="clear" w:color="auto" w:fill="auto"/>
            <w:tcMar>
              <w:left w:w="11" w:type="dxa"/>
              <w:right w:w="11" w:type="dxa"/>
            </w:tcMar>
            <w:vAlign w:val="center"/>
          </w:tcPr>
          <w:p>
            <w:pPr>
              <w:widowControl/>
              <w:spacing w:line="300" w:lineRule="exact"/>
              <w:jc w:val="left"/>
              <w:rPr>
                <w:rFonts w:ascii="宋体" w:hAnsi="宋体" w:cs="宋体"/>
                <w:color w:val="000000"/>
                <w:kern w:val="0"/>
              </w:rPr>
            </w:pP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医保新闻宣传、政府信息工作和政策研究能力等方面培训</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有所提高</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我县充分运用各种媒介，全方位多角度开展医保宣传工作，加大医保政策宣传力度，结合医保政策宣传月集中宣传医保政策，启动打击欺诈骗保宣传月活动，助推医保政策深入民心，提升群众医保政策知晓率和满意度。</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满分:较往年提高（2分）</w:t>
            </w:r>
            <w:r>
              <w:rPr>
                <w:rFonts w:hint="eastAsia" w:ascii="宋体" w:hAnsi="宋体" w:cs="宋体"/>
                <w:color w:val="000000"/>
                <w:kern w:val="0"/>
              </w:rPr>
              <w:br w:type="textWrapping"/>
            </w:r>
            <w:r>
              <w:rPr>
                <w:rFonts w:hint="eastAsia" w:ascii="宋体" w:hAnsi="宋体" w:cs="宋体"/>
                <w:color w:val="000000"/>
                <w:kern w:val="0"/>
              </w:rPr>
              <w:t>合格:较往年持平（1分）</w:t>
            </w:r>
            <w:r>
              <w:rPr>
                <w:rFonts w:hint="eastAsia" w:ascii="宋体" w:hAnsi="宋体" w:cs="宋体"/>
                <w:color w:val="000000"/>
                <w:kern w:val="0"/>
              </w:rPr>
              <w:br w:type="textWrapping"/>
            </w:r>
            <w:r>
              <w:rPr>
                <w:rFonts w:hint="eastAsia" w:ascii="宋体" w:hAnsi="宋体" w:cs="宋体"/>
                <w:color w:val="000000"/>
                <w:kern w:val="0"/>
              </w:rPr>
              <w:t>零分:较往年降低（0分）</w:t>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开展医保新闻宣传、政府信息工作和政策研究培训</w:t>
            </w:r>
            <w:r>
              <w:rPr>
                <w:rFonts w:hint="eastAsia" w:ascii="宋体" w:hAnsi="宋体" w:cs="宋体"/>
                <w:color w:val="000000"/>
                <w:kern w:val="0"/>
              </w:rPr>
              <w:br w:type="textWrapping"/>
            </w:r>
            <w:r>
              <w:rPr>
                <w:rFonts w:hint="eastAsia" w:ascii="宋体" w:hAnsi="宋体" w:cs="宋体"/>
                <w:color w:val="000000"/>
                <w:kern w:val="0"/>
              </w:rPr>
              <w:t>配备医保新闻宣传、政府信息工作和政策研究的刊物、资料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71" w:type="dxa"/>
            <w:shd w:val="clear" w:color="auto" w:fill="auto"/>
            <w:tcMar>
              <w:left w:w="11" w:type="dxa"/>
              <w:right w:w="11" w:type="dxa"/>
            </w:tcMar>
            <w:vAlign w:val="center"/>
          </w:tcPr>
          <w:p>
            <w:pPr>
              <w:widowControl/>
              <w:spacing w:line="300" w:lineRule="exact"/>
              <w:jc w:val="center"/>
              <w:rPr>
                <w:rFonts w:hint="eastAsia" w:ascii="宋体" w:hAnsi="宋体" w:cs="宋体"/>
                <w:color w:val="000000"/>
                <w:kern w:val="0"/>
              </w:rPr>
            </w:pPr>
            <w:r>
              <w:rPr>
                <w:rFonts w:hint="eastAsia" w:ascii="宋体" w:hAnsi="宋体" w:cs="宋体"/>
                <w:color w:val="000000"/>
                <w:kern w:val="0"/>
              </w:rPr>
              <w:t>项目效益</w:t>
            </w:r>
          </w:p>
          <w:p>
            <w:pPr>
              <w:widowControl/>
              <w:spacing w:line="300" w:lineRule="exact"/>
              <w:jc w:val="center"/>
              <w:rPr>
                <w:rFonts w:ascii="宋体" w:hAnsi="宋体" w:cs="宋体"/>
                <w:color w:val="000000"/>
                <w:kern w:val="0"/>
              </w:rPr>
            </w:pPr>
            <w:r>
              <w:rPr>
                <w:rFonts w:hint="eastAsia" w:ascii="宋体" w:hAnsi="宋体" w:cs="宋体"/>
                <w:color w:val="000000"/>
                <w:kern w:val="0"/>
              </w:rPr>
              <w:t>（10分）</w:t>
            </w:r>
          </w:p>
        </w:tc>
        <w:tc>
          <w:tcPr>
            <w:tcW w:w="1134"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服务对象满意度</w:t>
            </w:r>
          </w:p>
        </w:tc>
        <w:tc>
          <w:tcPr>
            <w:tcW w:w="1609"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工作满意度</w:t>
            </w:r>
          </w:p>
        </w:tc>
        <w:tc>
          <w:tcPr>
            <w:tcW w:w="1578"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≥85%</w:t>
            </w:r>
          </w:p>
        </w:tc>
        <w:tc>
          <w:tcPr>
            <w:tcW w:w="2962"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经过绩效测评，实施医疗保障服务能力项目后，参保人员对医保服务的满意度99%以上，定点医疗机构对医保管理服务满意度99%以上。</w:t>
            </w:r>
          </w:p>
        </w:tc>
        <w:tc>
          <w:tcPr>
            <w:tcW w:w="2374"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满分:大于85%</w:t>
            </w:r>
            <w:r>
              <w:rPr>
                <w:rFonts w:hint="eastAsia" w:ascii="宋体" w:hAnsi="宋体" w:cs="宋体"/>
                <w:color w:val="000000"/>
                <w:kern w:val="0"/>
              </w:rPr>
              <w:br w:type="textWrapping"/>
            </w:r>
            <w:r>
              <w:rPr>
                <w:rFonts w:hint="eastAsia" w:ascii="宋体" w:hAnsi="宋体" w:cs="宋体"/>
                <w:color w:val="000000"/>
                <w:kern w:val="0"/>
              </w:rPr>
              <w:t>合格:等于85%</w:t>
            </w:r>
            <w:r>
              <w:rPr>
                <w:rFonts w:hint="eastAsia" w:ascii="宋体" w:hAnsi="宋体" w:cs="宋体"/>
                <w:color w:val="000000"/>
                <w:kern w:val="0"/>
              </w:rPr>
              <w:br w:type="textWrapping"/>
            </w:r>
            <w:r>
              <w:rPr>
                <w:rFonts w:hint="eastAsia" w:ascii="宋体" w:hAnsi="宋体" w:cs="宋体"/>
                <w:color w:val="000000"/>
                <w:kern w:val="0"/>
              </w:rPr>
              <w:t>零分:小于85%</w:t>
            </w:r>
            <w:r>
              <w:rPr>
                <w:rFonts w:hint="eastAsia" w:ascii="宋体" w:hAnsi="宋体" w:cs="宋体"/>
                <w:color w:val="000000"/>
                <w:kern w:val="0"/>
              </w:rPr>
              <w:br w:type="textWrapping"/>
            </w:r>
          </w:p>
        </w:tc>
        <w:tc>
          <w:tcPr>
            <w:tcW w:w="567"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10</w:t>
            </w:r>
          </w:p>
        </w:tc>
        <w:tc>
          <w:tcPr>
            <w:tcW w:w="691" w:type="dxa"/>
            <w:shd w:val="clear" w:color="auto" w:fill="auto"/>
            <w:tcMar>
              <w:left w:w="11" w:type="dxa"/>
              <w:right w:w="11" w:type="dxa"/>
            </w:tcMar>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10</w:t>
            </w:r>
          </w:p>
        </w:tc>
        <w:tc>
          <w:tcPr>
            <w:tcW w:w="2126" w:type="dxa"/>
            <w:shd w:val="clear" w:color="auto" w:fill="auto"/>
            <w:tcMar>
              <w:left w:w="11" w:type="dxa"/>
              <w:right w:w="11" w:type="dxa"/>
            </w:tcMar>
            <w:vAlign w:val="center"/>
          </w:tcPr>
          <w:p>
            <w:pPr>
              <w:widowControl/>
              <w:spacing w:line="300" w:lineRule="exact"/>
              <w:jc w:val="left"/>
              <w:rPr>
                <w:rFonts w:ascii="宋体" w:hAnsi="宋体" w:cs="宋体"/>
                <w:color w:val="000000"/>
                <w:kern w:val="0"/>
              </w:rPr>
            </w:pPr>
            <w:r>
              <w:rPr>
                <w:rFonts w:hint="eastAsia" w:ascii="宋体" w:hAnsi="宋体" w:cs="宋体"/>
                <w:color w:val="000000"/>
                <w:kern w:val="0"/>
              </w:rPr>
              <w:t>用以反映保障能力提升的效果和社会影响</w:t>
            </w:r>
          </w:p>
        </w:tc>
      </w:tr>
    </w:tbl>
    <w:p>
      <w:pPr>
        <w:pStyle w:val="6"/>
        <w:ind w:left="0" w:leftChars="0" w:firstLine="0" w:firstLineChars="0"/>
        <w:rPr>
          <w:rFonts w:hint="eastAsia"/>
        </w:rPr>
        <w:sectPr>
          <w:headerReference r:id="rId6" w:type="default"/>
          <w:footerReference r:id="rId7" w:type="default"/>
          <w:pgSz w:w="16838" w:h="11906" w:orient="landscape"/>
          <w:pgMar w:top="1800" w:right="1440" w:bottom="1800" w:left="1440" w:header="851" w:footer="992" w:gutter="0"/>
          <w:pgNumType w:fmt="decimal"/>
          <w:cols w:space="425" w:num="1"/>
          <w:titlePg/>
          <w:docGrid w:type="lines" w:linePitch="312" w:charSpace="0"/>
        </w:sectPr>
      </w:pPr>
    </w:p>
    <w:p>
      <w:pPr>
        <w:spacing w:line="600" w:lineRule="exact"/>
        <w:jc w:val="both"/>
        <w:outlineLvl w:val="0"/>
        <w:rPr>
          <w:rFonts w:hint="eastAsia" w:ascii="仿宋_GB2312" w:hAnsi="宋体" w:eastAsia="仿宋_GB2312" w:cs="仿宋"/>
          <w:bCs/>
          <w:color w:val="000000" w:themeColor="text1"/>
          <w:sz w:val="32"/>
          <w:szCs w:val="32"/>
          <w14:textFill>
            <w14:solidFill>
              <w14:schemeClr w14:val="tx1"/>
            </w14:solidFill>
          </w14:textFill>
        </w:rPr>
      </w:pPr>
    </w:p>
    <w:p>
      <w:pPr>
        <w:spacing w:line="600" w:lineRule="exact"/>
        <w:jc w:val="center"/>
        <w:outlineLvl w:val="0"/>
        <w:rPr>
          <w:rFonts w:hint="eastAsia" w:ascii="仿宋_GB2312" w:hAnsi="宋体" w:eastAsia="仿宋_GB2312" w:cs="仿宋"/>
          <w:bCs/>
          <w:color w:val="000000" w:themeColor="text1"/>
          <w:sz w:val="32"/>
          <w:szCs w:val="32"/>
          <w14:textFill>
            <w14:solidFill>
              <w14:schemeClr w14:val="tx1"/>
            </w14:solidFill>
          </w14:textFill>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End w:id="21"/>
      <w:bookmarkEnd w:id="22"/>
      <w:bookmarkStart w:id="23"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23"/>
    </w:p>
    <w:p>
      <w:pPr>
        <w:pStyle w:val="4"/>
        <w:rPr>
          <w:rFonts w:ascii="仿宋" w:hAnsi="仿宋" w:eastAsia="仿宋"/>
        </w:rPr>
      </w:pPr>
      <w:bookmarkStart w:id="24" w:name="_Toc15396620"/>
      <w:r>
        <w:rPr>
          <w:rFonts w:hint="eastAsia" w:ascii="仿宋" w:hAnsi="仿宋" w:eastAsia="仿宋"/>
          <w:b w:val="0"/>
        </w:rPr>
        <w:t>二、收</w:t>
      </w:r>
      <w:r>
        <w:rPr>
          <w:rStyle w:val="31"/>
          <w:rFonts w:hint="eastAsia" w:ascii="仿宋" w:hAnsi="仿宋" w:eastAsia="仿宋"/>
          <w:b w:val="0"/>
          <w:bCs w:val="0"/>
        </w:rPr>
        <w:t>入决算表</w:t>
      </w:r>
      <w:bookmarkEnd w:id="24"/>
    </w:p>
    <w:p>
      <w:pPr>
        <w:pStyle w:val="4"/>
        <w:rPr>
          <w:rFonts w:ascii="仿宋" w:hAnsi="仿宋" w:eastAsia="仿宋"/>
        </w:rPr>
      </w:pPr>
      <w:bookmarkStart w:id="25"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25"/>
    </w:p>
    <w:p>
      <w:pPr>
        <w:pStyle w:val="4"/>
        <w:rPr>
          <w:rFonts w:ascii="仿宋" w:hAnsi="仿宋" w:eastAsia="仿宋"/>
          <w:b w:val="0"/>
        </w:rPr>
      </w:pPr>
      <w:bookmarkStart w:id="26"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26"/>
    </w:p>
    <w:p>
      <w:pPr>
        <w:pStyle w:val="4"/>
        <w:rPr>
          <w:rStyle w:val="31"/>
          <w:rFonts w:ascii="仿宋" w:hAnsi="仿宋" w:eastAsia="仿宋"/>
          <w:b w:val="0"/>
          <w:bCs w:val="0"/>
        </w:rPr>
      </w:pPr>
      <w:bookmarkStart w:id="27"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27"/>
      <w:bookmarkStart w:id="28"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28"/>
    </w:p>
    <w:p>
      <w:pPr>
        <w:pStyle w:val="4"/>
        <w:rPr>
          <w:rFonts w:ascii="仿宋" w:hAnsi="仿宋" w:eastAsia="仿宋"/>
        </w:rPr>
      </w:pPr>
      <w:bookmarkStart w:id="29"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29"/>
    </w:p>
    <w:p>
      <w:pPr>
        <w:pStyle w:val="4"/>
        <w:rPr>
          <w:rFonts w:ascii="仿宋" w:hAnsi="仿宋" w:eastAsia="仿宋"/>
        </w:rPr>
      </w:pPr>
      <w:bookmarkStart w:id="30"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30"/>
    </w:p>
    <w:p>
      <w:pPr>
        <w:pStyle w:val="4"/>
        <w:rPr>
          <w:rFonts w:ascii="仿宋" w:hAnsi="仿宋" w:eastAsia="仿宋"/>
        </w:rPr>
      </w:pPr>
      <w:bookmarkStart w:id="31"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31"/>
    </w:p>
    <w:p>
      <w:pPr>
        <w:pStyle w:val="4"/>
        <w:rPr>
          <w:rFonts w:ascii="仿宋" w:hAnsi="仿宋" w:eastAsia="仿宋"/>
        </w:rPr>
      </w:pPr>
      <w:bookmarkStart w:id="32" w:name="_Toc15396628"/>
      <w:r>
        <w:rPr>
          <w:rStyle w:val="31"/>
          <w:rFonts w:hint="eastAsia" w:ascii="仿宋" w:hAnsi="仿宋" w:eastAsia="仿宋"/>
          <w:b w:val="0"/>
          <w:bCs w:val="0"/>
        </w:rPr>
        <w:t>十、</w:t>
      </w:r>
      <w:bookmarkEnd w:id="32"/>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rPr>
          <w:rFonts w:ascii="仿宋" w:hAnsi="仿宋" w:eastAsia="仿宋"/>
        </w:rPr>
      </w:pPr>
      <w:bookmarkStart w:id="33" w:name="_Toc15396629"/>
      <w:r>
        <w:rPr>
          <w:rStyle w:val="31"/>
          <w:rFonts w:hint="eastAsia" w:ascii="仿宋" w:hAnsi="仿宋" w:eastAsia="仿宋"/>
          <w:b w:val="0"/>
          <w:bCs w:val="0"/>
        </w:rPr>
        <w:t>十一、</w:t>
      </w:r>
      <w:bookmarkEnd w:id="33"/>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rPr>
          <w:rFonts w:ascii="仿宋" w:hAnsi="仿宋" w:eastAsia="仿宋"/>
        </w:rPr>
      </w:pPr>
      <w:bookmarkStart w:id="34" w:name="_Toc15396630"/>
      <w:r>
        <w:rPr>
          <w:rStyle w:val="31"/>
          <w:rFonts w:hint="eastAsia" w:ascii="仿宋" w:hAnsi="仿宋" w:eastAsia="仿宋"/>
          <w:b w:val="0"/>
          <w:bCs w:val="0"/>
        </w:rPr>
        <w:t>十二、</w:t>
      </w:r>
      <w:bookmarkEnd w:id="34"/>
      <w:r>
        <w:rPr>
          <w:rStyle w:val="31"/>
          <w:rFonts w:hint="eastAsia" w:ascii="仿宋" w:hAnsi="仿宋" w:eastAsia="仿宋"/>
          <w:b w:val="0"/>
          <w:bCs w:val="0"/>
        </w:rPr>
        <w:t>国有资本经营预算财政拨款支出决算表</w:t>
      </w:r>
    </w:p>
    <w:p>
      <w:pPr>
        <w:pStyle w:val="4"/>
        <w:rPr>
          <w:rFonts w:eastAsia="仿宋"/>
        </w:rPr>
      </w:pPr>
      <w:bookmarkStart w:id="35" w:name="_Toc15396631"/>
      <w:r>
        <w:rPr>
          <w:rStyle w:val="31"/>
          <w:rFonts w:hint="eastAsia" w:ascii="仿宋" w:hAnsi="仿宋" w:eastAsia="仿宋"/>
          <w:b w:val="0"/>
          <w:bCs w:val="0"/>
        </w:rPr>
        <w:t>十三、</w:t>
      </w:r>
      <w:bookmarkEnd w:id="35"/>
      <w:r>
        <w:rPr>
          <w:rStyle w:val="31"/>
          <w:rFonts w:hint="eastAsia" w:ascii="仿宋" w:hAnsi="仿宋" w:eastAsia="仿宋"/>
          <w:b w:val="0"/>
          <w:bCs w:val="0"/>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5030269"/>
      <w:docPartObj>
        <w:docPartGallery w:val="autotext"/>
      </w:docPartObj>
    </w:sdtPr>
    <w:sdtEndPr>
      <w:rPr>
        <w:rFonts w:ascii="宋体" w:hAnsi="宋体"/>
        <w:sz w:val="28"/>
        <w:szCs w:val="28"/>
      </w:rPr>
    </w:sdtEndPr>
    <w:sdtContent>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330077F"/>
    <w:multiLevelType w:val="singleLevel"/>
    <w:tmpl w:val="F330077F"/>
    <w:lvl w:ilvl="0" w:tentative="0">
      <w:start w:val="5"/>
      <w:numFmt w:val="chineseCounting"/>
      <w:suff w:val="nothing"/>
      <w:lvlText w:val="%1、"/>
      <w:lvlJc w:val="left"/>
      <w:rPr>
        <w:rFonts w:hint="eastAsia"/>
      </w:rPr>
    </w:lvl>
  </w:abstractNum>
  <w:abstractNum w:abstractNumId="3">
    <w:nsid w:val="0543937D"/>
    <w:multiLevelType w:val="singleLevel"/>
    <w:tmpl w:val="0543937D"/>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C26AE56"/>
    <w:multiLevelType w:val="singleLevel"/>
    <w:tmpl w:val="4C26AE56"/>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NzQ0NTM0Y2RiYWRkYWU0YmJjZDIwYWI2NDUzNj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66E0107"/>
    <w:rsid w:val="07996F6E"/>
    <w:rsid w:val="08736ECF"/>
    <w:rsid w:val="0A2032A3"/>
    <w:rsid w:val="0BBB157E"/>
    <w:rsid w:val="0F98263C"/>
    <w:rsid w:val="101860EC"/>
    <w:rsid w:val="10C055FF"/>
    <w:rsid w:val="118107EC"/>
    <w:rsid w:val="13D50BC4"/>
    <w:rsid w:val="16BB723D"/>
    <w:rsid w:val="1BE8440E"/>
    <w:rsid w:val="1D155CEE"/>
    <w:rsid w:val="1EA8656B"/>
    <w:rsid w:val="1FF35744"/>
    <w:rsid w:val="20003A1F"/>
    <w:rsid w:val="23860B96"/>
    <w:rsid w:val="240371BF"/>
    <w:rsid w:val="26D714EB"/>
    <w:rsid w:val="29FD04D3"/>
    <w:rsid w:val="2C8A61B5"/>
    <w:rsid w:val="2DF04E50"/>
    <w:rsid w:val="2F040D46"/>
    <w:rsid w:val="319F7F4E"/>
    <w:rsid w:val="3304709D"/>
    <w:rsid w:val="35936A3B"/>
    <w:rsid w:val="36AA5135"/>
    <w:rsid w:val="37021343"/>
    <w:rsid w:val="376D39B2"/>
    <w:rsid w:val="37E16F03"/>
    <w:rsid w:val="38D469F0"/>
    <w:rsid w:val="3C4916DE"/>
    <w:rsid w:val="3D98207C"/>
    <w:rsid w:val="3E78745D"/>
    <w:rsid w:val="44E268DA"/>
    <w:rsid w:val="48FE5E1C"/>
    <w:rsid w:val="4A627F82"/>
    <w:rsid w:val="4B0E749A"/>
    <w:rsid w:val="4B4F25DA"/>
    <w:rsid w:val="4BE068DB"/>
    <w:rsid w:val="4D577224"/>
    <w:rsid w:val="4EAB630A"/>
    <w:rsid w:val="4ECE2238"/>
    <w:rsid w:val="537E6D0A"/>
    <w:rsid w:val="5AF92295"/>
    <w:rsid w:val="5BE014E5"/>
    <w:rsid w:val="5C904B58"/>
    <w:rsid w:val="5CD71FC4"/>
    <w:rsid w:val="5D0C0978"/>
    <w:rsid w:val="65821EC5"/>
    <w:rsid w:val="689221E1"/>
    <w:rsid w:val="6C4A05C8"/>
    <w:rsid w:val="6E0B1EB1"/>
    <w:rsid w:val="6E7E3605"/>
    <w:rsid w:val="6FF5CC65"/>
    <w:rsid w:val="6FFE7ABE"/>
    <w:rsid w:val="715C0E4B"/>
    <w:rsid w:val="72734D90"/>
    <w:rsid w:val="73AD73D5"/>
    <w:rsid w:val="73B6EB34"/>
    <w:rsid w:val="744731E5"/>
    <w:rsid w:val="76E3355F"/>
    <w:rsid w:val="778769C8"/>
    <w:rsid w:val="79EE5BA4"/>
    <w:rsid w:val="7A894339"/>
    <w:rsid w:val="7B4D348B"/>
    <w:rsid w:val="7EEF11D3"/>
    <w:rsid w:val="7FA30C79"/>
    <w:rsid w:val="7FB7269E"/>
    <w:rsid w:val="7FC96657"/>
    <w:rsid w:val="ACDB03FB"/>
    <w:rsid w:val="D8D6DB89"/>
    <w:rsid w:val="DB6F4CAB"/>
    <w:rsid w:val="DF6F9789"/>
    <w:rsid w:val="FFB996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unhideWhenUsed/>
    <w:qFormat/>
    <w:uiPriority w:val="99"/>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2"/>
    <w:qFormat/>
    <w:uiPriority w:val="0"/>
    <w:pPr>
      <w:ind w:firstLine="420" w:firstLineChars="100"/>
    </w:pPr>
  </w:style>
  <w:style w:type="paragraph" w:styleId="16">
    <w:name w:val="Body Text First Indent 2"/>
    <w:basedOn w:val="6"/>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Char"/>
    <w:basedOn w:val="1"/>
    <w:qFormat/>
    <w:uiPriority w:val="99"/>
    <w:pPr>
      <w:widowControl/>
      <w:spacing w:after="160" w:line="240" w:lineRule="exact"/>
      <w:jc w:val="left"/>
    </w:pPr>
    <w:rPr>
      <w:rFonts w:cs="Times New Roman"/>
      <w:szCs w:val="24"/>
    </w:rPr>
  </w:style>
  <w:style w:type="character" w:customStyle="1" w:styleId="38">
    <w:name w:val="font4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2</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2023-11-22T15:58:06Z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23AE4A78230346C28910BCA92ACC387F_13</vt:lpwstr>
  </property>
</Properties>
</file>