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bookmarkStart w:id="156" w:name="_GoBack"/>
      <w:bookmarkEnd w:id="156"/>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48529066"/>
      <w:bookmarkStart w:id="3" w:name="_Toc15378441"/>
      <w:bookmarkStart w:id="4" w:name="_Toc15377425"/>
      <w:bookmarkStart w:id="5" w:name="_Toc15377193"/>
      <w:bookmarkStart w:id="6" w:name="_Toc15396475"/>
      <w:bookmarkStart w:id="7" w:name="_Toc148529168"/>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bookmarkEnd w:id="6"/>
      <w:bookmarkEnd w:id="7"/>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8" w:name="_Toc148529169"/>
      <w:bookmarkStart w:id="9" w:name="_Toc15377194"/>
      <w:bookmarkStart w:id="10" w:name="_Toc15377426"/>
      <w:bookmarkStart w:id="11" w:name="_Toc148529067"/>
      <w:bookmarkStart w:id="12" w:name="_Toc15378442"/>
      <w:bookmarkStart w:id="13" w:name="_Toc15396476"/>
      <w:bookmarkStart w:id="14" w:name="_Toc15396598"/>
      <w:r>
        <w:rPr>
          <w:rFonts w:hint="eastAsia" w:ascii="方正小标宋简体" w:hAnsi="方正小标宋简体" w:eastAsia="方正小标宋简体" w:cs="方正小标宋简体"/>
          <w:sz w:val="72"/>
          <w:szCs w:val="72"/>
        </w:rPr>
        <w:t>剑阁县</w:t>
      </w:r>
      <w:bookmarkEnd w:id="0"/>
      <w:bookmarkStart w:id="15" w:name="_Toc15306268"/>
      <w:r>
        <w:rPr>
          <w:rFonts w:hint="eastAsia" w:ascii="方正小标宋简体" w:hAnsi="方正小标宋简体" w:eastAsia="方正小标宋简体" w:cs="方正小标宋简体"/>
          <w:sz w:val="72"/>
          <w:szCs w:val="72"/>
        </w:rPr>
        <w:t>自然</w:t>
      </w:r>
      <w:r>
        <w:rPr>
          <w:rFonts w:ascii="方正小标宋简体" w:hAnsi="方正小标宋简体" w:eastAsia="方正小标宋简体" w:cs="方正小标宋简体"/>
          <w:sz w:val="72"/>
          <w:szCs w:val="72"/>
        </w:rPr>
        <w:t>资源储备交易中心</w:t>
      </w:r>
      <w:r>
        <w:rPr>
          <w:rFonts w:hint="eastAsia" w:ascii="方正小标宋简体" w:hAnsi="方正小标宋简体" w:eastAsia="方正小标宋简体" w:cs="方正小标宋简体"/>
          <w:sz w:val="72"/>
          <w:szCs w:val="72"/>
        </w:rPr>
        <w:t>单位决算</w:t>
      </w:r>
      <w:bookmarkEnd w:id="8"/>
      <w:bookmarkEnd w:id="9"/>
      <w:bookmarkEnd w:id="10"/>
      <w:bookmarkEnd w:id="11"/>
      <w:bookmarkEnd w:id="12"/>
      <w:bookmarkEnd w:id="13"/>
      <w:bookmarkEnd w:id="14"/>
      <w:bookmarkEnd w:id="15"/>
    </w:p>
    <w:p>
      <w:pPr>
        <w:widowControl/>
        <w:jc w:val="center"/>
        <w:rPr>
          <w:rFonts w:ascii="黑体" w:hAnsi="黑体" w:eastAsia="黑体"/>
          <w:sz w:val="48"/>
          <w:szCs w:val="48"/>
        </w:rPr>
      </w:pPr>
      <w:r>
        <w:rPr>
          <w:rFonts w:ascii="方正小标宋简体" w:hAnsi="宋体" w:eastAsia="方正小标宋简体"/>
          <w:sz w:val="36"/>
          <w:szCs w:val="36"/>
        </w:rPr>
        <w:br w:type="page"/>
      </w:r>
    </w:p>
    <w:sdt>
      <w:sdtPr>
        <w:rPr>
          <w:rFonts w:ascii="Times New Roman" w:hAnsi="Times New Roman" w:eastAsia="宋体" w:cs="Times New Roman"/>
          <w:color w:val="auto"/>
          <w:kern w:val="2"/>
          <w:sz w:val="21"/>
          <w:szCs w:val="24"/>
          <w:lang w:val="zh-CN"/>
        </w:rPr>
        <w:id w:val="-776327511"/>
        <w:docPartObj>
          <w:docPartGallery w:val="Table of Contents"/>
          <w:docPartUnique/>
        </w:docPartObj>
      </w:sdtPr>
      <w:sdtEndPr>
        <w:rPr>
          <w:rFonts w:cs="Times New Roman" w:asciiTheme="minorEastAsia" w:hAnsiTheme="minorEastAsia" w:eastAsiaTheme="minorEastAsia"/>
          <w:b/>
          <w:bCs/>
          <w:color w:val="auto"/>
          <w:kern w:val="2"/>
          <w:sz w:val="21"/>
          <w:szCs w:val="24"/>
          <w:lang w:val="zh-CN"/>
        </w:rPr>
      </w:sdtEndPr>
      <w:sdtContent>
        <w:p>
          <w:pPr>
            <w:pStyle w:val="35"/>
            <w:jc w:val="center"/>
            <w:rPr>
              <w:rFonts w:ascii="黑体" w:hAnsi="黑体" w:eastAsia="黑体" w:cs="Times New Roman"/>
              <w:color w:val="auto"/>
              <w:kern w:val="2"/>
              <w:sz w:val="48"/>
              <w:szCs w:val="48"/>
            </w:rPr>
          </w:pPr>
          <w:r>
            <w:rPr>
              <w:rFonts w:ascii="黑体" w:hAnsi="黑体" w:eastAsia="黑体" w:cs="Times New Roman"/>
              <w:color w:val="auto"/>
              <w:kern w:val="2"/>
              <w:sz w:val="48"/>
              <w:szCs w:val="48"/>
            </w:rPr>
            <w:t>目录</w:t>
          </w:r>
        </w:p>
        <w:p>
          <w:pPr>
            <w:pStyle w:val="12"/>
          </w:pPr>
          <w:r>
            <w:rPr>
              <w:rFonts w:hint="eastAsia"/>
            </w:rPr>
            <w:t>公开时间：2023年  月  日</w:t>
          </w:r>
          <w:r>
            <w:rPr>
              <w:rFonts w:asciiTheme="minorEastAsia" w:hAnsiTheme="minorEastAsia" w:eastAsiaTheme="minorEastAsia"/>
            </w:rPr>
            <w:fldChar w:fldCharType="begin"/>
          </w:r>
          <w:r>
            <w:rPr>
              <w:rFonts w:asciiTheme="minorEastAsia" w:hAnsiTheme="minorEastAsia" w:eastAsiaTheme="minorEastAsia"/>
            </w:rPr>
            <w:instrText xml:space="preserve"> TOC \o "1-3" \h \z \u </w:instrText>
          </w:r>
          <w:r>
            <w:rPr>
              <w:rFonts w:asciiTheme="minorEastAsia" w:hAnsiTheme="minorEastAsia" w:eastAsiaTheme="minorEastAsia"/>
            </w:rPr>
            <w:fldChar w:fldCharType="separate"/>
          </w:r>
        </w:p>
        <w:p>
          <w:pPr>
            <w:pStyle w:val="12"/>
            <w:rPr>
              <w:rFonts w:cstheme="minorBidi"/>
            </w:rPr>
          </w:pPr>
          <w:r>
            <w:fldChar w:fldCharType="begin"/>
          </w:r>
          <w:r>
            <w:instrText xml:space="preserve"> HYPERLINK \l "_Toc148529170" </w:instrText>
          </w:r>
          <w:r>
            <w:fldChar w:fldCharType="separate"/>
          </w:r>
          <w:r>
            <w:rPr>
              <w:rStyle w:val="19"/>
            </w:rPr>
            <w:t>第一部分 单位概况</w:t>
          </w:r>
          <w:r>
            <w:tab/>
          </w:r>
          <w:r>
            <w:fldChar w:fldCharType="begin"/>
          </w:r>
          <w:r>
            <w:instrText xml:space="preserve"> PAGEREF _Toc148529170 \h </w:instrText>
          </w:r>
          <w:r>
            <w:fldChar w:fldCharType="separate"/>
          </w:r>
          <w:r>
            <w:t>1</w:t>
          </w:r>
          <w:r>
            <w:fldChar w:fldCharType="end"/>
          </w:r>
          <w:r>
            <w:fldChar w:fldCharType="end"/>
          </w:r>
        </w:p>
        <w:p>
          <w:pPr>
            <w:pStyle w:val="13"/>
            <w:jc w:val="center"/>
            <w:rPr>
              <w:rStyle w:val="19"/>
              <w:rFonts w:ascii="仿宋" w:hAnsi="仿宋" w:eastAsia="仿宋"/>
              <w:sz w:val="28"/>
              <w:szCs w:val="28"/>
            </w:rPr>
          </w:pPr>
          <w:r>
            <w:fldChar w:fldCharType="begin"/>
          </w:r>
          <w:r>
            <w:instrText xml:space="preserve"> HYPERLINK \l "_Toc148529171" </w:instrText>
          </w:r>
          <w:r>
            <w:fldChar w:fldCharType="separate"/>
          </w:r>
          <w:r>
            <w:rPr>
              <w:rStyle w:val="19"/>
              <w:rFonts w:ascii="仿宋" w:hAnsi="仿宋" w:eastAsia="仿宋"/>
              <w:sz w:val="28"/>
              <w:szCs w:val="28"/>
            </w:rPr>
            <w:t>一、 主要职责</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_Toc148529171 \h </w:instrText>
          </w:r>
          <w:r>
            <w:rPr>
              <w:rFonts w:ascii="仿宋" w:hAnsi="仿宋" w:eastAsia="仿宋"/>
              <w:sz w:val="28"/>
              <w:szCs w:val="28"/>
            </w:rPr>
            <w:fldChar w:fldCharType="separate"/>
          </w:r>
          <w:r>
            <w:rPr>
              <w:rFonts w:ascii="仿宋" w:hAnsi="仿宋" w:eastAsia="仿宋"/>
              <w:sz w:val="28"/>
              <w:szCs w:val="28"/>
            </w:rPr>
            <w:t>1</w:t>
          </w:r>
          <w:r>
            <w:rPr>
              <w:rFonts w:ascii="仿宋" w:hAnsi="仿宋" w:eastAsia="仿宋"/>
              <w:sz w:val="28"/>
              <w:szCs w:val="28"/>
            </w:rPr>
            <w:fldChar w:fldCharType="end"/>
          </w:r>
          <w:r>
            <w:rPr>
              <w:rFonts w:ascii="仿宋" w:hAnsi="仿宋" w:eastAsia="仿宋"/>
              <w:sz w:val="28"/>
              <w:szCs w:val="28"/>
            </w:rPr>
            <w:fldChar w:fldCharType="end"/>
          </w:r>
        </w:p>
        <w:p>
          <w:pPr>
            <w:pStyle w:val="13"/>
            <w:jc w:val="center"/>
            <w:rPr>
              <w:rStyle w:val="19"/>
              <w:rFonts w:ascii="仿宋" w:hAnsi="仿宋" w:eastAsia="仿宋"/>
              <w:sz w:val="28"/>
              <w:szCs w:val="28"/>
            </w:rPr>
          </w:pPr>
          <w:r>
            <w:rPr>
              <w:rFonts w:hint="eastAsia" w:ascii="仿宋" w:hAnsi="仿宋" w:eastAsia="仿宋"/>
              <w:sz w:val="28"/>
              <w:szCs w:val="28"/>
            </w:rPr>
            <w:t>（</w:t>
          </w:r>
          <w:r>
            <w:fldChar w:fldCharType="begin"/>
          </w:r>
          <w:r>
            <w:instrText xml:space="preserve"> HYPERLINK \l "_Toc148529171" </w:instrText>
          </w:r>
          <w:r>
            <w:fldChar w:fldCharType="separate"/>
          </w:r>
          <w:r>
            <w:rPr>
              <w:rStyle w:val="19"/>
              <w:rFonts w:ascii="仿宋" w:hAnsi="仿宋" w:eastAsia="仿宋"/>
              <w:sz w:val="28"/>
              <w:szCs w:val="28"/>
            </w:rPr>
            <w:t>一</w:t>
          </w:r>
          <w:r>
            <w:rPr>
              <w:rStyle w:val="19"/>
              <w:rFonts w:hint="eastAsia" w:ascii="仿宋" w:hAnsi="仿宋" w:eastAsia="仿宋"/>
              <w:sz w:val="28"/>
              <w:szCs w:val="28"/>
            </w:rPr>
            <w:t>）</w:t>
          </w:r>
          <w:r>
            <w:rPr>
              <w:rFonts w:hint="eastAsia" w:ascii="仿宋" w:hAnsi="仿宋" w:eastAsia="仿宋"/>
              <w:sz w:val="28"/>
              <w:szCs w:val="28"/>
            </w:rPr>
            <w:t>单位</w:t>
          </w:r>
          <w:r>
            <w:rPr>
              <w:rFonts w:ascii="仿宋" w:hAnsi="仿宋" w:eastAsia="仿宋"/>
              <w:sz w:val="28"/>
              <w:szCs w:val="28"/>
            </w:rPr>
            <w:t>职责</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_Toc148529171 \h </w:instrText>
          </w:r>
          <w:r>
            <w:rPr>
              <w:rFonts w:ascii="仿宋" w:hAnsi="仿宋" w:eastAsia="仿宋"/>
              <w:sz w:val="28"/>
              <w:szCs w:val="28"/>
            </w:rPr>
            <w:fldChar w:fldCharType="separate"/>
          </w:r>
          <w:r>
            <w:rPr>
              <w:rFonts w:ascii="仿宋" w:hAnsi="仿宋" w:eastAsia="仿宋"/>
              <w:sz w:val="28"/>
              <w:szCs w:val="28"/>
            </w:rPr>
            <w:t>1</w:t>
          </w:r>
          <w:r>
            <w:rPr>
              <w:rFonts w:ascii="仿宋" w:hAnsi="仿宋" w:eastAsia="仿宋"/>
              <w:sz w:val="28"/>
              <w:szCs w:val="28"/>
            </w:rPr>
            <w:fldChar w:fldCharType="end"/>
          </w:r>
          <w:r>
            <w:rPr>
              <w:rFonts w:ascii="仿宋" w:hAnsi="仿宋" w:eastAsia="仿宋"/>
              <w:sz w:val="28"/>
              <w:szCs w:val="28"/>
            </w:rPr>
            <w:fldChar w:fldCharType="end"/>
          </w:r>
        </w:p>
        <w:p>
          <w:pPr>
            <w:pStyle w:val="13"/>
            <w:jc w:val="center"/>
            <w:rPr>
              <w:rStyle w:val="19"/>
              <w:rFonts w:ascii="仿宋" w:hAnsi="仿宋" w:eastAsia="仿宋"/>
              <w:sz w:val="28"/>
              <w:szCs w:val="28"/>
            </w:rPr>
          </w:pPr>
          <w:r>
            <w:rPr>
              <w:rFonts w:hint="eastAsia" w:ascii="仿宋" w:hAnsi="仿宋" w:eastAsia="仿宋"/>
              <w:sz w:val="28"/>
              <w:szCs w:val="28"/>
            </w:rPr>
            <w:t>（</w:t>
          </w:r>
          <w:r>
            <w:fldChar w:fldCharType="begin"/>
          </w:r>
          <w:r>
            <w:instrText xml:space="preserve"> HYPERLINK \l "_Toc148529171" </w:instrText>
          </w:r>
          <w:r>
            <w:fldChar w:fldCharType="separate"/>
          </w:r>
          <w:r>
            <w:rPr>
              <w:rStyle w:val="19"/>
              <w:rFonts w:hint="eastAsia" w:ascii="仿宋" w:hAnsi="仿宋" w:eastAsia="仿宋"/>
              <w:sz w:val="28"/>
              <w:szCs w:val="28"/>
            </w:rPr>
            <w:t>二</w:t>
          </w:r>
          <w:r>
            <w:rPr>
              <w:rStyle w:val="19"/>
              <w:rFonts w:ascii="仿宋" w:hAnsi="仿宋" w:eastAsia="仿宋"/>
              <w:sz w:val="28"/>
              <w:szCs w:val="28"/>
            </w:rPr>
            <w:t>）</w:t>
          </w:r>
          <w:r>
            <w:rPr>
              <w:rFonts w:hint="eastAsia" w:ascii="仿宋" w:hAnsi="仿宋" w:eastAsia="仿宋"/>
              <w:sz w:val="28"/>
              <w:szCs w:val="28"/>
            </w:rPr>
            <w:t>2022年重点工作完成情况</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_Toc148529171 \h </w:instrText>
          </w:r>
          <w:r>
            <w:rPr>
              <w:rFonts w:ascii="仿宋" w:hAnsi="仿宋" w:eastAsia="仿宋"/>
              <w:sz w:val="28"/>
              <w:szCs w:val="28"/>
            </w:rPr>
            <w:fldChar w:fldCharType="separate"/>
          </w:r>
          <w:r>
            <w:rPr>
              <w:rFonts w:ascii="仿宋" w:hAnsi="仿宋" w:eastAsia="仿宋"/>
              <w:sz w:val="28"/>
              <w:szCs w:val="28"/>
            </w:rPr>
            <w:t>1</w:t>
          </w:r>
          <w:r>
            <w:rPr>
              <w:rFonts w:ascii="仿宋" w:hAnsi="仿宋" w:eastAsia="仿宋"/>
              <w:sz w:val="28"/>
              <w:szCs w:val="28"/>
            </w:rPr>
            <w:fldChar w:fldCharType="end"/>
          </w:r>
          <w:r>
            <w:rPr>
              <w:rFonts w:ascii="仿宋" w:hAnsi="仿宋" w:eastAsia="仿宋"/>
              <w:sz w:val="28"/>
              <w:szCs w:val="28"/>
            </w:rPr>
            <w:fldChar w:fldCharType="end"/>
          </w:r>
        </w:p>
        <w:p>
          <w:pPr>
            <w:pStyle w:val="13"/>
            <w:adjustRightInd w:val="0"/>
            <w:snapToGrid w:val="0"/>
            <w:spacing w:line="440" w:lineRule="exact"/>
            <w:jc w:val="left"/>
            <w:rPr>
              <w:rFonts w:ascii="仿宋" w:hAnsi="仿宋" w:eastAsia="仿宋" w:cstheme="minorBidi"/>
              <w:sz w:val="28"/>
              <w:szCs w:val="28"/>
            </w:rPr>
          </w:pPr>
          <w:r>
            <w:fldChar w:fldCharType="begin"/>
          </w:r>
          <w:r>
            <w:instrText xml:space="preserve"> HYPERLINK \l "_Toc148529172" </w:instrText>
          </w:r>
          <w:r>
            <w:fldChar w:fldCharType="separate"/>
          </w:r>
          <w:r>
            <w:rPr>
              <w:rStyle w:val="19"/>
              <w:rFonts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_Toc148529172 \h </w:instrText>
          </w:r>
          <w:r>
            <w:rPr>
              <w:rFonts w:ascii="仿宋" w:hAnsi="仿宋" w:eastAsia="仿宋"/>
              <w:sz w:val="28"/>
              <w:szCs w:val="28"/>
            </w:rPr>
            <w:fldChar w:fldCharType="separate"/>
          </w:r>
          <w:r>
            <w:rPr>
              <w:rFonts w:ascii="仿宋" w:hAnsi="仿宋" w:eastAsia="仿宋"/>
              <w:sz w:val="28"/>
              <w:szCs w:val="28"/>
            </w:rPr>
            <w:t>2</w:t>
          </w:r>
          <w:r>
            <w:rPr>
              <w:rFonts w:ascii="仿宋" w:hAnsi="仿宋" w:eastAsia="仿宋"/>
              <w:sz w:val="28"/>
              <w:szCs w:val="28"/>
            </w:rPr>
            <w:fldChar w:fldCharType="end"/>
          </w:r>
          <w:r>
            <w:rPr>
              <w:rFonts w:ascii="仿宋" w:hAnsi="仿宋" w:eastAsia="仿宋"/>
              <w:sz w:val="28"/>
              <w:szCs w:val="28"/>
            </w:rPr>
            <w:fldChar w:fldCharType="end"/>
          </w:r>
        </w:p>
        <w:p>
          <w:pPr>
            <w:pStyle w:val="12"/>
            <w:rPr>
              <w:rFonts w:cstheme="minorBidi"/>
            </w:rPr>
          </w:pPr>
          <w:r>
            <w:fldChar w:fldCharType="begin"/>
          </w:r>
          <w:r>
            <w:instrText xml:space="preserve"> HYPERLINK \l "_Toc148529173" </w:instrText>
          </w:r>
          <w:r>
            <w:fldChar w:fldCharType="separate"/>
          </w:r>
          <w:r>
            <w:rPr>
              <w:rStyle w:val="19"/>
            </w:rPr>
            <w:t>第二部分 2022年度单位决算情况说明</w:t>
          </w:r>
          <w:r>
            <w:tab/>
          </w:r>
          <w:r>
            <w:fldChar w:fldCharType="begin"/>
          </w:r>
          <w:r>
            <w:instrText xml:space="preserve"> PAGEREF _Toc148529173 \h </w:instrText>
          </w:r>
          <w:r>
            <w:fldChar w:fldCharType="separate"/>
          </w:r>
          <w:r>
            <w:t>4</w:t>
          </w:r>
          <w:r>
            <w:fldChar w:fldCharType="end"/>
          </w:r>
          <w:r>
            <w:fldChar w:fldCharType="end"/>
          </w:r>
        </w:p>
        <w:p>
          <w:pPr>
            <w:pStyle w:val="13"/>
            <w:jc w:val="center"/>
            <w:rPr>
              <w:rFonts w:ascii="仿宋" w:hAnsi="仿宋" w:eastAsia="仿宋" w:cstheme="minorBidi"/>
              <w:sz w:val="28"/>
              <w:szCs w:val="28"/>
            </w:rPr>
          </w:pPr>
          <w:r>
            <w:fldChar w:fldCharType="begin"/>
          </w:r>
          <w:r>
            <w:instrText xml:space="preserve"> HYPERLINK \l "_Toc148529174" </w:instrText>
          </w:r>
          <w:r>
            <w:fldChar w:fldCharType="separate"/>
          </w:r>
          <w:r>
            <w:rPr>
              <w:rStyle w:val="19"/>
              <w:rFonts w:ascii="仿宋" w:hAnsi="仿宋" w:eastAsia="仿宋" w:cstheme="majorBidi"/>
              <w:bCs/>
              <w:sz w:val="28"/>
              <w:szCs w:val="28"/>
            </w:rPr>
            <w:t>一、</w:t>
          </w:r>
          <w:r>
            <w:rPr>
              <w:rStyle w:val="19"/>
              <w:rFonts w:ascii="仿宋" w:hAnsi="仿宋" w:eastAsia="仿宋"/>
              <w:sz w:val="28"/>
              <w:szCs w:val="28"/>
            </w:rPr>
            <w:t>收</w:t>
          </w:r>
          <w:r>
            <w:rPr>
              <w:rStyle w:val="19"/>
              <w:rFonts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_Toc148529174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pPr>
            <w:pStyle w:val="13"/>
            <w:jc w:val="center"/>
            <w:rPr>
              <w:rFonts w:ascii="仿宋" w:hAnsi="仿宋" w:eastAsia="仿宋" w:cstheme="minorBidi"/>
              <w:sz w:val="28"/>
              <w:szCs w:val="28"/>
            </w:rPr>
          </w:pPr>
          <w:r>
            <w:fldChar w:fldCharType="begin"/>
          </w:r>
          <w:r>
            <w:instrText xml:space="preserve"> HYPERLINK \l "_Toc148529175" </w:instrText>
          </w:r>
          <w:r>
            <w:fldChar w:fldCharType="separate"/>
          </w:r>
          <w:r>
            <w:rPr>
              <w:rStyle w:val="19"/>
              <w:rFonts w:ascii="仿宋" w:hAnsi="仿宋" w:eastAsia="仿宋" w:cstheme="majorBidi"/>
              <w:bCs/>
              <w:sz w:val="28"/>
              <w:szCs w:val="28"/>
            </w:rPr>
            <w:t>二、</w:t>
          </w:r>
          <w:r>
            <w:rPr>
              <w:rStyle w:val="19"/>
              <w:rFonts w:ascii="仿宋" w:hAnsi="仿宋" w:eastAsia="仿宋"/>
              <w:sz w:val="28"/>
              <w:szCs w:val="28"/>
            </w:rPr>
            <w:t>收</w:t>
          </w:r>
          <w:r>
            <w:rPr>
              <w:rStyle w:val="19"/>
              <w:rFonts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_Toc148529175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pPr>
            <w:pStyle w:val="13"/>
            <w:jc w:val="center"/>
            <w:rPr>
              <w:rFonts w:ascii="仿宋" w:hAnsi="仿宋" w:eastAsia="仿宋" w:cstheme="minorBidi"/>
              <w:sz w:val="28"/>
              <w:szCs w:val="28"/>
            </w:rPr>
          </w:pPr>
          <w:r>
            <w:fldChar w:fldCharType="begin"/>
          </w:r>
          <w:r>
            <w:instrText xml:space="preserve"> HYPERLINK \l "_Toc148529177" </w:instrText>
          </w:r>
          <w:r>
            <w:fldChar w:fldCharType="separate"/>
          </w:r>
          <w:r>
            <w:rPr>
              <w:rStyle w:val="19"/>
              <w:rFonts w:ascii="仿宋" w:hAnsi="仿宋" w:eastAsia="仿宋" w:cstheme="majorBidi"/>
              <w:bCs/>
              <w:sz w:val="28"/>
              <w:szCs w:val="28"/>
            </w:rPr>
            <w:t>三、</w:t>
          </w:r>
          <w:r>
            <w:rPr>
              <w:rStyle w:val="19"/>
              <w:rFonts w:ascii="仿宋" w:hAnsi="仿宋" w:eastAsia="仿宋"/>
              <w:sz w:val="28"/>
              <w:szCs w:val="28"/>
            </w:rPr>
            <w:t>支</w:t>
          </w:r>
          <w:r>
            <w:rPr>
              <w:rStyle w:val="19"/>
              <w:rFonts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_Toc148529177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3"/>
            <w:jc w:val="center"/>
            <w:rPr>
              <w:rFonts w:ascii="仿宋" w:hAnsi="仿宋" w:eastAsia="仿宋" w:cstheme="minorBidi"/>
              <w:sz w:val="28"/>
              <w:szCs w:val="28"/>
            </w:rPr>
          </w:pPr>
          <w:r>
            <w:fldChar w:fldCharType="begin"/>
          </w:r>
          <w:r>
            <w:instrText xml:space="preserve"> HYPERLINK \l "_Toc148529179" </w:instrText>
          </w:r>
          <w:r>
            <w:fldChar w:fldCharType="separate"/>
          </w:r>
          <w:r>
            <w:rPr>
              <w:rStyle w:val="19"/>
              <w:rFonts w:ascii="仿宋" w:hAnsi="仿宋" w:eastAsia="仿宋"/>
              <w:sz w:val="28"/>
              <w:szCs w:val="28"/>
            </w:rPr>
            <w:t>四、财</w:t>
          </w:r>
          <w:r>
            <w:rPr>
              <w:rStyle w:val="19"/>
              <w:rFonts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_Toc148529179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3"/>
            <w:jc w:val="center"/>
            <w:rPr>
              <w:rFonts w:ascii="仿宋" w:hAnsi="仿宋" w:eastAsia="仿宋" w:cstheme="minorBidi"/>
              <w:sz w:val="28"/>
              <w:szCs w:val="28"/>
            </w:rPr>
          </w:pPr>
          <w:r>
            <w:fldChar w:fldCharType="begin"/>
          </w:r>
          <w:r>
            <w:instrText xml:space="preserve"> HYPERLINK \l "_Toc148529180" </w:instrText>
          </w:r>
          <w:r>
            <w:fldChar w:fldCharType="separate"/>
          </w:r>
          <w:r>
            <w:rPr>
              <w:rStyle w:val="19"/>
              <w:rFonts w:ascii="仿宋" w:hAnsi="仿宋" w:eastAsia="仿宋"/>
              <w:sz w:val="28"/>
              <w:szCs w:val="28"/>
            </w:rPr>
            <w:t>五、</w:t>
          </w:r>
          <w:r>
            <w:rPr>
              <w:rStyle w:val="19"/>
              <w:rFonts w:ascii="仿宋" w:hAnsi="仿宋" w:eastAsia="仿宋"/>
              <w:b/>
              <w:sz w:val="28"/>
              <w:szCs w:val="28"/>
            </w:rPr>
            <w:t>一</w:t>
          </w:r>
          <w:r>
            <w:rPr>
              <w:rStyle w:val="19"/>
              <w:rFonts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_Toc148529180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3"/>
            <w:jc w:val="center"/>
            <w:rPr>
              <w:rFonts w:ascii="仿宋" w:hAnsi="仿宋" w:eastAsia="仿宋" w:cstheme="minorBidi"/>
              <w:sz w:val="28"/>
              <w:szCs w:val="28"/>
            </w:rPr>
          </w:pPr>
          <w:r>
            <w:fldChar w:fldCharType="begin"/>
          </w:r>
          <w:r>
            <w:instrText xml:space="preserve"> HYPERLINK \l "_Toc148529185" </w:instrText>
          </w:r>
          <w:r>
            <w:fldChar w:fldCharType="separate"/>
          </w:r>
          <w:r>
            <w:rPr>
              <w:rStyle w:val="19"/>
              <w:rFonts w:ascii="仿宋" w:hAnsi="仿宋" w:eastAsia="仿宋"/>
              <w:sz w:val="28"/>
              <w:szCs w:val="28"/>
            </w:rPr>
            <w:t>六</w:t>
          </w:r>
          <w:r>
            <w:rPr>
              <w:rStyle w:val="19"/>
              <w:rFonts w:ascii="仿宋" w:hAnsi="仿宋" w:eastAsia="仿宋"/>
              <w:b/>
              <w:sz w:val="28"/>
              <w:szCs w:val="28"/>
            </w:rPr>
            <w:t>、一</w:t>
          </w:r>
          <w:r>
            <w:rPr>
              <w:rStyle w:val="19"/>
              <w:rFonts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_Toc148529185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3"/>
            <w:jc w:val="center"/>
            <w:rPr>
              <w:rFonts w:ascii="仿宋" w:hAnsi="仿宋" w:eastAsia="仿宋" w:cstheme="minorBidi"/>
              <w:sz w:val="28"/>
              <w:szCs w:val="28"/>
            </w:rPr>
          </w:pPr>
          <w:r>
            <w:fldChar w:fldCharType="begin"/>
          </w:r>
          <w:r>
            <w:instrText xml:space="preserve"> HYPERLINK \l "_Toc148529186" </w:instrText>
          </w:r>
          <w:r>
            <w:fldChar w:fldCharType="separate"/>
          </w:r>
          <w:r>
            <w:rPr>
              <w:rStyle w:val="19"/>
              <w:rFonts w:ascii="仿宋" w:hAnsi="仿宋" w:eastAsia="仿宋"/>
              <w:sz w:val="28"/>
              <w:szCs w:val="28"/>
            </w:rPr>
            <w:t>七、</w:t>
          </w:r>
          <w:r>
            <w:rPr>
              <w:rStyle w:val="19"/>
              <w:rFonts w:ascii="仿宋" w:hAnsi="仿宋" w:eastAsia="仿宋" w:cstheme="majorBidi"/>
              <w:bCs/>
              <w:sz w:val="28"/>
              <w:szCs w:val="28"/>
            </w:rPr>
            <w:t>财政拨款</w:t>
          </w:r>
          <w:r>
            <w:rPr>
              <w:rStyle w:val="19"/>
              <w:rFonts w:ascii="仿宋" w:hAnsi="仿宋" w:eastAsia="仿宋" w:cstheme="majorBidi"/>
              <w:b/>
              <w:bCs/>
              <w:sz w:val="28"/>
              <w:szCs w:val="28"/>
            </w:rPr>
            <w:t>“</w:t>
          </w:r>
          <w:r>
            <w:rPr>
              <w:rStyle w:val="19"/>
              <w:rFonts w:ascii="仿宋" w:hAnsi="仿宋" w:eastAsia="仿宋" w:cstheme="majorBidi"/>
              <w:bCs/>
              <w:sz w:val="28"/>
              <w:szCs w:val="28"/>
            </w:rPr>
            <w:t>三公”经费支出决算情况说明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_Toc148529186 \h </w:instrText>
          </w:r>
          <w:r>
            <w:rPr>
              <w:rFonts w:ascii="仿宋" w:hAnsi="仿宋" w:eastAsia="仿宋"/>
              <w:sz w:val="28"/>
              <w:szCs w:val="28"/>
            </w:rPr>
            <w:fldChar w:fldCharType="separate"/>
          </w:r>
          <w:r>
            <w:rPr>
              <w:rFonts w:ascii="仿宋" w:hAnsi="仿宋" w:eastAsia="仿宋"/>
              <w:sz w:val="28"/>
              <w:szCs w:val="28"/>
            </w:rPr>
            <w:t>9</w:t>
          </w:r>
          <w:r>
            <w:rPr>
              <w:rFonts w:ascii="仿宋" w:hAnsi="仿宋" w:eastAsia="仿宋"/>
              <w:sz w:val="28"/>
              <w:szCs w:val="28"/>
            </w:rPr>
            <w:fldChar w:fldCharType="end"/>
          </w:r>
          <w:r>
            <w:rPr>
              <w:rFonts w:ascii="仿宋" w:hAnsi="仿宋" w:eastAsia="仿宋"/>
              <w:sz w:val="28"/>
              <w:szCs w:val="28"/>
            </w:rPr>
            <w:fldChar w:fldCharType="end"/>
          </w:r>
        </w:p>
        <w:p>
          <w:pPr>
            <w:pStyle w:val="13"/>
            <w:jc w:val="center"/>
            <w:rPr>
              <w:rFonts w:ascii="仿宋" w:hAnsi="仿宋" w:eastAsia="仿宋" w:cstheme="minorBidi"/>
              <w:sz w:val="28"/>
              <w:szCs w:val="28"/>
            </w:rPr>
          </w:pPr>
          <w:r>
            <w:fldChar w:fldCharType="begin"/>
          </w:r>
          <w:r>
            <w:instrText xml:space="preserve"> HYPERLINK \l "_Toc148529189" </w:instrText>
          </w:r>
          <w:r>
            <w:fldChar w:fldCharType="separate"/>
          </w:r>
          <w:r>
            <w:rPr>
              <w:rStyle w:val="19"/>
              <w:rFonts w:ascii="仿宋" w:hAnsi="仿宋" w:eastAsia="仿宋"/>
              <w:sz w:val="28"/>
              <w:szCs w:val="28"/>
            </w:rPr>
            <w:t>八、</w:t>
          </w:r>
          <w:r>
            <w:rPr>
              <w:rStyle w:val="19"/>
              <w:rFonts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_Toc148529189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13"/>
            <w:jc w:val="center"/>
            <w:rPr>
              <w:rFonts w:ascii="仿宋" w:hAnsi="仿宋" w:eastAsia="仿宋" w:cstheme="minorBidi"/>
              <w:sz w:val="28"/>
              <w:szCs w:val="28"/>
            </w:rPr>
          </w:pPr>
          <w:r>
            <w:fldChar w:fldCharType="begin"/>
          </w:r>
          <w:r>
            <w:instrText xml:space="preserve"> HYPERLINK \l "_Toc148529190" </w:instrText>
          </w:r>
          <w:r>
            <w:fldChar w:fldCharType="separate"/>
          </w:r>
          <w:r>
            <w:rPr>
              <w:rStyle w:val="19"/>
              <w:rFonts w:ascii="仿宋" w:hAnsi="仿宋" w:eastAsia="仿宋" w:cstheme="majorBidi"/>
              <w:bCs/>
              <w:sz w:val="28"/>
              <w:szCs w:val="28"/>
            </w:rPr>
            <w:t>九、 国有资本经营预算支出决算情况说明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_Toc148529190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13"/>
            <w:jc w:val="center"/>
            <w:rPr>
              <w:rFonts w:ascii="仿宋" w:hAnsi="仿宋" w:eastAsia="仿宋" w:cstheme="minorBidi"/>
              <w:sz w:val="28"/>
              <w:szCs w:val="28"/>
            </w:rPr>
          </w:pPr>
          <w:r>
            <w:fldChar w:fldCharType="begin"/>
          </w:r>
          <w:r>
            <w:instrText xml:space="preserve"> HYPERLINK \l "_Toc148529191" </w:instrText>
          </w:r>
          <w:r>
            <w:fldChar w:fldCharType="separate"/>
          </w:r>
          <w:r>
            <w:rPr>
              <w:rStyle w:val="19"/>
              <w:rFonts w:ascii="仿宋" w:hAnsi="仿宋" w:eastAsia="仿宋" w:cstheme="majorBidi"/>
              <w:bCs/>
              <w:sz w:val="28"/>
              <w:szCs w:val="28"/>
            </w:rPr>
            <w:t>十、 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_Toc148529191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12"/>
            <w:rPr>
              <w:rFonts w:cstheme="minorBidi"/>
            </w:rPr>
          </w:pPr>
          <w:r>
            <w:fldChar w:fldCharType="begin"/>
          </w:r>
          <w:r>
            <w:instrText xml:space="preserve"> HYPERLINK \l "_Toc148529196" </w:instrText>
          </w:r>
          <w:r>
            <w:fldChar w:fldCharType="separate"/>
          </w:r>
          <w:r>
            <w:rPr>
              <w:rStyle w:val="19"/>
              <w:rFonts w:cs="黑体"/>
              <w:bCs/>
              <w:kern w:val="44"/>
            </w:rPr>
            <w:t>第三部分</w:t>
          </w:r>
          <w:r>
            <w:rPr>
              <w:rStyle w:val="19"/>
            </w:rPr>
            <w:t xml:space="preserve"> 名</w:t>
          </w:r>
          <w:r>
            <w:rPr>
              <w:rStyle w:val="19"/>
              <w:bCs/>
              <w:kern w:val="44"/>
            </w:rPr>
            <w:t>词解释</w:t>
          </w:r>
          <w:r>
            <w:tab/>
          </w:r>
          <w:r>
            <w:fldChar w:fldCharType="begin"/>
          </w:r>
          <w:r>
            <w:instrText xml:space="preserve"> PAGEREF _Toc148529196 \h </w:instrText>
          </w:r>
          <w:r>
            <w:fldChar w:fldCharType="separate"/>
          </w:r>
          <w:r>
            <w:t>12</w:t>
          </w:r>
          <w:r>
            <w:fldChar w:fldCharType="end"/>
          </w:r>
          <w:r>
            <w:fldChar w:fldCharType="end"/>
          </w:r>
        </w:p>
        <w:p>
          <w:pPr>
            <w:pStyle w:val="12"/>
            <w:rPr>
              <w:rFonts w:cstheme="minorBidi"/>
            </w:rPr>
          </w:pPr>
          <w:r>
            <w:fldChar w:fldCharType="begin"/>
          </w:r>
          <w:r>
            <w:instrText xml:space="preserve"> HYPERLINK \l "_Toc148529197" </w:instrText>
          </w:r>
          <w:r>
            <w:fldChar w:fldCharType="separate"/>
          </w:r>
          <w:r>
            <w:rPr>
              <w:rStyle w:val="19"/>
            </w:rPr>
            <w:t>第</w:t>
          </w:r>
          <w:r>
            <w:rPr>
              <w:rStyle w:val="19"/>
              <w:bCs/>
              <w:kern w:val="44"/>
            </w:rPr>
            <w:t>四部分 附件</w:t>
          </w:r>
          <w:r>
            <w:tab/>
          </w:r>
          <w:r>
            <w:fldChar w:fldCharType="begin"/>
          </w:r>
          <w:r>
            <w:instrText xml:space="preserve"> PAGEREF _Toc148529197 \h </w:instrText>
          </w:r>
          <w:r>
            <w:fldChar w:fldCharType="separate"/>
          </w:r>
          <w:r>
            <w:t>15</w:t>
          </w:r>
          <w:r>
            <w:fldChar w:fldCharType="end"/>
          </w:r>
          <w:r>
            <w:fldChar w:fldCharType="end"/>
          </w:r>
        </w:p>
        <w:p>
          <w:pPr>
            <w:pStyle w:val="12"/>
            <w:rPr>
              <w:rFonts w:cstheme="minorBidi"/>
            </w:rPr>
          </w:pPr>
          <w:r>
            <w:fldChar w:fldCharType="begin"/>
          </w:r>
          <w:r>
            <w:instrText xml:space="preserve"> HYPERLINK \l "_Toc148529199" </w:instrText>
          </w:r>
          <w:r>
            <w:fldChar w:fldCharType="separate"/>
          </w:r>
          <w:r>
            <w:rPr>
              <w:rStyle w:val="19"/>
            </w:rPr>
            <w:t>第</w:t>
          </w:r>
          <w:r>
            <w:rPr>
              <w:rStyle w:val="19"/>
              <w:bCs/>
              <w:kern w:val="44"/>
            </w:rPr>
            <w:t>五部分 附表</w:t>
          </w:r>
          <w:r>
            <w:tab/>
          </w:r>
          <w:r>
            <w:fldChar w:fldCharType="begin"/>
          </w:r>
          <w:r>
            <w:instrText xml:space="preserve"> PAGEREF _Toc148529199 \h </w:instrText>
          </w:r>
          <w:r>
            <w:fldChar w:fldCharType="separate"/>
          </w:r>
          <w:r>
            <w:t>19</w:t>
          </w:r>
          <w:r>
            <w:fldChar w:fldCharType="end"/>
          </w:r>
          <w:r>
            <w:fldChar w:fldCharType="end"/>
          </w:r>
        </w:p>
        <w:p>
          <w:pPr>
            <w:pStyle w:val="13"/>
            <w:jc w:val="center"/>
            <w:rPr>
              <w:rFonts w:ascii="仿宋" w:hAnsi="仿宋" w:eastAsia="仿宋" w:cstheme="minorBidi"/>
              <w:sz w:val="28"/>
              <w:szCs w:val="28"/>
            </w:rPr>
          </w:pPr>
          <w:r>
            <w:fldChar w:fldCharType="begin"/>
          </w:r>
          <w:r>
            <w:instrText xml:space="preserve"> HYPERLINK \l "_Toc148529200" </w:instrText>
          </w:r>
          <w:r>
            <w:fldChar w:fldCharType="separate"/>
          </w:r>
          <w:r>
            <w:rPr>
              <w:rStyle w:val="19"/>
              <w:rFonts w:ascii="仿宋" w:hAnsi="仿宋" w:eastAsia="仿宋"/>
              <w:sz w:val="28"/>
              <w:szCs w:val="28"/>
            </w:rPr>
            <w:t>一、收入支出决算总表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_Toc148529200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pStyle w:val="13"/>
            <w:jc w:val="center"/>
            <w:rPr>
              <w:rFonts w:ascii="仿宋" w:hAnsi="仿宋" w:eastAsia="仿宋" w:cstheme="minorBidi"/>
              <w:sz w:val="28"/>
              <w:szCs w:val="28"/>
            </w:rPr>
          </w:pPr>
          <w:r>
            <w:fldChar w:fldCharType="begin"/>
          </w:r>
          <w:r>
            <w:instrText xml:space="preserve"> HYPERLINK \l "_Toc148529201" </w:instrText>
          </w:r>
          <w:r>
            <w:fldChar w:fldCharType="separate"/>
          </w:r>
          <w:r>
            <w:rPr>
              <w:rStyle w:val="19"/>
              <w:rFonts w:ascii="仿宋" w:hAnsi="仿宋" w:eastAsia="仿宋"/>
              <w:sz w:val="28"/>
              <w:szCs w:val="28"/>
            </w:rPr>
            <w:t>二、收入决算表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_Toc148529201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pStyle w:val="13"/>
            <w:jc w:val="center"/>
            <w:rPr>
              <w:rFonts w:ascii="仿宋" w:hAnsi="仿宋" w:eastAsia="仿宋" w:cstheme="minorBidi"/>
              <w:sz w:val="28"/>
              <w:szCs w:val="28"/>
            </w:rPr>
          </w:pPr>
          <w:r>
            <w:fldChar w:fldCharType="begin"/>
          </w:r>
          <w:r>
            <w:instrText xml:space="preserve"> HYPERLINK \l "_Toc148529202" </w:instrText>
          </w:r>
          <w:r>
            <w:fldChar w:fldCharType="separate"/>
          </w:r>
          <w:r>
            <w:rPr>
              <w:rStyle w:val="19"/>
              <w:rFonts w:ascii="仿宋" w:hAnsi="仿宋" w:eastAsia="仿宋"/>
              <w:sz w:val="28"/>
              <w:szCs w:val="28"/>
            </w:rPr>
            <w:t>三、支出决算表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_Toc148529202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pStyle w:val="13"/>
            <w:jc w:val="center"/>
            <w:rPr>
              <w:rFonts w:ascii="仿宋" w:hAnsi="仿宋" w:eastAsia="仿宋" w:cstheme="minorBidi"/>
              <w:sz w:val="28"/>
              <w:szCs w:val="28"/>
            </w:rPr>
          </w:pPr>
          <w:r>
            <w:fldChar w:fldCharType="begin"/>
          </w:r>
          <w:r>
            <w:instrText xml:space="preserve"> HYPERLINK \l "_Toc148529203" </w:instrText>
          </w:r>
          <w:r>
            <w:fldChar w:fldCharType="separate"/>
          </w:r>
          <w:r>
            <w:rPr>
              <w:rStyle w:val="19"/>
              <w:rFonts w:ascii="仿宋" w:hAnsi="仿宋" w:eastAsia="仿宋"/>
              <w:sz w:val="28"/>
              <w:szCs w:val="28"/>
            </w:rPr>
            <w:t>四、财政拨款收入支出决算总表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_Toc148529203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pStyle w:val="13"/>
            <w:jc w:val="center"/>
            <w:rPr>
              <w:rFonts w:ascii="仿宋" w:hAnsi="仿宋" w:eastAsia="仿宋" w:cstheme="minorBidi"/>
              <w:sz w:val="28"/>
              <w:szCs w:val="28"/>
            </w:rPr>
          </w:pPr>
          <w:r>
            <w:fldChar w:fldCharType="begin"/>
          </w:r>
          <w:r>
            <w:instrText xml:space="preserve"> HYPERLINK \l "_Toc148529204" </w:instrText>
          </w:r>
          <w:r>
            <w:fldChar w:fldCharType="separate"/>
          </w:r>
          <w:r>
            <w:rPr>
              <w:rStyle w:val="19"/>
              <w:rFonts w:ascii="仿宋" w:hAnsi="仿宋" w:eastAsia="仿宋"/>
              <w:sz w:val="28"/>
              <w:szCs w:val="28"/>
            </w:rPr>
            <w:t>五、财政拨款支出决算明细表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_Toc148529204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pStyle w:val="13"/>
            <w:jc w:val="center"/>
            <w:rPr>
              <w:rFonts w:ascii="仿宋" w:hAnsi="仿宋" w:eastAsia="仿宋" w:cstheme="minorBidi"/>
              <w:sz w:val="28"/>
              <w:szCs w:val="28"/>
            </w:rPr>
          </w:pPr>
          <w:r>
            <w:fldChar w:fldCharType="begin"/>
          </w:r>
          <w:r>
            <w:instrText xml:space="preserve"> HYPERLINK \l "_Toc148529205" </w:instrText>
          </w:r>
          <w:r>
            <w:fldChar w:fldCharType="separate"/>
          </w:r>
          <w:r>
            <w:rPr>
              <w:rStyle w:val="19"/>
              <w:rFonts w:ascii="仿宋" w:hAnsi="仿宋" w:eastAsia="仿宋"/>
              <w:sz w:val="28"/>
              <w:szCs w:val="28"/>
            </w:rPr>
            <w:t>六、一般公共预算财政拨款支出决算表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_Toc148529205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pStyle w:val="13"/>
            <w:jc w:val="center"/>
            <w:rPr>
              <w:rFonts w:ascii="仿宋" w:hAnsi="仿宋" w:eastAsia="仿宋" w:cstheme="minorBidi"/>
              <w:sz w:val="28"/>
              <w:szCs w:val="28"/>
            </w:rPr>
          </w:pPr>
          <w:r>
            <w:fldChar w:fldCharType="begin"/>
          </w:r>
          <w:r>
            <w:instrText xml:space="preserve"> HYPERLINK \l "_Toc148529206" </w:instrText>
          </w:r>
          <w:r>
            <w:fldChar w:fldCharType="separate"/>
          </w:r>
          <w:r>
            <w:rPr>
              <w:rStyle w:val="19"/>
              <w:rFonts w:ascii="仿宋" w:hAnsi="仿宋" w:eastAsia="仿宋"/>
              <w:sz w:val="28"/>
              <w:szCs w:val="28"/>
            </w:rPr>
            <w:t>七、一般公共预算财政拨款支出决算明细表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_Toc148529206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pStyle w:val="13"/>
            <w:jc w:val="center"/>
            <w:rPr>
              <w:rFonts w:ascii="仿宋" w:hAnsi="仿宋" w:eastAsia="仿宋" w:cstheme="minorBidi"/>
              <w:sz w:val="28"/>
              <w:szCs w:val="28"/>
            </w:rPr>
          </w:pPr>
          <w:r>
            <w:fldChar w:fldCharType="begin"/>
          </w:r>
          <w:r>
            <w:instrText xml:space="preserve"> HYPERLINK \l "_Toc148529207" </w:instrText>
          </w:r>
          <w:r>
            <w:fldChar w:fldCharType="separate"/>
          </w:r>
          <w:r>
            <w:rPr>
              <w:rStyle w:val="19"/>
              <w:rFonts w:ascii="仿宋" w:hAnsi="仿宋" w:eastAsia="仿宋"/>
              <w:sz w:val="28"/>
              <w:szCs w:val="28"/>
            </w:rPr>
            <w:t>八、一般公共预算财政拨款基本支出决算表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_Toc148529207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pStyle w:val="13"/>
            <w:jc w:val="center"/>
            <w:rPr>
              <w:rFonts w:ascii="仿宋" w:hAnsi="仿宋" w:eastAsia="仿宋" w:cstheme="minorBidi"/>
              <w:sz w:val="28"/>
              <w:szCs w:val="28"/>
            </w:rPr>
          </w:pPr>
          <w:r>
            <w:fldChar w:fldCharType="begin"/>
          </w:r>
          <w:r>
            <w:instrText xml:space="preserve"> HYPERLINK \l "_Toc148529208" </w:instrText>
          </w:r>
          <w:r>
            <w:fldChar w:fldCharType="separate"/>
          </w:r>
          <w:r>
            <w:rPr>
              <w:rStyle w:val="19"/>
              <w:rFonts w:ascii="仿宋" w:hAnsi="仿宋" w:eastAsia="仿宋"/>
              <w:sz w:val="28"/>
              <w:szCs w:val="28"/>
            </w:rPr>
            <w:t>九、一般公共预算财政拨款项目支出决算表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_Toc148529208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pStyle w:val="13"/>
            <w:jc w:val="center"/>
            <w:rPr>
              <w:rFonts w:ascii="仿宋" w:hAnsi="仿宋" w:eastAsia="仿宋" w:cstheme="minorBidi"/>
              <w:sz w:val="28"/>
              <w:szCs w:val="28"/>
            </w:rPr>
          </w:pPr>
          <w:r>
            <w:fldChar w:fldCharType="begin"/>
          </w:r>
          <w:r>
            <w:instrText xml:space="preserve"> HYPERLINK \l "_Toc148529209" </w:instrText>
          </w:r>
          <w:r>
            <w:fldChar w:fldCharType="separate"/>
          </w:r>
          <w:r>
            <w:rPr>
              <w:rStyle w:val="19"/>
              <w:rFonts w:ascii="仿宋" w:hAnsi="仿宋" w:eastAsia="仿宋"/>
              <w:sz w:val="28"/>
              <w:szCs w:val="28"/>
            </w:rPr>
            <w:t>十、政府性基金预算财政拨款收入支出决算表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_Toc148529209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pStyle w:val="13"/>
            <w:jc w:val="center"/>
            <w:rPr>
              <w:rFonts w:ascii="仿宋" w:hAnsi="仿宋" w:eastAsia="仿宋" w:cstheme="minorBidi"/>
              <w:sz w:val="28"/>
              <w:szCs w:val="28"/>
            </w:rPr>
          </w:pPr>
          <w:r>
            <w:fldChar w:fldCharType="begin"/>
          </w:r>
          <w:r>
            <w:instrText xml:space="preserve"> HYPERLINK \l "_Toc148529210" </w:instrText>
          </w:r>
          <w:r>
            <w:fldChar w:fldCharType="separate"/>
          </w:r>
          <w:r>
            <w:rPr>
              <w:rStyle w:val="19"/>
              <w:rFonts w:ascii="仿宋" w:hAnsi="仿宋" w:eastAsia="仿宋"/>
              <w:sz w:val="28"/>
              <w:szCs w:val="28"/>
            </w:rPr>
            <w:t>十一、国有资本经营预算财政拨款收入支出决算表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_Toc148529210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pStyle w:val="13"/>
            <w:jc w:val="center"/>
            <w:rPr>
              <w:rFonts w:ascii="仿宋" w:hAnsi="仿宋" w:eastAsia="仿宋" w:cstheme="minorBidi"/>
              <w:sz w:val="28"/>
              <w:szCs w:val="28"/>
            </w:rPr>
          </w:pPr>
          <w:r>
            <w:fldChar w:fldCharType="begin"/>
          </w:r>
          <w:r>
            <w:instrText xml:space="preserve"> HYPERLINK \l "_Toc148529211" </w:instrText>
          </w:r>
          <w:r>
            <w:fldChar w:fldCharType="separate"/>
          </w:r>
          <w:r>
            <w:rPr>
              <w:rStyle w:val="19"/>
              <w:rFonts w:ascii="仿宋" w:hAnsi="仿宋" w:eastAsia="仿宋"/>
              <w:sz w:val="28"/>
              <w:szCs w:val="28"/>
            </w:rPr>
            <w:t>十二、国有资本经营预算财政拨款支出决算表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_Toc148529211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pStyle w:val="13"/>
            <w:jc w:val="center"/>
            <w:rPr>
              <w:rFonts w:asciiTheme="minorEastAsia" w:hAnsiTheme="minorEastAsia" w:eastAsiaTheme="minorEastAsia" w:cstheme="minorBidi"/>
              <w:sz w:val="28"/>
              <w:szCs w:val="28"/>
            </w:rPr>
          </w:pPr>
          <w:r>
            <w:fldChar w:fldCharType="begin"/>
          </w:r>
          <w:r>
            <w:instrText xml:space="preserve"> HYPERLINK \l "_Toc148529212" </w:instrText>
          </w:r>
          <w:r>
            <w:fldChar w:fldCharType="separate"/>
          </w:r>
          <w:r>
            <w:rPr>
              <w:rStyle w:val="19"/>
              <w:rFonts w:ascii="仿宋" w:hAnsi="仿宋" w:eastAsia="仿宋"/>
              <w:sz w:val="28"/>
              <w:szCs w:val="28"/>
            </w:rPr>
            <w:t>十三、财政拨款“三公”经费支出决算表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_Toc148529212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jc w:val="center"/>
            <w:rPr>
              <w:rFonts w:asciiTheme="minorEastAsia" w:hAnsiTheme="minorEastAsia" w:eastAsiaTheme="minorEastAsia"/>
            </w:rPr>
          </w:pPr>
          <w:r>
            <w:rPr>
              <w:rFonts w:asciiTheme="minorEastAsia" w:hAnsiTheme="minorEastAsia" w:eastAsiaTheme="minorEastAsia"/>
              <w:b/>
              <w:bCs/>
              <w:sz w:val="28"/>
              <w:szCs w:val="28"/>
              <w:lang w:val="zh-CN"/>
            </w:rPr>
            <w:fldChar w:fldCharType="end"/>
          </w:r>
        </w:p>
      </w:sdtContent>
    </w:sdt>
    <w:p>
      <w:pPr>
        <w:pStyle w:val="3"/>
        <w:jc w:val="center"/>
        <w:rPr>
          <w:rFonts w:ascii="黑体" w:hAnsi="黑体" w:eastAsia="黑体"/>
          <w:b w:val="0"/>
        </w:rPr>
        <w:sectPr>
          <w:footerReference r:id="rId5" w:type="first"/>
          <w:headerReference r:id="rId3" w:type="default"/>
          <w:footerReference r:id="rId4" w:type="default"/>
          <w:pgSz w:w="11906" w:h="16838"/>
          <w:pgMar w:top="1440" w:right="1800" w:bottom="1440" w:left="1800" w:header="851" w:footer="992" w:gutter="0"/>
          <w:pgNumType w:start="1" w:chapStyle="1"/>
          <w:cols w:space="425" w:num="1"/>
          <w:titlePg/>
          <w:docGrid w:type="lines" w:linePitch="312" w:charSpace="0"/>
        </w:sectPr>
      </w:pPr>
      <w:bookmarkStart w:id="16" w:name="_Toc148529068"/>
      <w:bookmarkStart w:id="17" w:name="_Toc15396599"/>
      <w:bookmarkStart w:id="18" w:name="_Toc15377196"/>
      <w:bookmarkStart w:id="19" w:name="_Toc148529170"/>
    </w:p>
    <w:p>
      <w:pPr>
        <w:pStyle w:val="3"/>
        <w:jc w:val="center"/>
        <w:rPr>
          <w:rStyle w:val="28"/>
          <w:rFonts w:ascii="黑体" w:hAnsi="黑体" w:eastAsia="黑体"/>
          <w:b/>
          <w:bCs w:val="0"/>
        </w:rPr>
      </w:pPr>
      <w:r>
        <w:rPr>
          <w:rFonts w:hint="eastAsia" w:ascii="黑体" w:hAnsi="黑体" w:eastAsia="黑体"/>
          <w:b w:val="0"/>
        </w:rPr>
        <w:t>第一部分 单位</w:t>
      </w:r>
      <w:r>
        <w:rPr>
          <w:rStyle w:val="28"/>
          <w:rFonts w:hint="eastAsia" w:ascii="黑体" w:hAnsi="黑体" w:eastAsia="黑体"/>
          <w:b w:val="0"/>
          <w:bCs w:val="0"/>
        </w:rPr>
        <w:t>概况</w:t>
      </w:r>
      <w:bookmarkEnd w:id="16"/>
      <w:bookmarkEnd w:id="17"/>
      <w:bookmarkEnd w:id="18"/>
      <w:bookmarkEnd w:id="19"/>
    </w:p>
    <w:p>
      <w:pPr>
        <w:pStyle w:val="4"/>
        <w:numPr>
          <w:ilvl w:val="0"/>
          <w:numId w:val="1"/>
        </w:numPr>
        <w:rPr>
          <w:rStyle w:val="29"/>
          <w:rFonts w:ascii="黑体" w:hAnsi="黑体" w:eastAsia="黑体"/>
          <w:b w:val="0"/>
          <w:bCs w:val="0"/>
        </w:rPr>
      </w:pPr>
      <w:bookmarkStart w:id="20" w:name="_Toc148529171"/>
      <w:bookmarkStart w:id="21" w:name="_Toc148529069"/>
      <w:bookmarkStart w:id="22" w:name="_Toc15377197"/>
      <w:bookmarkStart w:id="23" w:name="_Toc15396600"/>
      <w:r>
        <w:rPr>
          <w:rStyle w:val="29"/>
          <w:rFonts w:hint="eastAsia" w:ascii="黑体" w:hAnsi="黑体" w:eastAsia="黑体"/>
          <w:b w:val="0"/>
          <w:bCs w:val="0"/>
        </w:rPr>
        <w:t>主要职责</w:t>
      </w:r>
      <w:bookmarkEnd w:id="20"/>
      <w:bookmarkEnd w:id="21"/>
    </w:p>
    <w:p>
      <w:pPr>
        <w:pStyle w:val="8"/>
        <w:ind w:firstLine="480" w:firstLineChars="150"/>
        <w:rPr>
          <w:b w:val="0"/>
        </w:rPr>
      </w:pPr>
      <w:r>
        <w:rPr>
          <w:rFonts w:hint="eastAsia"/>
          <w:b w:val="0"/>
        </w:rPr>
        <w:t>（一）单位</w:t>
      </w:r>
      <w:r>
        <w:rPr>
          <w:b w:val="0"/>
        </w:rPr>
        <w:t>职责</w:t>
      </w:r>
    </w:p>
    <w:p>
      <w:pPr>
        <w:pStyle w:val="8"/>
        <w:ind w:firstLine="640" w:firstLineChars="200"/>
        <w:rPr>
          <w:b w:val="0"/>
        </w:rPr>
      </w:pPr>
      <w:r>
        <w:rPr>
          <w:rFonts w:hint="eastAsia"/>
          <w:b w:val="0"/>
        </w:rPr>
        <w:t>1.</w:t>
      </w:r>
      <w:r>
        <w:rPr>
          <w:b w:val="0"/>
        </w:rPr>
        <w:t>负责编制县本级土地储备计划并实施</w:t>
      </w:r>
      <w:r>
        <w:rPr>
          <w:rFonts w:hint="eastAsia"/>
          <w:b w:val="0"/>
        </w:rPr>
        <w:t>，组织实施土地储备相关业务工作。</w:t>
      </w:r>
    </w:p>
    <w:p>
      <w:pPr>
        <w:pStyle w:val="8"/>
        <w:ind w:firstLine="640" w:firstLineChars="200"/>
        <w:rPr>
          <w:rFonts w:ascii="仿宋_GB2312" w:hAnsi="仿宋_GB2312" w:cs="仿宋_GB2312"/>
          <w:b w:val="0"/>
          <w:szCs w:val="32"/>
        </w:rPr>
      </w:pPr>
      <w:r>
        <w:rPr>
          <w:rFonts w:hint="eastAsia"/>
          <w:b w:val="0"/>
        </w:rPr>
        <w:t>2.</w:t>
      </w:r>
      <w:r>
        <w:rPr>
          <w:b w:val="0"/>
        </w:rPr>
        <w:t xml:space="preserve"> 负责储备土地实施前期开发和管护</w:t>
      </w:r>
      <w:r>
        <w:rPr>
          <w:rFonts w:hint="eastAsia"/>
          <w:b w:val="0"/>
        </w:rPr>
        <w:t>工作。</w:t>
      </w:r>
    </w:p>
    <w:p>
      <w:pPr>
        <w:pStyle w:val="8"/>
        <w:ind w:firstLine="640" w:firstLineChars="200"/>
        <w:rPr>
          <w:b w:val="0"/>
        </w:rPr>
      </w:pPr>
      <w:r>
        <w:rPr>
          <w:rFonts w:hint="eastAsia"/>
          <w:b w:val="0"/>
        </w:rPr>
        <w:t>3.</w:t>
      </w:r>
      <w:r>
        <w:rPr>
          <w:b w:val="0"/>
        </w:rPr>
        <w:t>配合土地储备专项债券发行工作</w:t>
      </w:r>
      <w:r>
        <w:rPr>
          <w:rFonts w:hint="eastAsia"/>
          <w:b w:val="0"/>
        </w:rPr>
        <w:t>。</w:t>
      </w:r>
    </w:p>
    <w:p>
      <w:pPr>
        <w:pStyle w:val="8"/>
        <w:ind w:firstLine="640" w:firstLineChars="200"/>
        <w:rPr>
          <w:b w:val="0"/>
        </w:rPr>
      </w:pPr>
      <w:r>
        <w:rPr>
          <w:rFonts w:hint="eastAsia"/>
          <w:b w:val="0"/>
        </w:rPr>
        <w:t>4.</w:t>
      </w:r>
      <w:r>
        <w:rPr>
          <w:b w:val="0"/>
        </w:rPr>
        <w:t>承担国有建设用地供应事务性工作</w:t>
      </w:r>
      <w:r>
        <w:rPr>
          <w:rFonts w:hint="eastAsia"/>
          <w:b w:val="0"/>
        </w:rPr>
        <w:t>，</w:t>
      </w:r>
      <w:r>
        <w:rPr>
          <w:b w:val="0"/>
        </w:rPr>
        <w:t>负责国有建设用地二级市场相关工作。</w:t>
      </w:r>
    </w:p>
    <w:p>
      <w:pPr>
        <w:pStyle w:val="8"/>
        <w:ind w:firstLine="640" w:firstLineChars="200"/>
        <w:rPr>
          <w:b w:val="0"/>
        </w:rPr>
      </w:pPr>
      <w:r>
        <w:rPr>
          <w:rFonts w:hint="eastAsia"/>
          <w:b w:val="0"/>
        </w:rPr>
        <w:t>（二）2022年重点工作完成情况</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强化土地矿权经营。2022年度，深入推进资源的市场化配置，落实公平竞争机制，引进中介机构重庆华地空间科技有限公司进行营销推荐，规范出让程序。全年以招拍挂方式供地33次，其中流标12次，成交14宗（以拍卖方式成交5宗，以挂牌方式成交9宗），实现合同价款21283万元；7宗将于2023年1月初完成拍卖与摘牌。全年矿权挂牌出让两宗，含王河及武连，实现价款673万。催收入库价款2宗，收缴入库资金2850万元。全年共催缴土地交易费282.442661万元，其中催缴历欠交易费120.6万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加大招商引资力度。2022年县委、县政府下达我局招商引资任务为：亿元以上项目不低于2个，签约资金不少于5.5亿元；当年到位资金不少于3.85亿元。我局全年共招商项目3个：包括剑阁县下寺镇剑门君悦项目、剑阁县下寺镇清江龙苑项目及剑门关雄关悠谷旅游酒店项目，经折算后我局实际签约资金为9.55亿元。超额完成任务。</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全年实现招商引资项目到位资金共4.6423亿元（一是巴蜀广场项目，到位资金1.3997亿元；二是时代广运一期项目，到位资金0.7781亿元,；三是下寺镇剑门新区兽药项目，到位资金0.3986亿元；四是城南9号项目，到位资金1.5639亿元；五是剑门关雄关悠谷旅游酒店项目0.5020亿元）。其中巴蜀广场、时代广运、城南9号属于房地产项目，按照房地产项目折算40%计，5个项目合计到位资金为2.39728亿元，完成率62.27%。</w:t>
      </w:r>
    </w:p>
    <w:p>
      <w:pPr>
        <w:spacing w:line="580" w:lineRule="exact"/>
        <w:ind w:firstLine="640" w:firstLineChars="200"/>
        <w:rPr>
          <w:rFonts w:ascii="仿宋" w:hAnsi="仿宋" w:eastAsia="仿宋" w:cs="仿宋"/>
          <w:color w:val="FF0000"/>
          <w:sz w:val="32"/>
          <w:szCs w:val="32"/>
        </w:rPr>
      </w:pPr>
      <w:r>
        <w:rPr>
          <w:rFonts w:hint="eastAsia" w:ascii="仿宋" w:hAnsi="仿宋" w:eastAsia="仿宋" w:cs="仿宋"/>
          <w:sz w:val="32"/>
          <w:szCs w:val="32"/>
        </w:rPr>
        <w:t>3.加强土地储备工作。2022年共收购储备国有土地17宗，面积36.851279公顷，其中征收中心移交12宗，面积34.425918公顷；收回5宗，面积3349.386631公顷。</w:t>
      </w:r>
    </w:p>
    <w:p>
      <w:pPr>
        <w:ind w:firstLine="640" w:firstLineChars="200"/>
        <w:rPr>
          <w:rFonts w:ascii="仿宋" w:hAnsi="仿宋" w:eastAsia="仿宋" w:cs="仿宋"/>
          <w:sz w:val="32"/>
          <w:szCs w:val="32"/>
        </w:rPr>
      </w:pPr>
      <w:r>
        <w:rPr>
          <w:rFonts w:hint="eastAsia" w:ascii="仿宋" w:hAnsi="仿宋" w:eastAsia="仿宋" w:cs="仿宋"/>
          <w:sz w:val="32"/>
          <w:szCs w:val="32"/>
        </w:rPr>
        <w:t>4.提升专项债券资金效益。我县共申请了土地储备及增减挂钩专项债券4.54亿元，其中土地储备专项债券3.78亿元，土地增减挂钩专项债0.76亿元。今年下拨资金0.779318亿元，</w:t>
      </w:r>
      <w:r>
        <w:rPr>
          <w:rFonts w:hint="eastAsia" w:ascii="仿宋_GB2312" w:eastAsia="仿宋_GB2312"/>
          <w:sz w:val="32"/>
        </w:rPr>
        <w:t>已使用0.719318亿元，剩余资金0.06亿元；土地增减挂钩专项债资金已全部使用</w:t>
      </w:r>
      <w:r>
        <w:rPr>
          <w:rFonts w:hint="eastAsia" w:ascii="仿宋" w:hAnsi="仿宋" w:eastAsia="仿宋" w:cs="仿宋"/>
          <w:sz w:val="32"/>
          <w:szCs w:val="32"/>
        </w:rPr>
        <w:t>。</w:t>
      </w:r>
    </w:p>
    <w:p>
      <w:pPr>
        <w:pStyle w:val="4"/>
        <w:numPr>
          <w:ilvl w:val="0"/>
          <w:numId w:val="2"/>
        </w:numPr>
        <w:rPr>
          <w:rFonts w:ascii="黑体" w:hAnsi="黑体" w:eastAsia="黑体"/>
          <w:b w:val="0"/>
        </w:rPr>
      </w:pPr>
      <w:bookmarkStart w:id="24" w:name="_Toc148529070"/>
      <w:bookmarkStart w:id="25" w:name="_Toc148529172"/>
      <w:r>
        <w:rPr>
          <w:rFonts w:hint="eastAsia" w:ascii="黑体" w:hAnsi="黑体" w:eastAsia="黑体"/>
          <w:b w:val="0"/>
        </w:rPr>
        <w:t>机构设置</w:t>
      </w:r>
      <w:bookmarkEnd w:id="24"/>
      <w:bookmarkEnd w:id="25"/>
    </w:p>
    <w:bookmarkEnd w:id="22"/>
    <w:bookmarkEnd w:id="23"/>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剑阁</w:t>
      </w:r>
      <w:r>
        <w:rPr>
          <w:rFonts w:ascii="仿宋" w:hAnsi="仿宋" w:eastAsia="仿宋" w:cs="宋体"/>
          <w:kern w:val="0"/>
          <w:sz w:val="32"/>
          <w:szCs w:val="32"/>
        </w:rPr>
        <w:t>县</w:t>
      </w:r>
      <w:r>
        <w:rPr>
          <w:rFonts w:hint="eastAsia" w:ascii="仿宋" w:hAnsi="仿宋" w:eastAsia="仿宋" w:cs="宋体"/>
          <w:kern w:val="0"/>
          <w:sz w:val="32"/>
          <w:szCs w:val="32"/>
        </w:rPr>
        <w:t>自然</w:t>
      </w:r>
      <w:r>
        <w:rPr>
          <w:rFonts w:ascii="仿宋" w:hAnsi="仿宋" w:eastAsia="仿宋" w:cs="宋体"/>
          <w:kern w:val="0"/>
          <w:sz w:val="32"/>
          <w:szCs w:val="32"/>
        </w:rPr>
        <w:t>资源储备交易中心</w:t>
      </w:r>
      <w:r>
        <w:rPr>
          <w:rFonts w:hint="eastAsia" w:ascii="仿宋" w:hAnsi="仿宋" w:eastAsia="仿宋" w:cs="宋体"/>
          <w:kern w:val="0"/>
          <w:sz w:val="32"/>
          <w:szCs w:val="32"/>
        </w:rPr>
        <w:t>属</w:t>
      </w:r>
      <w:r>
        <w:rPr>
          <w:rFonts w:ascii="仿宋" w:hAnsi="仿宋" w:eastAsia="仿宋" w:cs="宋体"/>
          <w:kern w:val="0"/>
          <w:sz w:val="32"/>
          <w:szCs w:val="32"/>
        </w:rPr>
        <w:t>全额财政拨款的</w:t>
      </w:r>
      <w:r>
        <w:rPr>
          <w:rFonts w:hint="eastAsia" w:ascii="仿宋" w:hAnsi="仿宋" w:eastAsia="仿宋" w:cs="宋体"/>
          <w:kern w:val="0"/>
          <w:sz w:val="32"/>
          <w:szCs w:val="32"/>
        </w:rPr>
        <w:t>事业</w:t>
      </w:r>
      <w:r>
        <w:rPr>
          <w:rFonts w:ascii="仿宋" w:hAnsi="仿宋" w:eastAsia="仿宋" w:cs="宋体"/>
          <w:kern w:val="0"/>
          <w:sz w:val="32"/>
          <w:szCs w:val="32"/>
        </w:rPr>
        <w:t>单位，核</w:t>
      </w:r>
      <w:r>
        <w:rPr>
          <w:rFonts w:hint="eastAsia" w:ascii="仿宋" w:hAnsi="仿宋" w:eastAsia="仿宋" w:cs="宋体"/>
          <w:kern w:val="0"/>
          <w:sz w:val="32"/>
          <w:szCs w:val="32"/>
        </w:rPr>
        <w:t>定</w:t>
      </w:r>
      <w:r>
        <w:rPr>
          <w:rFonts w:ascii="仿宋" w:hAnsi="仿宋" w:eastAsia="仿宋" w:cs="宋体"/>
          <w:kern w:val="0"/>
          <w:sz w:val="32"/>
          <w:szCs w:val="32"/>
        </w:rPr>
        <w:t>总编制</w:t>
      </w:r>
      <w:r>
        <w:rPr>
          <w:rFonts w:hint="eastAsia" w:ascii="仿宋" w:hAnsi="仿宋" w:eastAsia="仿宋" w:cs="宋体"/>
          <w:kern w:val="0"/>
          <w:sz w:val="32"/>
          <w:szCs w:val="32"/>
        </w:rPr>
        <w:t>2名</w:t>
      </w:r>
      <w:r>
        <w:rPr>
          <w:rFonts w:ascii="仿宋" w:hAnsi="仿宋" w:eastAsia="仿宋" w:cs="宋体"/>
          <w:kern w:val="0"/>
          <w:sz w:val="32"/>
          <w:szCs w:val="32"/>
        </w:rPr>
        <w:t>，其中事业编制</w:t>
      </w:r>
      <w:r>
        <w:rPr>
          <w:rFonts w:hint="eastAsia" w:ascii="仿宋" w:hAnsi="仿宋" w:eastAsia="仿宋" w:cs="宋体"/>
          <w:kern w:val="0"/>
          <w:sz w:val="32"/>
          <w:szCs w:val="32"/>
        </w:rPr>
        <w:t>2名</w:t>
      </w:r>
      <w:r>
        <w:rPr>
          <w:rFonts w:ascii="仿宋" w:hAnsi="仿宋" w:eastAsia="仿宋" w:cs="宋体"/>
          <w:kern w:val="0"/>
          <w:sz w:val="32"/>
          <w:szCs w:val="32"/>
        </w:rPr>
        <w:t>。</w:t>
      </w:r>
      <w:r>
        <w:rPr>
          <w:rFonts w:hint="eastAsia" w:ascii="仿宋" w:hAnsi="仿宋" w:eastAsia="仿宋" w:cs="宋体"/>
          <w:kern w:val="0"/>
          <w:sz w:val="32"/>
          <w:szCs w:val="32"/>
        </w:rPr>
        <w:t>无下属二级单位，</w:t>
      </w:r>
      <w:r>
        <w:rPr>
          <w:rFonts w:ascii="仿宋" w:hAnsi="仿宋" w:eastAsia="仿宋" w:cs="宋体"/>
          <w:kern w:val="0"/>
          <w:sz w:val="32"/>
          <w:szCs w:val="32"/>
        </w:rPr>
        <w:t>无纳入</w:t>
      </w:r>
      <w:r>
        <w:rPr>
          <w:rFonts w:hint="eastAsia" w:ascii="仿宋" w:hAnsi="仿宋" w:eastAsia="仿宋" w:cs="宋体"/>
          <w:kern w:val="0"/>
          <w:sz w:val="32"/>
          <w:szCs w:val="32"/>
        </w:rPr>
        <w:t>202</w:t>
      </w:r>
      <w:r>
        <w:rPr>
          <w:rFonts w:ascii="仿宋" w:hAnsi="仿宋" w:eastAsia="仿宋" w:cs="宋体"/>
          <w:kern w:val="0"/>
          <w:sz w:val="32"/>
          <w:szCs w:val="32"/>
        </w:rPr>
        <w:t>2</w:t>
      </w:r>
      <w:r>
        <w:rPr>
          <w:rFonts w:hint="eastAsia" w:ascii="仿宋" w:hAnsi="仿宋" w:eastAsia="仿宋" w:cs="宋体"/>
          <w:kern w:val="0"/>
          <w:sz w:val="32"/>
          <w:szCs w:val="32"/>
        </w:rPr>
        <w:t>年度</w:t>
      </w:r>
      <w:r>
        <w:rPr>
          <w:rFonts w:ascii="仿宋" w:hAnsi="仿宋" w:eastAsia="仿宋" w:cs="宋体"/>
          <w:kern w:val="0"/>
          <w:sz w:val="32"/>
          <w:szCs w:val="32"/>
        </w:rPr>
        <w:t>部门决算编制范围的二级</w:t>
      </w:r>
      <w:r>
        <w:rPr>
          <w:rFonts w:hint="eastAsia" w:ascii="仿宋" w:hAnsi="仿宋" w:eastAsia="仿宋" w:cs="宋体"/>
          <w:kern w:val="0"/>
          <w:sz w:val="32"/>
          <w:szCs w:val="32"/>
        </w:rPr>
        <w:t>预算</w:t>
      </w:r>
      <w:r>
        <w:rPr>
          <w:rFonts w:ascii="仿宋" w:hAnsi="仿宋" w:eastAsia="仿宋" w:cs="宋体"/>
          <w:kern w:val="0"/>
          <w:sz w:val="32"/>
          <w:szCs w:val="32"/>
        </w:rPr>
        <w:t>单位。</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1、机构</w:t>
      </w:r>
      <w:r>
        <w:rPr>
          <w:rFonts w:ascii="仿宋" w:hAnsi="仿宋" w:eastAsia="仿宋" w:cs="宋体"/>
          <w:kern w:val="0"/>
          <w:sz w:val="32"/>
          <w:szCs w:val="32"/>
        </w:rPr>
        <w:t>情况。剑阁县</w:t>
      </w:r>
      <w:r>
        <w:rPr>
          <w:rFonts w:hint="eastAsia" w:ascii="仿宋" w:hAnsi="仿宋" w:eastAsia="仿宋" w:cs="宋体"/>
          <w:kern w:val="0"/>
          <w:sz w:val="32"/>
          <w:szCs w:val="32"/>
        </w:rPr>
        <w:t>自然</w:t>
      </w:r>
      <w:r>
        <w:rPr>
          <w:rFonts w:ascii="仿宋" w:hAnsi="仿宋" w:eastAsia="仿宋" w:cs="宋体"/>
          <w:kern w:val="0"/>
          <w:sz w:val="32"/>
          <w:szCs w:val="32"/>
        </w:rPr>
        <w:t>资源储备交易中心当年无变动。</w:t>
      </w:r>
    </w:p>
    <w:p>
      <w:pPr>
        <w:pStyle w:val="2"/>
        <w:spacing w:before="93"/>
        <w:ind w:firstLine="640" w:firstLineChars="200"/>
        <w:rPr>
          <w:rFonts w:ascii="仿宋" w:hAnsi="仿宋" w:eastAsia="仿宋" w:cs="宋体"/>
          <w:sz w:val="32"/>
          <w:szCs w:val="32"/>
        </w:rPr>
      </w:pPr>
      <w:r>
        <w:rPr>
          <w:rFonts w:hint="eastAsia" w:ascii="仿宋" w:hAnsi="仿宋" w:eastAsia="仿宋" w:cs="宋体"/>
          <w:sz w:val="32"/>
          <w:szCs w:val="32"/>
        </w:rPr>
        <w:t>2、人员</w:t>
      </w:r>
      <w:r>
        <w:rPr>
          <w:rFonts w:ascii="仿宋" w:hAnsi="仿宋" w:eastAsia="仿宋" w:cs="宋体"/>
          <w:sz w:val="32"/>
          <w:szCs w:val="32"/>
        </w:rPr>
        <w:t>情况。剑阁县</w:t>
      </w:r>
      <w:r>
        <w:rPr>
          <w:rFonts w:hint="eastAsia" w:ascii="仿宋" w:hAnsi="仿宋" w:eastAsia="仿宋" w:cs="宋体"/>
          <w:sz w:val="32"/>
          <w:szCs w:val="32"/>
        </w:rPr>
        <w:t>自然</w:t>
      </w:r>
      <w:r>
        <w:rPr>
          <w:rFonts w:ascii="仿宋" w:hAnsi="仿宋" w:eastAsia="仿宋" w:cs="宋体"/>
          <w:sz w:val="32"/>
          <w:szCs w:val="32"/>
        </w:rPr>
        <w:t>资源储备交易中心</w:t>
      </w:r>
      <w:r>
        <w:rPr>
          <w:rFonts w:hint="eastAsia" w:ascii="仿宋" w:hAnsi="仿宋" w:eastAsia="仿宋" w:cs="宋体"/>
          <w:sz w:val="32"/>
          <w:szCs w:val="32"/>
        </w:rPr>
        <w:t>编制数2名</w:t>
      </w:r>
      <w:r>
        <w:rPr>
          <w:rFonts w:ascii="仿宋" w:hAnsi="仿宋" w:eastAsia="仿宋" w:cs="宋体"/>
          <w:sz w:val="32"/>
          <w:szCs w:val="32"/>
        </w:rPr>
        <w:t>，年初在职职工</w:t>
      </w:r>
      <w:r>
        <w:rPr>
          <w:rFonts w:hint="eastAsia" w:ascii="仿宋" w:hAnsi="仿宋" w:eastAsia="仿宋" w:cs="宋体"/>
          <w:sz w:val="32"/>
          <w:szCs w:val="32"/>
        </w:rPr>
        <w:t>2名</w:t>
      </w:r>
      <w:r>
        <w:rPr>
          <w:rFonts w:ascii="仿宋" w:hAnsi="仿宋" w:eastAsia="仿宋" w:cs="宋体"/>
          <w:sz w:val="32"/>
          <w:szCs w:val="32"/>
        </w:rPr>
        <w:t>，当年无调动，现有</w:t>
      </w:r>
      <w:r>
        <w:rPr>
          <w:rFonts w:hint="eastAsia" w:ascii="仿宋" w:hAnsi="仿宋" w:eastAsia="仿宋" w:cs="宋体"/>
          <w:sz w:val="32"/>
          <w:szCs w:val="32"/>
        </w:rPr>
        <w:t>在职</w:t>
      </w:r>
      <w:r>
        <w:rPr>
          <w:rFonts w:ascii="仿宋" w:hAnsi="仿宋" w:eastAsia="仿宋" w:cs="宋体"/>
          <w:sz w:val="32"/>
          <w:szCs w:val="32"/>
        </w:rPr>
        <w:t>职工</w:t>
      </w:r>
      <w:r>
        <w:rPr>
          <w:rFonts w:hint="eastAsia" w:ascii="仿宋" w:hAnsi="仿宋" w:eastAsia="仿宋" w:cs="宋体"/>
          <w:sz w:val="32"/>
          <w:szCs w:val="32"/>
        </w:rPr>
        <w:t>2名</w:t>
      </w:r>
      <w:r>
        <w:rPr>
          <w:rFonts w:ascii="仿宋" w:hAnsi="仿宋" w:eastAsia="仿宋" w:cs="宋体"/>
          <w:sz w:val="32"/>
          <w:szCs w:val="32"/>
        </w:rPr>
        <w:t>。</w:t>
      </w:r>
    </w:p>
    <w:p>
      <w:pPr>
        <w:pStyle w:val="2"/>
        <w:spacing w:before="93"/>
        <w:ind w:firstLine="640" w:firstLineChars="200"/>
        <w:rPr>
          <w:rFonts w:ascii="仿宋" w:hAnsi="仿宋" w:eastAsia="仿宋" w:cs="宋体"/>
          <w:sz w:val="32"/>
          <w:szCs w:val="32"/>
        </w:rPr>
      </w:pPr>
    </w:p>
    <w:p>
      <w:pPr>
        <w:pStyle w:val="2"/>
        <w:spacing w:before="93"/>
        <w:ind w:firstLine="640" w:firstLineChars="200"/>
        <w:rPr>
          <w:rFonts w:ascii="仿宋" w:hAnsi="仿宋" w:eastAsia="仿宋" w:cs="宋体"/>
          <w:sz w:val="32"/>
          <w:szCs w:val="32"/>
        </w:rPr>
      </w:pPr>
    </w:p>
    <w:p>
      <w:pPr>
        <w:pStyle w:val="2"/>
        <w:spacing w:before="93"/>
        <w:ind w:firstLine="640" w:firstLineChars="200"/>
        <w:rPr>
          <w:rFonts w:ascii="仿宋" w:hAnsi="仿宋" w:eastAsia="仿宋" w:cs="宋体"/>
          <w:sz w:val="32"/>
          <w:szCs w:val="32"/>
        </w:rPr>
      </w:pPr>
    </w:p>
    <w:p>
      <w:pPr>
        <w:pStyle w:val="2"/>
        <w:spacing w:before="93"/>
        <w:ind w:firstLine="640" w:firstLineChars="200"/>
        <w:rPr>
          <w:rFonts w:ascii="仿宋" w:hAnsi="仿宋" w:eastAsia="仿宋" w:cs="宋体"/>
          <w:sz w:val="32"/>
          <w:szCs w:val="32"/>
        </w:rPr>
      </w:pPr>
    </w:p>
    <w:p>
      <w:pPr>
        <w:pStyle w:val="2"/>
        <w:spacing w:before="93"/>
        <w:ind w:firstLine="640" w:firstLineChars="200"/>
        <w:rPr>
          <w:rFonts w:ascii="仿宋" w:hAnsi="仿宋" w:eastAsia="仿宋" w:cs="宋体"/>
          <w:sz w:val="32"/>
          <w:szCs w:val="32"/>
        </w:rPr>
      </w:pPr>
    </w:p>
    <w:p>
      <w:pPr>
        <w:pStyle w:val="2"/>
        <w:spacing w:before="93"/>
        <w:ind w:firstLine="640" w:firstLineChars="200"/>
        <w:rPr>
          <w:rFonts w:ascii="仿宋" w:hAnsi="仿宋" w:eastAsia="仿宋" w:cs="宋体"/>
          <w:sz w:val="32"/>
          <w:szCs w:val="32"/>
        </w:rPr>
      </w:pPr>
    </w:p>
    <w:p>
      <w:pPr>
        <w:pStyle w:val="2"/>
        <w:spacing w:before="93"/>
        <w:ind w:firstLine="640" w:firstLineChars="200"/>
        <w:rPr>
          <w:rFonts w:ascii="仿宋" w:hAnsi="仿宋" w:eastAsia="仿宋" w:cs="宋体"/>
          <w:sz w:val="32"/>
          <w:szCs w:val="32"/>
        </w:rPr>
      </w:pPr>
    </w:p>
    <w:p>
      <w:pPr>
        <w:pStyle w:val="2"/>
        <w:spacing w:before="93"/>
        <w:ind w:firstLine="640" w:firstLineChars="200"/>
        <w:rPr>
          <w:rFonts w:ascii="仿宋" w:hAnsi="仿宋" w:eastAsia="仿宋" w:cs="宋体"/>
          <w:sz w:val="32"/>
          <w:szCs w:val="32"/>
        </w:rPr>
      </w:pPr>
    </w:p>
    <w:p>
      <w:pPr>
        <w:pStyle w:val="2"/>
        <w:spacing w:before="93"/>
        <w:ind w:firstLine="640" w:firstLineChars="200"/>
        <w:rPr>
          <w:rFonts w:ascii="仿宋" w:hAnsi="仿宋" w:eastAsia="仿宋" w:cs="宋体"/>
          <w:sz w:val="32"/>
          <w:szCs w:val="32"/>
        </w:rPr>
      </w:pPr>
    </w:p>
    <w:p>
      <w:pPr>
        <w:pStyle w:val="2"/>
        <w:spacing w:before="93"/>
        <w:ind w:firstLine="640" w:firstLineChars="200"/>
        <w:rPr>
          <w:rFonts w:ascii="仿宋" w:hAnsi="仿宋" w:eastAsia="仿宋" w:cs="宋体"/>
          <w:sz w:val="32"/>
          <w:szCs w:val="32"/>
        </w:rPr>
      </w:pPr>
    </w:p>
    <w:p>
      <w:pPr>
        <w:pStyle w:val="3"/>
        <w:ind w:right="440"/>
        <w:jc w:val="center"/>
        <w:rPr>
          <w:rFonts w:ascii="黑体" w:hAnsi="黑体" w:eastAsia="黑体"/>
          <w:b w:val="0"/>
        </w:rPr>
      </w:pPr>
      <w:bookmarkStart w:id="26" w:name="_Toc15396602"/>
      <w:bookmarkStart w:id="27" w:name="_Toc15377204"/>
    </w:p>
    <w:p/>
    <w:p>
      <w:pPr>
        <w:pStyle w:val="2"/>
        <w:spacing w:before="93"/>
      </w:pPr>
    </w:p>
    <w:p>
      <w:pPr>
        <w:pStyle w:val="3"/>
        <w:ind w:right="440"/>
        <w:jc w:val="center"/>
        <w:rPr>
          <w:rStyle w:val="28"/>
          <w:rFonts w:ascii="黑体" w:hAnsi="黑体" w:eastAsia="黑体"/>
          <w:b w:val="0"/>
          <w:bCs/>
        </w:rPr>
      </w:pPr>
      <w:bookmarkStart w:id="28" w:name="_Toc148529071"/>
      <w:bookmarkStart w:id="29" w:name="_Toc148529173"/>
      <w:r>
        <w:rPr>
          <w:rFonts w:hint="eastAsia" w:ascii="黑体" w:hAnsi="黑体" w:eastAsia="黑体"/>
          <w:b w:val="0"/>
        </w:rPr>
        <w:t>第二部分 2022年度</w:t>
      </w:r>
      <w:r>
        <w:rPr>
          <w:rStyle w:val="28"/>
          <w:rFonts w:hint="eastAsia" w:ascii="黑体" w:hAnsi="黑体" w:eastAsia="黑体"/>
          <w:b w:val="0"/>
          <w:bCs/>
        </w:rPr>
        <w:t>单位决算情况说明</w:t>
      </w:r>
      <w:bookmarkEnd w:id="26"/>
      <w:bookmarkEnd w:id="27"/>
      <w:bookmarkEnd w:id="28"/>
      <w:bookmarkEnd w:id="29"/>
    </w:p>
    <w:p/>
    <w:p>
      <w:pPr>
        <w:pStyle w:val="27"/>
        <w:numPr>
          <w:ilvl w:val="0"/>
          <w:numId w:val="3"/>
        </w:numPr>
        <w:spacing w:line="600" w:lineRule="exact"/>
        <w:ind w:firstLineChars="0"/>
        <w:outlineLvl w:val="1"/>
        <w:rPr>
          <w:rStyle w:val="29"/>
          <w:rFonts w:ascii="黑体" w:hAnsi="黑体" w:eastAsia="黑体"/>
          <w:b w:val="0"/>
        </w:rPr>
      </w:pPr>
      <w:bookmarkStart w:id="30" w:name="_Toc148529174"/>
      <w:bookmarkStart w:id="31" w:name="_Toc15396603"/>
      <w:bookmarkStart w:id="32" w:name="_Toc15377205"/>
      <w:bookmarkStart w:id="33" w:name="_Toc148529072"/>
      <w:r>
        <w:rPr>
          <w:rFonts w:hint="eastAsia" w:ascii="黑体" w:hAnsi="黑体" w:eastAsia="黑体"/>
          <w:sz w:val="32"/>
          <w:szCs w:val="32"/>
        </w:rPr>
        <w:t>收</w:t>
      </w:r>
      <w:r>
        <w:rPr>
          <w:rStyle w:val="29"/>
          <w:rFonts w:hint="eastAsia" w:ascii="黑体" w:hAnsi="黑体" w:eastAsia="黑体"/>
          <w:b w:val="0"/>
        </w:rPr>
        <w:t>入支出决算总体情况说明</w:t>
      </w:r>
      <w:bookmarkEnd w:id="30"/>
      <w:bookmarkEnd w:id="31"/>
      <w:bookmarkEnd w:id="32"/>
      <w:bookmarkEnd w:id="33"/>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ascii="仿宋" w:hAnsi="仿宋" w:eastAsia="仿宋"/>
          <w:sz w:val="32"/>
          <w:szCs w:val="32"/>
        </w:rPr>
        <w:t>25.21</w:t>
      </w:r>
      <w:r>
        <w:rPr>
          <w:rFonts w:hint="eastAsia" w:ascii="仿宋" w:hAnsi="仿宋" w:eastAsia="仿宋"/>
          <w:sz w:val="32"/>
          <w:szCs w:val="32"/>
        </w:rPr>
        <w:t>万元。与2021年相比，收、支总计各增加</w:t>
      </w:r>
      <w:r>
        <w:rPr>
          <w:rFonts w:ascii="仿宋" w:hAnsi="仿宋" w:eastAsia="仿宋"/>
          <w:sz w:val="32"/>
          <w:szCs w:val="32"/>
        </w:rPr>
        <w:t>25.21</w:t>
      </w:r>
      <w:r>
        <w:rPr>
          <w:rFonts w:hint="eastAsia" w:ascii="仿宋" w:hAnsi="仿宋" w:eastAsia="仿宋"/>
          <w:sz w:val="32"/>
          <w:szCs w:val="32"/>
        </w:rPr>
        <w:t>万元，增长</w:t>
      </w:r>
      <w:r>
        <w:rPr>
          <w:rFonts w:ascii="仿宋" w:hAnsi="仿宋" w:eastAsia="仿宋"/>
          <w:sz w:val="32"/>
          <w:szCs w:val="32"/>
        </w:rPr>
        <w:t>100%</w:t>
      </w:r>
      <w:r>
        <w:rPr>
          <w:rFonts w:hint="eastAsia" w:ascii="仿宋" w:hAnsi="仿宋" w:eastAsia="仿宋"/>
          <w:sz w:val="32"/>
          <w:szCs w:val="32"/>
        </w:rPr>
        <w:t>。主要变动原因是2022年</w:t>
      </w:r>
      <w:r>
        <w:rPr>
          <w:rFonts w:ascii="仿宋" w:hAnsi="仿宋" w:eastAsia="仿宋"/>
          <w:sz w:val="32"/>
          <w:szCs w:val="32"/>
        </w:rPr>
        <w:t>新纳入财政预算单位</w:t>
      </w:r>
      <w:r>
        <w:rPr>
          <w:rFonts w:hint="eastAsia" w:ascii="仿宋" w:hAnsi="仿宋" w:eastAsia="仿宋"/>
          <w:sz w:val="32"/>
          <w:szCs w:val="32"/>
        </w:rPr>
        <w:t>。</w:t>
      </w:r>
    </w:p>
    <w:p>
      <w:pPr>
        <w:spacing w:line="600" w:lineRule="exact"/>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
        <w:spacing w:before="93"/>
      </w:pPr>
    </w:p>
    <w:p>
      <w:pPr>
        <w:pStyle w:val="2"/>
        <w:spacing w:before="93"/>
        <w:jc w:val="center"/>
      </w:pPr>
      <w: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spacing w:before="93"/>
      </w:pPr>
    </w:p>
    <w:p>
      <w:pPr>
        <w:pStyle w:val="27"/>
        <w:numPr>
          <w:ilvl w:val="0"/>
          <w:numId w:val="3"/>
        </w:numPr>
        <w:spacing w:line="600" w:lineRule="exact"/>
        <w:ind w:firstLineChars="0"/>
        <w:outlineLvl w:val="1"/>
        <w:rPr>
          <w:rStyle w:val="29"/>
          <w:rFonts w:ascii="黑体" w:hAnsi="黑体" w:eastAsia="黑体"/>
          <w:b w:val="0"/>
        </w:rPr>
      </w:pPr>
      <w:bookmarkStart w:id="34" w:name="_Toc148529073"/>
      <w:bookmarkStart w:id="35" w:name="_Toc15396604"/>
      <w:bookmarkStart w:id="36" w:name="_Toc148529175"/>
      <w:bookmarkStart w:id="37" w:name="_Toc15377206"/>
      <w:r>
        <w:rPr>
          <w:rFonts w:hint="eastAsia" w:ascii="黑体" w:hAnsi="黑体" w:eastAsia="黑体"/>
          <w:sz w:val="32"/>
          <w:szCs w:val="32"/>
        </w:rPr>
        <w:t>收</w:t>
      </w:r>
      <w:r>
        <w:rPr>
          <w:rStyle w:val="29"/>
          <w:rFonts w:hint="eastAsia" w:ascii="黑体" w:hAnsi="黑体" w:eastAsia="黑体"/>
          <w:b w:val="0"/>
        </w:rPr>
        <w:t>入决算情况说明</w:t>
      </w:r>
      <w:bookmarkEnd w:id="34"/>
      <w:bookmarkEnd w:id="35"/>
      <w:bookmarkEnd w:id="36"/>
      <w:bookmarkEnd w:id="37"/>
    </w:p>
    <w:p>
      <w:pPr>
        <w:spacing w:line="600" w:lineRule="exact"/>
        <w:ind w:firstLine="640" w:firstLineChars="200"/>
        <w:outlineLvl w:val="1"/>
        <w:rPr>
          <w:rFonts w:ascii="仿宋" w:hAnsi="仿宋" w:eastAsia="仿宋"/>
          <w:sz w:val="32"/>
          <w:szCs w:val="32"/>
        </w:rPr>
      </w:pPr>
      <w:bookmarkStart w:id="38" w:name="_Toc148529074"/>
      <w:bookmarkStart w:id="39" w:name="_Toc148529176"/>
      <w:r>
        <w:rPr>
          <w:rFonts w:ascii="仿宋" w:hAnsi="仿宋" w:eastAsia="仿宋"/>
          <w:sz w:val="32"/>
          <w:szCs w:val="32"/>
        </w:rPr>
        <w:t>20</w:t>
      </w:r>
      <w:r>
        <w:rPr>
          <w:rFonts w:hint="eastAsia" w:ascii="仿宋" w:hAnsi="仿宋" w:eastAsia="仿宋"/>
          <w:sz w:val="32"/>
          <w:szCs w:val="32"/>
        </w:rPr>
        <w:t>22年本年收入合计</w:t>
      </w:r>
      <w:r>
        <w:rPr>
          <w:rFonts w:ascii="仿宋" w:hAnsi="仿宋" w:eastAsia="仿宋"/>
          <w:sz w:val="32"/>
          <w:szCs w:val="32"/>
        </w:rPr>
        <w:t>25.21</w:t>
      </w:r>
      <w:r>
        <w:rPr>
          <w:rFonts w:hint="eastAsia" w:ascii="仿宋" w:hAnsi="仿宋" w:eastAsia="仿宋"/>
          <w:sz w:val="32"/>
          <w:szCs w:val="32"/>
        </w:rPr>
        <w:t>万元，其中：一般公共预算财政拨款收入</w:t>
      </w:r>
      <w:r>
        <w:rPr>
          <w:rFonts w:ascii="仿宋" w:hAnsi="仿宋" w:eastAsia="仿宋"/>
          <w:sz w:val="32"/>
          <w:szCs w:val="32"/>
        </w:rPr>
        <w:t>25.21</w:t>
      </w:r>
      <w:r>
        <w:rPr>
          <w:rFonts w:hint="eastAsia" w:ascii="仿宋" w:hAnsi="仿宋" w:eastAsia="仿宋"/>
          <w:sz w:val="32"/>
          <w:szCs w:val="32"/>
        </w:rPr>
        <w:t>万元，占</w:t>
      </w:r>
      <w:r>
        <w:rPr>
          <w:rFonts w:ascii="仿宋" w:hAnsi="仿宋" w:eastAsia="仿宋"/>
          <w:sz w:val="32"/>
          <w:szCs w:val="32"/>
        </w:rPr>
        <w:t>100%</w:t>
      </w:r>
      <w:r>
        <w:rPr>
          <w:rFonts w:hint="eastAsia" w:ascii="仿宋" w:hAnsi="仿宋" w:eastAsia="仿宋"/>
          <w:sz w:val="32"/>
          <w:szCs w:val="32"/>
        </w:rPr>
        <w:t>；政府性基金预算财政拨款收入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；国有资本经营预算财政拨款收入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；上级补助收入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；经营收入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；附属单位上缴收入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；其他收入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bookmarkEnd w:id="38"/>
      <w:bookmarkEnd w:id="39"/>
    </w:p>
    <w:p>
      <w:pPr>
        <w:spacing w:line="600" w:lineRule="exact"/>
        <w:jc w:val="center"/>
        <w:rPr>
          <w:rFonts w:ascii="仿宋" w:hAnsi="仿宋" w:eastAsia="仿宋"/>
          <w:sz w:val="32"/>
          <w:szCs w:val="32"/>
        </w:rPr>
      </w:pPr>
      <w:r>
        <w:rPr>
          <w:rFonts w:hint="eastAsia" w:ascii="仿宋" w:hAnsi="仿宋" w:eastAsia="仿宋"/>
          <w:sz w:val="32"/>
          <w:szCs w:val="32"/>
        </w:rPr>
        <w:t>（图2：收入决算结构图）（饼状图）</w:t>
      </w:r>
    </w:p>
    <w:p>
      <w:pPr>
        <w:pStyle w:val="2"/>
        <w:spacing w:before="93"/>
      </w:pPr>
    </w:p>
    <w:p>
      <w:pPr>
        <w:pStyle w:val="2"/>
        <w:spacing w:before="93"/>
        <w:jc w:val="center"/>
      </w:pPr>
      <w:r>
        <w:drawing>
          <wp:inline distT="0" distB="0" distL="0" distR="0">
            <wp:extent cx="4400550" cy="2352675"/>
            <wp:effectExtent l="0" t="0" r="0" b="952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spacing w:before="93"/>
        <w:jc w:val="center"/>
      </w:pPr>
    </w:p>
    <w:p>
      <w:pPr>
        <w:pStyle w:val="27"/>
        <w:numPr>
          <w:ilvl w:val="0"/>
          <w:numId w:val="3"/>
        </w:numPr>
        <w:spacing w:line="600" w:lineRule="exact"/>
        <w:ind w:firstLineChars="0"/>
        <w:outlineLvl w:val="1"/>
        <w:rPr>
          <w:rStyle w:val="29"/>
          <w:rFonts w:ascii="黑体" w:hAnsi="黑体" w:eastAsia="黑体"/>
          <w:b w:val="0"/>
        </w:rPr>
      </w:pPr>
      <w:bookmarkStart w:id="40" w:name="_Toc148529177"/>
      <w:bookmarkStart w:id="41" w:name="_Toc15396605"/>
      <w:bookmarkStart w:id="42" w:name="_Toc148529075"/>
      <w:bookmarkStart w:id="43" w:name="_Toc15377207"/>
      <w:r>
        <w:rPr>
          <w:rFonts w:hint="eastAsia" w:ascii="黑体" w:hAnsi="黑体" w:eastAsia="黑体"/>
          <w:sz w:val="32"/>
          <w:szCs w:val="32"/>
        </w:rPr>
        <w:t>支</w:t>
      </w:r>
      <w:r>
        <w:rPr>
          <w:rStyle w:val="29"/>
          <w:rFonts w:hint="eastAsia" w:ascii="黑体" w:hAnsi="黑体" w:eastAsia="黑体"/>
          <w:b w:val="0"/>
        </w:rPr>
        <w:t>出决算情况说明</w:t>
      </w:r>
      <w:bookmarkEnd w:id="40"/>
      <w:bookmarkEnd w:id="41"/>
      <w:bookmarkEnd w:id="42"/>
      <w:bookmarkEnd w:id="43"/>
    </w:p>
    <w:p>
      <w:pPr>
        <w:spacing w:line="600" w:lineRule="exact"/>
        <w:ind w:firstLine="640" w:firstLineChars="200"/>
        <w:outlineLvl w:val="1"/>
        <w:rPr>
          <w:rFonts w:ascii="仿宋" w:hAnsi="仿宋" w:eastAsia="仿宋"/>
          <w:sz w:val="32"/>
          <w:szCs w:val="32"/>
        </w:rPr>
      </w:pPr>
      <w:bookmarkStart w:id="44" w:name="_Toc148529178"/>
      <w:bookmarkStart w:id="45" w:name="_Toc148529076"/>
      <w:r>
        <w:rPr>
          <w:rFonts w:ascii="仿宋" w:hAnsi="仿宋" w:eastAsia="仿宋"/>
          <w:sz w:val="32"/>
          <w:szCs w:val="32"/>
        </w:rPr>
        <w:t>20</w:t>
      </w:r>
      <w:r>
        <w:rPr>
          <w:rFonts w:hint="eastAsia" w:ascii="仿宋" w:hAnsi="仿宋" w:eastAsia="仿宋"/>
          <w:sz w:val="32"/>
          <w:szCs w:val="32"/>
        </w:rPr>
        <w:t>22年本年支出合计</w:t>
      </w:r>
      <w:r>
        <w:rPr>
          <w:rFonts w:ascii="仿宋" w:hAnsi="仿宋" w:eastAsia="仿宋"/>
          <w:sz w:val="32"/>
          <w:szCs w:val="32"/>
        </w:rPr>
        <w:t>25.21</w:t>
      </w:r>
      <w:r>
        <w:rPr>
          <w:rFonts w:hint="eastAsia" w:ascii="仿宋" w:hAnsi="仿宋" w:eastAsia="仿宋"/>
          <w:sz w:val="32"/>
          <w:szCs w:val="32"/>
        </w:rPr>
        <w:t>万元，其中：基本支出</w:t>
      </w:r>
      <w:r>
        <w:rPr>
          <w:rFonts w:ascii="仿宋" w:hAnsi="仿宋" w:eastAsia="仿宋"/>
          <w:sz w:val="32"/>
          <w:szCs w:val="32"/>
        </w:rPr>
        <w:t>25.21</w:t>
      </w:r>
      <w:r>
        <w:rPr>
          <w:rFonts w:hint="eastAsia" w:ascii="仿宋" w:hAnsi="仿宋" w:eastAsia="仿宋"/>
          <w:sz w:val="32"/>
          <w:szCs w:val="32"/>
        </w:rPr>
        <w:t>万元，占</w:t>
      </w:r>
      <w:r>
        <w:rPr>
          <w:rFonts w:ascii="仿宋" w:hAnsi="仿宋" w:eastAsia="仿宋"/>
          <w:sz w:val="32"/>
          <w:szCs w:val="32"/>
        </w:rPr>
        <w:t>100%</w:t>
      </w:r>
      <w:r>
        <w:rPr>
          <w:rFonts w:hint="eastAsia" w:ascii="仿宋" w:hAnsi="仿宋" w:eastAsia="仿宋"/>
          <w:sz w:val="32"/>
          <w:szCs w:val="32"/>
        </w:rPr>
        <w:t>；项目支出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；上缴上级支出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；经营支出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；对附属单位补助支出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bookmarkEnd w:id="44"/>
      <w:bookmarkEnd w:id="45"/>
    </w:p>
    <w:p>
      <w:pPr>
        <w:spacing w:line="600" w:lineRule="exact"/>
        <w:jc w:val="center"/>
        <w:rPr>
          <w:rFonts w:ascii="仿宋" w:hAnsi="仿宋" w:eastAsia="仿宋"/>
          <w:sz w:val="32"/>
          <w:szCs w:val="32"/>
        </w:rPr>
      </w:pPr>
      <w:r>
        <w:rPr>
          <w:rFonts w:hint="eastAsia" w:ascii="仿宋" w:hAnsi="仿宋" w:eastAsia="仿宋"/>
          <w:sz w:val="32"/>
          <w:szCs w:val="32"/>
        </w:rPr>
        <w:t>（图3：支出决算结构图）（饼状图）</w:t>
      </w:r>
    </w:p>
    <w:p>
      <w:pPr>
        <w:pStyle w:val="2"/>
        <w:spacing w:before="93"/>
        <w:rPr>
          <w:sz w:val="21"/>
          <w:szCs w:val="21"/>
        </w:rPr>
      </w:pPr>
    </w:p>
    <w:p>
      <w:pPr>
        <w:pStyle w:val="2"/>
        <w:spacing w:before="93"/>
        <w:jc w:val="center"/>
      </w:pPr>
      <w:r>
        <w:drawing>
          <wp:inline distT="0" distB="0" distL="0" distR="0">
            <wp:extent cx="4505325" cy="2114550"/>
            <wp:effectExtent l="0" t="0" r="9525"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Style w:val="29"/>
          <w:rFonts w:ascii="黑体" w:hAnsi="黑体" w:eastAsia="黑体"/>
          <w:b w:val="0"/>
        </w:rPr>
      </w:pPr>
      <w:bookmarkStart w:id="46" w:name="_Toc148529179"/>
      <w:bookmarkStart w:id="47" w:name="_Toc15377208"/>
      <w:bookmarkStart w:id="48" w:name="_Toc15396606"/>
      <w:bookmarkStart w:id="49" w:name="_Toc148529077"/>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46"/>
      <w:bookmarkEnd w:id="47"/>
      <w:bookmarkEnd w:id="48"/>
      <w:bookmarkEnd w:id="49"/>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ascii="仿宋" w:hAnsi="仿宋" w:eastAsia="仿宋"/>
          <w:sz w:val="32"/>
          <w:szCs w:val="32"/>
        </w:rPr>
        <w:t>25.21</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21年相比，财政拨款收、支总计各增加</w:t>
      </w:r>
      <w:r>
        <w:rPr>
          <w:rFonts w:ascii="仿宋" w:hAnsi="仿宋" w:eastAsia="仿宋"/>
          <w:sz w:val="32"/>
          <w:szCs w:val="32"/>
        </w:rPr>
        <w:t>25.21</w:t>
      </w:r>
      <w:r>
        <w:rPr>
          <w:rFonts w:hint="eastAsia" w:ascii="仿宋" w:hAnsi="仿宋" w:eastAsia="仿宋"/>
          <w:sz w:val="32"/>
          <w:szCs w:val="32"/>
        </w:rPr>
        <w:t>万元，增长100</w:t>
      </w:r>
      <w:r>
        <w:rPr>
          <w:rFonts w:ascii="仿宋" w:hAnsi="仿宋" w:eastAsia="仿宋"/>
          <w:sz w:val="32"/>
          <w:szCs w:val="32"/>
        </w:rPr>
        <w:t>%</w:t>
      </w:r>
      <w:r>
        <w:rPr>
          <w:rFonts w:hint="eastAsia" w:ascii="仿宋" w:hAnsi="仿宋" w:eastAsia="仿宋"/>
          <w:sz w:val="32"/>
          <w:szCs w:val="32"/>
        </w:rPr>
        <w:t>。主要变动原因是2022年</w:t>
      </w:r>
      <w:r>
        <w:rPr>
          <w:rFonts w:ascii="仿宋" w:hAnsi="仿宋" w:eastAsia="仿宋"/>
          <w:sz w:val="32"/>
          <w:szCs w:val="32"/>
        </w:rPr>
        <w:t>新纳入财政预算单位</w:t>
      </w:r>
      <w:r>
        <w:rPr>
          <w:rFonts w:hint="eastAsia" w:ascii="仿宋" w:hAnsi="仿宋" w:eastAsia="仿宋"/>
          <w:sz w:val="32"/>
          <w:szCs w:val="32"/>
        </w:rPr>
        <w:t>。</w:t>
      </w:r>
    </w:p>
    <w:p>
      <w:pPr>
        <w:spacing w:line="600" w:lineRule="exact"/>
        <w:jc w:val="center"/>
        <w:rPr>
          <w:rFonts w:ascii="仿宋" w:hAnsi="仿宋" w:eastAsia="仿宋"/>
          <w:sz w:val="32"/>
          <w:szCs w:val="32"/>
        </w:rPr>
      </w:pPr>
      <w:r>
        <w:rPr>
          <w:rFonts w:hint="eastAsia" w:ascii="仿宋" w:hAnsi="仿宋" w:eastAsia="仿宋"/>
          <w:sz w:val="32"/>
          <w:szCs w:val="32"/>
        </w:rPr>
        <w:t>（图4：财政拨款收、支决算总计变动情况）（柱状图）</w:t>
      </w:r>
    </w:p>
    <w:p>
      <w:pPr>
        <w:pStyle w:val="2"/>
        <w:spacing w:before="93"/>
      </w:pPr>
    </w:p>
    <w:p>
      <w:pPr>
        <w:pStyle w:val="2"/>
        <w:spacing w:before="93"/>
        <w:jc w:val="center"/>
      </w:pPr>
      <w:r>
        <w:drawing>
          <wp:inline distT="0" distB="0" distL="0" distR="0">
            <wp:extent cx="4572000" cy="3057525"/>
            <wp:effectExtent l="0" t="0" r="0" b="952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outlineLvl w:val="1"/>
        <w:rPr>
          <w:rFonts w:ascii="黑体" w:hAnsi="黑体" w:eastAsia="黑体"/>
          <w:sz w:val="32"/>
          <w:szCs w:val="32"/>
        </w:rPr>
      </w:pPr>
      <w:bookmarkStart w:id="50" w:name="_Toc15377209"/>
      <w:bookmarkStart w:id="51" w:name="_Toc15396607"/>
    </w:p>
    <w:p>
      <w:pPr>
        <w:spacing w:line="600" w:lineRule="exact"/>
        <w:ind w:firstLine="640" w:firstLineChars="200"/>
        <w:outlineLvl w:val="1"/>
        <w:rPr>
          <w:rStyle w:val="29"/>
          <w:rFonts w:ascii="黑体" w:hAnsi="黑体" w:eastAsia="黑体"/>
          <w:b w:val="0"/>
        </w:rPr>
      </w:pPr>
      <w:bookmarkStart w:id="52" w:name="_Toc148529180"/>
      <w:bookmarkStart w:id="53" w:name="_Toc148529078"/>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50"/>
      <w:bookmarkEnd w:id="51"/>
      <w:bookmarkEnd w:id="52"/>
      <w:bookmarkEnd w:id="53"/>
    </w:p>
    <w:p>
      <w:pPr>
        <w:spacing w:line="600" w:lineRule="exact"/>
        <w:ind w:firstLine="642" w:firstLineChars="200"/>
        <w:outlineLvl w:val="2"/>
        <w:rPr>
          <w:rFonts w:ascii="仿宋" w:hAnsi="仿宋" w:eastAsia="仿宋"/>
          <w:b/>
          <w:sz w:val="32"/>
          <w:szCs w:val="32"/>
        </w:rPr>
      </w:pPr>
      <w:bookmarkStart w:id="54" w:name="_Toc15377210"/>
      <w:bookmarkStart w:id="55" w:name="_Toc148529079"/>
      <w:bookmarkStart w:id="56" w:name="_Toc148529181"/>
      <w:r>
        <w:rPr>
          <w:rFonts w:hint="eastAsia" w:ascii="仿宋" w:hAnsi="仿宋" w:eastAsia="仿宋"/>
          <w:b/>
          <w:sz w:val="32"/>
          <w:szCs w:val="32"/>
        </w:rPr>
        <w:t>（一）一般公共预算财政拨款支出决算总体情况</w:t>
      </w:r>
      <w:bookmarkEnd w:id="54"/>
      <w:bookmarkEnd w:id="55"/>
      <w:bookmarkEnd w:id="56"/>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25.21</w:t>
      </w:r>
      <w:r>
        <w:rPr>
          <w:rFonts w:hint="eastAsia" w:ascii="仿宋" w:hAnsi="仿宋" w:eastAsia="仿宋"/>
          <w:sz w:val="32"/>
          <w:szCs w:val="32"/>
        </w:rPr>
        <w:t>万元，占本年支出合计的</w:t>
      </w:r>
      <w:r>
        <w:rPr>
          <w:rFonts w:ascii="仿宋" w:hAnsi="仿宋" w:eastAsia="仿宋"/>
          <w:sz w:val="32"/>
          <w:szCs w:val="32"/>
        </w:rPr>
        <w:t>100%</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ascii="仿宋" w:hAnsi="仿宋" w:eastAsia="仿宋"/>
          <w:sz w:val="32"/>
          <w:szCs w:val="32"/>
        </w:rPr>
        <w:t>25.21</w:t>
      </w:r>
      <w:r>
        <w:rPr>
          <w:rFonts w:hint="eastAsia" w:ascii="仿宋" w:hAnsi="仿宋" w:eastAsia="仿宋"/>
          <w:sz w:val="32"/>
          <w:szCs w:val="32"/>
        </w:rPr>
        <w:t>万元，增长</w:t>
      </w:r>
      <w:r>
        <w:rPr>
          <w:rFonts w:ascii="仿宋" w:hAnsi="仿宋" w:eastAsia="仿宋"/>
          <w:sz w:val="32"/>
          <w:szCs w:val="32"/>
        </w:rPr>
        <w:t>100%</w:t>
      </w:r>
      <w:r>
        <w:rPr>
          <w:rFonts w:hint="eastAsia" w:ascii="仿宋" w:hAnsi="仿宋" w:eastAsia="仿宋"/>
          <w:sz w:val="32"/>
          <w:szCs w:val="32"/>
        </w:rPr>
        <w:t>。主要变动原因是2022年</w:t>
      </w:r>
      <w:r>
        <w:rPr>
          <w:rFonts w:ascii="仿宋" w:hAnsi="仿宋" w:eastAsia="仿宋"/>
          <w:sz w:val="32"/>
          <w:szCs w:val="32"/>
        </w:rPr>
        <w:t>新纳入财政预算单位</w:t>
      </w:r>
      <w:r>
        <w:rPr>
          <w:rFonts w:hint="eastAsia" w:ascii="仿宋" w:hAnsi="仿宋" w:eastAsia="仿宋"/>
          <w:sz w:val="32"/>
          <w:szCs w:val="32"/>
        </w:rPr>
        <w:t>。</w:t>
      </w:r>
    </w:p>
    <w:p>
      <w:pPr>
        <w:pStyle w:val="2"/>
        <w:spacing w:before="93"/>
      </w:pPr>
    </w:p>
    <w:p>
      <w:pPr>
        <w:spacing w:line="600" w:lineRule="exact"/>
        <w:jc w:val="center"/>
        <w:rPr>
          <w:rFonts w:ascii="仿宋" w:hAnsi="仿宋" w:eastAsia="仿宋"/>
          <w:sz w:val="32"/>
          <w:szCs w:val="32"/>
        </w:rPr>
      </w:pPr>
      <w:r>
        <w:rPr>
          <w:rFonts w:hint="eastAsia" w:ascii="仿宋" w:hAnsi="仿宋" w:eastAsia="仿宋"/>
          <w:sz w:val="32"/>
          <w:szCs w:val="32"/>
        </w:rPr>
        <w:t>（图5：一般公共预算财政拨款支出决算变动情况）（柱状图）</w:t>
      </w:r>
    </w:p>
    <w:p>
      <w:pPr>
        <w:pStyle w:val="2"/>
        <w:spacing w:before="93"/>
      </w:pPr>
    </w:p>
    <w:p>
      <w:pPr>
        <w:pStyle w:val="2"/>
        <w:spacing w:before="93"/>
        <w:jc w:val="center"/>
      </w:pPr>
      <w:r>
        <w:drawing>
          <wp:inline distT="0" distB="0" distL="0" distR="0">
            <wp:extent cx="4143375" cy="2352675"/>
            <wp:effectExtent l="0" t="0" r="9525"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57" w:name="_Toc15377211"/>
      <w:bookmarkStart w:id="58" w:name="_Toc148529182"/>
      <w:bookmarkStart w:id="59" w:name="_Toc148529080"/>
      <w:r>
        <w:rPr>
          <w:rFonts w:hint="eastAsia" w:ascii="仿宋" w:hAnsi="仿宋" w:eastAsia="仿宋"/>
          <w:b/>
          <w:sz w:val="32"/>
          <w:szCs w:val="32"/>
        </w:rPr>
        <w:t>（二）一般公共预算财政拨款支出决算结构情况</w:t>
      </w:r>
      <w:bookmarkEnd w:id="57"/>
      <w:bookmarkEnd w:id="58"/>
      <w:bookmarkEnd w:id="59"/>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25.21</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ascii="仿宋" w:hAnsi="仿宋" w:eastAsia="仿宋"/>
          <w:sz w:val="32"/>
          <w:szCs w:val="32"/>
        </w:rPr>
        <w:t>1.88</w:t>
      </w:r>
      <w:r>
        <w:rPr>
          <w:rFonts w:hint="eastAsia" w:ascii="仿宋" w:hAnsi="仿宋" w:eastAsia="仿宋"/>
          <w:sz w:val="32"/>
          <w:szCs w:val="32"/>
        </w:rPr>
        <w:t>万元，占</w:t>
      </w:r>
      <w:r>
        <w:rPr>
          <w:rFonts w:ascii="仿宋" w:hAnsi="仿宋" w:eastAsia="仿宋"/>
          <w:sz w:val="32"/>
          <w:szCs w:val="32"/>
        </w:rPr>
        <w:t>7.46%</w:t>
      </w:r>
      <w:r>
        <w:rPr>
          <w:rFonts w:hint="eastAsia" w:ascii="仿宋" w:hAnsi="仿宋" w:eastAsia="仿宋"/>
          <w:sz w:val="32"/>
          <w:szCs w:val="32"/>
        </w:rPr>
        <w:t>；</w:t>
      </w:r>
      <w:r>
        <w:rPr>
          <w:rFonts w:hint="eastAsia" w:ascii="仿宋" w:hAnsi="仿宋" w:eastAsia="仿宋"/>
          <w:b/>
          <w:bCs/>
          <w:sz w:val="32"/>
          <w:szCs w:val="32"/>
        </w:rPr>
        <w:t>卫生健康支出</w:t>
      </w:r>
      <w:r>
        <w:rPr>
          <w:rFonts w:ascii="仿宋" w:hAnsi="仿宋" w:eastAsia="仿宋"/>
          <w:sz w:val="32"/>
          <w:szCs w:val="32"/>
        </w:rPr>
        <w:t>0.94</w:t>
      </w:r>
      <w:r>
        <w:rPr>
          <w:rFonts w:hint="eastAsia" w:ascii="仿宋" w:hAnsi="仿宋" w:eastAsia="仿宋"/>
          <w:sz w:val="32"/>
          <w:szCs w:val="32"/>
        </w:rPr>
        <w:t>万元，占</w:t>
      </w:r>
      <w:r>
        <w:rPr>
          <w:rFonts w:ascii="仿宋" w:hAnsi="仿宋" w:eastAsia="仿宋"/>
          <w:sz w:val="32"/>
          <w:szCs w:val="32"/>
        </w:rPr>
        <w:t>3.73%</w:t>
      </w:r>
      <w:r>
        <w:rPr>
          <w:rFonts w:hint="eastAsia" w:ascii="仿宋" w:hAnsi="仿宋" w:eastAsia="仿宋"/>
          <w:sz w:val="32"/>
          <w:szCs w:val="32"/>
        </w:rPr>
        <w:t>；</w:t>
      </w:r>
      <w:r>
        <w:rPr>
          <w:rFonts w:hint="eastAsia" w:ascii="仿宋" w:hAnsi="仿宋" w:eastAsia="仿宋"/>
          <w:b/>
          <w:sz w:val="32"/>
          <w:szCs w:val="32"/>
        </w:rPr>
        <w:t>自然</w:t>
      </w:r>
      <w:r>
        <w:rPr>
          <w:rFonts w:ascii="仿宋" w:hAnsi="仿宋" w:eastAsia="仿宋"/>
          <w:b/>
          <w:sz w:val="32"/>
          <w:szCs w:val="32"/>
        </w:rPr>
        <w:t>资源海洋气象等支出</w:t>
      </w:r>
      <w:r>
        <w:rPr>
          <w:rFonts w:hint="eastAsia" w:ascii="仿宋" w:hAnsi="仿宋" w:eastAsia="仿宋"/>
          <w:sz w:val="32"/>
          <w:szCs w:val="32"/>
        </w:rPr>
        <w:t>20.98万元</w:t>
      </w:r>
      <w:r>
        <w:rPr>
          <w:rFonts w:ascii="仿宋" w:hAnsi="仿宋" w:eastAsia="仿宋"/>
          <w:sz w:val="32"/>
          <w:szCs w:val="32"/>
        </w:rPr>
        <w:t>，占</w:t>
      </w:r>
      <w:r>
        <w:rPr>
          <w:rFonts w:hint="eastAsia" w:ascii="仿宋" w:hAnsi="仿宋" w:eastAsia="仿宋"/>
          <w:sz w:val="32"/>
          <w:szCs w:val="32"/>
        </w:rPr>
        <w:t>83.22%；</w:t>
      </w:r>
      <w:r>
        <w:rPr>
          <w:rFonts w:hint="eastAsia" w:ascii="仿宋" w:hAnsi="仿宋" w:eastAsia="仿宋"/>
          <w:b/>
          <w:bCs/>
          <w:sz w:val="32"/>
          <w:szCs w:val="32"/>
        </w:rPr>
        <w:t>住房保障支出</w:t>
      </w:r>
      <w:r>
        <w:rPr>
          <w:rFonts w:ascii="仿宋" w:hAnsi="仿宋" w:eastAsia="仿宋"/>
          <w:sz w:val="32"/>
          <w:szCs w:val="32"/>
        </w:rPr>
        <w:t>1.41</w:t>
      </w:r>
      <w:r>
        <w:rPr>
          <w:rFonts w:hint="eastAsia" w:ascii="仿宋" w:hAnsi="仿宋" w:eastAsia="仿宋"/>
          <w:sz w:val="32"/>
          <w:szCs w:val="32"/>
        </w:rPr>
        <w:t>万元，占</w:t>
      </w:r>
      <w:r>
        <w:rPr>
          <w:rFonts w:ascii="仿宋" w:hAnsi="仿宋" w:eastAsia="仿宋"/>
          <w:sz w:val="32"/>
          <w:szCs w:val="32"/>
        </w:rPr>
        <w:t>5.59%</w:t>
      </w:r>
      <w:r>
        <w:rPr>
          <w:rFonts w:hint="eastAsia" w:ascii="仿宋" w:hAnsi="仿宋" w:eastAsia="仿宋"/>
          <w:sz w:val="32"/>
          <w:szCs w:val="32"/>
        </w:rPr>
        <w:t>。</w:t>
      </w:r>
    </w:p>
    <w:p>
      <w:pPr>
        <w:spacing w:line="600" w:lineRule="exact"/>
        <w:jc w:val="center"/>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pStyle w:val="2"/>
        <w:spacing w:before="93"/>
        <w:jc w:val="center"/>
      </w:pPr>
      <w:r>
        <w:drawing>
          <wp:inline distT="0" distB="0" distL="0" distR="0">
            <wp:extent cx="4276725" cy="1981200"/>
            <wp:effectExtent l="0" t="0" r="9525"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2" w:firstLineChars="200"/>
        <w:outlineLvl w:val="2"/>
        <w:rPr>
          <w:rFonts w:ascii="仿宋" w:hAnsi="仿宋" w:eastAsia="仿宋"/>
          <w:b/>
          <w:sz w:val="32"/>
          <w:szCs w:val="32"/>
        </w:rPr>
      </w:pPr>
      <w:bookmarkStart w:id="60" w:name="_Toc15377212"/>
      <w:bookmarkStart w:id="61" w:name="_Toc148529081"/>
      <w:bookmarkStart w:id="62" w:name="_Toc148529183"/>
      <w:r>
        <w:rPr>
          <w:rFonts w:hint="eastAsia" w:ascii="仿宋" w:hAnsi="仿宋" w:eastAsia="仿宋"/>
          <w:b/>
          <w:sz w:val="32"/>
          <w:szCs w:val="32"/>
        </w:rPr>
        <w:t>（三）一般公共预算财政拨款支出决算具体情况</w:t>
      </w:r>
      <w:bookmarkEnd w:id="60"/>
      <w:bookmarkEnd w:id="61"/>
      <w:bookmarkEnd w:id="62"/>
    </w:p>
    <w:p>
      <w:pPr>
        <w:spacing w:line="600" w:lineRule="exact"/>
        <w:ind w:firstLine="642" w:firstLineChars="200"/>
        <w:outlineLvl w:val="2"/>
        <w:rPr>
          <w:rFonts w:ascii="仿宋" w:hAnsi="仿宋" w:eastAsia="仿宋"/>
          <w:sz w:val="32"/>
          <w:szCs w:val="32"/>
        </w:rPr>
      </w:pPr>
      <w:bookmarkStart w:id="63" w:name="_Toc15377444"/>
      <w:bookmarkStart w:id="64" w:name="_Toc15378460"/>
      <w:bookmarkStart w:id="65" w:name="_Toc15377213"/>
      <w:bookmarkStart w:id="66" w:name="_Toc148529082"/>
      <w:bookmarkStart w:id="67" w:name="_Toc148529184"/>
      <w:r>
        <w:rPr>
          <w:rFonts w:hint="eastAsia" w:ascii="仿宋" w:hAnsi="仿宋" w:eastAsia="仿宋"/>
          <w:b/>
          <w:sz w:val="32"/>
          <w:szCs w:val="32"/>
        </w:rPr>
        <w:t>2022年一般公共预算支出决算数为</w:t>
      </w:r>
      <w:r>
        <w:rPr>
          <w:rFonts w:ascii="仿宋" w:hAnsi="仿宋" w:eastAsia="仿宋"/>
          <w:b/>
          <w:sz w:val="32"/>
          <w:szCs w:val="32"/>
        </w:rPr>
        <w:t>25.21</w:t>
      </w:r>
      <w:r>
        <w:rPr>
          <w:rFonts w:hint="eastAsia" w:ascii="仿宋" w:hAnsi="仿宋" w:eastAsia="仿宋"/>
          <w:b/>
          <w:sz w:val="32"/>
          <w:szCs w:val="32"/>
        </w:rPr>
        <w:t>万元</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ascii="仿宋" w:hAnsi="仿宋" w:eastAsia="仿宋"/>
          <w:bCs/>
          <w:sz w:val="32"/>
          <w:szCs w:val="32"/>
        </w:rPr>
        <w:t>100%</w:t>
      </w:r>
      <w:r>
        <w:rPr>
          <w:rStyle w:val="18"/>
          <w:rFonts w:hint="eastAsia" w:ascii="仿宋" w:hAnsi="仿宋" w:eastAsia="仿宋"/>
          <w:bCs/>
          <w:sz w:val="32"/>
          <w:szCs w:val="32"/>
        </w:rPr>
        <w:t>。其中：</w:t>
      </w:r>
      <w:bookmarkEnd w:id="63"/>
      <w:bookmarkEnd w:id="64"/>
      <w:bookmarkEnd w:id="65"/>
      <w:bookmarkEnd w:id="66"/>
      <w:bookmarkEnd w:id="67"/>
    </w:p>
    <w:p>
      <w:pPr>
        <w:spacing w:line="600" w:lineRule="exact"/>
        <w:ind w:firstLine="642" w:firstLineChars="200"/>
        <w:rPr>
          <w:rStyle w:val="18"/>
          <w:rFonts w:ascii="仿宋" w:hAnsi="仿宋" w:eastAsia="仿宋"/>
          <w:b w:val="0"/>
          <w:bCs/>
          <w:sz w:val="32"/>
          <w:szCs w:val="32"/>
        </w:rPr>
      </w:pPr>
      <w:r>
        <w:rPr>
          <w:rStyle w:val="18"/>
          <w:rFonts w:ascii="仿宋" w:hAnsi="仿宋" w:eastAsia="仿宋"/>
          <w:bCs/>
          <w:sz w:val="32"/>
          <w:szCs w:val="32"/>
        </w:rPr>
        <w:t>1.</w:t>
      </w:r>
      <w:r>
        <w:rPr>
          <w:rStyle w:val="18"/>
          <w:rFonts w:hint="eastAsia" w:ascii="仿宋" w:hAnsi="仿宋" w:eastAsia="仿宋"/>
          <w:bCs/>
          <w:sz w:val="32"/>
          <w:szCs w:val="32"/>
        </w:rPr>
        <w:t>社会保障和就业（类）行政</w:t>
      </w:r>
      <w:r>
        <w:rPr>
          <w:rStyle w:val="18"/>
          <w:rFonts w:ascii="仿宋" w:hAnsi="仿宋" w:eastAsia="仿宋"/>
          <w:bCs/>
          <w:sz w:val="32"/>
          <w:szCs w:val="32"/>
        </w:rPr>
        <w:t>事业单位养老支出</w:t>
      </w:r>
      <w:r>
        <w:rPr>
          <w:rStyle w:val="18"/>
          <w:rFonts w:hint="eastAsia" w:ascii="仿宋" w:hAnsi="仿宋" w:eastAsia="仿宋"/>
          <w:bCs/>
          <w:sz w:val="32"/>
          <w:szCs w:val="32"/>
        </w:rPr>
        <w:t>（款）机关</w:t>
      </w:r>
      <w:r>
        <w:rPr>
          <w:rStyle w:val="18"/>
          <w:rFonts w:ascii="仿宋" w:hAnsi="仿宋" w:eastAsia="仿宋"/>
          <w:bCs/>
          <w:sz w:val="32"/>
          <w:szCs w:val="32"/>
        </w:rPr>
        <w:t>事业单位基本养老保险缴费支出</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ascii="仿宋" w:hAnsi="仿宋" w:eastAsia="仿宋"/>
          <w:b w:val="0"/>
          <w:bCs/>
          <w:sz w:val="32"/>
          <w:szCs w:val="32"/>
        </w:rPr>
        <w:t>1.88</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8"/>
          <w:rFonts w:ascii="仿宋" w:hAnsi="仿宋" w:eastAsia="仿宋"/>
          <w:bCs/>
          <w:sz w:val="32"/>
          <w:szCs w:val="32"/>
        </w:rPr>
        <w:t>2.</w:t>
      </w:r>
      <w:r>
        <w:rPr>
          <w:rFonts w:hint="eastAsia" w:ascii="仿宋" w:hAnsi="仿宋" w:eastAsia="仿宋"/>
          <w:b/>
          <w:bCs/>
          <w:sz w:val="32"/>
          <w:szCs w:val="32"/>
        </w:rPr>
        <w:t>卫生健康</w:t>
      </w:r>
      <w:r>
        <w:rPr>
          <w:rStyle w:val="18"/>
          <w:rFonts w:hint="eastAsia" w:ascii="仿宋" w:hAnsi="仿宋" w:eastAsia="仿宋"/>
          <w:bCs/>
          <w:sz w:val="32"/>
          <w:szCs w:val="32"/>
        </w:rPr>
        <w:t>（类）行政</w:t>
      </w:r>
      <w:r>
        <w:rPr>
          <w:rStyle w:val="18"/>
          <w:rFonts w:ascii="仿宋" w:hAnsi="仿宋" w:eastAsia="仿宋"/>
          <w:bCs/>
          <w:sz w:val="32"/>
          <w:szCs w:val="32"/>
        </w:rPr>
        <w:t>事业单位</w:t>
      </w:r>
      <w:r>
        <w:rPr>
          <w:rStyle w:val="18"/>
          <w:rFonts w:hint="eastAsia" w:ascii="仿宋" w:hAnsi="仿宋" w:eastAsia="仿宋"/>
          <w:bCs/>
          <w:sz w:val="32"/>
          <w:szCs w:val="32"/>
        </w:rPr>
        <w:t>医疗（款）事业</w:t>
      </w:r>
      <w:r>
        <w:rPr>
          <w:rStyle w:val="18"/>
          <w:rFonts w:ascii="仿宋" w:hAnsi="仿宋" w:eastAsia="仿宋"/>
          <w:bCs/>
          <w:sz w:val="32"/>
          <w:szCs w:val="32"/>
        </w:rPr>
        <w:t>单位医疗</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ascii="仿宋" w:hAnsi="仿宋" w:eastAsia="仿宋"/>
          <w:b w:val="0"/>
          <w:bCs/>
          <w:sz w:val="32"/>
          <w:szCs w:val="32"/>
        </w:rPr>
        <w:t>0.94</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w:t>
      </w:r>
    </w:p>
    <w:p>
      <w:pPr>
        <w:spacing w:line="600" w:lineRule="exact"/>
        <w:ind w:firstLine="642" w:firstLineChars="200"/>
        <w:rPr>
          <w:rFonts w:ascii="仿宋" w:hAnsi="仿宋" w:eastAsia="仿宋"/>
          <w:sz w:val="32"/>
          <w:szCs w:val="32"/>
        </w:rPr>
      </w:pPr>
      <w:r>
        <w:rPr>
          <w:rFonts w:hint="eastAsia" w:ascii="仿宋" w:hAnsi="仿宋" w:eastAsia="仿宋"/>
          <w:b/>
          <w:bCs/>
          <w:sz w:val="32"/>
          <w:szCs w:val="32"/>
        </w:rPr>
        <w:t>3.自然</w:t>
      </w:r>
      <w:r>
        <w:rPr>
          <w:rFonts w:ascii="仿宋" w:hAnsi="仿宋" w:eastAsia="仿宋"/>
          <w:b/>
          <w:bCs/>
          <w:sz w:val="32"/>
          <w:szCs w:val="32"/>
        </w:rPr>
        <w:t>资源海洋气象等支出（</w:t>
      </w:r>
      <w:r>
        <w:rPr>
          <w:rFonts w:hint="eastAsia" w:ascii="仿宋" w:hAnsi="仿宋" w:eastAsia="仿宋"/>
          <w:b/>
          <w:bCs/>
          <w:sz w:val="32"/>
          <w:szCs w:val="32"/>
        </w:rPr>
        <w:t>类</w:t>
      </w:r>
      <w:r>
        <w:rPr>
          <w:rFonts w:ascii="仿宋" w:hAnsi="仿宋" w:eastAsia="仿宋"/>
          <w:b/>
          <w:bCs/>
          <w:sz w:val="32"/>
          <w:szCs w:val="32"/>
        </w:rPr>
        <w:t>）</w:t>
      </w:r>
      <w:r>
        <w:rPr>
          <w:rFonts w:hint="eastAsia" w:ascii="仿宋" w:hAnsi="仿宋" w:eastAsia="仿宋"/>
          <w:b/>
          <w:bCs/>
          <w:sz w:val="32"/>
          <w:szCs w:val="32"/>
        </w:rPr>
        <w:t>自然</w:t>
      </w:r>
      <w:r>
        <w:rPr>
          <w:rFonts w:ascii="仿宋" w:hAnsi="仿宋" w:eastAsia="仿宋"/>
          <w:b/>
          <w:bCs/>
          <w:sz w:val="32"/>
          <w:szCs w:val="32"/>
        </w:rPr>
        <w:t>资源事务（</w:t>
      </w:r>
      <w:r>
        <w:rPr>
          <w:rFonts w:hint="eastAsia" w:ascii="仿宋" w:hAnsi="仿宋" w:eastAsia="仿宋"/>
          <w:b/>
          <w:bCs/>
          <w:sz w:val="32"/>
          <w:szCs w:val="32"/>
        </w:rPr>
        <w:t>款</w:t>
      </w:r>
      <w:r>
        <w:rPr>
          <w:rFonts w:ascii="仿宋" w:hAnsi="仿宋" w:eastAsia="仿宋"/>
          <w:b/>
          <w:bCs/>
          <w:sz w:val="32"/>
          <w:szCs w:val="32"/>
        </w:rPr>
        <w:t>）</w:t>
      </w:r>
      <w:r>
        <w:rPr>
          <w:rFonts w:hint="eastAsia" w:ascii="仿宋" w:hAnsi="仿宋" w:eastAsia="仿宋"/>
          <w:b/>
          <w:bCs/>
          <w:sz w:val="32"/>
          <w:szCs w:val="32"/>
        </w:rPr>
        <w:t>事业</w:t>
      </w:r>
      <w:r>
        <w:rPr>
          <w:rFonts w:ascii="仿宋" w:hAnsi="仿宋" w:eastAsia="仿宋"/>
          <w:b/>
          <w:bCs/>
          <w:sz w:val="32"/>
          <w:szCs w:val="32"/>
        </w:rPr>
        <w:t>运行（</w:t>
      </w:r>
      <w:r>
        <w:rPr>
          <w:rFonts w:hint="eastAsia" w:ascii="仿宋" w:hAnsi="仿宋" w:eastAsia="仿宋"/>
          <w:b/>
          <w:bCs/>
          <w:sz w:val="32"/>
          <w:szCs w:val="32"/>
        </w:rPr>
        <w:t>项</w:t>
      </w:r>
      <w:r>
        <w:rPr>
          <w:rFonts w:ascii="仿宋" w:hAnsi="仿宋" w:eastAsia="仿宋"/>
          <w:b/>
          <w:bCs/>
          <w:sz w:val="32"/>
          <w:szCs w:val="32"/>
        </w:rPr>
        <w:t>）</w:t>
      </w:r>
      <w:r>
        <w:rPr>
          <w:rFonts w:hint="eastAsia" w:ascii="仿宋" w:hAnsi="仿宋" w:eastAsia="仿宋"/>
          <w:b/>
          <w:bCs/>
          <w:sz w:val="32"/>
          <w:szCs w:val="32"/>
        </w:rPr>
        <w:t>：</w:t>
      </w:r>
      <w:r>
        <w:rPr>
          <w:rStyle w:val="18"/>
          <w:rFonts w:hint="eastAsia" w:ascii="仿宋" w:hAnsi="仿宋" w:eastAsia="仿宋"/>
          <w:b w:val="0"/>
          <w:bCs/>
          <w:sz w:val="32"/>
          <w:szCs w:val="32"/>
        </w:rPr>
        <w:t>支出决算为</w:t>
      </w:r>
      <w:r>
        <w:rPr>
          <w:rFonts w:hint="eastAsia" w:ascii="仿宋" w:hAnsi="仿宋" w:eastAsia="仿宋"/>
          <w:sz w:val="32"/>
          <w:szCs w:val="32"/>
        </w:rPr>
        <w:t>20.98万元</w:t>
      </w:r>
      <w:r>
        <w:rPr>
          <w:rFonts w:ascii="仿宋" w:hAnsi="仿宋" w:eastAsia="仿宋"/>
          <w:sz w:val="32"/>
          <w:szCs w:val="32"/>
        </w:rPr>
        <w:t>，完成预算</w:t>
      </w:r>
      <w:r>
        <w:rPr>
          <w:rFonts w:hint="eastAsia" w:ascii="仿宋" w:hAnsi="仿宋" w:eastAsia="仿宋"/>
          <w:sz w:val="32"/>
          <w:szCs w:val="32"/>
        </w:rPr>
        <w:t>100%。</w:t>
      </w:r>
    </w:p>
    <w:p>
      <w:pPr>
        <w:spacing w:line="600" w:lineRule="exact"/>
        <w:ind w:firstLine="640"/>
        <w:rPr>
          <w:rFonts w:ascii="仿宋" w:hAnsi="仿宋" w:eastAsia="仿宋"/>
          <w:sz w:val="32"/>
          <w:szCs w:val="32"/>
        </w:rPr>
      </w:pPr>
      <w:r>
        <w:rPr>
          <w:rFonts w:hint="eastAsia" w:ascii="仿宋" w:hAnsi="仿宋" w:eastAsia="仿宋"/>
          <w:b/>
          <w:sz w:val="32"/>
          <w:szCs w:val="32"/>
        </w:rPr>
        <w:t>4.住房</w:t>
      </w:r>
      <w:r>
        <w:rPr>
          <w:rFonts w:ascii="仿宋" w:hAnsi="仿宋" w:eastAsia="仿宋"/>
          <w:b/>
          <w:sz w:val="32"/>
          <w:szCs w:val="32"/>
        </w:rPr>
        <w:t>保障支出</w:t>
      </w:r>
      <w:r>
        <w:rPr>
          <w:rStyle w:val="18"/>
          <w:rFonts w:hint="eastAsia" w:ascii="仿宋" w:hAnsi="仿宋" w:eastAsia="仿宋"/>
          <w:bCs/>
          <w:sz w:val="32"/>
          <w:szCs w:val="32"/>
        </w:rPr>
        <w:t>（类）住房</w:t>
      </w:r>
      <w:r>
        <w:rPr>
          <w:rStyle w:val="18"/>
          <w:rFonts w:ascii="仿宋" w:hAnsi="仿宋" w:eastAsia="仿宋"/>
          <w:bCs/>
          <w:sz w:val="32"/>
          <w:szCs w:val="32"/>
        </w:rPr>
        <w:t>改革支出</w:t>
      </w:r>
      <w:r>
        <w:rPr>
          <w:rFonts w:ascii="仿宋" w:hAnsi="仿宋" w:eastAsia="仿宋"/>
          <w:b/>
          <w:bCs/>
          <w:sz w:val="32"/>
          <w:szCs w:val="32"/>
        </w:rPr>
        <w:t>（</w:t>
      </w:r>
      <w:r>
        <w:rPr>
          <w:rFonts w:hint="eastAsia" w:ascii="仿宋" w:hAnsi="仿宋" w:eastAsia="仿宋"/>
          <w:b/>
          <w:bCs/>
          <w:sz w:val="32"/>
          <w:szCs w:val="32"/>
        </w:rPr>
        <w:t>款</w:t>
      </w:r>
      <w:r>
        <w:rPr>
          <w:rFonts w:ascii="仿宋" w:hAnsi="仿宋" w:eastAsia="仿宋"/>
          <w:b/>
          <w:bCs/>
          <w:sz w:val="32"/>
          <w:szCs w:val="32"/>
        </w:rPr>
        <w:t>）</w:t>
      </w:r>
      <w:r>
        <w:rPr>
          <w:rFonts w:hint="eastAsia" w:ascii="仿宋" w:hAnsi="仿宋" w:eastAsia="仿宋"/>
          <w:b/>
          <w:bCs/>
          <w:sz w:val="32"/>
          <w:szCs w:val="32"/>
        </w:rPr>
        <w:t>住房</w:t>
      </w:r>
      <w:r>
        <w:rPr>
          <w:rFonts w:ascii="仿宋" w:hAnsi="仿宋" w:eastAsia="仿宋"/>
          <w:b/>
          <w:bCs/>
          <w:sz w:val="32"/>
          <w:szCs w:val="32"/>
        </w:rPr>
        <w:t>公积金（</w:t>
      </w:r>
      <w:r>
        <w:rPr>
          <w:rFonts w:hint="eastAsia" w:ascii="仿宋" w:hAnsi="仿宋" w:eastAsia="仿宋"/>
          <w:b/>
          <w:bCs/>
          <w:sz w:val="32"/>
          <w:szCs w:val="32"/>
        </w:rPr>
        <w:t>项</w:t>
      </w:r>
      <w:r>
        <w:rPr>
          <w:rFonts w:ascii="仿宋" w:hAnsi="仿宋" w:eastAsia="仿宋"/>
          <w:b/>
          <w:bCs/>
          <w:sz w:val="32"/>
          <w:szCs w:val="32"/>
        </w:rPr>
        <w:t>）</w:t>
      </w:r>
      <w:r>
        <w:rPr>
          <w:rFonts w:hint="eastAsia" w:ascii="仿宋" w:hAnsi="仿宋" w:eastAsia="仿宋"/>
          <w:b/>
          <w:bCs/>
          <w:sz w:val="32"/>
          <w:szCs w:val="32"/>
        </w:rPr>
        <w:t>：</w:t>
      </w:r>
      <w:r>
        <w:rPr>
          <w:rStyle w:val="18"/>
          <w:rFonts w:hint="eastAsia" w:ascii="仿宋" w:hAnsi="仿宋" w:eastAsia="仿宋"/>
          <w:b w:val="0"/>
          <w:bCs/>
          <w:sz w:val="32"/>
          <w:szCs w:val="32"/>
        </w:rPr>
        <w:t>支出决算为1.41万元</w:t>
      </w:r>
      <w:r>
        <w:rPr>
          <w:rStyle w:val="18"/>
          <w:rFonts w:ascii="仿宋" w:hAnsi="仿宋" w:eastAsia="仿宋"/>
          <w:b w:val="0"/>
          <w:bCs/>
          <w:sz w:val="32"/>
          <w:szCs w:val="32"/>
        </w:rPr>
        <w:t>，</w:t>
      </w:r>
      <w:r>
        <w:rPr>
          <w:rFonts w:ascii="仿宋" w:hAnsi="仿宋" w:eastAsia="仿宋"/>
          <w:sz w:val="32"/>
          <w:szCs w:val="32"/>
        </w:rPr>
        <w:t>完成预算</w:t>
      </w:r>
      <w:r>
        <w:rPr>
          <w:rFonts w:hint="eastAsia" w:ascii="仿宋" w:hAnsi="仿宋" w:eastAsia="仿宋"/>
          <w:sz w:val="32"/>
          <w:szCs w:val="32"/>
        </w:rPr>
        <w:t>100%。</w:t>
      </w:r>
    </w:p>
    <w:p>
      <w:pPr>
        <w:pStyle w:val="2"/>
        <w:spacing w:before="93"/>
      </w:pPr>
    </w:p>
    <w:p>
      <w:pPr>
        <w:tabs>
          <w:tab w:val="right" w:pos="8306"/>
        </w:tabs>
        <w:spacing w:line="600" w:lineRule="exact"/>
        <w:ind w:firstLine="640"/>
        <w:outlineLvl w:val="1"/>
        <w:rPr>
          <w:rStyle w:val="29"/>
        </w:rPr>
      </w:pPr>
      <w:bookmarkStart w:id="68" w:name="_Toc148529083"/>
      <w:bookmarkStart w:id="69" w:name="_Toc15377214"/>
      <w:bookmarkStart w:id="70" w:name="_Toc15396608"/>
      <w:bookmarkStart w:id="71" w:name="_Toc148529185"/>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68"/>
      <w:bookmarkEnd w:id="69"/>
      <w:bookmarkEnd w:id="70"/>
      <w:bookmarkEnd w:id="71"/>
      <w:r>
        <w:rPr>
          <w:rStyle w:val="29"/>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ascii="仿宋" w:hAnsi="仿宋" w:eastAsia="仿宋"/>
          <w:sz w:val="32"/>
          <w:szCs w:val="32"/>
        </w:rPr>
        <w:t>25.21</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sz w:val="32"/>
          <w:szCs w:val="32"/>
        </w:rPr>
        <w:t>23.59</w:t>
      </w:r>
      <w:r>
        <w:rPr>
          <w:rFonts w:hint="eastAsia" w:ascii="仿宋" w:hAnsi="仿宋" w:eastAsia="仿宋"/>
          <w:sz w:val="32"/>
          <w:szCs w:val="32"/>
        </w:rPr>
        <w:t>万元，主要包括：基本工资、津贴补贴、奖金、绩效工资、机关事业单位基本养老保险缴费、职工</w:t>
      </w:r>
      <w:r>
        <w:rPr>
          <w:rFonts w:ascii="仿宋" w:hAnsi="仿宋" w:eastAsia="仿宋"/>
          <w:sz w:val="32"/>
          <w:szCs w:val="32"/>
        </w:rPr>
        <w:t>基本医疗保险缴费、</w:t>
      </w:r>
      <w:r>
        <w:rPr>
          <w:rFonts w:hint="eastAsia" w:ascii="仿宋" w:hAnsi="仿宋" w:eastAsia="仿宋"/>
          <w:sz w:val="32"/>
          <w:szCs w:val="32"/>
        </w:rPr>
        <w:t>其他社会保障缴费、住房公积金等。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sz w:val="32"/>
          <w:szCs w:val="32"/>
        </w:rPr>
        <w:t>1.62</w:t>
      </w:r>
      <w:r>
        <w:rPr>
          <w:rFonts w:hint="eastAsia" w:ascii="仿宋" w:hAnsi="仿宋" w:eastAsia="仿宋"/>
          <w:sz w:val="32"/>
          <w:szCs w:val="32"/>
        </w:rPr>
        <w:t>万元，主要包括：办公费、差旅费、公务接待费、工会经费、福利费等。</w:t>
      </w:r>
    </w:p>
    <w:p>
      <w:pPr>
        <w:pStyle w:val="2"/>
        <w:spacing w:before="93"/>
      </w:pPr>
    </w:p>
    <w:p>
      <w:pPr>
        <w:spacing w:line="600" w:lineRule="exact"/>
        <w:ind w:firstLine="640"/>
        <w:outlineLvl w:val="1"/>
        <w:rPr>
          <w:rStyle w:val="29"/>
          <w:rFonts w:ascii="黑体" w:hAnsi="黑体" w:eastAsia="黑体"/>
          <w:b w:val="0"/>
        </w:rPr>
      </w:pPr>
      <w:bookmarkStart w:id="72" w:name="_Toc15396609"/>
      <w:bookmarkStart w:id="73" w:name="_Toc15377215"/>
      <w:bookmarkStart w:id="74" w:name="_Toc148529084"/>
      <w:bookmarkStart w:id="75" w:name="_Toc148529186"/>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72"/>
      <w:bookmarkEnd w:id="73"/>
      <w:bookmarkEnd w:id="74"/>
      <w:bookmarkEnd w:id="75"/>
    </w:p>
    <w:p>
      <w:pPr>
        <w:spacing w:line="600" w:lineRule="exact"/>
        <w:ind w:firstLine="640"/>
        <w:outlineLvl w:val="2"/>
        <w:rPr>
          <w:rFonts w:ascii="仿宋" w:hAnsi="仿宋" w:eastAsia="仿宋"/>
          <w:b/>
          <w:sz w:val="32"/>
          <w:szCs w:val="32"/>
        </w:rPr>
      </w:pPr>
      <w:bookmarkStart w:id="76" w:name="_Toc148529187"/>
      <w:bookmarkStart w:id="77" w:name="_Toc15377216"/>
      <w:bookmarkStart w:id="78" w:name="_Toc148529085"/>
      <w:r>
        <w:rPr>
          <w:rFonts w:hint="eastAsia" w:ascii="仿宋" w:hAnsi="仿宋" w:eastAsia="仿宋"/>
          <w:b/>
          <w:sz w:val="32"/>
          <w:szCs w:val="32"/>
        </w:rPr>
        <w:t>（一）“三公”经费财政拨款支出决算总体情况说明</w:t>
      </w:r>
      <w:bookmarkEnd w:id="76"/>
      <w:bookmarkEnd w:id="77"/>
      <w:bookmarkEnd w:id="7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ascii="仿宋" w:hAnsi="仿宋" w:eastAsia="仿宋"/>
          <w:sz w:val="32"/>
          <w:szCs w:val="32"/>
        </w:rPr>
        <w:t>0.20</w:t>
      </w:r>
      <w:r>
        <w:rPr>
          <w:rFonts w:hint="eastAsia" w:ascii="仿宋" w:hAnsi="仿宋" w:eastAsia="仿宋"/>
          <w:sz w:val="32"/>
          <w:szCs w:val="32"/>
        </w:rPr>
        <w:t>万元，完成预算</w:t>
      </w:r>
      <w:r>
        <w:rPr>
          <w:rFonts w:ascii="仿宋" w:hAnsi="仿宋" w:eastAsia="仿宋"/>
          <w:sz w:val="32"/>
          <w:szCs w:val="32"/>
        </w:rPr>
        <w:t>100%</w:t>
      </w:r>
      <w:r>
        <w:rPr>
          <w:rFonts w:hint="eastAsia" w:ascii="仿宋" w:hAnsi="仿宋" w:eastAsia="仿宋"/>
          <w:sz w:val="32"/>
          <w:szCs w:val="32"/>
        </w:rPr>
        <w:t>，较上年增加</w:t>
      </w:r>
      <w:r>
        <w:rPr>
          <w:rFonts w:ascii="仿宋" w:hAnsi="仿宋" w:eastAsia="仿宋"/>
          <w:sz w:val="32"/>
          <w:szCs w:val="32"/>
        </w:rPr>
        <w:t>0.20</w:t>
      </w:r>
      <w:r>
        <w:rPr>
          <w:rFonts w:hint="eastAsia" w:ascii="仿宋" w:hAnsi="仿宋" w:eastAsia="仿宋"/>
          <w:sz w:val="32"/>
          <w:szCs w:val="32"/>
        </w:rPr>
        <w:t>万元，增长100%。</w:t>
      </w:r>
    </w:p>
    <w:p>
      <w:pPr>
        <w:spacing w:line="600" w:lineRule="exact"/>
        <w:ind w:firstLine="640"/>
        <w:outlineLvl w:val="2"/>
        <w:rPr>
          <w:rFonts w:ascii="仿宋" w:hAnsi="仿宋" w:eastAsia="仿宋"/>
          <w:b/>
          <w:sz w:val="32"/>
          <w:szCs w:val="32"/>
        </w:rPr>
      </w:pPr>
      <w:bookmarkStart w:id="79" w:name="_Toc15377217"/>
      <w:bookmarkStart w:id="80" w:name="_Toc148529188"/>
      <w:bookmarkStart w:id="81" w:name="_Toc148529086"/>
      <w:r>
        <w:rPr>
          <w:rFonts w:hint="eastAsia" w:ascii="仿宋" w:hAnsi="仿宋" w:eastAsia="仿宋"/>
          <w:b/>
          <w:sz w:val="32"/>
          <w:szCs w:val="32"/>
        </w:rPr>
        <w:t>（二）“三公”经费财政拨款支出决算具体情况说明</w:t>
      </w:r>
      <w:bookmarkEnd w:id="79"/>
      <w:bookmarkEnd w:id="80"/>
      <w:bookmarkEnd w:id="8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；公务用车购置及运行维护费支出决算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；公务接待费支出决算</w:t>
      </w:r>
      <w:r>
        <w:rPr>
          <w:rFonts w:ascii="仿宋" w:hAnsi="仿宋" w:eastAsia="仿宋"/>
          <w:sz w:val="32"/>
          <w:szCs w:val="32"/>
        </w:rPr>
        <w:t>0.20</w:t>
      </w:r>
      <w:r>
        <w:rPr>
          <w:rFonts w:hint="eastAsia" w:ascii="仿宋" w:hAnsi="仿宋" w:eastAsia="仿宋"/>
          <w:sz w:val="32"/>
          <w:szCs w:val="32"/>
        </w:rPr>
        <w:t>万元，占</w:t>
      </w:r>
      <w:r>
        <w:rPr>
          <w:rFonts w:ascii="仿宋" w:hAnsi="仿宋" w:eastAsia="仿宋"/>
          <w:sz w:val="32"/>
          <w:szCs w:val="32"/>
        </w:rPr>
        <w:t>100%</w:t>
      </w:r>
      <w:r>
        <w:rPr>
          <w:rFonts w:hint="eastAsia" w:ascii="仿宋" w:hAnsi="仿宋" w:eastAsia="仿宋"/>
          <w:sz w:val="32"/>
          <w:szCs w:val="32"/>
        </w:rPr>
        <w:t>。具体情况如下：</w:t>
      </w:r>
    </w:p>
    <w:p>
      <w:pPr>
        <w:spacing w:line="600" w:lineRule="exact"/>
        <w:jc w:val="center"/>
        <w:rPr>
          <w:rFonts w:ascii="仿宋" w:hAnsi="仿宋" w:eastAsia="仿宋"/>
          <w:sz w:val="32"/>
          <w:szCs w:val="32"/>
        </w:rPr>
      </w:pPr>
      <w:r>
        <w:rPr>
          <w:rFonts w:hint="eastAsia" w:ascii="仿宋" w:hAnsi="仿宋" w:eastAsia="仿宋"/>
          <w:sz w:val="32"/>
          <w:szCs w:val="32"/>
        </w:rPr>
        <w:t>（图7：“三公”经费财政拨款支出结构）（饼状图）</w:t>
      </w:r>
    </w:p>
    <w:p>
      <w:pPr>
        <w:pStyle w:val="2"/>
        <w:spacing w:before="93"/>
      </w:pPr>
    </w:p>
    <w:p>
      <w:pPr>
        <w:pStyle w:val="2"/>
        <w:spacing w:before="93"/>
        <w:jc w:val="center"/>
      </w:pPr>
      <w:r>
        <w:drawing>
          <wp:inline distT="0" distB="0" distL="0" distR="0">
            <wp:extent cx="4686300" cy="2428875"/>
            <wp:effectExtent l="0" t="0" r="0" b="952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2"/>
        <w:spacing w:before="93"/>
      </w:pP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ascii="仿宋_GB2312" w:eastAsia="仿宋_GB2312"/>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 w:val="0"/>
          <w:bCs/>
          <w:sz w:val="32"/>
          <w:szCs w:val="32"/>
        </w:rPr>
        <w:t>0%</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sz w:val="32"/>
          <w:szCs w:val="32"/>
        </w:rPr>
        <w:t>0</w:t>
      </w:r>
      <w:r>
        <w:rPr>
          <w:rFonts w:hint="eastAsia" w:ascii="仿宋_GB2312" w:eastAsia="仿宋_GB2312"/>
          <w:sz w:val="32"/>
          <w:szCs w:val="32"/>
        </w:rPr>
        <w:t>次，出国（境）</w:t>
      </w:r>
      <w:r>
        <w:rPr>
          <w:rFonts w:ascii="仿宋_GB2312" w:eastAsia="仿宋_GB2312"/>
          <w:sz w:val="32"/>
          <w:szCs w:val="32"/>
        </w:rPr>
        <w:t>0</w:t>
      </w:r>
      <w:r>
        <w:rPr>
          <w:rFonts w:hint="eastAsia" w:ascii="仿宋_GB2312" w:eastAsia="仿宋_GB2312"/>
          <w:sz w:val="32"/>
          <w:szCs w:val="32"/>
        </w:rPr>
        <w:t>人。</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_GB2312" w:eastAsia="仿宋_GB2312"/>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 w:val="0"/>
          <w:bCs/>
          <w:sz w:val="32"/>
          <w:szCs w:val="32"/>
        </w:rPr>
        <w:t>0%</w:t>
      </w:r>
      <w:r>
        <w:rPr>
          <w:rStyle w:val="18"/>
          <w:rFonts w:hint="eastAsia" w:ascii="仿宋" w:hAnsi="仿宋" w:eastAsia="仿宋"/>
          <w:b w:val="0"/>
          <w:bCs/>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_GB2312" w:eastAsia="仿宋_GB2312"/>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_GB2312" w:eastAsia="仿宋_GB2312"/>
          <w:sz w:val="32"/>
          <w:szCs w:val="32"/>
        </w:rPr>
        <w:t>0</w:t>
      </w:r>
      <w:r>
        <w:rPr>
          <w:rFonts w:hint="eastAsia" w:ascii="仿宋_GB2312" w:eastAsia="仿宋_GB2312"/>
          <w:sz w:val="32"/>
          <w:szCs w:val="32"/>
        </w:rPr>
        <w:t>万元。0</w:t>
      </w:r>
    </w:p>
    <w:p>
      <w:pPr>
        <w:spacing w:line="600" w:lineRule="exact"/>
        <w:ind w:firstLine="642" w:firstLineChars="200"/>
        <w:rPr>
          <w:rFonts w:ascii="仿宋" w:hAnsi="仿宋" w:eastAsia="仿宋"/>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_GB2312" w:eastAsia="仿宋_GB2312"/>
          <w:sz w:val="32"/>
          <w:szCs w:val="32"/>
        </w:rPr>
        <w:t>0.20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 w:val="0"/>
          <w:bCs/>
          <w:sz w:val="32"/>
          <w:szCs w:val="32"/>
        </w:rPr>
        <w:t>100%</w:t>
      </w:r>
      <w:r>
        <w:rPr>
          <w:rStyle w:val="18"/>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21年增0.20万元，增长</w:t>
      </w:r>
      <w:r>
        <w:rPr>
          <w:rFonts w:ascii="仿宋_GB2312" w:eastAsia="仿宋_GB2312"/>
          <w:sz w:val="32"/>
          <w:szCs w:val="32"/>
        </w:rPr>
        <w:t>100%</w:t>
      </w:r>
      <w:r>
        <w:rPr>
          <w:rFonts w:hint="eastAsia" w:ascii="仿宋_GB2312" w:eastAsia="仿宋_GB2312"/>
          <w:sz w:val="32"/>
          <w:szCs w:val="32"/>
        </w:rPr>
        <w:t>。主要原因是</w:t>
      </w:r>
      <w:r>
        <w:rPr>
          <w:rFonts w:hint="eastAsia" w:ascii="仿宋" w:hAnsi="仿宋" w:eastAsia="仿宋"/>
          <w:sz w:val="32"/>
          <w:szCs w:val="32"/>
        </w:rPr>
        <w:t>2022年</w:t>
      </w:r>
      <w:r>
        <w:rPr>
          <w:rFonts w:ascii="仿宋" w:hAnsi="仿宋" w:eastAsia="仿宋"/>
          <w:sz w:val="32"/>
          <w:szCs w:val="32"/>
        </w:rPr>
        <w:t>新纳入财政预算单位</w:t>
      </w:r>
      <w:r>
        <w:rPr>
          <w:rFonts w:hint="eastAsia" w:ascii="仿宋" w:hAnsi="仿宋" w:eastAsia="仿宋"/>
          <w:sz w:val="32"/>
          <w:szCs w:val="32"/>
        </w:rPr>
        <w:t>。</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sz w:val="32"/>
          <w:szCs w:val="32"/>
        </w:rPr>
        <w:t>0.20</w:t>
      </w:r>
      <w:r>
        <w:rPr>
          <w:rFonts w:hint="eastAsia" w:ascii="仿宋_GB2312" w:eastAsia="仿宋_GB2312"/>
          <w:sz w:val="32"/>
          <w:szCs w:val="32"/>
        </w:rPr>
        <w:t>万元，主要用于执行公务、开展业务活动开支的交通费、住宿费、用餐费等。国内公务接待</w:t>
      </w:r>
      <w:r>
        <w:rPr>
          <w:rFonts w:ascii="仿宋_GB2312" w:eastAsia="仿宋_GB2312"/>
          <w:sz w:val="32"/>
          <w:szCs w:val="32"/>
        </w:rPr>
        <w:t>8</w:t>
      </w:r>
      <w:r>
        <w:rPr>
          <w:rFonts w:hint="eastAsia" w:ascii="仿宋_GB2312" w:eastAsia="仿宋_GB2312"/>
          <w:sz w:val="32"/>
          <w:szCs w:val="32"/>
        </w:rPr>
        <w:t>批次，</w:t>
      </w:r>
      <w:r>
        <w:rPr>
          <w:rFonts w:ascii="仿宋_GB2312" w:eastAsia="仿宋_GB2312"/>
          <w:sz w:val="32"/>
          <w:szCs w:val="32"/>
        </w:rPr>
        <w:t>24</w:t>
      </w:r>
      <w:r>
        <w:rPr>
          <w:rFonts w:hint="eastAsia" w:ascii="仿宋_GB2312" w:eastAsia="仿宋_GB2312"/>
          <w:sz w:val="32"/>
          <w:szCs w:val="32"/>
        </w:rPr>
        <w:t>人次（不包括陪同人员），共计支出</w:t>
      </w:r>
      <w:r>
        <w:rPr>
          <w:rFonts w:ascii="仿宋_GB2312" w:eastAsia="仿宋_GB2312"/>
          <w:sz w:val="32"/>
          <w:szCs w:val="32"/>
        </w:rPr>
        <w:t>0.20</w:t>
      </w:r>
      <w:r>
        <w:rPr>
          <w:rFonts w:hint="eastAsia" w:ascii="仿宋_GB2312" w:eastAsia="仿宋_GB2312"/>
          <w:sz w:val="32"/>
          <w:szCs w:val="32"/>
        </w:rPr>
        <w:t>万元，具体内容包括：接待招商</w:t>
      </w:r>
      <w:r>
        <w:rPr>
          <w:rFonts w:ascii="仿宋_GB2312" w:eastAsia="仿宋_GB2312"/>
          <w:sz w:val="32"/>
          <w:szCs w:val="32"/>
        </w:rPr>
        <w:t>引资、批而未供事项</w:t>
      </w:r>
      <w:r>
        <w:rPr>
          <w:rFonts w:hint="eastAsia" w:ascii="仿宋_GB2312" w:eastAsia="仿宋_GB2312"/>
          <w:sz w:val="32"/>
          <w:szCs w:val="32"/>
        </w:rPr>
        <w:t>，总金额0.</w:t>
      </w:r>
      <w:r>
        <w:rPr>
          <w:rFonts w:ascii="仿宋_GB2312" w:eastAsia="仿宋_GB2312"/>
          <w:sz w:val="32"/>
          <w:szCs w:val="32"/>
        </w:rPr>
        <w:t>20</w:t>
      </w:r>
      <w:r>
        <w:rPr>
          <w:rFonts w:hint="eastAsia" w:ascii="仿宋_GB2312" w:eastAsia="仿宋_GB2312"/>
          <w:sz w:val="32"/>
          <w:szCs w:val="32"/>
        </w:rPr>
        <w:t>万元。</w:t>
      </w:r>
    </w:p>
    <w:p>
      <w:pPr>
        <w:spacing w:line="600" w:lineRule="exact"/>
        <w:ind w:firstLine="642" w:firstLineChars="200"/>
        <w:rPr>
          <w:rFonts w:ascii="黑体" w:eastAsia="黑体"/>
          <w:sz w:val="32"/>
          <w:szCs w:val="32"/>
        </w:rPr>
      </w:pPr>
      <w:r>
        <w:rPr>
          <w:rFonts w:hint="eastAsia" w:ascii="仿宋" w:hAnsi="仿宋" w:eastAsia="仿宋"/>
          <w:b/>
          <w:sz w:val="32"/>
          <w:szCs w:val="32"/>
        </w:rPr>
        <w:t>外事接待支出</w:t>
      </w:r>
      <w:r>
        <w:rPr>
          <w:rFonts w:ascii="仿宋" w:hAnsi="仿宋" w:eastAsia="仿宋"/>
          <w:sz w:val="32"/>
          <w:szCs w:val="32"/>
        </w:rPr>
        <w:t>0</w:t>
      </w:r>
      <w:r>
        <w:rPr>
          <w:rFonts w:hint="eastAsia" w:ascii="仿宋_GB2312" w:eastAsia="仿宋_GB2312"/>
          <w:sz w:val="32"/>
          <w:szCs w:val="32"/>
        </w:rPr>
        <w:t>万元。</w:t>
      </w:r>
      <w:bookmarkStart w:id="82" w:name="_Toc15377218"/>
      <w:bookmarkStart w:id="83" w:name="_Toc15396610"/>
    </w:p>
    <w:p>
      <w:pPr>
        <w:spacing w:line="600" w:lineRule="exact"/>
        <w:ind w:firstLine="640"/>
        <w:outlineLvl w:val="1"/>
        <w:rPr>
          <w:rStyle w:val="29"/>
          <w:rFonts w:ascii="黑体" w:hAnsi="黑体" w:eastAsia="黑体"/>
        </w:rPr>
      </w:pPr>
      <w:bookmarkStart w:id="84" w:name="_Toc148529189"/>
      <w:bookmarkStart w:id="85" w:name="_Toc148529087"/>
      <w:r>
        <w:rPr>
          <w:rFonts w:hint="eastAsia" w:ascii="黑体" w:eastAsia="黑体"/>
          <w:sz w:val="32"/>
          <w:szCs w:val="32"/>
        </w:rPr>
        <w:t>八、</w:t>
      </w:r>
      <w:r>
        <w:rPr>
          <w:rStyle w:val="29"/>
          <w:rFonts w:hint="eastAsia" w:ascii="黑体" w:hAnsi="黑体" w:eastAsia="黑体"/>
          <w:b w:val="0"/>
        </w:rPr>
        <w:t>政府性基金预算支出决算情况说明</w:t>
      </w:r>
      <w:bookmarkEnd w:id="82"/>
      <w:bookmarkEnd w:id="83"/>
      <w:bookmarkEnd w:id="84"/>
      <w:bookmarkEnd w:id="85"/>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ascii="仿宋_GB2312" w:eastAsia="仿宋_GB2312"/>
          <w:sz w:val="32"/>
          <w:szCs w:val="32"/>
        </w:rPr>
        <w:t>0</w:t>
      </w:r>
      <w:r>
        <w:rPr>
          <w:rFonts w:hint="eastAsia" w:ascii="仿宋_GB2312" w:eastAsia="仿宋_GB2312"/>
          <w:sz w:val="32"/>
          <w:szCs w:val="32"/>
        </w:rPr>
        <w:t>万元。</w:t>
      </w:r>
    </w:p>
    <w:p>
      <w:pPr>
        <w:numPr>
          <w:ilvl w:val="0"/>
          <w:numId w:val="4"/>
        </w:numPr>
        <w:spacing w:line="600" w:lineRule="exact"/>
        <w:ind w:firstLine="640"/>
        <w:outlineLvl w:val="1"/>
        <w:rPr>
          <w:rStyle w:val="29"/>
          <w:rFonts w:ascii="黑体" w:hAnsi="黑体" w:eastAsia="黑体"/>
          <w:b w:val="0"/>
        </w:rPr>
      </w:pPr>
      <w:bookmarkStart w:id="86" w:name="_Toc15396611"/>
      <w:bookmarkStart w:id="87" w:name="_Toc15377219"/>
      <w:bookmarkStart w:id="88" w:name="_Toc148529088"/>
      <w:bookmarkStart w:id="89" w:name="_Toc148529190"/>
      <w:r>
        <w:rPr>
          <w:rStyle w:val="29"/>
          <w:rFonts w:hint="eastAsia" w:ascii="黑体" w:hAnsi="黑体" w:eastAsia="黑体"/>
          <w:b w:val="0"/>
        </w:rPr>
        <w:t>国有资本经营预算支出决算情况说明</w:t>
      </w:r>
      <w:bookmarkEnd w:id="86"/>
      <w:bookmarkEnd w:id="87"/>
      <w:bookmarkEnd w:id="88"/>
      <w:bookmarkEnd w:id="89"/>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ascii="仿宋_GB2312" w:eastAsia="仿宋_GB2312"/>
          <w:sz w:val="32"/>
          <w:szCs w:val="32"/>
        </w:rPr>
        <w:t>0</w:t>
      </w:r>
      <w:r>
        <w:rPr>
          <w:rFonts w:hint="eastAsia" w:ascii="仿宋_GB2312" w:eastAsia="仿宋_GB2312"/>
          <w:sz w:val="32"/>
          <w:szCs w:val="32"/>
        </w:rPr>
        <w:t>万元。</w:t>
      </w:r>
    </w:p>
    <w:p>
      <w:pPr>
        <w:numPr>
          <w:ilvl w:val="0"/>
          <w:numId w:val="4"/>
        </w:numPr>
        <w:spacing w:line="600" w:lineRule="exact"/>
        <w:ind w:firstLine="640"/>
        <w:outlineLvl w:val="1"/>
        <w:rPr>
          <w:rStyle w:val="29"/>
          <w:rFonts w:ascii="黑体" w:hAnsi="黑体" w:eastAsia="黑体"/>
          <w:b w:val="0"/>
        </w:rPr>
      </w:pPr>
      <w:bookmarkStart w:id="90" w:name="_Toc15377221"/>
      <w:bookmarkStart w:id="91" w:name="_Toc148529191"/>
      <w:bookmarkStart w:id="92" w:name="_Toc15396612"/>
      <w:bookmarkStart w:id="93" w:name="_Toc148529089"/>
      <w:r>
        <w:rPr>
          <w:rStyle w:val="29"/>
          <w:rFonts w:hint="eastAsia" w:ascii="黑体" w:hAnsi="黑体" w:eastAsia="黑体"/>
          <w:b w:val="0"/>
        </w:rPr>
        <w:t>其他重要事项的情况说明</w:t>
      </w:r>
      <w:bookmarkEnd w:id="90"/>
      <w:bookmarkEnd w:id="91"/>
      <w:bookmarkEnd w:id="92"/>
      <w:bookmarkEnd w:id="93"/>
    </w:p>
    <w:p>
      <w:pPr>
        <w:spacing w:line="600" w:lineRule="exact"/>
        <w:ind w:firstLine="642" w:firstLineChars="200"/>
        <w:outlineLvl w:val="2"/>
        <w:rPr>
          <w:rFonts w:ascii="仿宋" w:hAnsi="仿宋" w:eastAsia="仿宋"/>
          <w:sz w:val="32"/>
          <w:szCs w:val="32"/>
        </w:rPr>
      </w:pPr>
      <w:bookmarkStart w:id="94" w:name="_Toc148529192"/>
      <w:bookmarkStart w:id="95" w:name="_Toc148529090"/>
      <w:bookmarkStart w:id="96" w:name="_Toc15377222"/>
      <w:r>
        <w:rPr>
          <w:rFonts w:hint="eastAsia" w:ascii="仿宋" w:hAnsi="仿宋" w:eastAsia="仿宋"/>
          <w:b/>
          <w:sz w:val="32"/>
          <w:szCs w:val="32"/>
        </w:rPr>
        <w:t>（一）机关运行经费支出情况</w:t>
      </w:r>
      <w:bookmarkEnd w:id="94"/>
      <w:bookmarkEnd w:id="95"/>
      <w:bookmarkEnd w:id="9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22年，剑阁</w:t>
      </w:r>
      <w:r>
        <w:rPr>
          <w:rFonts w:ascii="仿宋_GB2312" w:eastAsia="仿宋_GB2312"/>
          <w:sz w:val="32"/>
          <w:szCs w:val="32"/>
        </w:rPr>
        <w:t>县自然资源储备交易中心</w:t>
      </w:r>
      <w:r>
        <w:rPr>
          <w:rFonts w:hint="eastAsia" w:ascii="仿宋_GB2312" w:eastAsia="仿宋_GB2312"/>
          <w:sz w:val="32"/>
          <w:szCs w:val="32"/>
        </w:rPr>
        <w:t>机关运行经费支出</w:t>
      </w:r>
      <w:r>
        <w:rPr>
          <w:rFonts w:ascii="仿宋_GB2312" w:eastAsia="仿宋_GB2312"/>
          <w:sz w:val="32"/>
          <w:szCs w:val="32"/>
        </w:rPr>
        <w:t>0</w:t>
      </w:r>
      <w:r>
        <w:rPr>
          <w:rFonts w:hint="eastAsia" w:ascii="仿宋_GB2312" w:eastAsia="仿宋_GB2312"/>
          <w:sz w:val="32"/>
          <w:szCs w:val="32"/>
        </w:rPr>
        <w:t>万元，</w:t>
      </w:r>
      <w:bookmarkStart w:id="97" w:name="_Toc15377223"/>
      <w:bookmarkStart w:id="98" w:name="_Toc148529193"/>
      <w:bookmarkStart w:id="99" w:name="_Toc148529091"/>
      <w:r>
        <w:rPr>
          <w:rFonts w:hint="eastAsia" w:ascii="仿宋_GB2312" w:eastAsia="仿宋_GB2312"/>
          <w:sz w:val="32"/>
          <w:szCs w:val="32"/>
        </w:rPr>
        <w:t>与</w:t>
      </w:r>
      <w:r>
        <w:rPr>
          <w:rFonts w:ascii="仿宋_GB2312" w:eastAsia="仿宋_GB2312"/>
          <w:sz w:val="32"/>
          <w:szCs w:val="32"/>
        </w:rPr>
        <w:t>20</w:t>
      </w:r>
      <w:r>
        <w:rPr>
          <w:rFonts w:hint="eastAsia" w:ascii="仿宋_GB2312" w:eastAsia="仿宋_GB2312"/>
          <w:sz w:val="32"/>
          <w:szCs w:val="32"/>
        </w:rPr>
        <w:t>21年决算数持平。主要原因是</w:t>
      </w:r>
      <w:r>
        <w:rPr>
          <w:rFonts w:hint="eastAsia" w:ascii="仿宋" w:hAnsi="仿宋" w:eastAsia="仿宋"/>
          <w:sz w:val="32"/>
          <w:szCs w:val="32"/>
        </w:rPr>
        <w:t>剑阁</w:t>
      </w:r>
      <w:r>
        <w:rPr>
          <w:rFonts w:ascii="仿宋" w:hAnsi="仿宋" w:eastAsia="仿宋"/>
          <w:sz w:val="32"/>
          <w:szCs w:val="32"/>
        </w:rPr>
        <w:t>县</w:t>
      </w:r>
      <w:r>
        <w:rPr>
          <w:rFonts w:ascii="仿宋_GB2312" w:eastAsia="仿宋_GB2312"/>
          <w:sz w:val="32"/>
          <w:szCs w:val="32"/>
        </w:rPr>
        <w:t>自然资源储备交易中心</w:t>
      </w:r>
      <w:r>
        <w:rPr>
          <w:rFonts w:hint="eastAsia" w:ascii="仿宋_GB2312" w:eastAsia="仿宋_GB2312"/>
          <w:sz w:val="32"/>
          <w:szCs w:val="32"/>
        </w:rPr>
        <w:t>属</w:t>
      </w:r>
      <w:r>
        <w:rPr>
          <w:rFonts w:ascii="仿宋_GB2312" w:eastAsia="仿宋_GB2312"/>
          <w:sz w:val="32"/>
          <w:szCs w:val="32"/>
        </w:rPr>
        <w:t>事业单位，无</w:t>
      </w:r>
      <w:r>
        <w:rPr>
          <w:rFonts w:hint="eastAsia" w:ascii="仿宋_GB2312" w:eastAsia="仿宋_GB2312"/>
          <w:sz w:val="32"/>
          <w:szCs w:val="32"/>
        </w:rPr>
        <w:t>机关</w:t>
      </w:r>
      <w:r>
        <w:rPr>
          <w:rFonts w:ascii="仿宋_GB2312" w:eastAsia="仿宋_GB2312"/>
          <w:sz w:val="32"/>
          <w:szCs w:val="32"/>
        </w:rPr>
        <w:t>运行经费支出。</w:t>
      </w:r>
    </w:p>
    <w:p>
      <w:pPr>
        <w:spacing w:line="600" w:lineRule="exact"/>
        <w:ind w:firstLine="642" w:firstLineChars="200"/>
        <w:rPr>
          <w:rFonts w:ascii="仿宋" w:hAnsi="仿宋" w:eastAsia="仿宋"/>
          <w:b/>
          <w:sz w:val="32"/>
          <w:szCs w:val="32"/>
        </w:rPr>
      </w:pPr>
      <w:r>
        <w:rPr>
          <w:rFonts w:hint="eastAsia" w:ascii="仿宋" w:hAnsi="仿宋" w:eastAsia="仿宋"/>
          <w:b/>
          <w:sz w:val="32"/>
          <w:szCs w:val="32"/>
        </w:rPr>
        <w:t>（二）政府采购支出情况</w:t>
      </w:r>
      <w:bookmarkEnd w:id="97"/>
      <w:bookmarkEnd w:id="98"/>
      <w:bookmarkEnd w:id="99"/>
    </w:p>
    <w:p>
      <w:pPr>
        <w:spacing w:line="600" w:lineRule="exact"/>
        <w:ind w:firstLine="640" w:firstLineChars="200"/>
        <w:rPr>
          <w:rFonts w:ascii="仿宋" w:hAnsi="仿宋" w:eastAsia="仿宋"/>
          <w:b/>
          <w:sz w:val="32"/>
          <w:szCs w:val="32"/>
        </w:rPr>
      </w:pPr>
      <w:r>
        <w:rPr>
          <w:rFonts w:ascii="仿宋_GB2312" w:eastAsia="仿宋_GB2312"/>
          <w:sz w:val="32"/>
          <w:szCs w:val="32"/>
        </w:rPr>
        <w:t>20</w:t>
      </w:r>
      <w:r>
        <w:rPr>
          <w:rFonts w:hint="eastAsia" w:ascii="仿宋_GB2312" w:eastAsia="仿宋_GB2312"/>
          <w:sz w:val="32"/>
          <w:szCs w:val="32"/>
        </w:rPr>
        <w:t>22年，剑阁</w:t>
      </w:r>
      <w:r>
        <w:rPr>
          <w:rFonts w:ascii="仿宋_GB2312" w:eastAsia="仿宋_GB2312"/>
          <w:sz w:val="32"/>
          <w:szCs w:val="32"/>
        </w:rPr>
        <w:t>县自然资源储备交易中心</w:t>
      </w:r>
      <w:r>
        <w:rPr>
          <w:rFonts w:hint="eastAsia" w:ascii="仿宋_GB2312" w:eastAsia="仿宋_GB2312"/>
          <w:sz w:val="32"/>
          <w:szCs w:val="32"/>
        </w:rPr>
        <w:t>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100" w:name="_Toc15377224"/>
      <w:bookmarkStart w:id="101" w:name="_Toc148529194"/>
      <w:bookmarkStart w:id="102" w:name="_Toc148529092"/>
      <w:r>
        <w:rPr>
          <w:rFonts w:hint="eastAsia" w:ascii="仿宋" w:hAnsi="仿宋" w:eastAsia="仿宋"/>
          <w:b/>
          <w:sz w:val="32"/>
          <w:szCs w:val="32"/>
        </w:rPr>
        <w:t>（三）国有资产占有使用情况</w:t>
      </w:r>
      <w:bookmarkEnd w:id="100"/>
      <w:bookmarkEnd w:id="101"/>
      <w:bookmarkEnd w:id="102"/>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日，剑阁</w:t>
      </w:r>
      <w:r>
        <w:rPr>
          <w:rFonts w:ascii="仿宋_GB2312" w:eastAsia="仿宋_GB2312"/>
          <w:sz w:val="32"/>
          <w:szCs w:val="32"/>
        </w:rPr>
        <w:t>县自然资源储备交易中心</w:t>
      </w:r>
      <w:r>
        <w:rPr>
          <w:rFonts w:hint="eastAsia" w:ascii="仿宋_GB2312" w:eastAsia="仿宋_GB2312"/>
          <w:sz w:val="32"/>
          <w:szCs w:val="32"/>
        </w:rPr>
        <w:t>共有车辆</w:t>
      </w:r>
      <w:r>
        <w:rPr>
          <w:rFonts w:ascii="仿宋_GB2312" w:eastAsia="仿宋_GB2312"/>
          <w:sz w:val="32"/>
          <w:szCs w:val="32"/>
        </w:rPr>
        <w:t>0</w:t>
      </w:r>
      <w:r>
        <w:rPr>
          <w:rFonts w:hint="eastAsia" w:ascii="仿宋_GB2312" w:eastAsia="仿宋_GB2312"/>
          <w:sz w:val="32"/>
          <w:szCs w:val="32"/>
        </w:rPr>
        <w:t>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ascii="仿宋_GB2312" w:eastAsia="仿宋_GB2312"/>
          <w:sz w:val="32"/>
          <w:szCs w:val="32"/>
        </w:rPr>
        <w:t>0</w:t>
      </w:r>
      <w:r>
        <w:rPr>
          <w:rFonts w:hint="eastAsia" w:ascii="仿宋_GB2312" w:eastAsia="仿宋_GB2312"/>
          <w:sz w:val="32"/>
          <w:szCs w:val="32"/>
        </w:rPr>
        <w:t>台（套）。</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103" w:name="_Toc148529093"/>
      <w:bookmarkStart w:id="104" w:name="_Toc148529195"/>
      <w:r>
        <w:rPr>
          <w:rFonts w:hint="eastAsia" w:ascii="仿宋" w:hAnsi="仿宋" w:eastAsia="仿宋"/>
          <w:b/>
          <w:sz w:val="32"/>
          <w:szCs w:val="32"/>
        </w:rPr>
        <w:t>（四）预算绩效管理情况</w:t>
      </w:r>
      <w:bookmarkEnd w:id="103"/>
      <w:bookmarkEnd w:id="104"/>
    </w:p>
    <w:p>
      <w:pPr>
        <w:pStyle w:val="2"/>
        <w:spacing w:before="93"/>
        <w:ind w:firstLine="640" w:firstLineChars="200"/>
        <w:rPr>
          <w:highlight w:val="yellow"/>
        </w:rPr>
      </w:pPr>
      <w:r>
        <w:rPr>
          <w:rFonts w:hint="eastAsia" w:hAnsi="仿宋_GB2312" w:cs="仿宋_GB2312"/>
          <w:sz w:val="32"/>
          <w:szCs w:val="32"/>
        </w:rPr>
        <w:t>根据预算绩效管理要求，本单位在2022年度预算编制阶段，组织对土地储备机构运行费用项目等</w:t>
      </w:r>
      <w:r>
        <w:rPr>
          <w:rFonts w:hAnsi="仿宋_GB2312" w:cs="仿宋_GB2312"/>
          <w:sz w:val="32"/>
          <w:szCs w:val="32"/>
        </w:rPr>
        <w:t>6</w:t>
      </w:r>
      <w:r>
        <w:rPr>
          <w:rFonts w:hint="eastAsia" w:hAnsi="仿宋_GB2312" w:cs="仿宋_GB2312"/>
          <w:sz w:val="32"/>
          <w:szCs w:val="32"/>
        </w:rPr>
        <w:t>个项目开展了预算事前绩效评估，对</w:t>
      </w:r>
      <w:r>
        <w:rPr>
          <w:rFonts w:hAnsi="仿宋_GB2312" w:cs="仿宋_GB2312"/>
          <w:sz w:val="32"/>
          <w:szCs w:val="32"/>
        </w:rPr>
        <w:t>6</w:t>
      </w:r>
      <w:r>
        <w:rPr>
          <w:rFonts w:hint="eastAsia" w:hAnsi="仿宋_GB2312" w:cs="仿宋_GB2312"/>
          <w:sz w:val="32"/>
          <w:szCs w:val="32"/>
        </w:rPr>
        <w:t>个项目编制了绩效目标，预算执行过程中，选取</w:t>
      </w:r>
      <w:r>
        <w:rPr>
          <w:rFonts w:hAnsi="仿宋_GB2312" w:cs="仿宋_GB2312"/>
          <w:sz w:val="32"/>
          <w:szCs w:val="32"/>
        </w:rPr>
        <w:t>1</w:t>
      </w:r>
      <w:r>
        <w:rPr>
          <w:rFonts w:hint="eastAsia" w:hAnsi="仿宋_GB2312" w:cs="仿宋_GB2312"/>
          <w:sz w:val="32"/>
          <w:szCs w:val="32"/>
        </w:rPr>
        <w:t>个项目开展绩效监控，组织对</w:t>
      </w:r>
      <w:r>
        <w:rPr>
          <w:rFonts w:hAnsi="仿宋_GB2312" w:cs="仿宋_GB2312"/>
          <w:sz w:val="32"/>
          <w:szCs w:val="32"/>
        </w:rPr>
        <w:t>1</w:t>
      </w:r>
      <w:r>
        <w:rPr>
          <w:rFonts w:hint="eastAsia" w:hAnsi="仿宋_GB2312" w:cs="仿宋_GB2312"/>
          <w:sz w:val="32"/>
          <w:szCs w:val="32"/>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5"/>
        </w:numPr>
        <w:spacing w:line="600" w:lineRule="exact"/>
        <w:ind w:firstLine="660" w:firstLineChars="150"/>
        <w:jc w:val="center"/>
        <w:outlineLvl w:val="0"/>
        <w:rPr>
          <w:rStyle w:val="28"/>
          <w:rFonts w:ascii="黑体" w:hAnsi="黑体" w:eastAsia="黑体"/>
          <w:b w:val="0"/>
        </w:rPr>
      </w:pPr>
      <w:bookmarkStart w:id="105" w:name="_Toc148529196"/>
      <w:bookmarkStart w:id="106" w:name="_Toc15377225"/>
      <w:bookmarkStart w:id="107" w:name="_Toc15396613"/>
      <w:bookmarkStart w:id="108" w:name="_Toc148529094"/>
      <w:r>
        <w:rPr>
          <w:rFonts w:hint="eastAsia" w:ascii="黑体" w:hAnsi="黑体" w:eastAsia="黑体"/>
          <w:sz w:val="44"/>
          <w:szCs w:val="44"/>
        </w:rPr>
        <w:t>名</w:t>
      </w:r>
      <w:r>
        <w:rPr>
          <w:rStyle w:val="28"/>
          <w:rFonts w:hint="eastAsia" w:ascii="黑体" w:hAnsi="黑体" w:eastAsia="黑体"/>
          <w:b w:val="0"/>
        </w:rPr>
        <w:t>词解释</w:t>
      </w:r>
      <w:bookmarkEnd w:id="105"/>
      <w:bookmarkEnd w:id="106"/>
      <w:bookmarkEnd w:id="107"/>
      <w:bookmarkEnd w:id="108"/>
    </w:p>
    <w:p>
      <w:pPr>
        <w:spacing w:line="600" w:lineRule="exact"/>
        <w:jc w:val="left"/>
        <w:rPr>
          <w:rFonts w:ascii="宋体"/>
          <w:b/>
          <w:sz w:val="44"/>
          <w:szCs w:val="44"/>
        </w:rPr>
      </w:pP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9.社会保障和就业（类）行政事业单位离退休（款）机关事业单位基本养老保险缴费支出（项）：指机关单位实施养老保险制度由单位缴纳的养老保险费支出。 </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10.社会保障和就业（类）行政事业单位离退休（款）机关事业单位职业年金缴费支出（项）：指机关单位实施养老保险制度由单位缴纳的职业年金支出。 </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1</w:t>
      </w:r>
      <w:r>
        <w:rPr>
          <w:rFonts w:hint="eastAsia" w:ascii="仿宋_GB2312" w:eastAsia="仿宋_GB2312"/>
          <w:color w:val="auto"/>
          <w:sz w:val="32"/>
          <w:szCs w:val="32"/>
        </w:rPr>
        <w:t xml:space="preserve">.卫生健康（类）行政事业单位医疗（款）行政单位医疗（项）：指行政单位用于缴纳单位基本医疗保险支出。 </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2</w:t>
      </w:r>
      <w:r>
        <w:rPr>
          <w:rFonts w:hint="eastAsia" w:ascii="仿宋_GB2312" w:eastAsia="仿宋_GB2312"/>
          <w:color w:val="auto"/>
          <w:sz w:val="32"/>
          <w:szCs w:val="32"/>
        </w:rPr>
        <w:t xml:space="preserve">.住房保障（类）住房改革支出（款）住房公积金（项）： </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指行政单位按</w:t>
      </w:r>
      <w:r>
        <w:rPr>
          <w:rFonts w:hint="eastAsia" w:ascii="仿宋_GB2312" w:eastAsia="仿宋_GB2312"/>
          <w:color w:val="auto"/>
          <w:sz w:val="32"/>
          <w:szCs w:val="32"/>
          <w:lang w:eastAsia="zh-CN"/>
        </w:rPr>
        <w:t>人力资源和社会保障部</w:t>
      </w:r>
      <w:r>
        <w:rPr>
          <w:rFonts w:hint="eastAsia" w:ascii="仿宋_GB2312" w:eastAsia="仿宋_GB2312"/>
          <w:color w:val="auto"/>
          <w:sz w:val="32"/>
          <w:szCs w:val="32"/>
        </w:rPr>
        <w:t>、财政部规定的基本工资和津贴补贴以及规定比例为职工缴纳的住房公积金。</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3</w:t>
      </w:r>
      <w:r>
        <w:rPr>
          <w:rFonts w:hint="eastAsia" w:ascii="仿宋_GB2312" w:eastAsia="仿宋_GB2312"/>
          <w:color w:val="auto"/>
          <w:sz w:val="32"/>
          <w:szCs w:val="32"/>
        </w:rPr>
        <w:t>.自然资源海洋气象（类）自然资源事务（款）事业运行和其他自然资源事务（项）：反映政府用于自然资源、海洋、测绘、气象等公益服务事业方面的支出。</w:t>
      </w:r>
    </w:p>
    <w:p>
      <w:pPr>
        <w:ind w:firstLine="640" w:firstLineChars="200"/>
        <w:rPr>
          <w:rFonts w:ascii="仿宋_GB2312" w:eastAsia="仿宋_GB2312"/>
          <w:sz w:val="32"/>
          <w:szCs w:val="32"/>
        </w:rPr>
      </w:pPr>
      <w:r>
        <w:rPr>
          <w:rFonts w:ascii="仿宋_GB2312" w:eastAsia="仿宋_GB2312"/>
          <w:sz w:val="32"/>
          <w:szCs w:val="32"/>
        </w:rPr>
        <w:t>14.</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sz w:val="32"/>
          <w:szCs w:val="32"/>
        </w:rPr>
        <w:t>15.</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ascii="仿宋_GB2312" w:eastAsia="仿宋_GB2312"/>
          <w:sz w:val="32"/>
          <w:szCs w:val="32"/>
        </w:rPr>
        <w:t>16.</w:t>
      </w:r>
      <w:r>
        <w:rPr>
          <w:rFonts w:hint="eastAsia" w:ascii="仿宋_GB2312" w:eastAsia="仿宋_GB2312"/>
          <w:sz w:val="32"/>
          <w:szCs w:val="32"/>
        </w:rPr>
        <w:t>经营支出：指事业单位在专业业务活动及其辅助活动之外开展非独立核算经营活动发生的支出。</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17.</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18.</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宋体"/>
          <w:b/>
          <w:sz w:val="44"/>
          <w:szCs w:val="44"/>
        </w:rPr>
      </w:pPr>
      <w:bookmarkStart w:id="109" w:name="_Toc15377226"/>
    </w:p>
    <w:p>
      <w:pPr>
        <w:spacing w:line="600" w:lineRule="exact"/>
        <w:jc w:val="center"/>
        <w:outlineLvl w:val="0"/>
        <w:rPr>
          <w:rFonts w:ascii="宋体"/>
          <w:b/>
          <w:sz w:val="44"/>
          <w:szCs w:val="44"/>
        </w:rPr>
      </w:pPr>
      <w:r>
        <w:rPr>
          <w:rFonts w:ascii="宋体"/>
          <w:b/>
          <w:sz w:val="44"/>
          <w:szCs w:val="44"/>
        </w:rPr>
        <w:br w:type="page"/>
      </w:r>
      <w:bookmarkStart w:id="110" w:name="_Toc148529095"/>
      <w:bookmarkStart w:id="111" w:name="_Toc15396614"/>
      <w:bookmarkStart w:id="112" w:name="_Toc148529197"/>
    </w:p>
    <w:p>
      <w:pPr>
        <w:spacing w:line="600" w:lineRule="exact"/>
        <w:jc w:val="center"/>
        <w:outlineLvl w:val="0"/>
        <w:rPr>
          <w:rStyle w:val="28"/>
          <w:rFonts w:ascii="黑体" w:hAnsi="黑体" w:eastAsia="黑体"/>
          <w:b w:val="0"/>
        </w:rPr>
      </w:pPr>
      <w:r>
        <w:rPr>
          <w:rFonts w:hint="eastAsia" w:ascii="黑体" w:hAnsi="黑体" w:eastAsia="黑体"/>
          <w:sz w:val="44"/>
          <w:szCs w:val="44"/>
        </w:rPr>
        <w:t>第</w:t>
      </w:r>
      <w:r>
        <w:rPr>
          <w:rStyle w:val="28"/>
          <w:rFonts w:hint="eastAsia" w:ascii="黑体" w:hAnsi="黑体" w:eastAsia="黑体"/>
          <w:b w:val="0"/>
        </w:rPr>
        <w:t>四部分 附件</w:t>
      </w:r>
    </w:p>
    <w:p>
      <w:pPr>
        <w:spacing w:line="600" w:lineRule="exact"/>
        <w:jc w:val="left"/>
        <w:outlineLvl w:val="0"/>
        <w:rPr>
          <w:rFonts w:ascii="黑体" w:hAnsi="黑体" w:eastAsia="黑体" w:cs="黑体"/>
          <w:sz w:val="32"/>
          <w:szCs w:val="32"/>
        </w:rPr>
      </w:pPr>
      <w:bookmarkStart w:id="113" w:name="_Toc148536508"/>
      <w:r>
        <w:rPr>
          <w:rFonts w:hint="eastAsia" w:ascii="黑体" w:hAnsi="黑体" w:eastAsia="黑体" w:cs="黑体"/>
          <w:sz w:val="32"/>
          <w:szCs w:val="32"/>
        </w:rPr>
        <w:t>附件</w:t>
      </w:r>
      <w:bookmarkEnd w:id="113"/>
    </w:p>
    <w:p>
      <w:pPr>
        <w:pStyle w:val="2"/>
        <w:spacing w:before="93"/>
      </w:pPr>
    </w:p>
    <w:p>
      <w:pPr>
        <w:spacing w:line="600" w:lineRule="exact"/>
        <w:contextualSpacing/>
        <w:jc w:val="center"/>
        <w:rPr>
          <w:rFonts w:ascii="黑体" w:hAnsi="黑体" w:eastAsia="黑体" w:cs="方正小标宋简体"/>
          <w:b/>
          <w:sz w:val="44"/>
          <w:szCs w:val="44"/>
          <w:shd w:val="clear" w:color="auto" w:fill="FFFFFF"/>
        </w:rPr>
      </w:pPr>
      <w:r>
        <w:rPr>
          <w:rFonts w:hint="eastAsia" w:ascii="黑体" w:hAnsi="黑体" w:eastAsia="黑体" w:cs="方正小标宋简体"/>
          <w:b/>
          <w:sz w:val="44"/>
          <w:szCs w:val="44"/>
          <w:shd w:val="clear" w:color="auto" w:fill="FFFFFF"/>
        </w:rPr>
        <w:t>剑阁县自然资源储备交易中心</w:t>
      </w:r>
    </w:p>
    <w:p>
      <w:pPr>
        <w:spacing w:line="600" w:lineRule="exact"/>
        <w:contextualSpacing/>
        <w:jc w:val="center"/>
        <w:rPr>
          <w:rFonts w:ascii="黑体" w:hAnsi="黑体" w:eastAsia="黑体" w:cs="方正小标宋简体"/>
          <w:b/>
          <w:sz w:val="44"/>
          <w:szCs w:val="44"/>
          <w:shd w:val="clear" w:color="auto" w:fill="FFFFFF"/>
        </w:rPr>
      </w:pPr>
      <w:r>
        <w:rPr>
          <w:rFonts w:hint="eastAsia" w:ascii="黑体" w:hAnsi="黑体" w:eastAsia="黑体" w:cs="方正小标宋简体"/>
          <w:b/>
          <w:sz w:val="44"/>
          <w:szCs w:val="44"/>
          <w:shd w:val="clear" w:color="auto" w:fill="FFFFFF"/>
        </w:rPr>
        <w:t>关于202</w:t>
      </w:r>
      <w:r>
        <w:rPr>
          <w:rFonts w:ascii="黑体" w:hAnsi="黑体" w:eastAsia="黑体" w:cs="方正小标宋简体"/>
          <w:b/>
          <w:sz w:val="44"/>
          <w:szCs w:val="44"/>
          <w:shd w:val="clear" w:color="auto" w:fill="FFFFFF"/>
        </w:rPr>
        <w:t>2</w:t>
      </w:r>
      <w:r>
        <w:rPr>
          <w:rFonts w:hint="eastAsia" w:ascii="黑体" w:hAnsi="黑体" w:eastAsia="黑体" w:cs="方正小标宋简体"/>
          <w:b/>
          <w:sz w:val="44"/>
          <w:szCs w:val="44"/>
          <w:shd w:val="clear" w:color="auto" w:fill="FFFFFF"/>
        </w:rPr>
        <w:t>年部门整体支出绩效评价报告</w:t>
      </w:r>
    </w:p>
    <w:p>
      <w:pPr>
        <w:pStyle w:val="14"/>
        <w:spacing w:before="93"/>
      </w:pPr>
    </w:p>
    <w:p>
      <w:pPr>
        <w:adjustRightInd w:val="0"/>
        <w:snapToGrid w:val="0"/>
        <w:spacing w:line="600" w:lineRule="exact"/>
        <w:ind w:firstLine="642" w:firstLineChars="200"/>
        <w:contextualSpacing/>
        <w:jc w:val="left"/>
        <w:rPr>
          <w:rFonts w:ascii="黑体" w:hAnsi="黑体" w:eastAsia="黑体" w:cs="黑体"/>
          <w:b/>
          <w:bCs/>
          <w:color w:val="000000"/>
          <w:kern w:val="0"/>
          <w:sz w:val="32"/>
          <w:szCs w:val="32"/>
          <w:shd w:val="clear" w:color="auto" w:fill="FFFFFF"/>
          <w:lang w:val="zh-CN"/>
        </w:rPr>
      </w:pPr>
      <w:r>
        <w:rPr>
          <w:rFonts w:hint="eastAsia" w:ascii="黑体" w:hAnsi="黑体" w:eastAsia="黑体" w:cs="黑体"/>
          <w:b/>
          <w:bCs/>
          <w:color w:val="000000"/>
          <w:kern w:val="0"/>
          <w:sz w:val="32"/>
          <w:szCs w:val="32"/>
          <w:shd w:val="clear" w:color="auto" w:fill="FFFFFF"/>
        </w:rPr>
        <w:t>一、</w:t>
      </w:r>
      <w:r>
        <w:rPr>
          <w:rFonts w:hint="eastAsia" w:ascii="黑体" w:hAnsi="黑体" w:eastAsia="黑体" w:cs="黑体"/>
          <w:b/>
          <w:bCs/>
          <w:color w:val="000000"/>
          <w:kern w:val="0"/>
          <w:sz w:val="32"/>
          <w:szCs w:val="32"/>
          <w:shd w:val="clear" w:color="auto" w:fill="FFFFFF"/>
          <w:lang w:val="zh-CN"/>
        </w:rPr>
        <w:t>部门（单位）概况</w:t>
      </w:r>
    </w:p>
    <w:p>
      <w:pPr>
        <w:adjustRightInd w:val="0"/>
        <w:snapToGrid w:val="0"/>
        <w:spacing w:line="600" w:lineRule="exact"/>
        <w:ind w:firstLine="642" w:firstLineChars="200"/>
        <w:contextualSpacing/>
        <w:jc w:val="left"/>
        <w:rPr>
          <w:rFonts w:ascii="楷体" w:hAnsi="楷体" w:eastAsia="楷体" w:cs="仿宋"/>
          <w:b/>
          <w:color w:val="000000"/>
          <w:kern w:val="0"/>
          <w:sz w:val="32"/>
          <w:szCs w:val="32"/>
          <w:shd w:val="clear" w:color="auto" w:fill="FFFFFF"/>
          <w:lang w:val="zh-CN"/>
        </w:rPr>
      </w:pPr>
      <w:r>
        <w:rPr>
          <w:rFonts w:hint="eastAsia" w:ascii="楷体" w:hAnsi="楷体" w:eastAsia="楷体" w:cs="仿宋"/>
          <w:b/>
          <w:color w:val="000000"/>
          <w:kern w:val="0"/>
          <w:sz w:val="32"/>
          <w:szCs w:val="32"/>
          <w:shd w:val="clear" w:color="auto" w:fill="FFFFFF"/>
          <w:lang w:val="zh-CN"/>
        </w:rPr>
        <w:t>（一）机构组成。</w:t>
      </w:r>
    </w:p>
    <w:p>
      <w:pPr>
        <w:adjustRightInd w:val="0"/>
        <w:snapToGrid w:val="0"/>
        <w:spacing w:line="600"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hint="eastAsia" w:ascii="仿宋" w:hAnsi="仿宋" w:eastAsia="仿宋" w:cs="仿宋"/>
          <w:sz w:val="32"/>
          <w:szCs w:val="32"/>
        </w:rPr>
        <w:t>剑阁县自然资源储备交易中心属全额财政拨款的事业单位，核定总编制</w:t>
      </w:r>
      <w:r>
        <w:rPr>
          <w:rFonts w:ascii="仿宋" w:hAnsi="仿宋" w:eastAsia="仿宋" w:cs="仿宋"/>
          <w:sz w:val="32"/>
          <w:szCs w:val="32"/>
        </w:rPr>
        <w:t>2</w:t>
      </w:r>
      <w:r>
        <w:rPr>
          <w:rFonts w:hint="eastAsia" w:ascii="仿宋" w:hAnsi="仿宋" w:eastAsia="仿宋" w:cs="仿宋"/>
          <w:sz w:val="32"/>
          <w:szCs w:val="32"/>
        </w:rPr>
        <w:t>名，其中事业编制</w:t>
      </w:r>
      <w:r>
        <w:rPr>
          <w:rFonts w:ascii="仿宋" w:hAnsi="仿宋" w:eastAsia="仿宋" w:cs="仿宋"/>
          <w:sz w:val="32"/>
          <w:szCs w:val="32"/>
        </w:rPr>
        <w:t>2</w:t>
      </w:r>
      <w:r>
        <w:rPr>
          <w:rFonts w:hint="eastAsia" w:ascii="仿宋" w:hAnsi="仿宋" w:eastAsia="仿宋" w:cs="仿宋"/>
          <w:sz w:val="32"/>
          <w:szCs w:val="32"/>
        </w:rPr>
        <w:t>名。无下属单位。</w:t>
      </w:r>
    </w:p>
    <w:p>
      <w:pPr>
        <w:adjustRightInd w:val="0"/>
        <w:snapToGrid w:val="0"/>
        <w:spacing w:line="600" w:lineRule="exact"/>
        <w:ind w:firstLine="642" w:firstLineChars="200"/>
        <w:contextualSpacing/>
        <w:jc w:val="left"/>
        <w:rPr>
          <w:rFonts w:ascii="楷体" w:hAnsi="楷体" w:eastAsia="楷体" w:cs="仿宋"/>
          <w:b/>
          <w:color w:val="000000"/>
          <w:kern w:val="0"/>
          <w:sz w:val="32"/>
          <w:szCs w:val="32"/>
          <w:shd w:val="clear" w:color="auto" w:fill="FFFFFF"/>
          <w:lang w:val="zh-CN"/>
        </w:rPr>
      </w:pPr>
      <w:r>
        <w:rPr>
          <w:rFonts w:hint="eastAsia" w:ascii="楷体" w:hAnsi="楷体" w:eastAsia="楷体" w:cs="仿宋"/>
          <w:b/>
          <w:color w:val="000000"/>
          <w:kern w:val="0"/>
          <w:sz w:val="32"/>
          <w:szCs w:val="32"/>
          <w:shd w:val="clear" w:color="auto" w:fill="FFFFFF"/>
          <w:lang w:val="zh-CN"/>
        </w:rPr>
        <w:t>（二）机构职能。</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1.加大土地储备力度。我中心将落实我县国有存量土地上图工作，保障全县建设用地需求和土地市场供应需求，促进我县经济平稳快速发展。</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2.化解土地供应遗留问题。在土地储备入库中进行土地一级开发工作，切实解决宗地遗留问题，消化地上矛盾，完成拆迁、场平、围墙等基础性整理、建设工作，确保“净地”供应。</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3.土地价款的催收。与税务部门配合，确保实现的土地价款按《国有土地使用权出让合同》约定按时缴纳。</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4.招商引资。多方寻找资源，沟通协调，创新思维。</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5.土地市场营销，最大程度提升我县土地收益。严格按照《剑阁县2023年土地供应年度计划》的相关要求，加大土地供应，最大限度提高财政收益，真正实现土地收益是第二财政的目标。</w:t>
      </w:r>
    </w:p>
    <w:p>
      <w:pPr>
        <w:adjustRightInd w:val="0"/>
        <w:snapToGrid w:val="0"/>
        <w:spacing w:line="600" w:lineRule="exact"/>
        <w:ind w:firstLine="642" w:firstLineChars="200"/>
        <w:contextualSpacing/>
        <w:jc w:val="left"/>
        <w:rPr>
          <w:rFonts w:ascii="楷体" w:hAnsi="楷体" w:eastAsia="楷体" w:cs="仿宋"/>
          <w:b/>
          <w:color w:val="000000"/>
          <w:kern w:val="0"/>
          <w:sz w:val="32"/>
          <w:szCs w:val="32"/>
          <w:shd w:val="clear" w:color="auto" w:fill="FFFFFF"/>
          <w:lang w:val="zh-CN"/>
        </w:rPr>
      </w:pPr>
      <w:r>
        <w:rPr>
          <w:rFonts w:hint="eastAsia" w:ascii="楷体" w:hAnsi="楷体" w:eastAsia="楷体" w:cs="仿宋"/>
          <w:b/>
          <w:color w:val="000000"/>
          <w:kern w:val="0"/>
          <w:sz w:val="32"/>
          <w:szCs w:val="32"/>
          <w:shd w:val="clear" w:color="auto" w:fill="FFFFFF"/>
          <w:lang w:val="zh-CN"/>
        </w:rPr>
        <w:t>（三）人员概况。</w:t>
      </w:r>
    </w:p>
    <w:p>
      <w:pPr>
        <w:pStyle w:val="14"/>
        <w:spacing w:before="93"/>
        <w:ind w:firstLine="640"/>
        <w:rPr>
          <w:rFonts w:ascii="仿宋" w:hAnsi="仿宋" w:eastAsia="仿宋"/>
          <w:sz w:val="32"/>
          <w:szCs w:val="32"/>
          <w:lang w:val="zh-CN"/>
        </w:rPr>
      </w:pPr>
      <w:r>
        <w:rPr>
          <w:rFonts w:hint="eastAsia" w:ascii="仿宋" w:hAnsi="仿宋" w:eastAsia="仿宋" w:cs="仿宋"/>
          <w:kern w:val="0"/>
          <w:sz w:val="32"/>
          <w:szCs w:val="32"/>
        </w:rPr>
        <w:t>在职人员总数</w:t>
      </w:r>
      <w:r>
        <w:rPr>
          <w:rFonts w:ascii="仿宋" w:hAnsi="仿宋" w:eastAsia="仿宋" w:cs="仿宋"/>
          <w:kern w:val="0"/>
          <w:sz w:val="32"/>
          <w:szCs w:val="32"/>
        </w:rPr>
        <w:t>2</w:t>
      </w:r>
      <w:r>
        <w:rPr>
          <w:rFonts w:hint="eastAsia" w:ascii="仿宋" w:hAnsi="仿宋" w:eastAsia="仿宋" w:cs="仿宋"/>
          <w:kern w:val="0"/>
          <w:sz w:val="32"/>
          <w:szCs w:val="32"/>
        </w:rPr>
        <w:t>人，无退休人员。</w:t>
      </w:r>
    </w:p>
    <w:p>
      <w:pPr>
        <w:adjustRightInd w:val="0"/>
        <w:snapToGrid w:val="0"/>
        <w:spacing w:line="600" w:lineRule="exact"/>
        <w:ind w:firstLine="642" w:firstLineChars="200"/>
        <w:contextualSpacing/>
        <w:jc w:val="left"/>
        <w:rPr>
          <w:rFonts w:ascii="黑体" w:hAnsi="黑体" w:eastAsia="黑体" w:cs="黑体"/>
          <w:b/>
          <w:bCs/>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二、部门财政资金收支情况</w:t>
      </w:r>
    </w:p>
    <w:p>
      <w:pPr>
        <w:adjustRightInd w:val="0"/>
        <w:snapToGrid w:val="0"/>
        <w:spacing w:line="600" w:lineRule="exact"/>
        <w:ind w:firstLine="642" w:firstLineChars="200"/>
        <w:contextualSpacing/>
        <w:jc w:val="left"/>
        <w:rPr>
          <w:rFonts w:ascii="仿宋" w:hAnsi="仿宋" w:eastAsia="仿宋" w:cs="仿宋"/>
          <w:b/>
          <w:color w:val="000000"/>
          <w:kern w:val="0"/>
          <w:sz w:val="32"/>
          <w:szCs w:val="32"/>
          <w:shd w:val="clear" w:color="auto" w:fill="FFFFFF"/>
          <w:lang w:val="zh-CN"/>
        </w:rPr>
      </w:pPr>
      <w:r>
        <w:rPr>
          <w:rFonts w:hint="eastAsia" w:ascii="楷体" w:hAnsi="楷体" w:eastAsia="楷体" w:cs="仿宋"/>
          <w:b/>
          <w:color w:val="000000"/>
          <w:kern w:val="0"/>
          <w:sz w:val="32"/>
          <w:szCs w:val="32"/>
          <w:shd w:val="clear" w:color="auto" w:fill="FFFFFF"/>
          <w:lang w:val="zh-CN"/>
        </w:rPr>
        <w:t>（一）部门财政资金收入情况</w:t>
      </w:r>
    </w:p>
    <w:p>
      <w:pPr>
        <w:pStyle w:val="14"/>
        <w:spacing w:before="93"/>
        <w:ind w:left="0" w:leftChars="0" w:firstLine="640"/>
        <w:rPr>
          <w:rFonts w:ascii="仿宋" w:hAnsi="仿宋" w:eastAsia="仿宋" w:cs="仿宋"/>
          <w:sz w:val="32"/>
          <w:szCs w:val="32"/>
        </w:rPr>
      </w:pPr>
      <w:r>
        <w:rPr>
          <w:rFonts w:hint="eastAsia" w:ascii="仿宋" w:hAnsi="仿宋" w:eastAsia="仿宋" w:cs="仿宋"/>
          <w:sz w:val="32"/>
          <w:szCs w:val="32"/>
        </w:rPr>
        <w:t>2022年收入总额</w:t>
      </w:r>
      <w:r>
        <w:rPr>
          <w:rFonts w:ascii="仿宋" w:hAnsi="仿宋" w:eastAsia="仿宋" w:cs="仿宋"/>
          <w:sz w:val="32"/>
          <w:szCs w:val="32"/>
        </w:rPr>
        <w:t>25.21</w:t>
      </w:r>
      <w:r>
        <w:rPr>
          <w:rFonts w:hint="eastAsia" w:ascii="仿宋" w:hAnsi="仿宋" w:eastAsia="仿宋" w:cs="仿宋"/>
          <w:sz w:val="32"/>
          <w:szCs w:val="32"/>
        </w:rPr>
        <w:t>万元，均为财政拨款收入。其中当年财政拨款收入</w:t>
      </w:r>
      <w:r>
        <w:rPr>
          <w:rFonts w:ascii="仿宋" w:hAnsi="仿宋" w:eastAsia="仿宋" w:cs="仿宋"/>
          <w:sz w:val="32"/>
          <w:szCs w:val="32"/>
        </w:rPr>
        <w:t>25.21</w:t>
      </w:r>
      <w:r>
        <w:rPr>
          <w:rFonts w:hint="eastAsia" w:ascii="仿宋" w:hAnsi="仿宋" w:eastAsia="仿宋" w:cs="仿宋"/>
          <w:sz w:val="32"/>
          <w:szCs w:val="32"/>
        </w:rPr>
        <w:t>万元，无结转资金。</w:t>
      </w:r>
    </w:p>
    <w:p>
      <w:pPr>
        <w:adjustRightInd w:val="0"/>
        <w:snapToGrid w:val="0"/>
        <w:spacing w:line="600" w:lineRule="exact"/>
        <w:ind w:firstLine="642" w:firstLineChars="200"/>
        <w:contextualSpacing/>
        <w:jc w:val="left"/>
        <w:rPr>
          <w:rFonts w:ascii="楷体" w:hAnsi="楷体" w:eastAsia="楷体" w:cs="仿宋"/>
          <w:b/>
          <w:color w:val="000000"/>
          <w:kern w:val="0"/>
          <w:sz w:val="32"/>
          <w:szCs w:val="32"/>
          <w:shd w:val="clear" w:color="auto" w:fill="FFFFFF"/>
          <w:lang w:val="zh-CN"/>
        </w:rPr>
      </w:pPr>
      <w:r>
        <w:rPr>
          <w:rFonts w:hint="eastAsia" w:ascii="楷体" w:hAnsi="楷体" w:eastAsia="楷体" w:cs="仿宋"/>
          <w:b/>
          <w:color w:val="000000"/>
          <w:kern w:val="0"/>
          <w:sz w:val="32"/>
          <w:szCs w:val="32"/>
          <w:shd w:val="clear" w:color="auto" w:fill="FFFFFF"/>
          <w:lang w:val="zh-CN"/>
        </w:rPr>
        <w:t>（二）部门财政资金支出情况</w:t>
      </w:r>
    </w:p>
    <w:p>
      <w:pPr>
        <w:pStyle w:val="14"/>
        <w:spacing w:before="93"/>
        <w:ind w:left="0" w:leftChars="0" w:firstLine="640"/>
        <w:rPr>
          <w:rFonts w:ascii="仿宋" w:hAnsi="仿宋" w:eastAsia="仿宋" w:cs="仿宋"/>
          <w:sz w:val="32"/>
          <w:szCs w:val="32"/>
        </w:rPr>
      </w:pPr>
      <w:r>
        <w:rPr>
          <w:rFonts w:hint="eastAsia" w:ascii="仿宋" w:hAnsi="仿宋" w:eastAsia="仿宋" w:cs="仿宋"/>
          <w:sz w:val="32"/>
          <w:szCs w:val="32"/>
        </w:rPr>
        <w:t>我中心属于财政全额预算单位，财政拨款支出主要用于保障本部门机构正常运转、完成日常工作任务。一是基本支出</w:t>
      </w:r>
      <w:r>
        <w:rPr>
          <w:rFonts w:ascii="仿宋" w:hAnsi="仿宋" w:eastAsia="仿宋" w:cs="仿宋"/>
          <w:sz w:val="32"/>
          <w:szCs w:val="32"/>
        </w:rPr>
        <w:t>25.21</w:t>
      </w:r>
      <w:r>
        <w:rPr>
          <w:rFonts w:hint="eastAsia" w:ascii="仿宋" w:hAnsi="仿宋" w:eastAsia="仿宋" w:cs="仿宋"/>
          <w:sz w:val="32"/>
          <w:szCs w:val="32"/>
        </w:rPr>
        <w:t>万元，其中人员经费</w:t>
      </w:r>
      <w:r>
        <w:rPr>
          <w:rFonts w:ascii="仿宋" w:hAnsi="仿宋" w:eastAsia="仿宋" w:cs="仿宋"/>
          <w:sz w:val="32"/>
          <w:szCs w:val="32"/>
        </w:rPr>
        <w:t>23.59</w:t>
      </w:r>
      <w:r>
        <w:rPr>
          <w:rFonts w:hint="eastAsia" w:ascii="仿宋" w:hAnsi="仿宋" w:eastAsia="仿宋" w:cs="仿宋"/>
          <w:sz w:val="32"/>
          <w:szCs w:val="32"/>
        </w:rPr>
        <w:t>万元，包括基本工资、津贴补贴、奖金和绩效工资</w:t>
      </w:r>
      <w:r>
        <w:rPr>
          <w:rFonts w:ascii="仿宋" w:hAnsi="仿宋" w:eastAsia="仿宋" w:cs="仿宋"/>
          <w:sz w:val="32"/>
          <w:szCs w:val="32"/>
        </w:rPr>
        <w:t>19.24</w:t>
      </w:r>
      <w:r>
        <w:rPr>
          <w:rFonts w:hint="eastAsia" w:ascii="仿宋" w:hAnsi="仿宋" w:eastAsia="仿宋" w:cs="仿宋"/>
          <w:sz w:val="32"/>
          <w:szCs w:val="32"/>
        </w:rPr>
        <w:t>万元，社会保障和就业支出</w:t>
      </w:r>
      <w:r>
        <w:rPr>
          <w:rFonts w:ascii="仿宋" w:hAnsi="仿宋" w:eastAsia="仿宋" w:cs="仿宋"/>
          <w:sz w:val="32"/>
          <w:szCs w:val="32"/>
        </w:rPr>
        <w:t>1.88</w:t>
      </w:r>
      <w:r>
        <w:rPr>
          <w:rFonts w:hint="eastAsia" w:ascii="仿宋" w:hAnsi="仿宋" w:eastAsia="仿宋" w:cs="仿宋"/>
          <w:sz w:val="32"/>
          <w:szCs w:val="32"/>
        </w:rPr>
        <w:t>万元，医疗卫生与计划生育支出</w:t>
      </w:r>
      <w:r>
        <w:rPr>
          <w:rFonts w:ascii="仿宋" w:hAnsi="仿宋" w:eastAsia="仿宋" w:cs="仿宋"/>
          <w:sz w:val="32"/>
          <w:szCs w:val="32"/>
        </w:rPr>
        <w:t>0.94</w:t>
      </w:r>
      <w:r>
        <w:rPr>
          <w:rFonts w:hint="eastAsia" w:ascii="仿宋" w:hAnsi="仿宋" w:eastAsia="仿宋" w:cs="仿宋"/>
          <w:sz w:val="32"/>
          <w:szCs w:val="32"/>
        </w:rPr>
        <w:t>万元，住房保障支出</w:t>
      </w:r>
      <w:r>
        <w:rPr>
          <w:rFonts w:ascii="仿宋" w:hAnsi="仿宋" w:eastAsia="仿宋" w:cs="仿宋"/>
          <w:sz w:val="32"/>
          <w:szCs w:val="32"/>
        </w:rPr>
        <w:t>1.41</w:t>
      </w:r>
      <w:r>
        <w:rPr>
          <w:rFonts w:hint="eastAsia" w:ascii="仿宋" w:hAnsi="仿宋" w:eastAsia="仿宋" w:cs="仿宋"/>
          <w:sz w:val="32"/>
          <w:szCs w:val="32"/>
        </w:rPr>
        <w:t>万元，其他社会保障缴费</w:t>
      </w:r>
      <w:r>
        <w:rPr>
          <w:rFonts w:ascii="仿宋" w:hAnsi="仿宋" w:eastAsia="仿宋" w:cs="仿宋"/>
          <w:sz w:val="32"/>
          <w:szCs w:val="32"/>
        </w:rPr>
        <w:t>0.12</w:t>
      </w:r>
      <w:r>
        <w:rPr>
          <w:rFonts w:hint="eastAsia" w:ascii="仿宋" w:hAnsi="仿宋" w:eastAsia="仿宋" w:cs="仿宋"/>
          <w:sz w:val="32"/>
          <w:szCs w:val="32"/>
        </w:rPr>
        <w:t>万元；日常公用经费</w:t>
      </w:r>
      <w:r>
        <w:rPr>
          <w:rFonts w:ascii="仿宋" w:hAnsi="仿宋" w:eastAsia="仿宋" w:cs="仿宋"/>
          <w:sz w:val="32"/>
          <w:szCs w:val="32"/>
        </w:rPr>
        <w:t>1.62</w:t>
      </w:r>
      <w:r>
        <w:rPr>
          <w:rFonts w:hint="eastAsia" w:ascii="仿宋" w:hAnsi="仿宋" w:eastAsia="仿宋" w:cs="仿宋"/>
          <w:sz w:val="32"/>
          <w:szCs w:val="32"/>
        </w:rPr>
        <w:t>万元，包括办公费</w:t>
      </w:r>
      <w:r>
        <w:rPr>
          <w:rFonts w:ascii="仿宋" w:hAnsi="仿宋" w:eastAsia="仿宋" w:cs="仿宋"/>
          <w:sz w:val="32"/>
          <w:szCs w:val="32"/>
        </w:rPr>
        <w:t>0.71</w:t>
      </w:r>
      <w:r>
        <w:rPr>
          <w:rFonts w:hint="eastAsia" w:ascii="仿宋" w:hAnsi="仿宋" w:eastAsia="仿宋" w:cs="仿宋"/>
          <w:sz w:val="32"/>
          <w:szCs w:val="32"/>
        </w:rPr>
        <w:t>万元、差旅费</w:t>
      </w:r>
      <w:r>
        <w:rPr>
          <w:rFonts w:ascii="仿宋" w:hAnsi="仿宋" w:eastAsia="仿宋" w:cs="仿宋"/>
          <w:sz w:val="32"/>
          <w:szCs w:val="32"/>
        </w:rPr>
        <w:t>0.5</w:t>
      </w:r>
      <w:r>
        <w:rPr>
          <w:rFonts w:hint="eastAsia" w:ascii="仿宋" w:hAnsi="仿宋" w:eastAsia="仿宋" w:cs="仿宋"/>
          <w:sz w:val="32"/>
          <w:szCs w:val="32"/>
        </w:rPr>
        <w:t>万元、公务</w:t>
      </w:r>
      <w:r>
        <w:rPr>
          <w:rFonts w:ascii="仿宋" w:hAnsi="仿宋" w:eastAsia="仿宋" w:cs="仿宋"/>
          <w:sz w:val="32"/>
          <w:szCs w:val="32"/>
        </w:rPr>
        <w:t>接待费</w:t>
      </w:r>
      <w:r>
        <w:rPr>
          <w:rFonts w:hint="eastAsia" w:ascii="仿宋" w:hAnsi="仿宋" w:eastAsia="仿宋" w:cs="仿宋"/>
          <w:sz w:val="32"/>
          <w:szCs w:val="32"/>
        </w:rPr>
        <w:t>0.</w:t>
      </w:r>
      <w:r>
        <w:rPr>
          <w:rFonts w:ascii="仿宋" w:hAnsi="仿宋" w:eastAsia="仿宋" w:cs="仿宋"/>
          <w:sz w:val="32"/>
          <w:szCs w:val="32"/>
        </w:rPr>
        <w:t>2</w:t>
      </w:r>
      <w:r>
        <w:rPr>
          <w:rFonts w:hint="eastAsia" w:ascii="仿宋" w:hAnsi="仿宋" w:eastAsia="仿宋" w:cs="仿宋"/>
          <w:sz w:val="32"/>
          <w:szCs w:val="32"/>
        </w:rPr>
        <w:t>万元</w:t>
      </w:r>
      <w:r>
        <w:rPr>
          <w:rFonts w:ascii="仿宋" w:hAnsi="仿宋" w:eastAsia="仿宋" w:cs="仿宋"/>
          <w:sz w:val="32"/>
          <w:szCs w:val="32"/>
        </w:rPr>
        <w:t>、</w:t>
      </w:r>
      <w:r>
        <w:rPr>
          <w:rFonts w:hint="eastAsia" w:ascii="仿宋" w:hAnsi="仿宋" w:eastAsia="仿宋" w:cs="仿宋"/>
          <w:sz w:val="32"/>
          <w:szCs w:val="32"/>
        </w:rPr>
        <w:t>福利费</w:t>
      </w:r>
      <w:r>
        <w:rPr>
          <w:rFonts w:ascii="仿宋" w:hAnsi="仿宋" w:eastAsia="仿宋" w:cs="仿宋"/>
          <w:sz w:val="32"/>
          <w:szCs w:val="32"/>
        </w:rPr>
        <w:t>0.13</w:t>
      </w:r>
      <w:r>
        <w:rPr>
          <w:rFonts w:hint="eastAsia" w:ascii="仿宋" w:hAnsi="仿宋" w:eastAsia="仿宋" w:cs="仿宋"/>
          <w:sz w:val="32"/>
          <w:szCs w:val="32"/>
        </w:rPr>
        <w:t>万元、工会经费</w:t>
      </w:r>
      <w:r>
        <w:rPr>
          <w:rFonts w:ascii="仿宋" w:hAnsi="仿宋" w:eastAsia="仿宋" w:cs="仿宋"/>
          <w:sz w:val="32"/>
          <w:szCs w:val="32"/>
        </w:rPr>
        <w:t>0.08</w:t>
      </w:r>
      <w:r>
        <w:rPr>
          <w:rFonts w:hint="eastAsia" w:ascii="仿宋" w:hAnsi="仿宋" w:eastAsia="仿宋" w:cs="仿宋"/>
          <w:sz w:val="32"/>
          <w:szCs w:val="32"/>
        </w:rPr>
        <w:t>万元。二是项目支出</w:t>
      </w:r>
      <w:r>
        <w:rPr>
          <w:rFonts w:ascii="仿宋" w:hAnsi="仿宋" w:eastAsia="仿宋" w:cs="仿宋"/>
          <w:sz w:val="32"/>
          <w:szCs w:val="32"/>
        </w:rPr>
        <w:t>0</w:t>
      </w:r>
      <w:r>
        <w:rPr>
          <w:rFonts w:hint="eastAsia" w:ascii="仿宋" w:hAnsi="仿宋" w:eastAsia="仿宋" w:cs="仿宋"/>
          <w:sz w:val="32"/>
          <w:szCs w:val="32"/>
        </w:rPr>
        <w:t>万元。</w:t>
      </w:r>
    </w:p>
    <w:p>
      <w:pPr>
        <w:adjustRightInd w:val="0"/>
        <w:snapToGrid w:val="0"/>
        <w:spacing w:line="600" w:lineRule="exact"/>
        <w:ind w:firstLine="642" w:firstLineChars="200"/>
        <w:contextualSpacing/>
        <w:jc w:val="left"/>
        <w:rPr>
          <w:rFonts w:ascii="楷体" w:hAnsi="楷体" w:eastAsia="楷体" w:cs="仿宋"/>
          <w:b/>
          <w:color w:val="000000"/>
          <w:kern w:val="0"/>
          <w:sz w:val="32"/>
          <w:szCs w:val="32"/>
          <w:shd w:val="clear" w:color="auto" w:fill="FFFFFF"/>
          <w:lang w:val="zh-CN"/>
        </w:rPr>
      </w:pPr>
      <w:r>
        <w:rPr>
          <w:rFonts w:hint="eastAsia" w:ascii="楷体" w:hAnsi="楷体" w:eastAsia="楷体" w:cs="仿宋"/>
          <w:b/>
          <w:color w:val="000000"/>
          <w:kern w:val="0"/>
          <w:sz w:val="32"/>
          <w:szCs w:val="32"/>
          <w:shd w:val="clear" w:color="auto" w:fill="FFFFFF"/>
          <w:lang w:val="zh-CN"/>
        </w:rPr>
        <w:t>（三）部门财政拨款结转结余情况</w:t>
      </w:r>
    </w:p>
    <w:p>
      <w:pPr>
        <w:pStyle w:val="14"/>
        <w:spacing w:before="93"/>
        <w:ind w:left="0" w:leftChars="0" w:firstLine="640"/>
        <w:rPr>
          <w:rFonts w:ascii="仿宋" w:hAnsi="仿宋" w:eastAsia="仿宋" w:cs="仿宋"/>
          <w:sz w:val="32"/>
          <w:szCs w:val="32"/>
        </w:rPr>
      </w:pPr>
      <w:r>
        <w:rPr>
          <w:rFonts w:hint="eastAsia" w:ascii="仿宋" w:hAnsi="仿宋" w:eastAsia="仿宋" w:cs="仿宋"/>
          <w:sz w:val="32"/>
          <w:szCs w:val="32"/>
        </w:rPr>
        <w:t>无部门财政拨款结转结余资金</w:t>
      </w:r>
      <w:r>
        <w:rPr>
          <w:rFonts w:ascii="仿宋" w:hAnsi="仿宋" w:eastAsia="仿宋" w:cs="仿宋"/>
          <w:sz w:val="32"/>
          <w:szCs w:val="32"/>
        </w:rPr>
        <w:t>。</w:t>
      </w:r>
    </w:p>
    <w:p>
      <w:pPr>
        <w:adjustRightInd w:val="0"/>
        <w:snapToGrid w:val="0"/>
        <w:spacing w:line="600" w:lineRule="exact"/>
        <w:ind w:firstLine="642" w:firstLineChars="200"/>
        <w:contextualSpacing/>
        <w:jc w:val="left"/>
        <w:rPr>
          <w:rFonts w:ascii="仿宋" w:hAnsi="仿宋" w:eastAsia="仿宋" w:cs="仿宋"/>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三、部门整体预算绩效管理情况</w:t>
      </w:r>
    </w:p>
    <w:p>
      <w:pPr>
        <w:adjustRightInd w:val="0"/>
        <w:snapToGrid w:val="0"/>
        <w:spacing w:line="600" w:lineRule="exact"/>
        <w:ind w:firstLine="642" w:firstLineChars="200"/>
        <w:contextualSpacing/>
        <w:jc w:val="left"/>
        <w:rPr>
          <w:rFonts w:ascii="楷体" w:hAnsi="楷体" w:eastAsia="楷体" w:cs="仿宋"/>
          <w:b/>
          <w:color w:val="000000"/>
          <w:kern w:val="0"/>
          <w:sz w:val="32"/>
          <w:szCs w:val="32"/>
          <w:shd w:val="clear" w:color="auto" w:fill="FFFFFF"/>
          <w:lang w:val="zh-CN"/>
        </w:rPr>
      </w:pPr>
      <w:r>
        <w:rPr>
          <w:rFonts w:hint="eastAsia" w:ascii="楷体" w:hAnsi="楷体" w:eastAsia="楷体" w:cs="仿宋"/>
          <w:b/>
          <w:color w:val="000000"/>
          <w:kern w:val="0"/>
          <w:sz w:val="32"/>
          <w:szCs w:val="32"/>
          <w:shd w:val="clear" w:color="auto" w:fill="FFFFFF"/>
          <w:lang w:val="zh-CN"/>
        </w:rPr>
        <w:t>（一）部门预算项目绩效管理。</w:t>
      </w:r>
    </w:p>
    <w:p>
      <w:pPr>
        <w:adjustRightInd w:val="0"/>
        <w:snapToGrid w:val="0"/>
        <w:spacing w:line="560" w:lineRule="exact"/>
        <w:ind w:firstLine="642" w:firstLineChars="200"/>
        <w:contextualSpacing/>
        <w:jc w:val="left"/>
        <w:rPr>
          <w:rFonts w:ascii="仿宋" w:hAnsi="仿宋" w:eastAsia="仿宋" w:cs="仿宋"/>
          <w:b/>
          <w:bCs/>
          <w:color w:val="000000" w:themeColor="text1"/>
          <w:kern w:val="0"/>
          <w:sz w:val="32"/>
          <w:szCs w:val="32"/>
          <w:shd w:val="clear" w:color="auto" w:fill="FFFFFF"/>
          <w14:textFill>
            <w14:solidFill>
              <w14:schemeClr w14:val="tx1"/>
            </w14:solidFill>
          </w14:textFill>
        </w:rPr>
      </w:pPr>
      <w:r>
        <w:rPr>
          <w:rFonts w:hint="eastAsia" w:ascii="仿宋" w:hAnsi="仿宋" w:eastAsia="仿宋" w:cs="仿宋"/>
          <w:b/>
          <w:bCs/>
          <w:color w:val="000000" w:themeColor="text1"/>
          <w:kern w:val="0"/>
          <w:sz w:val="32"/>
          <w:szCs w:val="32"/>
          <w:shd w:val="clear" w:color="auto" w:fill="FFFFFF"/>
          <w14:textFill>
            <w14:solidFill>
              <w14:schemeClr w14:val="tx1"/>
            </w14:solidFill>
          </w14:textFill>
        </w:rPr>
        <w:t>1、部门绩效目标制定情况。</w:t>
      </w:r>
    </w:p>
    <w:p>
      <w:pPr>
        <w:adjustRightInd w:val="0"/>
        <w:snapToGrid w:val="0"/>
        <w:spacing w:line="560" w:lineRule="exact"/>
        <w:ind w:firstLine="960" w:firstLineChars="300"/>
        <w:contextualSpacing/>
        <w:jc w:val="left"/>
        <w:rPr>
          <w:rFonts w:ascii="仿宋" w:hAnsi="仿宋" w:eastAsia="仿宋" w:cs="仿宋"/>
          <w:color w:val="000000" w:themeColor="text1"/>
          <w:kern w:val="0"/>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严格按照相关要求制定</w:t>
      </w:r>
      <w:r>
        <w:rPr>
          <w:rFonts w:hint="eastAsia" w:ascii="仿宋" w:hAnsi="仿宋" w:eastAsia="仿宋" w:cs="仿宋"/>
          <w:color w:val="000000" w:themeColor="text1"/>
          <w:kern w:val="0"/>
          <w:sz w:val="32"/>
          <w:szCs w:val="32"/>
          <w:shd w:val="clear" w:color="auto" w:fill="FFFFFF"/>
          <w14:textFill>
            <w14:solidFill>
              <w14:schemeClr w14:val="tx1"/>
            </w14:solidFill>
          </w14:textFill>
        </w:rPr>
        <w:t>部门绩效预期目标，确保要素完整，做到细化量化。</w:t>
      </w:r>
    </w:p>
    <w:p>
      <w:pPr>
        <w:adjustRightInd w:val="0"/>
        <w:snapToGrid w:val="0"/>
        <w:spacing w:line="560" w:lineRule="exact"/>
        <w:ind w:firstLine="642" w:firstLineChars="200"/>
        <w:contextualSpacing/>
        <w:jc w:val="left"/>
        <w:rPr>
          <w:rFonts w:ascii="仿宋" w:hAnsi="仿宋" w:eastAsia="仿宋" w:cs="仿宋"/>
          <w:b/>
          <w:bCs/>
          <w:color w:val="000000" w:themeColor="text1"/>
          <w:kern w:val="0"/>
          <w:sz w:val="32"/>
          <w:szCs w:val="32"/>
          <w:shd w:val="clear" w:color="auto" w:fill="FFFFFF"/>
          <w14:textFill>
            <w14:solidFill>
              <w14:schemeClr w14:val="tx1"/>
            </w14:solidFill>
          </w14:textFill>
        </w:rPr>
      </w:pPr>
      <w:r>
        <w:rPr>
          <w:rFonts w:hint="eastAsia" w:ascii="仿宋" w:hAnsi="仿宋" w:eastAsia="仿宋" w:cs="仿宋"/>
          <w:b/>
          <w:bCs/>
          <w:color w:val="000000" w:themeColor="text1"/>
          <w:kern w:val="0"/>
          <w:sz w:val="32"/>
          <w:szCs w:val="32"/>
          <w:shd w:val="clear" w:color="auto" w:fill="FFFFFF"/>
          <w14:textFill>
            <w14:solidFill>
              <w14:schemeClr w14:val="tx1"/>
            </w14:solidFill>
          </w14:textFill>
        </w:rPr>
        <w:t>2、部门绩效目标实现情况。</w:t>
      </w:r>
    </w:p>
    <w:p>
      <w:pPr>
        <w:adjustRightInd w:val="0"/>
        <w:snapToGrid w:val="0"/>
        <w:spacing w:line="560" w:lineRule="exact"/>
        <w:ind w:firstLine="640" w:firstLineChars="200"/>
        <w:contextualSpacing/>
        <w:jc w:val="left"/>
        <w:rPr>
          <w:rFonts w:ascii="仿宋" w:hAnsi="仿宋" w:eastAsia="仿宋"/>
          <w:color w:val="FF0000"/>
          <w:sz w:val="32"/>
          <w:szCs w:val="32"/>
        </w:rPr>
      </w:pPr>
      <w:r>
        <w:rPr>
          <w:rFonts w:hint="eastAsia" w:ascii="仿宋" w:hAnsi="仿宋" w:eastAsia="仿宋"/>
          <w:sz w:val="32"/>
          <w:szCs w:val="32"/>
        </w:rPr>
        <w:t>本年度我中心围绕绩效目标，强化责任，细化措施，有效完成上级下达任务。一是人员类支出</w:t>
      </w:r>
      <w:r>
        <w:rPr>
          <w:rFonts w:ascii="仿宋" w:hAnsi="仿宋" w:eastAsia="仿宋" w:cs="仿宋"/>
          <w:sz w:val="32"/>
          <w:szCs w:val="32"/>
        </w:rPr>
        <w:t>23.59</w:t>
      </w:r>
      <w:r>
        <w:rPr>
          <w:rFonts w:hint="eastAsia" w:ascii="仿宋" w:hAnsi="仿宋" w:eastAsia="仿宋"/>
          <w:sz w:val="32"/>
          <w:szCs w:val="32"/>
        </w:rPr>
        <w:t>万元，有效保障职工工资福利支出。二是日常工作运转支出</w:t>
      </w:r>
      <w:r>
        <w:rPr>
          <w:rFonts w:ascii="仿宋" w:hAnsi="仿宋" w:eastAsia="仿宋" w:cs="仿宋"/>
          <w:sz w:val="32"/>
          <w:szCs w:val="32"/>
        </w:rPr>
        <w:t>1.62</w:t>
      </w:r>
      <w:r>
        <w:rPr>
          <w:rFonts w:hint="eastAsia" w:ascii="仿宋" w:hAnsi="仿宋" w:eastAsia="仿宋" w:cs="仿宋"/>
          <w:sz w:val="32"/>
          <w:szCs w:val="32"/>
        </w:rPr>
        <w:t>万元</w:t>
      </w:r>
      <w:r>
        <w:rPr>
          <w:rFonts w:hint="eastAsia" w:ascii="仿宋" w:hAnsi="仿宋" w:eastAsia="仿宋"/>
          <w:sz w:val="32"/>
          <w:szCs w:val="32"/>
        </w:rPr>
        <w:t>，有效保障单位日常运转。</w:t>
      </w:r>
    </w:p>
    <w:p>
      <w:pPr>
        <w:spacing w:line="360" w:lineRule="auto"/>
        <w:ind w:firstLine="642" w:firstLineChars="200"/>
        <w:rPr>
          <w:rFonts w:ascii="仿宋" w:hAnsi="仿宋" w:eastAsia="仿宋" w:cs="仿宋"/>
          <w:b/>
          <w:bCs/>
          <w:color w:val="000000" w:themeColor="text1"/>
          <w:kern w:val="0"/>
          <w:sz w:val="32"/>
          <w:szCs w:val="32"/>
          <w:shd w:val="clear" w:color="auto" w:fill="FFFFFF"/>
          <w14:textFill>
            <w14:solidFill>
              <w14:schemeClr w14:val="tx1"/>
            </w14:solidFill>
          </w14:textFill>
        </w:rPr>
      </w:pPr>
      <w:r>
        <w:rPr>
          <w:rFonts w:hint="eastAsia" w:ascii="仿宋" w:hAnsi="仿宋" w:eastAsia="仿宋" w:cs="仿宋"/>
          <w:b/>
          <w:bCs/>
          <w:color w:val="000000" w:themeColor="text1"/>
          <w:kern w:val="0"/>
          <w:sz w:val="32"/>
          <w:szCs w:val="32"/>
          <w:shd w:val="clear" w:color="auto" w:fill="FFFFFF"/>
          <w14:textFill>
            <w14:solidFill>
              <w14:schemeClr w14:val="tx1"/>
            </w14:solidFill>
          </w14:textFill>
        </w:rPr>
        <w:t>3、其他情况。</w:t>
      </w:r>
    </w:p>
    <w:p>
      <w:pPr>
        <w:spacing w:line="360" w:lineRule="auto"/>
        <w:ind w:firstLine="640" w:firstLineChars="200"/>
        <w:rPr>
          <w:rFonts w:ascii="仿宋" w:hAnsi="仿宋" w:eastAsia="仿宋" w:cs="仿宋"/>
          <w:color w:val="FF0000"/>
          <w:kern w:val="0"/>
          <w:sz w:val="32"/>
          <w:szCs w:val="32"/>
          <w:shd w:val="clear" w:color="auto" w:fill="FFFFFF"/>
        </w:rPr>
      </w:pPr>
      <w:r>
        <w:rPr>
          <w:rFonts w:hint="eastAsia" w:ascii="仿宋" w:hAnsi="仿宋" w:eastAsia="仿宋"/>
          <w:sz w:val="32"/>
          <w:szCs w:val="32"/>
        </w:rPr>
        <w:t>一是支出控制情况。2022年度日常公用经费支出</w:t>
      </w:r>
      <w:r>
        <w:rPr>
          <w:rFonts w:ascii="仿宋" w:hAnsi="仿宋" w:eastAsia="仿宋" w:cs="仿宋"/>
          <w:sz w:val="32"/>
          <w:szCs w:val="32"/>
        </w:rPr>
        <w:t>1.62</w:t>
      </w:r>
      <w:r>
        <w:rPr>
          <w:rFonts w:hint="eastAsia" w:ascii="仿宋" w:hAnsi="仿宋" w:eastAsia="仿宋" w:cs="仿宋"/>
          <w:sz w:val="32"/>
          <w:szCs w:val="32"/>
        </w:rPr>
        <w:t>万元</w:t>
      </w:r>
      <w:r>
        <w:rPr>
          <w:rFonts w:hint="eastAsia" w:ascii="仿宋" w:hAnsi="仿宋" w:eastAsia="仿宋"/>
          <w:sz w:val="32"/>
          <w:szCs w:val="32"/>
        </w:rPr>
        <w:t>，非定额公用支出0万元。二是及时处置情况。及时开展绩效运行监控，按需进行预算调整。三是预算完成情况。工资福利性支出完成</w:t>
      </w:r>
      <w:r>
        <w:rPr>
          <w:rFonts w:ascii="仿宋" w:hAnsi="仿宋" w:eastAsia="仿宋"/>
          <w:sz w:val="32"/>
          <w:szCs w:val="32"/>
        </w:rPr>
        <w:t>100.00</w:t>
      </w:r>
      <w:r>
        <w:rPr>
          <w:rFonts w:hint="eastAsia" w:ascii="仿宋" w:hAnsi="仿宋" w:eastAsia="仿宋"/>
          <w:sz w:val="32"/>
          <w:szCs w:val="32"/>
        </w:rPr>
        <w:t>%、日常运转类支出</w:t>
      </w:r>
      <w:r>
        <w:rPr>
          <w:rFonts w:ascii="仿宋" w:hAnsi="仿宋" w:eastAsia="仿宋"/>
          <w:sz w:val="32"/>
          <w:szCs w:val="32"/>
        </w:rPr>
        <w:t>100.00</w:t>
      </w:r>
      <w:r>
        <w:rPr>
          <w:rFonts w:hint="eastAsia" w:ascii="仿宋" w:hAnsi="仿宋" w:eastAsia="仿宋"/>
          <w:sz w:val="32"/>
          <w:szCs w:val="32"/>
        </w:rPr>
        <w:t>%、专项项目支出</w:t>
      </w:r>
      <w:r>
        <w:rPr>
          <w:rFonts w:ascii="仿宋" w:hAnsi="仿宋" w:eastAsia="仿宋"/>
          <w:sz w:val="32"/>
          <w:szCs w:val="32"/>
        </w:rPr>
        <w:t>100.00</w:t>
      </w:r>
      <w:r>
        <w:rPr>
          <w:rFonts w:hint="eastAsia" w:ascii="仿宋" w:hAnsi="仿宋" w:eastAsia="仿宋"/>
          <w:sz w:val="32"/>
          <w:szCs w:val="32"/>
        </w:rPr>
        <w:t>%，综合完成率</w:t>
      </w:r>
      <w:r>
        <w:rPr>
          <w:rFonts w:ascii="仿宋" w:hAnsi="仿宋" w:eastAsia="仿宋"/>
          <w:sz w:val="32"/>
          <w:szCs w:val="32"/>
        </w:rPr>
        <w:t>100.00</w:t>
      </w:r>
      <w:r>
        <w:rPr>
          <w:rFonts w:hint="eastAsia" w:ascii="仿宋" w:hAnsi="仿宋" w:eastAsia="仿宋"/>
          <w:sz w:val="32"/>
          <w:szCs w:val="32"/>
        </w:rPr>
        <w:t>%。四是资金结余情况。202</w:t>
      </w:r>
      <w:r>
        <w:rPr>
          <w:rFonts w:ascii="仿宋" w:hAnsi="仿宋" w:eastAsia="仿宋"/>
          <w:sz w:val="32"/>
          <w:szCs w:val="32"/>
        </w:rPr>
        <w:t>2</w:t>
      </w:r>
      <w:r>
        <w:rPr>
          <w:rFonts w:hint="eastAsia" w:ascii="仿宋" w:hAnsi="仿宋" w:eastAsia="仿宋"/>
          <w:sz w:val="32"/>
          <w:szCs w:val="32"/>
        </w:rPr>
        <w:t>年度我中心资金结余0万元，资金结余率0%，不存在低效无效率的情况。五是违规记录情况。202</w:t>
      </w:r>
      <w:r>
        <w:rPr>
          <w:rFonts w:ascii="仿宋" w:hAnsi="仿宋" w:eastAsia="仿宋"/>
          <w:sz w:val="32"/>
          <w:szCs w:val="32"/>
        </w:rPr>
        <w:t>2</w:t>
      </w:r>
      <w:r>
        <w:rPr>
          <w:rFonts w:hint="eastAsia" w:ascii="仿宋" w:hAnsi="仿宋" w:eastAsia="仿宋"/>
          <w:sz w:val="32"/>
          <w:szCs w:val="32"/>
        </w:rPr>
        <w:t>年度我中心支出无违规记录的情况。</w:t>
      </w:r>
    </w:p>
    <w:p>
      <w:pPr>
        <w:adjustRightInd w:val="0"/>
        <w:snapToGrid w:val="0"/>
        <w:spacing w:line="600" w:lineRule="exact"/>
        <w:ind w:firstLine="642" w:firstLineChars="200"/>
        <w:contextualSpacing/>
        <w:jc w:val="left"/>
        <w:rPr>
          <w:rFonts w:ascii="楷体" w:hAnsi="楷体" w:eastAsia="楷体" w:cs="仿宋"/>
          <w:b/>
          <w:color w:val="000000"/>
          <w:kern w:val="0"/>
          <w:sz w:val="32"/>
          <w:szCs w:val="32"/>
          <w:shd w:val="clear" w:color="auto" w:fill="FFFFFF"/>
          <w:lang w:val="zh-CN"/>
        </w:rPr>
      </w:pPr>
      <w:r>
        <w:rPr>
          <w:rFonts w:hint="eastAsia" w:ascii="楷体" w:hAnsi="楷体" w:eastAsia="楷体" w:cs="仿宋"/>
          <w:b/>
          <w:color w:val="000000"/>
          <w:kern w:val="0"/>
          <w:sz w:val="32"/>
          <w:szCs w:val="32"/>
          <w:shd w:val="clear" w:color="auto" w:fill="FFFFFF"/>
          <w:lang w:val="zh-CN"/>
        </w:rPr>
        <w:t>（二）结果应用情况。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中心绩效自评工作自开展以来都按照上级安排及时报送及时公开、对评价结果及时整改并运用，整体运行良好。一是内部应用情况。我中心绩效自评已纳入考核体系。二是自评公开情况。按照要求将相关绩效信息随同决算信息进行公开。三是我中心未收到相关问题情况，也无要求整改情况</w:t>
      </w:r>
      <w:r>
        <w:rPr>
          <w:rFonts w:hint="eastAsia" w:ascii="仿宋" w:hAnsi="仿宋" w:eastAsia="仿宋" w:cs="仿宋"/>
          <w:color w:val="000000"/>
          <w:kern w:val="0"/>
          <w:sz w:val="32"/>
          <w:szCs w:val="32"/>
          <w:shd w:val="clear" w:color="auto" w:fill="FFFFFF"/>
        </w:rPr>
        <w:t>。</w:t>
      </w:r>
    </w:p>
    <w:p>
      <w:pPr>
        <w:adjustRightInd w:val="0"/>
        <w:snapToGrid w:val="0"/>
        <w:spacing w:line="600" w:lineRule="exact"/>
        <w:ind w:firstLine="642" w:firstLineChars="200"/>
        <w:contextualSpacing/>
        <w:jc w:val="left"/>
        <w:rPr>
          <w:rFonts w:ascii="黑体" w:hAnsi="黑体" w:eastAsia="黑体" w:cs="黑体"/>
          <w:b/>
          <w:bCs/>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四、评价结论及建议</w:t>
      </w:r>
    </w:p>
    <w:p>
      <w:pPr>
        <w:adjustRightInd w:val="0"/>
        <w:snapToGrid w:val="0"/>
        <w:spacing w:line="600" w:lineRule="exact"/>
        <w:ind w:firstLine="642" w:firstLineChars="200"/>
        <w:contextualSpacing/>
        <w:jc w:val="left"/>
        <w:rPr>
          <w:rFonts w:ascii="楷体" w:hAnsi="楷体" w:eastAsia="楷体" w:cs="仿宋"/>
          <w:b/>
          <w:color w:val="000000"/>
          <w:kern w:val="0"/>
          <w:sz w:val="32"/>
          <w:szCs w:val="32"/>
          <w:shd w:val="clear" w:color="auto" w:fill="FFFFFF"/>
          <w:lang w:val="zh-CN"/>
        </w:rPr>
      </w:pPr>
      <w:r>
        <w:rPr>
          <w:rFonts w:hint="eastAsia" w:ascii="楷体" w:hAnsi="楷体" w:eastAsia="楷体" w:cs="仿宋"/>
          <w:b/>
          <w:color w:val="000000"/>
          <w:kern w:val="0"/>
          <w:sz w:val="32"/>
          <w:szCs w:val="32"/>
          <w:shd w:val="clear" w:color="auto" w:fill="FFFFFF"/>
          <w:lang w:val="zh-CN"/>
        </w:rPr>
        <w:t>（一）评价结论。</w:t>
      </w:r>
    </w:p>
    <w:p>
      <w:pPr>
        <w:spacing w:line="580" w:lineRule="exact"/>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sz w:val="32"/>
          <w:szCs w:val="32"/>
        </w:rPr>
        <w:t>综上所述，通过绩效自评，2022年剑阁县自然资源储备交易中心整体支出政策依据充分，目标制定明确；按照计划有序实施，资金到位及时，经费使用严格按照相关财务管理制度执行，对资金的使用监管有力有效。整个支出实施达到了预期的绩效目标。</w:t>
      </w:r>
      <w:r>
        <w:rPr>
          <w:rFonts w:hint="eastAsia" w:ascii="仿宋" w:hAnsi="仿宋" w:eastAsia="仿宋" w:cs="仿宋_GB2312"/>
          <w:color w:val="000000" w:themeColor="text1"/>
          <w:sz w:val="32"/>
          <w:szCs w:val="32"/>
          <w14:textFill>
            <w14:solidFill>
              <w14:schemeClr w14:val="tx1"/>
            </w14:solidFill>
          </w14:textFill>
        </w:rPr>
        <w:t xml:space="preserve"> </w:t>
      </w:r>
    </w:p>
    <w:p>
      <w:pPr>
        <w:adjustRightInd w:val="0"/>
        <w:snapToGrid w:val="0"/>
        <w:spacing w:line="600" w:lineRule="exact"/>
        <w:ind w:firstLine="642" w:firstLineChars="200"/>
        <w:contextualSpacing/>
        <w:jc w:val="left"/>
        <w:rPr>
          <w:rFonts w:ascii="楷体" w:hAnsi="楷体" w:eastAsia="楷体" w:cs="仿宋"/>
          <w:b/>
          <w:color w:val="000000"/>
          <w:kern w:val="0"/>
          <w:sz w:val="32"/>
          <w:szCs w:val="32"/>
          <w:shd w:val="clear" w:color="auto" w:fill="FFFFFF"/>
          <w:lang w:val="zh-CN"/>
        </w:rPr>
      </w:pPr>
      <w:r>
        <w:rPr>
          <w:rFonts w:hint="eastAsia" w:ascii="楷体" w:hAnsi="楷体" w:eastAsia="楷体" w:cs="仿宋"/>
          <w:b/>
          <w:color w:val="000000"/>
          <w:kern w:val="0"/>
          <w:sz w:val="32"/>
          <w:szCs w:val="32"/>
          <w:shd w:val="clear" w:color="auto" w:fill="FFFFFF"/>
          <w:lang w:val="zh-CN"/>
        </w:rPr>
        <w:t>（二）存在问题。</w:t>
      </w:r>
    </w:p>
    <w:p>
      <w:pPr>
        <w:spacing w:line="580" w:lineRule="exact"/>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sz w:val="32"/>
          <w:szCs w:val="32"/>
        </w:rPr>
        <w:t>人员配备不足，工作经费差口较大，希望在经费方面给与更多的支持</w:t>
      </w:r>
      <w:r>
        <w:rPr>
          <w:rFonts w:hint="eastAsia" w:ascii="仿宋" w:hAnsi="仿宋" w:eastAsia="仿宋" w:cs="仿宋_GB2312"/>
          <w:color w:val="000000" w:themeColor="text1"/>
          <w:sz w:val="32"/>
          <w:szCs w:val="32"/>
          <w14:textFill>
            <w14:solidFill>
              <w14:schemeClr w14:val="tx1"/>
            </w14:solidFill>
          </w14:textFill>
        </w:rPr>
        <w:t>。</w:t>
      </w:r>
    </w:p>
    <w:p>
      <w:pPr>
        <w:adjustRightInd w:val="0"/>
        <w:snapToGrid w:val="0"/>
        <w:spacing w:line="600" w:lineRule="exact"/>
        <w:ind w:firstLine="642" w:firstLineChars="200"/>
        <w:contextualSpacing/>
        <w:jc w:val="left"/>
        <w:rPr>
          <w:rFonts w:ascii="楷体" w:hAnsi="楷体" w:eastAsia="楷体" w:cs="仿宋"/>
          <w:b/>
          <w:color w:val="000000"/>
          <w:kern w:val="0"/>
          <w:sz w:val="32"/>
          <w:szCs w:val="32"/>
          <w:shd w:val="clear" w:color="auto" w:fill="FFFFFF"/>
          <w:lang w:val="zh-CN"/>
        </w:rPr>
      </w:pPr>
      <w:r>
        <w:rPr>
          <w:rFonts w:hint="eastAsia" w:ascii="楷体" w:hAnsi="楷体" w:eastAsia="楷体" w:cs="仿宋"/>
          <w:b/>
          <w:color w:val="000000"/>
          <w:kern w:val="0"/>
          <w:sz w:val="32"/>
          <w:szCs w:val="32"/>
          <w:shd w:val="clear" w:color="auto" w:fill="FFFFFF"/>
          <w:lang w:val="zh-CN"/>
        </w:rPr>
        <w:t>（三）改进建议。</w:t>
      </w:r>
    </w:p>
    <w:p>
      <w:pPr>
        <w:pStyle w:val="2"/>
        <w:spacing w:before="93"/>
        <w:ind w:firstLine="640" w:firstLineChars="200"/>
        <w:rPr>
          <w:rFonts w:ascii="仿宋" w:hAnsi="仿宋" w:eastAsia="仿宋"/>
          <w:sz w:val="32"/>
          <w:szCs w:val="32"/>
        </w:rPr>
      </w:pPr>
      <w:r>
        <w:rPr>
          <w:rFonts w:hint="eastAsia" w:ascii="仿宋" w:hAnsi="仿宋" w:eastAsia="仿宋"/>
          <w:sz w:val="32"/>
          <w:szCs w:val="32"/>
        </w:rPr>
        <w:t>历年来，我中心在编制预算与执行中，将进一步重视预算的编制工作，提高预算编制的精确度，提高财政资金使用效率，尽量减少预算执行调整，把有限的经费做到科学、合理的分配。</w:t>
      </w:r>
    </w:p>
    <w:p>
      <w:pPr>
        <w:spacing w:line="600" w:lineRule="exact"/>
        <w:jc w:val="left"/>
        <w:outlineLvl w:val="0"/>
        <w:rPr>
          <w:rStyle w:val="28"/>
          <w:rFonts w:ascii="黑体" w:hAnsi="黑体" w:eastAsia="黑体"/>
          <w:b w:val="0"/>
        </w:rPr>
      </w:pPr>
      <w:r>
        <w:br w:type="page"/>
      </w:r>
    </w:p>
    <w:bookmarkEnd w:id="110"/>
    <w:bookmarkEnd w:id="111"/>
    <w:bookmarkEnd w:id="112"/>
    <w:p>
      <w:pPr>
        <w:spacing w:line="600" w:lineRule="exact"/>
        <w:jc w:val="center"/>
        <w:outlineLvl w:val="0"/>
        <w:rPr>
          <w:rFonts w:ascii="仿宋" w:hAnsi="仿宋" w:eastAsia="仿宋"/>
        </w:rPr>
      </w:pPr>
      <w:bookmarkStart w:id="114" w:name="_Toc148529097"/>
      <w:bookmarkStart w:id="115" w:name="_Toc15396618"/>
      <w:bookmarkStart w:id="116" w:name="_Toc148529199"/>
      <w:r>
        <w:rPr>
          <w:rFonts w:hint="eastAsia" w:ascii="黑体" w:hAnsi="黑体" w:eastAsia="黑体"/>
          <w:sz w:val="44"/>
          <w:szCs w:val="44"/>
        </w:rPr>
        <w:t>第</w:t>
      </w:r>
      <w:r>
        <w:rPr>
          <w:rStyle w:val="28"/>
          <w:rFonts w:hint="eastAsia" w:ascii="黑体" w:hAnsi="黑体" w:eastAsia="黑体"/>
          <w:b w:val="0"/>
        </w:rPr>
        <w:t>五部分 附表</w:t>
      </w:r>
      <w:bookmarkEnd w:id="109"/>
      <w:bookmarkEnd w:id="114"/>
      <w:bookmarkEnd w:id="115"/>
      <w:bookmarkEnd w:id="116"/>
      <w:bookmarkStart w:id="117" w:name="_Toc15396619"/>
    </w:p>
    <w:p>
      <w:pPr>
        <w:pStyle w:val="4"/>
        <w:rPr>
          <w:rFonts w:ascii="仿宋" w:hAnsi="仿宋" w:eastAsia="仿宋"/>
        </w:rPr>
      </w:pPr>
      <w:bookmarkStart w:id="118" w:name="_Toc148529098"/>
      <w:bookmarkStart w:id="119" w:name="_Toc148529200"/>
      <w:r>
        <w:rPr>
          <w:rFonts w:hint="eastAsia" w:ascii="仿宋" w:hAnsi="仿宋" w:eastAsia="仿宋"/>
          <w:b w:val="0"/>
        </w:rPr>
        <w:t>一、收</w:t>
      </w:r>
      <w:r>
        <w:rPr>
          <w:rStyle w:val="29"/>
          <w:rFonts w:hint="eastAsia" w:ascii="仿宋" w:hAnsi="仿宋" w:eastAsia="仿宋"/>
          <w:b w:val="0"/>
          <w:bCs w:val="0"/>
        </w:rPr>
        <w:t>入支出决算总表</w:t>
      </w:r>
      <w:bookmarkEnd w:id="117"/>
      <w:bookmarkEnd w:id="118"/>
      <w:bookmarkEnd w:id="119"/>
    </w:p>
    <w:p>
      <w:pPr>
        <w:pStyle w:val="4"/>
        <w:rPr>
          <w:rFonts w:ascii="仿宋" w:hAnsi="仿宋" w:eastAsia="仿宋"/>
        </w:rPr>
      </w:pPr>
      <w:bookmarkStart w:id="120" w:name="_Toc15396620"/>
      <w:bookmarkStart w:id="121" w:name="_Toc148529099"/>
      <w:bookmarkStart w:id="122" w:name="_Toc148529201"/>
      <w:r>
        <w:rPr>
          <w:rFonts w:hint="eastAsia" w:ascii="仿宋" w:hAnsi="仿宋" w:eastAsia="仿宋"/>
          <w:b w:val="0"/>
        </w:rPr>
        <w:t>二、收</w:t>
      </w:r>
      <w:r>
        <w:rPr>
          <w:rStyle w:val="29"/>
          <w:rFonts w:hint="eastAsia" w:ascii="仿宋" w:hAnsi="仿宋" w:eastAsia="仿宋"/>
          <w:b w:val="0"/>
          <w:bCs w:val="0"/>
        </w:rPr>
        <w:t>入决算表</w:t>
      </w:r>
      <w:bookmarkEnd w:id="120"/>
      <w:bookmarkEnd w:id="121"/>
      <w:bookmarkEnd w:id="122"/>
    </w:p>
    <w:p>
      <w:pPr>
        <w:pStyle w:val="4"/>
        <w:rPr>
          <w:rFonts w:ascii="仿宋" w:hAnsi="仿宋" w:eastAsia="仿宋"/>
        </w:rPr>
      </w:pPr>
      <w:bookmarkStart w:id="123" w:name="_Toc148529202"/>
      <w:bookmarkStart w:id="124" w:name="_Toc15396621"/>
      <w:bookmarkStart w:id="125" w:name="_Toc148529100"/>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123"/>
      <w:bookmarkEnd w:id="124"/>
      <w:bookmarkEnd w:id="125"/>
    </w:p>
    <w:p>
      <w:pPr>
        <w:pStyle w:val="4"/>
        <w:rPr>
          <w:rFonts w:ascii="仿宋" w:hAnsi="仿宋" w:eastAsia="仿宋"/>
          <w:b w:val="0"/>
        </w:rPr>
      </w:pPr>
      <w:bookmarkStart w:id="126" w:name="_Toc15396622"/>
      <w:bookmarkStart w:id="127" w:name="_Toc148529203"/>
      <w:bookmarkStart w:id="128" w:name="_Toc148529101"/>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126"/>
      <w:bookmarkEnd w:id="127"/>
      <w:bookmarkEnd w:id="128"/>
    </w:p>
    <w:p>
      <w:pPr>
        <w:pStyle w:val="4"/>
        <w:rPr>
          <w:rStyle w:val="29"/>
          <w:rFonts w:ascii="仿宋" w:hAnsi="仿宋" w:eastAsia="仿宋"/>
          <w:b w:val="0"/>
          <w:bCs w:val="0"/>
        </w:rPr>
      </w:pPr>
      <w:bookmarkStart w:id="129" w:name="_Toc148529204"/>
      <w:bookmarkStart w:id="130" w:name="_Toc15396623"/>
      <w:bookmarkStart w:id="131" w:name="_Toc148529102"/>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129"/>
      <w:bookmarkEnd w:id="130"/>
      <w:bookmarkEnd w:id="131"/>
      <w:bookmarkStart w:id="132" w:name="_Toc15396624"/>
    </w:p>
    <w:p>
      <w:pPr>
        <w:pStyle w:val="4"/>
        <w:rPr>
          <w:rFonts w:ascii="仿宋" w:hAnsi="仿宋" w:eastAsia="仿宋"/>
        </w:rPr>
      </w:pPr>
      <w:bookmarkStart w:id="133" w:name="_Toc148529103"/>
      <w:bookmarkStart w:id="134" w:name="_Toc148529205"/>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132"/>
      <w:bookmarkEnd w:id="133"/>
      <w:bookmarkEnd w:id="134"/>
    </w:p>
    <w:p>
      <w:pPr>
        <w:pStyle w:val="4"/>
        <w:rPr>
          <w:rFonts w:ascii="仿宋" w:hAnsi="仿宋" w:eastAsia="仿宋"/>
        </w:rPr>
      </w:pPr>
      <w:bookmarkStart w:id="135" w:name="_Toc148529206"/>
      <w:bookmarkStart w:id="136" w:name="_Toc148529104"/>
      <w:bookmarkStart w:id="137"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135"/>
      <w:bookmarkEnd w:id="136"/>
      <w:bookmarkEnd w:id="137"/>
    </w:p>
    <w:p>
      <w:pPr>
        <w:pStyle w:val="4"/>
        <w:rPr>
          <w:rFonts w:ascii="仿宋" w:hAnsi="仿宋" w:eastAsia="仿宋"/>
        </w:rPr>
      </w:pPr>
      <w:bookmarkStart w:id="138" w:name="_Toc148529207"/>
      <w:bookmarkStart w:id="139" w:name="_Toc15396626"/>
      <w:bookmarkStart w:id="140" w:name="_Toc148529105"/>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138"/>
      <w:bookmarkEnd w:id="139"/>
      <w:bookmarkEnd w:id="140"/>
    </w:p>
    <w:p>
      <w:pPr>
        <w:pStyle w:val="4"/>
        <w:rPr>
          <w:rFonts w:ascii="仿宋" w:hAnsi="仿宋" w:eastAsia="仿宋"/>
        </w:rPr>
      </w:pPr>
      <w:bookmarkStart w:id="141" w:name="_Toc148529106"/>
      <w:bookmarkStart w:id="142" w:name="_Toc148529208"/>
      <w:bookmarkStart w:id="143"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141"/>
      <w:bookmarkEnd w:id="142"/>
      <w:bookmarkEnd w:id="143"/>
    </w:p>
    <w:p>
      <w:pPr>
        <w:pStyle w:val="4"/>
        <w:rPr>
          <w:rFonts w:ascii="仿宋" w:hAnsi="仿宋" w:eastAsia="仿宋"/>
        </w:rPr>
      </w:pPr>
      <w:bookmarkStart w:id="144" w:name="_Toc15396628"/>
      <w:bookmarkStart w:id="145" w:name="_Toc148529107"/>
      <w:bookmarkStart w:id="146" w:name="_Toc148529209"/>
      <w:r>
        <w:rPr>
          <w:rStyle w:val="29"/>
          <w:rFonts w:hint="eastAsia" w:ascii="仿宋" w:hAnsi="仿宋" w:eastAsia="仿宋"/>
          <w:b w:val="0"/>
          <w:bCs w:val="0"/>
        </w:rPr>
        <w:t>十、</w:t>
      </w:r>
      <w:bookmarkEnd w:id="144"/>
      <w:r>
        <w:rPr>
          <w:rFonts w:hint="eastAsia" w:ascii="仿宋" w:hAnsi="仿宋" w:eastAsia="仿宋"/>
          <w:b w:val="0"/>
        </w:rPr>
        <w:t>政</w:t>
      </w:r>
      <w:r>
        <w:rPr>
          <w:rStyle w:val="29"/>
          <w:rFonts w:hint="eastAsia" w:ascii="仿宋" w:hAnsi="仿宋" w:eastAsia="仿宋"/>
          <w:b w:val="0"/>
          <w:bCs w:val="0"/>
        </w:rPr>
        <w:t>府性基金预算财政拨款收入支出决算表</w:t>
      </w:r>
      <w:bookmarkEnd w:id="145"/>
      <w:bookmarkEnd w:id="146"/>
    </w:p>
    <w:p>
      <w:pPr>
        <w:pStyle w:val="4"/>
        <w:rPr>
          <w:rFonts w:ascii="仿宋" w:hAnsi="仿宋" w:eastAsia="仿宋"/>
        </w:rPr>
      </w:pPr>
      <w:bookmarkStart w:id="147" w:name="_Toc15396629"/>
      <w:bookmarkStart w:id="148" w:name="_Toc148529210"/>
      <w:bookmarkStart w:id="149" w:name="_Toc148529108"/>
      <w:r>
        <w:rPr>
          <w:rStyle w:val="29"/>
          <w:rFonts w:hint="eastAsia" w:ascii="仿宋" w:hAnsi="仿宋" w:eastAsia="仿宋"/>
          <w:b w:val="0"/>
          <w:bCs w:val="0"/>
        </w:rPr>
        <w:t>十一、</w:t>
      </w:r>
      <w:bookmarkEnd w:id="147"/>
      <w:r>
        <w:rPr>
          <w:rFonts w:hint="eastAsia" w:ascii="仿宋" w:hAnsi="仿宋" w:eastAsia="仿宋"/>
          <w:b w:val="0"/>
        </w:rPr>
        <w:t>国</w:t>
      </w:r>
      <w:r>
        <w:rPr>
          <w:rStyle w:val="29"/>
          <w:rFonts w:hint="eastAsia" w:ascii="仿宋" w:hAnsi="仿宋" w:eastAsia="仿宋"/>
          <w:b w:val="0"/>
          <w:bCs w:val="0"/>
        </w:rPr>
        <w:t>有资本经营预算财政拨款收入支出决算表</w:t>
      </w:r>
      <w:bookmarkEnd w:id="148"/>
      <w:bookmarkEnd w:id="149"/>
    </w:p>
    <w:p>
      <w:pPr>
        <w:pStyle w:val="4"/>
        <w:rPr>
          <w:rFonts w:ascii="仿宋" w:hAnsi="仿宋" w:eastAsia="仿宋"/>
        </w:rPr>
      </w:pPr>
      <w:bookmarkStart w:id="150" w:name="_Toc15396630"/>
      <w:bookmarkStart w:id="151" w:name="_Toc148529211"/>
      <w:bookmarkStart w:id="152" w:name="_Toc148529109"/>
      <w:r>
        <w:rPr>
          <w:rStyle w:val="29"/>
          <w:rFonts w:hint="eastAsia" w:ascii="仿宋" w:hAnsi="仿宋" w:eastAsia="仿宋"/>
          <w:b w:val="0"/>
          <w:bCs w:val="0"/>
        </w:rPr>
        <w:t>十二、</w:t>
      </w:r>
      <w:bookmarkEnd w:id="150"/>
      <w:r>
        <w:rPr>
          <w:rStyle w:val="29"/>
          <w:rFonts w:hint="eastAsia" w:ascii="仿宋" w:hAnsi="仿宋" w:eastAsia="仿宋"/>
          <w:b w:val="0"/>
          <w:bCs w:val="0"/>
        </w:rPr>
        <w:t>国有资本经营预算财政拨款支出决算表</w:t>
      </w:r>
      <w:bookmarkEnd w:id="151"/>
      <w:bookmarkEnd w:id="152"/>
    </w:p>
    <w:p>
      <w:pPr>
        <w:pStyle w:val="4"/>
        <w:rPr>
          <w:rFonts w:eastAsia="仿宋"/>
        </w:rPr>
      </w:pPr>
      <w:bookmarkStart w:id="153" w:name="_Toc15396631"/>
      <w:bookmarkStart w:id="154" w:name="_Toc148529212"/>
      <w:bookmarkStart w:id="155" w:name="_Toc148529110"/>
      <w:r>
        <w:rPr>
          <w:rStyle w:val="29"/>
          <w:rFonts w:hint="eastAsia" w:ascii="仿宋" w:hAnsi="仿宋" w:eastAsia="仿宋"/>
          <w:b w:val="0"/>
          <w:bCs w:val="0"/>
        </w:rPr>
        <w:t>十三、</w:t>
      </w:r>
      <w:bookmarkEnd w:id="153"/>
      <w:r>
        <w:rPr>
          <w:rStyle w:val="29"/>
          <w:rFonts w:hint="eastAsia" w:ascii="仿宋" w:hAnsi="仿宋" w:eastAsia="仿宋"/>
          <w:b w:val="0"/>
          <w:bCs w:val="0"/>
        </w:rPr>
        <w:t>财政拨款“三公”经费支出决算表</w:t>
      </w:r>
      <w:bookmarkEnd w:id="154"/>
      <w:bookmarkEnd w:id="155"/>
    </w:p>
    <w:sectPr>
      <w:footerReference r:id="rId6" w:type="firs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8705236"/>
      <w:docPartObj>
        <w:docPartGallery w:val="AutoText"/>
      </w:docPartObj>
    </w:sdtPr>
    <w:sdtContent>
      <w:p>
        <w:pPr>
          <w:pStyle w:val="10"/>
          <w:jc w:val="center"/>
        </w:pPr>
        <w:r>
          <w:fldChar w:fldCharType="begin"/>
        </w:r>
        <w:r>
          <w:instrText xml:space="preserve">PAGE   \* MERGEFORMAT</w:instrText>
        </w:r>
        <w:r>
          <w:fldChar w:fldCharType="separate"/>
        </w:r>
        <w:r>
          <w:rPr>
            <w:lang w:val="zh-CN"/>
          </w:rPr>
          <w:t>12</w:t>
        </w:r>
        <w: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8140267"/>
      <w:docPartObj>
        <w:docPartGallery w:val="AutoText"/>
      </w:docPartObj>
    </w:sdtPr>
    <w:sdtContent>
      <w:p>
        <w:pPr>
          <w:pStyle w:val="10"/>
          <w:jc w:val="center"/>
        </w:pPr>
        <w:r>
          <w:fldChar w:fldCharType="begin"/>
        </w:r>
        <w:r>
          <w:instrText xml:space="preserve">PAGE   \* MERGEFORMAT</w:instrText>
        </w:r>
        <w:r>
          <w:fldChar w:fldCharType="separate"/>
        </w:r>
        <w:r>
          <w:rPr>
            <w:lang w:val="zh-CN"/>
          </w:rPr>
          <w:t>1</w:t>
        </w:r>
        <w:r>
          <w:fldChar w:fldCharType="end"/>
        </w:r>
      </w:p>
    </w:sdtContent>
  </w:sdt>
  <w:p>
    <w:pPr>
      <w:pStyle w:val="1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abstractNum w:abstractNumId="4">
    <w:nsid w:val="5D043476"/>
    <w:multiLevelType w:val="multilevel"/>
    <w:tmpl w:val="5D043476"/>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1262C"/>
    <w:rsid w:val="00012DCC"/>
    <w:rsid w:val="000222C6"/>
    <w:rsid w:val="00024765"/>
    <w:rsid w:val="0002549F"/>
    <w:rsid w:val="000409D9"/>
    <w:rsid w:val="00040A3C"/>
    <w:rsid w:val="00041A6F"/>
    <w:rsid w:val="000462A7"/>
    <w:rsid w:val="000468DB"/>
    <w:rsid w:val="00051C96"/>
    <w:rsid w:val="00061702"/>
    <w:rsid w:val="0006487A"/>
    <w:rsid w:val="00065F8F"/>
    <w:rsid w:val="00070A43"/>
    <w:rsid w:val="00071F63"/>
    <w:rsid w:val="00073C4E"/>
    <w:rsid w:val="000768F2"/>
    <w:rsid w:val="00090E08"/>
    <w:rsid w:val="0009184B"/>
    <w:rsid w:val="00094236"/>
    <w:rsid w:val="0009593C"/>
    <w:rsid w:val="00097242"/>
    <w:rsid w:val="00097322"/>
    <w:rsid w:val="000A0A14"/>
    <w:rsid w:val="000A6A92"/>
    <w:rsid w:val="000B00D1"/>
    <w:rsid w:val="000B0232"/>
    <w:rsid w:val="000B047F"/>
    <w:rsid w:val="000B5923"/>
    <w:rsid w:val="000B5A48"/>
    <w:rsid w:val="000B6FF3"/>
    <w:rsid w:val="000C3467"/>
    <w:rsid w:val="000C3CA6"/>
    <w:rsid w:val="000D1267"/>
    <w:rsid w:val="000D1D50"/>
    <w:rsid w:val="000D5782"/>
    <w:rsid w:val="000D5A1F"/>
    <w:rsid w:val="000D71FD"/>
    <w:rsid w:val="000E40A2"/>
    <w:rsid w:val="000E6613"/>
    <w:rsid w:val="000E6759"/>
    <w:rsid w:val="000E7119"/>
    <w:rsid w:val="000F19A4"/>
    <w:rsid w:val="000F5D35"/>
    <w:rsid w:val="00114E9B"/>
    <w:rsid w:val="00130CDC"/>
    <w:rsid w:val="00131DAA"/>
    <w:rsid w:val="00136E92"/>
    <w:rsid w:val="00140B00"/>
    <w:rsid w:val="00142216"/>
    <w:rsid w:val="00143292"/>
    <w:rsid w:val="00144D6A"/>
    <w:rsid w:val="0014729F"/>
    <w:rsid w:val="00157BAB"/>
    <w:rsid w:val="00164DED"/>
    <w:rsid w:val="001654D1"/>
    <w:rsid w:val="001733DE"/>
    <w:rsid w:val="00174518"/>
    <w:rsid w:val="0018106D"/>
    <w:rsid w:val="0018222D"/>
    <w:rsid w:val="0018424B"/>
    <w:rsid w:val="001864A3"/>
    <w:rsid w:val="001877A7"/>
    <w:rsid w:val="00191536"/>
    <w:rsid w:val="00196687"/>
    <w:rsid w:val="001A3C1B"/>
    <w:rsid w:val="001A5718"/>
    <w:rsid w:val="001B06AB"/>
    <w:rsid w:val="001B3E4D"/>
    <w:rsid w:val="001C0962"/>
    <w:rsid w:val="001C1A4E"/>
    <w:rsid w:val="001D2FDC"/>
    <w:rsid w:val="001D7531"/>
    <w:rsid w:val="001E737D"/>
    <w:rsid w:val="001F0592"/>
    <w:rsid w:val="001F622A"/>
    <w:rsid w:val="001F7506"/>
    <w:rsid w:val="001F75F1"/>
    <w:rsid w:val="002006CD"/>
    <w:rsid w:val="00201A70"/>
    <w:rsid w:val="00202B36"/>
    <w:rsid w:val="00204B7A"/>
    <w:rsid w:val="00204CDE"/>
    <w:rsid w:val="0021101A"/>
    <w:rsid w:val="00211303"/>
    <w:rsid w:val="00220536"/>
    <w:rsid w:val="002219AB"/>
    <w:rsid w:val="00222537"/>
    <w:rsid w:val="00235629"/>
    <w:rsid w:val="00260C38"/>
    <w:rsid w:val="002616C0"/>
    <w:rsid w:val="00265372"/>
    <w:rsid w:val="002662AA"/>
    <w:rsid w:val="002716DA"/>
    <w:rsid w:val="00275335"/>
    <w:rsid w:val="002762B7"/>
    <w:rsid w:val="00280444"/>
    <w:rsid w:val="00280496"/>
    <w:rsid w:val="00286624"/>
    <w:rsid w:val="00294DC9"/>
    <w:rsid w:val="00295495"/>
    <w:rsid w:val="00296D89"/>
    <w:rsid w:val="00297582"/>
    <w:rsid w:val="002A31DE"/>
    <w:rsid w:val="002B0D64"/>
    <w:rsid w:val="002B2613"/>
    <w:rsid w:val="002B746B"/>
    <w:rsid w:val="002B7A4F"/>
    <w:rsid w:val="002C4342"/>
    <w:rsid w:val="002C62CD"/>
    <w:rsid w:val="002C7CD4"/>
    <w:rsid w:val="002D6D05"/>
    <w:rsid w:val="002E1542"/>
    <w:rsid w:val="002E66EE"/>
    <w:rsid w:val="002F1818"/>
    <w:rsid w:val="002F39B8"/>
    <w:rsid w:val="002F567B"/>
    <w:rsid w:val="002F6EA8"/>
    <w:rsid w:val="002F7542"/>
    <w:rsid w:val="002F75A5"/>
    <w:rsid w:val="003006EF"/>
    <w:rsid w:val="00304681"/>
    <w:rsid w:val="003216A9"/>
    <w:rsid w:val="0032194E"/>
    <w:rsid w:val="00335A74"/>
    <w:rsid w:val="00352EB3"/>
    <w:rsid w:val="0035398C"/>
    <w:rsid w:val="0036561B"/>
    <w:rsid w:val="0037013F"/>
    <w:rsid w:val="00380C92"/>
    <w:rsid w:val="003961F9"/>
    <w:rsid w:val="003A484F"/>
    <w:rsid w:val="003A4883"/>
    <w:rsid w:val="003B0BE0"/>
    <w:rsid w:val="003B0C1B"/>
    <w:rsid w:val="003B688C"/>
    <w:rsid w:val="003C0291"/>
    <w:rsid w:val="003C39AE"/>
    <w:rsid w:val="003C3DA8"/>
    <w:rsid w:val="003C7B60"/>
    <w:rsid w:val="003D0C0F"/>
    <w:rsid w:val="003D1FB2"/>
    <w:rsid w:val="003D22FC"/>
    <w:rsid w:val="003D66DA"/>
    <w:rsid w:val="003E0B8B"/>
    <w:rsid w:val="003E1310"/>
    <w:rsid w:val="003E3961"/>
    <w:rsid w:val="003E6F55"/>
    <w:rsid w:val="00403394"/>
    <w:rsid w:val="00405A99"/>
    <w:rsid w:val="00406254"/>
    <w:rsid w:val="00411C19"/>
    <w:rsid w:val="0041615B"/>
    <w:rsid w:val="0042063E"/>
    <w:rsid w:val="004223DE"/>
    <w:rsid w:val="00431CB6"/>
    <w:rsid w:val="00434489"/>
    <w:rsid w:val="00437085"/>
    <w:rsid w:val="004408E1"/>
    <w:rsid w:val="00440C97"/>
    <w:rsid w:val="004413F3"/>
    <w:rsid w:val="004437CE"/>
    <w:rsid w:val="00443880"/>
    <w:rsid w:val="004464F4"/>
    <w:rsid w:val="00446699"/>
    <w:rsid w:val="0045296C"/>
    <w:rsid w:val="00464A48"/>
    <w:rsid w:val="00466C6D"/>
    <w:rsid w:val="00471401"/>
    <w:rsid w:val="004717EB"/>
    <w:rsid w:val="00473F31"/>
    <w:rsid w:val="0048263A"/>
    <w:rsid w:val="00487666"/>
    <w:rsid w:val="00487E5D"/>
    <w:rsid w:val="004A711F"/>
    <w:rsid w:val="004B199D"/>
    <w:rsid w:val="004B4690"/>
    <w:rsid w:val="004C19CF"/>
    <w:rsid w:val="004D7BF4"/>
    <w:rsid w:val="004E0A2D"/>
    <w:rsid w:val="004E0B4F"/>
    <w:rsid w:val="004E206B"/>
    <w:rsid w:val="004E6DF7"/>
    <w:rsid w:val="004F0BB7"/>
    <w:rsid w:val="004F0FBD"/>
    <w:rsid w:val="00505A47"/>
    <w:rsid w:val="00507379"/>
    <w:rsid w:val="00512FDA"/>
    <w:rsid w:val="00513002"/>
    <w:rsid w:val="00516757"/>
    <w:rsid w:val="00520DA0"/>
    <w:rsid w:val="00527986"/>
    <w:rsid w:val="005354E2"/>
    <w:rsid w:val="00551277"/>
    <w:rsid w:val="00563E5E"/>
    <w:rsid w:val="005664BB"/>
    <w:rsid w:val="00566FFA"/>
    <w:rsid w:val="0057481D"/>
    <w:rsid w:val="005809AD"/>
    <w:rsid w:val="0058486E"/>
    <w:rsid w:val="00585B33"/>
    <w:rsid w:val="00586913"/>
    <w:rsid w:val="00587AA4"/>
    <w:rsid w:val="0059014D"/>
    <w:rsid w:val="00590C7F"/>
    <w:rsid w:val="00590DF0"/>
    <w:rsid w:val="00591C50"/>
    <w:rsid w:val="005A4EBE"/>
    <w:rsid w:val="005A51D1"/>
    <w:rsid w:val="005B5C64"/>
    <w:rsid w:val="005B6DCE"/>
    <w:rsid w:val="005C270F"/>
    <w:rsid w:val="005C4E0B"/>
    <w:rsid w:val="005C5337"/>
    <w:rsid w:val="005C6630"/>
    <w:rsid w:val="005C6BD0"/>
    <w:rsid w:val="005D04DC"/>
    <w:rsid w:val="005D1C8B"/>
    <w:rsid w:val="005D468D"/>
    <w:rsid w:val="005D4B60"/>
    <w:rsid w:val="005D5CED"/>
    <w:rsid w:val="005D7F19"/>
    <w:rsid w:val="005E13B9"/>
    <w:rsid w:val="005F1A4C"/>
    <w:rsid w:val="00603931"/>
    <w:rsid w:val="00605688"/>
    <w:rsid w:val="0060678E"/>
    <w:rsid w:val="006070AF"/>
    <w:rsid w:val="006074B1"/>
    <w:rsid w:val="00607E6C"/>
    <w:rsid w:val="006101B1"/>
    <w:rsid w:val="00614E44"/>
    <w:rsid w:val="0062270A"/>
    <w:rsid w:val="00622830"/>
    <w:rsid w:val="00623DA0"/>
    <w:rsid w:val="00626667"/>
    <w:rsid w:val="00630AEF"/>
    <w:rsid w:val="00630E31"/>
    <w:rsid w:val="006325F8"/>
    <w:rsid w:val="00633463"/>
    <w:rsid w:val="00634C9A"/>
    <w:rsid w:val="00641DE4"/>
    <w:rsid w:val="006440E4"/>
    <w:rsid w:val="0066343B"/>
    <w:rsid w:val="00664777"/>
    <w:rsid w:val="0067325D"/>
    <w:rsid w:val="006748A4"/>
    <w:rsid w:val="00681A31"/>
    <w:rsid w:val="00683E73"/>
    <w:rsid w:val="006A27D1"/>
    <w:rsid w:val="006A3141"/>
    <w:rsid w:val="006A5E34"/>
    <w:rsid w:val="006B2422"/>
    <w:rsid w:val="006B2B9A"/>
    <w:rsid w:val="006C1937"/>
    <w:rsid w:val="006C24D3"/>
    <w:rsid w:val="006C68D7"/>
    <w:rsid w:val="006D419C"/>
    <w:rsid w:val="006E4459"/>
    <w:rsid w:val="006F020C"/>
    <w:rsid w:val="006F0997"/>
    <w:rsid w:val="006F143D"/>
    <w:rsid w:val="006F3899"/>
    <w:rsid w:val="0071135C"/>
    <w:rsid w:val="007127B7"/>
    <w:rsid w:val="007168D6"/>
    <w:rsid w:val="0071798E"/>
    <w:rsid w:val="007233A8"/>
    <w:rsid w:val="00724BAB"/>
    <w:rsid w:val="00726236"/>
    <w:rsid w:val="007416B6"/>
    <w:rsid w:val="0074576C"/>
    <w:rsid w:val="00746F48"/>
    <w:rsid w:val="0075404D"/>
    <w:rsid w:val="00754577"/>
    <w:rsid w:val="00757E8A"/>
    <w:rsid w:val="0076182A"/>
    <w:rsid w:val="00767B7E"/>
    <w:rsid w:val="007770C3"/>
    <w:rsid w:val="00784D24"/>
    <w:rsid w:val="00785FBA"/>
    <w:rsid w:val="00786E4A"/>
    <w:rsid w:val="007875EB"/>
    <w:rsid w:val="007933EF"/>
    <w:rsid w:val="007935F6"/>
    <w:rsid w:val="0079426B"/>
    <w:rsid w:val="00794EC2"/>
    <w:rsid w:val="007A518A"/>
    <w:rsid w:val="007B1BC4"/>
    <w:rsid w:val="007B5A98"/>
    <w:rsid w:val="007C48A9"/>
    <w:rsid w:val="007D1682"/>
    <w:rsid w:val="007D312A"/>
    <w:rsid w:val="007D3F19"/>
    <w:rsid w:val="007E23B0"/>
    <w:rsid w:val="007E23E5"/>
    <w:rsid w:val="007F1991"/>
    <w:rsid w:val="007F2C2F"/>
    <w:rsid w:val="007F55FC"/>
    <w:rsid w:val="007F5665"/>
    <w:rsid w:val="00800112"/>
    <w:rsid w:val="00813348"/>
    <w:rsid w:val="00823E8E"/>
    <w:rsid w:val="008253BB"/>
    <w:rsid w:val="00831042"/>
    <w:rsid w:val="0083706E"/>
    <w:rsid w:val="008408F6"/>
    <w:rsid w:val="00840BCB"/>
    <w:rsid w:val="00842390"/>
    <w:rsid w:val="008423A5"/>
    <w:rsid w:val="00850625"/>
    <w:rsid w:val="00853718"/>
    <w:rsid w:val="00855221"/>
    <w:rsid w:val="008553DB"/>
    <w:rsid w:val="00856201"/>
    <w:rsid w:val="008568FA"/>
    <w:rsid w:val="00860645"/>
    <w:rsid w:val="00871F71"/>
    <w:rsid w:val="00872FD8"/>
    <w:rsid w:val="008734DE"/>
    <w:rsid w:val="00885AF4"/>
    <w:rsid w:val="008863E7"/>
    <w:rsid w:val="008939CD"/>
    <w:rsid w:val="00895741"/>
    <w:rsid w:val="00897ACC"/>
    <w:rsid w:val="008A3E6D"/>
    <w:rsid w:val="008B03CA"/>
    <w:rsid w:val="008B4BB3"/>
    <w:rsid w:val="008B768C"/>
    <w:rsid w:val="008C14A3"/>
    <w:rsid w:val="008C4DB1"/>
    <w:rsid w:val="008C4EAF"/>
    <w:rsid w:val="008C5176"/>
    <w:rsid w:val="008C7FD0"/>
    <w:rsid w:val="008E1DE7"/>
    <w:rsid w:val="008E576C"/>
    <w:rsid w:val="008E707C"/>
    <w:rsid w:val="00900B08"/>
    <w:rsid w:val="00902155"/>
    <w:rsid w:val="00902FA3"/>
    <w:rsid w:val="00910409"/>
    <w:rsid w:val="00923564"/>
    <w:rsid w:val="0092392E"/>
    <w:rsid w:val="009315F9"/>
    <w:rsid w:val="00933499"/>
    <w:rsid w:val="00934F1A"/>
    <w:rsid w:val="00935C98"/>
    <w:rsid w:val="009425FF"/>
    <w:rsid w:val="00945963"/>
    <w:rsid w:val="00946945"/>
    <w:rsid w:val="00951248"/>
    <w:rsid w:val="0095152F"/>
    <w:rsid w:val="00954C49"/>
    <w:rsid w:val="00955E37"/>
    <w:rsid w:val="009575B9"/>
    <w:rsid w:val="009614FF"/>
    <w:rsid w:val="0096294D"/>
    <w:rsid w:val="0097099F"/>
    <w:rsid w:val="00971997"/>
    <w:rsid w:val="00971FFC"/>
    <w:rsid w:val="00977225"/>
    <w:rsid w:val="009800D0"/>
    <w:rsid w:val="0098660A"/>
    <w:rsid w:val="009931C3"/>
    <w:rsid w:val="009B1161"/>
    <w:rsid w:val="009B2C43"/>
    <w:rsid w:val="009B4EAE"/>
    <w:rsid w:val="009B7573"/>
    <w:rsid w:val="009B7B4C"/>
    <w:rsid w:val="009C22F4"/>
    <w:rsid w:val="009C2A4B"/>
    <w:rsid w:val="009C2E98"/>
    <w:rsid w:val="009D3447"/>
    <w:rsid w:val="009D4711"/>
    <w:rsid w:val="009D4E6B"/>
    <w:rsid w:val="009F1185"/>
    <w:rsid w:val="009F1811"/>
    <w:rsid w:val="009F18CD"/>
    <w:rsid w:val="009F2A13"/>
    <w:rsid w:val="009F417C"/>
    <w:rsid w:val="009F627E"/>
    <w:rsid w:val="009F678D"/>
    <w:rsid w:val="009F7527"/>
    <w:rsid w:val="00A04EB0"/>
    <w:rsid w:val="00A13CC1"/>
    <w:rsid w:val="00A16847"/>
    <w:rsid w:val="00A237D8"/>
    <w:rsid w:val="00A268C4"/>
    <w:rsid w:val="00A307CD"/>
    <w:rsid w:val="00A32DA3"/>
    <w:rsid w:val="00A331C8"/>
    <w:rsid w:val="00A4071E"/>
    <w:rsid w:val="00A40A00"/>
    <w:rsid w:val="00A4142F"/>
    <w:rsid w:val="00A422EB"/>
    <w:rsid w:val="00A44409"/>
    <w:rsid w:val="00A45BB7"/>
    <w:rsid w:val="00A564E8"/>
    <w:rsid w:val="00A56DF2"/>
    <w:rsid w:val="00A56E6E"/>
    <w:rsid w:val="00A63D93"/>
    <w:rsid w:val="00A67AB5"/>
    <w:rsid w:val="00A733B2"/>
    <w:rsid w:val="00A741C2"/>
    <w:rsid w:val="00A7427E"/>
    <w:rsid w:val="00A7547A"/>
    <w:rsid w:val="00A76ABF"/>
    <w:rsid w:val="00A90AEC"/>
    <w:rsid w:val="00A91760"/>
    <w:rsid w:val="00A93B00"/>
    <w:rsid w:val="00A93C21"/>
    <w:rsid w:val="00A9534C"/>
    <w:rsid w:val="00AA3E75"/>
    <w:rsid w:val="00AB5525"/>
    <w:rsid w:val="00AB64C9"/>
    <w:rsid w:val="00AC3C6A"/>
    <w:rsid w:val="00AD00BF"/>
    <w:rsid w:val="00AD5620"/>
    <w:rsid w:val="00AD656B"/>
    <w:rsid w:val="00AD7707"/>
    <w:rsid w:val="00AD7C1B"/>
    <w:rsid w:val="00AE16BA"/>
    <w:rsid w:val="00AE1EBE"/>
    <w:rsid w:val="00B037E7"/>
    <w:rsid w:val="00B03C9D"/>
    <w:rsid w:val="00B05B89"/>
    <w:rsid w:val="00B060AE"/>
    <w:rsid w:val="00B10517"/>
    <w:rsid w:val="00B11BAB"/>
    <w:rsid w:val="00B14E76"/>
    <w:rsid w:val="00B161B8"/>
    <w:rsid w:val="00B2048C"/>
    <w:rsid w:val="00B223A4"/>
    <w:rsid w:val="00B235BE"/>
    <w:rsid w:val="00B27C6D"/>
    <w:rsid w:val="00B310B9"/>
    <w:rsid w:val="00B35F3F"/>
    <w:rsid w:val="00B36CBB"/>
    <w:rsid w:val="00B425E0"/>
    <w:rsid w:val="00B431D9"/>
    <w:rsid w:val="00B43924"/>
    <w:rsid w:val="00B440AA"/>
    <w:rsid w:val="00B44B70"/>
    <w:rsid w:val="00B46378"/>
    <w:rsid w:val="00B52720"/>
    <w:rsid w:val="00B53C56"/>
    <w:rsid w:val="00B54160"/>
    <w:rsid w:val="00B57DAF"/>
    <w:rsid w:val="00B70056"/>
    <w:rsid w:val="00B754A0"/>
    <w:rsid w:val="00B77EA6"/>
    <w:rsid w:val="00B81598"/>
    <w:rsid w:val="00B826D2"/>
    <w:rsid w:val="00B841F1"/>
    <w:rsid w:val="00B873A9"/>
    <w:rsid w:val="00B93CE4"/>
    <w:rsid w:val="00B944D6"/>
    <w:rsid w:val="00BA14FE"/>
    <w:rsid w:val="00BA50CD"/>
    <w:rsid w:val="00BB160E"/>
    <w:rsid w:val="00BB4DF0"/>
    <w:rsid w:val="00BB5E68"/>
    <w:rsid w:val="00BB6E0E"/>
    <w:rsid w:val="00BC289F"/>
    <w:rsid w:val="00BC2A0E"/>
    <w:rsid w:val="00BC2D50"/>
    <w:rsid w:val="00BC5361"/>
    <w:rsid w:val="00BC5460"/>
    <w:rsid w:val="00BC6B50"/>
    <w:rsid w:val="00BD0E25"/>
    <w:rsid w:val="00BF5BD6"/>
    <w:rsid w:val="00C03E31"/>
    <w:rsid w:val="00C117D8"/>
    <w:rsid w:val="00C1671B"/>
    <w:rsid w:val="00C21740"/>
    <w:rsid w:val="00C241A4"/>
    <w:rsid w:val="00C247B4"/>
    <w:rsid w:val="00C3151B"/>
    <w:rsid w:val="00C32E7A"/>
    <w:rsid w:val="00C33E72"/>
    <w:rsid w:val="00C354B2"/>
    <w:rsid w:val="00C35554"/>
    <w:rsid w:val="00C423EE"/>
    <w:rsid w:val="00C42709"/>
    <w:rsid w:val="00C454AB"/>
    <w:rsid w:val="00C533CC"/>
    <w:rsid w:val="00C56F3A"/>
    <w:rsid w:val="00C5751C"/>
    <w:rsid w:val="00C61BFC"/>
    <w:rsid w:val="00C62B85"/>
    <w:rsid w:val="00C64000"/>
    <w:rsid w:val="00C65438"/>
    <w:rsid w:val="00C66C07"/>
    <w:rsid w:val="00C75931"/>
    <w:rsid w:val="00C87FD8"/>
    <w:rsid w:val="00C91381"/>
    <w:rsid w:val="00C91CBB"/>
    <w:rsid w:val="00CB0A4E"/>
    <w:rsid w:val="00CB1223"/>
    <w:rsid w:val="00CB4E70"/>
    <w:rsid w:val="00CC09B6"/>
    <w:rsid w:val="00CC1A3C"/>
    <w:rsid w:val="00CC666F"/>
    <w:rsid w:val="00CD1E3F"/>
    <w:rsid w:val="00CD2022"/>
    <w:rsid w:val="00CD4732"/>
    <w:rsid w:val="00CD4F7F"/>
    <w:rsid w:val="00CE44F6"/>
    <w:rsid w:val="00CE49DA"/>
    <w:rsid w:val="00CE7B61"/>
    <w:rsid w:val="00D00095"/>
    <w:rsid w:val="00D029EE"/>
    <w:rsid w:val="00D068A7"/>
    <w:rsid w:val="00D06D3F"/>
    <w:rsid w:val="00D114F0"/>
    <w:rsid w:val="00D20620"/>
    <w:rsid w:val="00D254F7"/>
    <w:rsid w:val="00D26091"/>
    <w:rsid w:val="00D2685C"/>
    <w:rsid w:val="00D34E7C"/>
    <w:rsid w:val="00D35419"/>
    <w:rsid w:val="00D35489"/>
    <w:rsid w:val="00D367B5"/>
    <w:rsid w:val="00D36AFE"/>
    <w:rsid w:val="00D37890"/>
    <w:rsid w:val="00D51276"/>
    <w:rsid w:val="00D56526"/>
    <w:rsid w:val="00D65023"/>
    <w:rsid w:val="00D7035F"/>
    <w:rsid w:val="00D705B8"/>
    <w:rsid w:val="00D76C0C"/>
    <w:rsid w:val="00D8093E"/>
    <w:rsid w:val="00D877A2"/>
    <w:rsid w:val="00D9229B"/>
    <w:rsid w:val="00D94E10"/>
    <w:rsid w:val="00DA4810"/>
    <w:rsid w:val="00DA634F"/>
    <w:rsid w:val="00DA65AC"/>
    <w:rsid w:val="00DB0E73"/>
    <w:rsid w:val="00DB1913"/>
    <w:rsid w:val="00DB3B08"/>
    <w:rsid w:val="00DC410D"/>
    <w:rsid w:val="00DC5A81"/>
    <w:rsid w:val="00DC68CA"/>
    <w:rsid w:val="00DC7CBA"/>
    <w:rsid w:val="00DD207E"/>
    <w:rsid w:val="00DD3292"/>
    <w:rsid w:val="00DD73B7"/>
    <w:rsid w:val="00DE1F8A"/>
    <w:rsid w:val="00DE774C"/>
    <w:rsid w:val="00DF28BC"/>
    <w:rsid w:val="00DF34B9"/>
    <w:rsid w:val="00E01053"/>
    <w:rsid w:val="00E07ACF"/>
    <w:rsid w:val="00E25A86"/>
    <w:rsid w:val="00E331A1"/>
    <w:rsid w:val="00E33202"/>
    <w:rsid w:val="00E336A9"/>
    <w:rsid w:val="00E34108"/>
    <w:rsid w:val="00E472B1"/>
    <w:rsid w:val="00E50624"/>
    <w:rsid w:val="00E54E86"/>
    <w:rsid w:val="00E568DF"/>
    <w:rsid w:val="00E57DF5"/>
    <w:rsid w:val="00E6149F"/>
    <w:rsid w:val="00E62738"/>
    <w:rsid w:val="00E64269"/>
    <w:rsid w:val="00E7054E"/>
    <w:rsid w:val="00E82267"/>
    <w:rsid w:val="00E853CE"/>
    <w:rsid w:val="00E867B6"/>
    <w:rsid w:val="00EA010F"/>
    <w:rsid w:val="00EA7522"/>
    <w:rsid w:val="00EC0D69"/>
    <w:rsid w:val="00EC5567"/>
    <w:rsid w:val="00ED1B16"/>
    <w:rsid w:val="00ED1B63"/>
    <w:rsid w:val="00ED3C1F"/>
    <w:rsid w:val="00ED4085"/>
    <w:rsid w:val="00ED420E"/>
    <w:rsid w:val="00ED6FBE"/>
    <w:rsid w:val="00EE0BF6"/>
    <w:rsid w:val="00EE2F57"/>
    <w:rsid w:val="00EE5DAC"/>
    <w:rsid w:val="00EF0288"/>
    <w:rsid w:val="00EF07FE"/>
    <w:rsid w:val="00EF2A06"/>
    <w:rsid w:val="00EF4C34"/>
    <w:rsid w:val="00EF5C7E"/>
    <w:rsid w:val="00EF77C6"/>
    <w:rsid w:val="00F05438"/>
    <w:rsid w:val="00F1361C"/>
    <w:rsid w:val="00F156F0"/>
    <w:rsid w:val="00F160C7"/>
    <w:rsid w:val="00F16D1B"/>
    <w:rsid w:val="00F17EC4"/>
    <w:rsid w:val="00F22752"/>
    <w:rsid w:val="00F2408F"/>
    <w:rsid w:val="00F240E9"/>
    <w:rsid w:val="00F26325"/>
    <w:rsid w:val="00F33DFE"/>
    <w:rsid w:val="00F364C9"/>
    <w:rsid w:val="00F36D8F"/>
    <w:rsid w:val="00F37074"/>
    <w:rsid w:val="00F417B1"/>
    <w:rsid w:val="00F45853"/>
    <w:rsid w:val="00F602DF"/>
    <w:rsid w:val="00F66588"/>
    <w:rsid w:val="00F7217F"/>
    <w:rsid w:val="00F754A1"/>
    <w:rsid w:val="00F77581"/>
    <w:rsid w:val="00F814DC"/>
    <w:rsid w:val="00F81FD9"/>
    <w:rsid w:val="00F841AA"/>
    <w:rsid w:val="00F84A94"/>
    <w:rsid w:val="00F87E96"/>
    <w:rsid w:val="00FA0CD1"/>
    <w:rsid w:val="00FA23E8"/>
    <w:rsid w:val="00FA4B6B"/>
    <w:rsid w:val="00FB653E"/>
    <w:rsid w:val="00FB66E1"/>
    <w:rsid w:val="00FC2323"/>
    <w:rsid w:val="00FD3CC1"/>
    <w:rsid w:val="00FE6B13"/>
    <w:rsid w:val="00FF03C2"/>
    <w:rsid w:val="00FF1E02"/>
    <w:rsid w:val="00FF2624"/>
    <w:rsid w:val="00FF30B4"/>
    <w:rsid w:val="00FF6F0B"/>
    <w:rsid w:val="053A62B5"/>
    <w:rsid w:val="0A2032A3"/>
    <w:rsid w:val="0B8A37D8"/>
    <w:rsid w:val="10C055FF"/>
    <w:rsid w:val="118107EC"/>
    <w:rsid w:val="11DD6519"/>
    <w:rsid w:val="16BB723D"/>
    <w:rsid w:val="18015F3F"/>
    <w:rsid w:val="1BE8440E"/>
    <w:rsid w:val="1D155CEE"/>
    <w:rsid w:val="20F57F95"/>
    <w:rsid w:val="240371BF"/>
    <w:rsid w:val="25711CC6"/>
    <w:rsid w:val="25C741E6"/>
    <w:rsid w:val="27842671"/>
    <w:rsid w:val="29FD04D3"/>
    <w:rsid w:val="2ABE7A3E"/>
    <w:rsid w:val="2CA234A8"/>
    <w:rsid w:val="2EFA178C"/>
    <w:rsid w:val="30B46D73"/>
    <w:rsid w:val="319F7F4E"/>
    <w:rsid w:val="383D272C"/>
    <w:rsid w:val="39AE70AB"/>
    <w:rsid w:val="3C0C0783"/>
    <w:rsid w:val="3F9F3A96"/>
    <w:rsid w:val="48BF60AB"/>
    <w:rsid w:val="493C27E9"/>
    <w:rsid w:val="496F39ED"/>
    <w:rsid w:val="49FF41D3"/>
    <w:rsid w:val="4BE068DB"/>
    <w:rsid w:val="4BF6002B"/>
    <w:rsid w:val="4ECE2238"/>
    <w:rsid w:val="51DB4B86"/>
    <w:rsid w:val="55333C3E"/>
    <w:rsid w:val="63DF8EB6"/>
    <w:rsid w:val="64CA39A1"/>
    <w:rsid w:val="69630ADE"/>
    <w:rsid w:val="6C4A05C8"/>
    <w:rsid w:val="6D3B1A89"/>
    <w:rsid w:val="71BF4EC2"/>
    <w:rsid w:val="72734D90"/>
    <w:rsid w:val="7412278C"/>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link w:val="36"/>
    <w:semiHidden/>
    <w:unhideWhenUsed/>
    <w:qFormat/>
    <w:uiPriority w:val="99"/>
    <w:pPr>
      <w:spacing w:after="120"/>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link w:val="34"/>
    <w:qFormat/>
    <w:uiPriority w:val="99"/>
    <w:rPr>
      <w:rFonts w:ascii="宋体" w:hAnsi="Courier New" w:eastAsia="仿宋_GB2312" w:cs="Courier New"/>
      <w:b/>
      <w:sz w:val="32"/>
      <w:szCs w:val="21"/>
    </w:r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6"/>
    <w:link w:val="37"/>
    <w:semiHidden/>
    <w:unhideWhenUsed/>
    <w:qFormat/>
    <w:uiPriority w:val="99"/>
    <w:pPr>
      <w:ind w:firstLine="420" w:firstLineChars="200"/>
    </w:p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字符"/>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7"/>
    <w:link w:val="3"/>
    <w:qFormat/>
    <w:uiPriority w:val="9"/>
    <w:rPr>
      <w:rFonts w:ascii="Times New Roman" w:hAnsi="Times New Roman"/>
      <w:b/>
      <w:bCs/>
      <w:kern w:val="44"/>
      <w:sz w:val="44"/>
      <w:szCs w:val="44"/>
    </w:rPr>
  </w:style>
  <w:style w:type="character" w:customStyle="1" w:styleId="29">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7"/>
    <w:link w:val="9"/>
    <w:semiHidden/>
    <w:qFormat/>
    <w:uiPriority w:val="99"/>
    <w:rPr>
      <w:rFonts w:ascii="Times New Roman" w:hAnsi="Times New Roman"/>
      <w:kern w:val="2"/>
      <w:sz w:val="18"/>
      <w:szCs w:val="18"/>
    </w:rPr>
  </w:style>
  <w:style w:type="character" w:customStyle="1" w:styleId="32">
    <w:name w:val="标题 3 字符"/>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纯文本 字符"/>
    <w:basedOn w:val="17"/>
    <w:link w:val="8"/>
    <w:qFormat/>
    <w:uiPriority w:val="99"/>
    <w:rPr>
      <w:rFonts w:ascii="宋体" w:hAnsi="Courier New" w:eastAsia="仿宋_GB2312" w:cs="Courier New"/>
      <w:b/>
      <w:kern w:val="2"/>
      <w:sz w:val="32"/>
      <w:szCs w:val="21"/>
    </w:rPr>
  </w:style>
  <w:style w:type="paragraph" w:customStyle="1" w:styleId="35">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36">
    <w:name w:val="正文文本缩进 字符"/>
    <w:basedOn w:val="17"/>
    <w:link w:val="6"/>
    <w:semiHidden/>
    <w:qFormat/>
    <w:uiPriority w:val="99"/>
    <w:rPr>
      <w:rFonts w:ascii="Times New Roman" w:hAnsi="Times New Roman" w:eastAsia="宋体" w:cs="Times New Roman"/>
      <w:kern w:val="2"/>
      <w:sz w:val="21"/>
      <w:szCs w:val="24"/>
    </w:rPr>
  </w:style>
  <w:style w:type="character" w:customStyle="1" w:styleId="37">
    <w:name w:val="正文首行缩进 2 字符"/>
    <w:basedOn w:val="36"/>
    <w:link w:val="14"/>
    <w:semiHidden/>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J:\&#36213;&#26976;202309\&#12304;&#39044;&#20915;&#31639;&#12305;\2022&#24180;&#24230;&#20915;&#31639;&#21450;&#20915;&#31639;&#20844;&#24320;\2022&#24180;&#24230;&#20915;&#31639;&#20844;&#24320;\&#20844;&#24320;&#21450;&#25209;&#22797;&#26448;&#26009;&#65288;&#20379;&#21442;&#32771;&#65289;&#12304;&#36130;&#25919;&#25552;&#20379;&#12305;\&#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J:\&#36213;&#26976;202309\&#12304;&#39044;&#20915;&#31639;&#12305;\2022&#24180;&#24230;&#20915;&#31639;&#21450;&#20915;&#31639;&#20844;&#24320;\2022&#24180;&#24230;&#20915;&#31639;&#20844;&#24320;\&#20844;&#24320;&#21450;&#25209;&#22797;&#26448;&#26009;&#65288;&#20379;&#21442;&#32771;&#65289;&#12304;&#36130;&#25919;&#25552;&#20379;&#12305;\&#30465;&#26412;&#32423;\&#20844;&#24320;&#26448;&#26009;\&#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J:\&#36213;&#26976;202309\&#12304;&#39044;&#20915;&#31639;&#12305;\2022&#24180;&#24230;&#20915;&#31639;&#21450;&#20915;&#31639;&#20844;&#24320;\2022&#24180;&#24230;&#20915;&#31639;&#20844;&#24320;\&#20844;&#24320;&#21450;&#25209;&#22797;&#26448;&#26009;&#65288;&#20379;&#21442;&#32771;&#65289;&#12304;&#36130;&#25919;&#25552;&#20379;&#12305;\&#30465;&#26412;&#32423;\&#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J:\&#36213;&#26976;202309\&#12304;&#39044;&#20915;&#31639;&#12305;\2022&#24180;&#24230;&#20915;&#31639;&#21450;&#20915;&#31639;&#20844;&#24320;\2022&#24180;&#24230;&#20915;&#31639;&#20844;&#24320;\&#20844;&#24320;&#21450;&#25209;&#22797;&#26448;&#26009;&#65288;&#20379;&#21442;&#32771;&#65289;&#12304;&#36130;&#25919;&#25552;&#20379;&#12305;\&#30465;&#26412;&#32423;\&#20844;&#24320;&#26448;&#26009;\&#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J:\&#36213;&#26976;202309\&#12304;&#39044;&#20915;&#31639;&#12305;\2022&#24180;&#24230;&#20915;&#31639;&#21450;&#20915;&#31639;&#20844;&#24320;\2022&#24180;&#24230;&#20915;&#31639;&#20844;&#24320;\&#20844;&#24320;&#21450;&#25209;&#22797;&#26448;&#26009;&#65288;&#20379;&#21442;&#32771;&#65289;&#12304;&#36130;&#25919;&#25552;&#20379;&#12305;\&#30465;&#26412;&#32423;\&#20844;&#24320;&#26448;&#26009;\&#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J:\&#36213;&#26976;202309\&#12304;&#39044;&#20915;&#31639;&#12305;\2022&#24180;&#24230;&#20915;&#31639;&#21450;&#20915;&#31639;&#20844;&#24320;\2022&#24180;&#24230;&#20915;&#31639;&#20844;&#24320;\&#20844;&#24320;&#21450;&#25209;&#22797;&#26448;&#26009;&#65288;&#20379;&#21442;&#32771;&#65289;&#12304;&#36130;&#25919;&#25552;&#20379;&#12305;\&#30465;&#26412;&#32423;\&#20844;&#24320;&#26448;&#26009;\&#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J:\&#36213;&#26976;202309\&#12304;&#39044;&#20915;&#31639;&#12305;\2022&#24180;&#24230;&#20915;&#31639;&#21450;&#20915;&#31639;&#20844;&#24320;\2022&#24180;&#24230;&#20915;&#31639;&#20844;&#24320;\&#20844;&#24320;&#21450;&#25209;&#22797;&#26448;&#26009;&#65288;&#20379;&#21442;&#32771;&#65289;&#12304;&#36130;&#25919;&#25552;&#20379;&#12305;\&#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spPr>
            <a:solidFill>
              <a:schemeClr val="accent1"/>
            </a:solidFill>
          </c:spPr>
          <c:invertIfNegative val="false"/>
          <c:dPt>
            <c:idx val="1"/>
            <c:invertIfNegative val="false"/>
            <c:bubble3D val="false"/>
            <c:spPr>
              <a:solidFill>
                <a:srgbClr val="FFC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图一!$A$1:$B$1</c:f>
              <c:strCache>
                <c:ptCount val="2"/>
                <c:pt idx="0">
                  <c:v>2021年</c:v>
                </c:pt>
                <c:pt idx="1">
                  <c:v>2022年</c:v>
                </c:pt>
              </c:strCache>
            </c:strRef>
          </c:cat>
          <c:val>
            <c:numRef>
              <c:f>图一!$A$2:$B$2</c:f>
              <c:numCache>
                <c:formatCode>General</c:formatCode>
                <c:ptCount val="2"/>
                <c:pt idx="0">
                  <c:v>0</c:v>
                </c:pt>
                <c:pt idx="1">
                  <c:v>25.21</c:v>
                </c:pt>
              </c:numCache>
            </c:numRef>
          </c:val>
        </c:ser>
        <c:dLbls>
          <c:showLegendKey val="false"/>
          <c:showVal val="true"/>
          <c:showCatName val="false"/>
          <c:showSerName val="false"/>
          <c:showPercent val="false"/>
          <c:showBubbleSize val="false"/>
        </c:dLbls>
        <c:gapWidth val="150"/>
        <c:axId val="132649344"/>
        <c:axId val="132650880"/>
      </c:barChart>
      <c:catAx>
        <c:axId val="132649344"/>
        <c:scaling>
          <c:orientation val="minMax"/>
        </c:scaling>
        <c:delete val="false"/>
        <c:axPos val="b"/>
        <c:numFmt formatCode="General" sourceLinked="fals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50880"/>
        <c:crosses val="autoZero"/>
        <c:auto val="true"/>
        <c:lblAlgn val="ctr"/>
        <c:lblOffset val="100"/>
        <c:noMultiLvlLbl val="false"/>
      </c:catAx>
      <c:valAx>
        <c:axId val="132650880"/>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图</a:t>
            </a:r>
            <a:r>
              <a:rPr lang="en-US" altLang="zh-CN"/>
              <a:t>2:</a:t>
            </a:r>
            <a:r>
              <a:rPr lang="zh-CN" altLang="en-US"/>
              <a:t>收入决算结构图</a:t>
            </a:r>
            <a:endParaRPr lang="zh-CN" altLang="en-US"/>
          </a:p>
        </c:rich>
      </c:tx>
      <c:layout/>
      <c:overlay val="false"/>
      <c:spPr>
        <a:noFill/>
        <a:ln>
          <a:noFill/>
        </a:ln>
        <a:effectLst/>
      </c:spPr>
    </c:title>
    <c:autoTitleDeleted val="false"/>
    <c:plotArea>
      <c:layout>
        <c:manualLayout>
          <c:layoutTarget val="inner"/>
          <c:xMode val="edge"/>
          <c:yMode val="edge"/>
          <c:x val="0.342013888888889"/>
          <c:y val="0.176388888888889"/>
          <c:w val="0.324305555555556"/>
          <c:h val="0.540509259259259"/>
        </c:manualLayout>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Lbls>
            <c:delete val="true"/>
          </c:dLbls>
          <c:cat>
            <c:strRef>
              <c:f>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图二!$B$1:$B$6</c:f>
              <c:numCache>
                <c:formatCode>General</c:formatCode>
                <c:ptCount val="6"/>
                <c:pt idx="0">
                  <c:v>25.21</c:v>
                </c:pt>
                <c:pt idx="1">
                  <c:v>0</c:v>
                </c:pt>
                <c:pt idx="2">
                  <c:v>0</c:v>
                </c:pt>
                <c:pt idx="3">
                  <c:v>0</c:v>
                </c:pt>
                <c:pt idx="4">
                  <c:v>0</c:v>
                </c:pt>
                <c:pt idx="5">
                  <c:v>0</c:v>
                </c:pt>
              </c:numCache>
            </c:numRef>
          </c:val>
        </c:ser>
        <c:ser>
          <c:idx val="1"/>
          <c:order val="1"/>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图二!$C$1:$C$6</c:f>
              <c:numCache>
                <c:formatCode>0.00%</c:formatCode>
                <c:ptCount val="6"/>
                <c:pt idx="0">
                  <c:v>1</c:v>
                </c:pt>
                <c:pt idx="1">
                  <c:v>0</c:v>
                </c:pt>
                <c:pt idx="2">
                  <c:v>0</c:v>
                </c:pt>
                <c:pt idx="3">
                  <c:v>0</c:v>
                </c:pt>
                <c:pt idx="4">
                  <c:v>0</c:v>
                </c:pt>
                <c:pt idx="5">
                  <c:v>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69224846894138"/>
          <c:y val="0.150462962962963"/>
          <c:w val="0.566371172353456"/>
          <c:h val="0.689814814814815"/>
        </c:manualLayout>
      </c:layout>
      <c:pieChart>
        <c:varyColors val="true"/>
        <c:ser>
          <c:idx val="0"/>
          <c:order val="0"/>
          <c:explosion val="0"/>
          <c:dPt>
            <c:idx val="0"/>
            <c:bubble3D val="false"/>
          </c:dPt>
          <c:dPt>
            <c:idx val="1"/>
            <c:bubble3D val="false"/>
          </c:dPt>
          <c:dLbls>
            <c:dLbl>
              <c:idx val="0"/>
              <c:layout>
                <c:manualLayout>
                  <c:x val="0.0848707349081365"/>
                  <c:y val="-0.17157334499854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286458880139982"/>
                  <c:y val="0.14014727325750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图三!$A$2:$B$2</c:f>
              <c:strCache>
                <c:ptCount val="2"/>
                <c:pt idx="0">
                  <c:v>基本支出</c:v>
                </c:pt>
                <c:pt idx="1">
                  <c:v>项目支出</c:v>
                </c:pt>
              </c:strCache>
            </c:strRef>
          </c:cat>
          <c:val>
            <c:numRef>
              <c:f>图三!$A$3:$B$3</c:f>
              <c:numCache>
                <c:formatCode>0.00%</c:formatCode>
                <c:ptCount val="2"/>
                <c:pt idx="0">
                  <c:v>1</c:v>
                </c:pt>
                <c:pt idx="1">
                  <c:v>0</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19668853893263"/>
          <c:y val="0.0514005540974045"/>
          <c:w val="0.587929790026247"/>
          <c:h val="0.824965368912219"/>
        </c:manualLayout>
      </c:layout>
      <c:barChart>
        <c:barDir val="col"/>
        <c:grouping val="clustered"/>
        <c:varyColors val="false"/>
        <c:ser>
          <c:idx val="0"/>
          <c:order val="0"/>
          <c:invertIfNegative val="false"/>
          <c:dPt>
            <c:idx val="1"/>
            <c:invertIfNegative val="false"/>
            <c:bubble3D val="false"/>
            <c:spPr>
              <a:solidFill>
                <a:srgbClr val="C00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'图4 '!$A$1:$B$1</c:f>
              <c:strCache>
                <c:ptCount val="2"/>
                <c:pt idx="0">
                  <c:v>2021年</c:v>
                </c:pt>
                <c:pt idx="1">
                  <c:v>2022年</c:v>
                </c:pt>
              </c:strCache>
            </c:strRef>
          </c:cat>
          <c:val>
            <c:numRef>
              <c:f>'图4 '!$A$2:$B$2</c:f>
              <c:numCache>
                <c:formatCode>General</c:formatCode>
                <c:ptCount val="2"/>
                <c:pt idx="0">
                  <c:v>0</c:v>
                </c:pt>
                <c:pt idx="1">
                  <c:v>25.21</c:v>
                </c:pt>
              </c:numCache>
            </c:numRef>
          </c:val>
        </c:ser>
        <c:dLbls>
          <c:showLegendKey val="false"/>
          <c:showVal val="true"/>
          <c:showCatName val="false"/>
          <c:showSerName val="false"/>
          <c:showPercent val="false"/>
          <c:showBubbleSize val="false"/>
        </c:dLbls>
        <c:gapWidth val="150"/>
        <c:axId val="133066112"/>
        <c:axId val="133084288"/>
      </c:barChart>
      <c:catAx>
        <c:axId val="133066112"/>
        <c:scaling>
          <c:orientation val="minMax"/>
        </c:scaling>
        <c:delete val="false"/>
        <c:axPos val="b"/>
        <c:numFmt formatCode="General" sourceLinked="false"/>
        <c:majorTickMark val="out"/>
        <c:minorTickMark val="none"/>
        <c:tickLblPos val="nextTo"/>
        <c:txPr>
          <a:bodyPr rot="-60000000" spcFirstLastPara="0" vertOverflow="ellipsis" vert="horz" wrap="square" anchor="ctr" anchorCtr="true"/>
          <a:lstStyle/>
          <a:p>
            <a:pPr>
              <a:defRPr lang="zh-CN" sz="600" b="0" i="0" u="none" strike="noStrike" kern="1200" baseline="0">
                <a:solidFill>
                  <a:schemeClr val="tx1"/>
                </a:solidFill>
                <a:latin typeface="+mn-lt"/>
                <a:ea typeface="+mn-ea"/>
                <a:cs typeface="+mn-cs"/>
              </a:defRPr>
            </a:pPr>
          </a:p>
        </c:txPr>
        <c:crossAx val="133084288"/>
        <c:crosses val="autoZero"/>
        <c:auto val="true"/>
        <c:lblAlgn val="ctr"/>
        <c:lblOffset val="100"/>
        <c:noMultiLvlLbl val="false"/>
      </c:catAx>
      <c:valAx>
        <c:axId val="133084288"/>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98571741032371"/>
          <c:y val="0.168676727909011"/>
          <c:w val="0.606249125109361"/>
          <c:h val="0.679911417322835"/>
        </c:manualLayout>
      </c:layout>
      <c:barChart>
        <c:barDir val="col"/>
        <c:grouping val="clustered"/>
        <c:varyColors val="false"/>
        <c:ser>
          <c:idx val="0"/>
          <c:order val="0"/>
          <c:invertIfNegative val="false"/>
          <c:dPt>
            <c:idx val="1"/>
            <c:invertIfNegative val="false"/>
            <c:bubble3D val="false"/>
            <c:spPr>
              <a:solidFill>
                <a:srgbClr val="FF0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图5!$A$1:$B$1</c:f>
              <c:strCache>
                <c:ptCount val="2"/>
                <c:pt idx="0">
                  <c:v>2021年</c:v>
                </c:pt>
                <c:pt idx="1">
                  <c:v>2022年</c:v>
                </c:pt>
              </c:strCache>
            </c:strRef>
          </c:cat>
          <c:val>
            <c:numRef>
              <c:f>图5!$A$2:$B$2</c:f>
              <c:numCache>
                <c:formatCode>General</c:formatCode>
                <c:ptCount val="2"/>
                <c:pt idx="0">
                  <c:v>0</c:v>
                </c:pt>
                <c:pt idx="1">
                  <c:v>25.21</c:v>
                </c:pt>
              </c:numCache>
            </c:numRef>
          </c:val>
        </c:ser>
        <c:dLbls>
          <c:showLegendKey val="false"/>
          <c:showVal val="true"/>
          <c:showCatName val="false"/>
          <c:showSerName val="false"/>
          <c:showPercent val="false"/>
          <c:showBubbleSize val="false"/>
        </c:dLbls>
        <c:gapWidth val="150"/>
        <c:axId val="133142016"/>
        <c:axId val="133143552"/>
      </c:barChart>
      <c:catAx>
        <c:axId val="133142016"/>
        <c:scaling>
          <c:orientation val="minMax"/>
        </c:scaling>
        <c:delete val="false"/>
        <c:axPos val="b"/>
        <c:numFmt formatCode="General" sourceLinked="false"/>
        <c:majorTickMark val="out"/>
        <c:minorTickMark val="none"/>
        <c:tickLblPos val="nextTo"/>
        <c:txPr>
          <a:bodyPr rot="-60000000" spcFirstLastPara="0" vertOverflow="ellipsis" vert="horz" wrap="square" anchor="ctr" anchorCtr="true"/>
          <a:lstStyle/>
          <a:p>
            <a:pPr>
              <a:defRPr lang="zh-CN" sz="600" b="0" i="0" u="none" strike="noStrike" kern="1200" baseline="0">
                <a:solidFill>
                  <a:schemeClr val="tx1"/>
                </a:solidFill>
                <a:latin typeface="+mn-lt"/>
                <a:ea typeface="+mn-ea"/>
                <a:cs typeface="+mn-cs"/>
              </a:defRPr>
            </a:pPr>
          </a:p>
        </c:txPr>
        <c:crossAx val="133143552"/>
        <c:crosses val="autoZero"/>
        <c:auto val="true"/>
        <c:lblAlgn val="ctr"/>
        <c:lblOffset val="100"/>
        <c:noMultiLvlLbl val="false"/>
      </c:catAx>
      <c:valAx>
        <c:axId val="133143552"/>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spPr>
              <a:solidFill>
                <a:schemeClr val="tx2">
                  <a:lumMod val="40000"/>
                  <a:lumOff val="60000"/>
                </a:schemeClr>
              </a:solidFill>
            </c:spPr>
          </c:dPt>
          <c:dPt>
            <c:idx val="1"/>
            <c:bubble3D val="false"/>
          </c:dPt>
          <c:dPt>
            <c:idx val="2"/>
            <c:bubble3D val="false"/>
          </c:dPt>
          <c:dPt>
            <c:idx val="3"/>
            <c:bubble3D val="false"/>
          </c:dPt>
          <c:dLbls>
            <c:dLbl>
              <c:idx val="0"/>
              <c:layout>
                <c:manualLayout>
                  <c:x val="0.0483216316710411"/>
                  <c:y val="0.097738043161271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546208442694663"/>
                  <c:y val="-0.035963108778069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100951443569554"/>
                  <c:y val="-0.13227836103820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166543197725284"/>
                  <c:y val="-0.10867344706911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图6!$A$2:$A$5</c:f>
              <c:strCache>
                <c:ptCount val="4"/>
                <c:pt idx="0">
                  <c:v>自然资源海洋气象等支出</c:v>
                </c:pt>
                <c:pt idx="1">
                  <c:v>社会保障和就业（类）支出</c:v>
                </c:pt>
                <c:pt idx="2">
                  <c:v>卫生健康(类)支出</c:v>
                </c:pt>
                <c:pt idx="3">
                  <c:v>住房保障（类）支出</c:v>
                </c:pt>
              </c:strCache>
            </c:strRef>
          </c:cat>
          <c:val>
            <c:numRef>
              <c:f>图6!$B$2:$B$5</c:f>
              <c:numCache>
                <c:formatCode>General</c:formatCode>
                <c:ptCount val="4"/>
                <c:pt idx="0">
                  <c:v>20.98</c:v>
                </c:pt>
                <c:pt idx="1">
                  <c:v>1.88</c:v>
                </c:pt>
                <c:pt idx="2">
                  <c:v>0.94</c:v>
                </c:pt>
                <c:pt idx="3">
                  <c:v>1.41</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dPt>
          <c:dPt>
            <c:idx val="1"/>
            <c:bubble3D val="false"/>
          </c:dPt>
          <c:dPt>
            <c:idx val="2"/>
            <c:bubble3D val="false"/>
          </c:dPt>
          <c:dLbls>
            <c:dLbl>
              <c:idx val="0"/>
              <c:layout>
                <c:manualLayout>
                  <c:x val="-0.0677309711286089"/>
                  <c:y val="-0.062589676290463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112130139982502"/>
                  <c:y val="-0.049858194808982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179491251093613"/>
                  <c:y val="0.054969743365412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图7!$A$2:$A$4</c:f>
              <c:strCache>
                <c:ptCount val="3"/>
                <c:pt idx="0">
                  <c:v>因公出国（境）费支出</c:v>
                </c:pt>
                <c:pt idx="1">
                  <c:v>公务用车购置及运行维护费支出</c:v>
                </c:pt>
                <c:pt idx="2">
                  <c:v>公务接待费支出</c:v>
                </c:pt>
              </c:strCache>
            </c:strRef>
          </c:cat>
          <c:val>
            <c:numRef>
              <c:f>图7!$B$2:$B$4</c:f>
              <c:numCache>
                <c:formatCode>General</c:formatCode>
                <c:ptCount val="3"/>
                <c:pt idx="0">
                  <c:v>0</c:v>
                </c:pt>
                <c:pt idx="1">
                  <c:v>0</c:v>
                </c:pt>
                <c:pt idx="2">
                  <c:v>0.2</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664920094314907"/>
          <c:y val="0.341517389739563"/>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1401</Words>
  <Characters>7990</Characters>
  <Lines>66</Lines>
  <Paragraphs>18</Paragraphs>
  <TotalTime>334</TotalTime>
  <ScaleCrop>false</ScaleCrop>
  <LinksUpToDate>false</LinksUpToDate>
  <CharactersWithSpaces>9373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2023-07-31T10:35:00Z</cp:lastPrinted>
  <dcterms:modified xsi:type="dcterms:W3CDTF">2023-11-22T16:07:19Z</dcterms:modified>
  <dc:title>四川省***</dc:title>
  <cp:revision>307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