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597"/>
      <w:bookmarkStart w:id="2" w:name="_Toc15377193"/>
      <w:bookmarkStart w:id="3" w:name="_Toc1539647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77194"/>
      <w:bookmarkStart w:id="8" w:name="_Toc15377426"/>
      <w:bookmarkStart w:id="9" w:name="_Toc15396476"/>
      <w:bookmarkStart w:id="10" w:name="_Toc15378442"/>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eastAsia="zh-CN"/>
        </w:rPr>
        <w:t>综合行政执法局</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部</w:t>
      </w:r>
      <w:r>
        <w:rPr>
          <w:rFonts w:hint="eastAsia" w:ascii="方正小标宋简体" w:hAnsi="方正小标宋简体" w:eastAsia="方正小标宋简体" w:cs="方正小标宋简体"/>
          <w:sz w:val="72"/>
          <w:szCs w:val="72"/>
        </w:rPr>
        <w:t>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 xml:space="preserve"> 10</w:t>
      </w:r>
      <w:r>
        <w:rPr>
          <w:rFonts w:hint="eastAsia"/>
        </w:rPr>
        <w:t>月</w:t>
      </w:r>
      <w:r>
        <w:rPr>
          <w:rFonts w:hint="eastAsia"/>
          <w:lang w:val="en-US" w:eastAsia="zh-CN"/>
        </w:rPr>
        <w:t xml:space="preserve"> 17</w:t>
      </w:r>
      <w:r>
        <w:rPr>
          <w:rFonts w:hint="eastAsia"/>
        </w:rPr>
        <w:t>日</w:t>
      </w:r>
    </w:p>
    <w:p/>
    <w:p>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5"/>
        <w:adjustRightInd w:val="0"/>
        <w:snapToGrid w:val="0"/>
        <w:spacing w:line="440" w:lineRule="exact"/>
        <w:jc w:val="left"/>
        <w:rPr>
          <w:rFonts w:hint="eastAsia"/>
          <w:sz w:val="24"/>
        </w:rPr>
      </w:pPr>
      <w:r>
        <w:rPr>
          <w:rFonts w:hint="eastAsia"/>
          <w:sz w:val="24"/>
        </w:rPr>
        <w:t>一、部门职责及重点工作</w:t>
      </w:r>
    </w:p>
    <w:p>
      <w:pPr>
        <w:pStyle w:val="15"/>
        <w:adjustRightInd w:val="0"/>
        <w:snapToGrid w:val="0"/>
        <w:spacing w:line="440" w:lineRule="exact"/>
        <w:jc w:val="left"/>
        <w:rPr>
          <w:rFonts w:hint="eastAsia"/>
          <w:sz w:val="24"/>
        </w:rPr>
      </w:pPr>
      <w:r>
        <w:rPr>
          <w:rFonts w:hint="eastAsia"/>
          <w:sz w:val="24"/>
          <w:lang w:eastAsia="zh-CN"/>
        </w:rPr>
        <w:t>（一）</w:t>
      </w:r>
      <w:r>
        <w:rPr>
          <w:rFonts w:hint="eastAsia"/>
          <w:sz w:val="24"/>
        </w:rPr>
        <w:t>部门职责</w:t>
      </w:r>
    </w:p>
    <w:p>
      <w:pPr>
        <w:pStyle w:val="15"/>
        <w:adjustRightInd w:val="0"/>
        <w:snapToGrid w:val="0"/>
        <w:spacing w:line="440" w:lineRule="exact"/>
        <w:jc w:val="left"/>
        <w:rPr>
          <w:rFonts w:hint="eastAsia"/>
          <w:sz w:val="24"/>
        </w:rPr>
      </w:pPr>
      <w:r>
        <w:rPr>
          <w:rFonts w:hint="eastAsia"/>
          <w:sz w:val="24"/>
        </w:rPr>
        <w:t>（二）2022年重点工作完成情况</w:t>
      </w:r>
    </w:p>
    <w:p>
      <w:pPr>
        <w:pStyle w:val="15"/>
        <w:adjustRightInd w:val="0"/>
        <w:snapToGrid w:val="0"/>
        <w:spacing w:line="440" w:lineRule="exact"/>
        <w:jc w:val="left"/>
        <w:rPr>
          <w:rFonts w:hint="eastAsia"/>
          <w:sz w:val="24"/>
        </w:rPr>
      </w:pPr>
      <w:r>
        <w:rPr>
          <w:rFonts w:hint="eastAsia"/>
          <w:sz w:val="24"/>
        </w:rPr>
        <w:t>二</w:t>
      </w:r>
      <w:r>
        <w:rPr>
          <w:rFonts w:hint="eastAsia"/>
          <w:sz w:val="24"/>
          <w:lang w:val="en-US" w:eastAsia="zh-CN"/>
        </w:rPr>
        <w:t>、机构设置</w:t>
      </w:r>
    </w:p>
    <w:p>
      <w:pPr>
        <w:pStyle w:val="13"/>
        <w:adjustRightInd w:val="0"/>
        <w:snapToGrid w:val="0"/>
        <w:spacing w:before="0" w:line="440" w:lineRule="exact"/>
        <w:jc w:val="left"/>
        <w:rPr>
          <w:sz w:val="24"/>
          <w:szCs w:val="24"/>
        </w:rPr>
      </w:pPr>
      <w:r>
        <w:rPr>
          <w:rFonts w:hint="eastAsia"/>
          <w:sz w:val="24"/>
        </w:rPr>
        <w:t>第二部分 2022年度部门决算情况说明</w:t>
      </w:r>
    </w:p>
    <w:p>
      <w:pPr>
        <w:pStyle w:val="15"/>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5"/>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5"/>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5"/>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5"/>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21"/>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3"/>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3"/>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3"/>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5"/>
        <w:adjustRightInd w:val="0"/>
        <w:snapToGrid w:val="0"/>
        <w:spacing w:line="440" w:lineRule="exact"/>
        <w:jc w:val="left"/>
        <w:rPr>
          <w:sz w:val="24"/>
        </w:rPr>
      </w:pPr>
      <w:r>
        <w:rPr>
          <w:rFonts w:hint="eastAsia"/>
          <w:sz w:val="24"/>
        </w:rPr>
        <w:t>一、收入支出决算总表</w:t>
      </w:r>
    </w:p>
    <w:p>
      <w:pPr>
        <w:pStyle w:val="15"/>
        <w:adjustRightInd w:val="0"/>
        <w:snapToGrid w:val="0"/>
        <w:spacing w:line="440" w:lineRule="exact"/>
        <w:jc w:val="left"/>
        <w:rPr>
          <w:sz w:val="24"/>
        </w:rPr>
      </w:pPr>
      <w:r>
        <w:rPr>
          <w:rFonts w:hint="eastAsia"/>
          <w:sz w:val="24"/>
        </w:rPr>
        <w:t>二、收入决算表</w:t>
      </w:r>
    </w:p>
    <w:p>
      <w:pPr>
        <w:pStyle w:val="15"/>
        <w:adjustRightInd w:val="0"/>
        <w:snapToGrid w:val="0"/>
        <w:spacing w:line="440" w:lineRule="exact"/>
        <w:jc w:val="left"/>
        <w:rPr>
          <w:sz w:val="24"/>
        </w:rPr>
      </w:pPr>
      <w:r>
        <w:rPr>
          <w:rFonts w:hint="eastAsia"/>
          <w:sz w:val="24"/>
        </w:rPr>
        <w:t>三、支出决算表</w:t>
      </w:r>
    </w:p>
    <w:p>
      <w:pPr>
        <w:pStyle w:val="15"/>
        <w:adjustRightInd w:val="0"/>
        <w:snapToGrid w:val="0"/>
        <w:spacing w:line="440" w:lineRule="exact"/>
        <w:jc w:val="left"/>
        <w:rPr>
          <w:sz w:val="24"/>
        </w:rPr>
      </w:pPr>
      <w:r>
        <w:rPr>
          <w:rFonts w:hint="eastAsia"/>
          <w:sz w:val="24"/>
        </w:rPr>
        <w:t>四、财政拨款收入支出决算总表</w:t>
      </w:r>
    </w:p>
    <w:p>
      <w:pPr>
        <w:pStyle w:val="15"/>
        <w:adjustRightInd w:val="0"/>
        <w:snapToGrid w:val="0"/>
        <w:spacing w:line="440" w:lineRule="exact"/>
        <w:jc w:val="left"/>
        <w:rPr>
          <w:sz w:val="24"/>
        </w:rPr>
      </w:pPr>
      <w:r>
        <w:rPr>
          <w:rFonts w:hint="eastAsia"/>
          <w:sz w:val="24"/>
        </w:rPr>
        <w:t>五、财政拨款支出决算明细表</w:t>
      </w:r>
    </w:p>
    <w:p>
      <w:pPr>
        <w:pStyle w:val="15"/>
        <w:adjustRightInd w:val="0"/>
        <w:snapToGrid w:val="0"/>
        <w:spacing w:line="440" w:lineRule="exact"/>
        <w:jc w:val="left"/>
        <w:rPr>
          <w:sz w:val="24"/>
        </w:rPr>
      </w:pPr>
      <w:r>
        <w:rPr>
          <w:rFonts w:hint="eastAsia"/>
          <w:sz w:val="24"/>
        </w:rPr>
        <w:t>六、一般公共预算财政拨款支出决算表</w:t>
      </w:r>
    </w:p>
    <w:p>
      <w:pPr>
        <w:pStyle w:val="15"/>
        <w:adjustRightInd w:val="0"/>
        <w:snapToGrid w:val="0"/>
        <w:spacing w:line="440" w:lineRule="exact"/>
        <w:jc w:val="left"/>
        <w:rPr>
          <w:sz w:val="24"/>
        </w:rPr>
      </w:pPr>
      <w:r>
        <w:rPr>
          <w:rFonts w:hint="eastAsia"/>
          <w:sz w:val="24"/>
        </w:rPr>
        <w:t>七、一般公共预算财政拨款支出决算明细表</w:t>
      </w:r>
    </w:p>
    <w:p>
      <w:pPr>
        <w:pStyle w:val="15"/>
        <w:adjustRightInd w:val="0"/>
        <w:snapToGrid w:val="0"/>
        <w:spacing w:line="440" w:lineRule="exact"/>
        <w:jc w:val="left"/>
        <w:rPr>
          <w:sz w:val="24"/>
        </w:rPr>
      </w:pPr>
      <w:r>
        <w:rPr>
          <w:rFonts w:hint="eastAsia"/>
          <w:sz w:val="24"/>
        </w:rPr>
        <w:t>八、一般公共预算财政拨款基本支出决算明细表</w:t>
      </w:r>
    </w:p>
    <w:p>
      <w:pPr>
        <w:pStyle w:val="15"/>
        <w:adjustRightInd w:val="0"/>
        <w:snapToGrid w:val="0"/>
        <w:spacing w:line="440" w:lineRule="exact"/>
        <w:jc w:val="left"/>
        <w:rPr>
          <w:sz w:val="24"/>
        </w:rPr>
      </w:pPr>
      <w:r>
        <w:rPr>
          <w:rFonts w:hint="eastAsia"/>
          <w:sz w:val="24"/>
        </w:rPr>
        <w:t>九、一般公共预算财政拨款项目支出决算表</w:t>
      </w:r>
    </w:p>
    <w:p>
      <w:pPr>
        <w:pStyle w:val="15"/>
        <w:adjustRightInd w:val="0"/>
        <w:snapToGrid w:val="0"/>
        <w:spacing w:line="440" w:lineRule="exact"/>
        <w:jc w:val="left"/>
        <w:rPr>
          <w:sz w:val="24"/>
        </w:rPr>
      </w:pPr>
      <w:r>
        <w:rPr>
          <w:rFonts w:hint="eastAsia"/>
          <w:sz w:val="24"/>
        </w:rPr>
        <w:t>十、政府性基金预算财政拨款收入支出决算表</w:t>
      </w:r>
    </w:p>
    <w:p>
      <w:pPr>
        <w:pStyle w:val="15"/>
        <w:adjustRightInd w:val="0"/>
        <w:snapToGrid w:val="0"/>
        <w:spacing w:line="440" w:lineRule="exact"/>
        <w:jc w:val="left"/>
        <w:rPr>
          <w:sz w:val="24"/>
        </w:rPr>
      </w:pPr>
      <w:r>
        <w:rPr>
          <w:rFonts w:hint="eastAsia"/>
          <w:sz w:val="24"/>
        </w:rPr>
        <w:t>十一、国有资本经营预算财政拨款收入支出决算表</w:t>
      </w:r>
    </w:p>
    <w:p>
      <w:pPr>
        <w:pStyle w:val="15"/>
        <w:adjustRightInd w:val="0"/>
        <w:snapToGrid w:val="0"/>
        <w:spacing w:line="440" w:lineRule="exact"/>
        <w:jc w:val="left"/>
        <w:rPr>
          <w:sz w:val="24"/>
        </w:rPr>
      </w:pPr>
      <w:r>
        <w:rPr>
          <w:rFonts w:hint="eastAsia"/>
          <w:sz w:val="24"/>
        </w:rPr>
        <w:t>十二、国有资本经营预算财政拨款支出决算表</w:t>
      </w:r>
    </w:p>
    <w:p>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Style w:val="31"/>
          <w:rFonts w:ascii="黑体" w:hAnsi="黑体" w:eastAsia="黑体"/>
          <w:b/>
          <w:bCs w:val="0"/>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5"/>
        <w:numPr>
          <w:ilvl w:val="0"/>
          <w:numId w:val="1"/>
        </w:numPr>
        <w:rPr>
          <w:rFonts w:hint="eastAsia" w:ascii="黑体" w:hAnsi="黑体" w:eastAsia="黑体"/>
          <w:b w:val="0"/>
        </w:rPr>
      </w:pPr>
      <w:r>
        <w:rPr>
          <w:rFonts w:hint="eastAsia" w:ascii="黑体" w:hAnsi="黑体" w:eastAsia="黑体"/>
          <w:b w:val="0"/>
        </w:rPr>
        <w:t>部门职责</w:t>
      </w:r>
    </w:p>
    <w:p>
      <w:pPr>
        <w:spacing w:after="0" w:line="540" w:lineRule="exact"/>
        <w:ind w:firstLine="643" w:firstLineChars="200"/>
        <w:jc w:val="both"/>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（一）综合行政执法局</w:t>
      </w:r>
    </w:p>
    <w:p>
      <w:pPr>
        <w:spacing w:after="0" w:line="540" w:lineRule="exact"/>
        <w:ind w:firstLine="640" w:firstLineChars="200"/>
        <w:jc w:val="both"/>
        <w:rPr>
          <w:rFonts w:hint="eastAsia" w:ascii="仿宋" w:hAnsi="仿宋" w:eastAsia="仿宋" w:cs="仿宋"/>
          <w:spacing w:val="-6"/>
          <w:sz w:val="32"/>
          <w:szCs w:val="32"/>
        </w:rPr>
      </w:pPr>
      <w:r>
        <w:rPr>
          <w:rFonts w:hint="eastAsia" w:ascii="仿宋_GB2312" w:hAnsi="仿宋_GB2312" w:cs="仿宋_GB2312"/>
          <w:sz w:val="32"/>
          <w:szCs w:val="32"/>
          <w:lang w:val="en-US" w:eastAsia="zh-CN"/>
        </w:rPr>
        <w:t xml:space="preserve"> </w:t>
      </w:r>
      <w:r>
        <w:rPr>
          <w:rFonts w:hint="eastAsia" w:ascii="仿宋" w:hAnsi="仿宋" w:eastAsia="仿宋" w:cs="仿宋"/>
          <w:spacing w:val="-6"/>
          <w:sz w:val="32"/>
          <w:szCs w:val="32"/>
          <w:lang w:val="en-US" w:eastAsia="zh-CN"/>
        </w:rPr>
        <w:t>1.</w:t>
      </w:r>
      <w:r>
        <w:rPr>
          <w:rFonts w:hint="default" w:ascii="仿宋" w:hAnsi="仿宋" w:eastAsia="仿宋" w:cs="仿宋"/>
          <w:spacing w:val="-6"/>
          <w:sz w:val="32"/>
          <w:szCs w:val="32"/>
          <w:lang w:val="en-US" w:eastAsia="zh-CN"/>
        </w:rPr>
        <w:t>贯彻执行国家、省、市有关综合行政执法工作的方针政策和法律、法规、规章，起草有关规范性文件草案;拟订全县综合行政执法工作规划并组织实施。</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2.</w:t>
      </w:r>
      <w:r>
        <w:rPr>
          <w:rFonts w:hint="default" w:ascii="仿宋" w:hAnsi="仿宋" w:eastAsia="仿宋" w:cs="仿宋"/>
          <w:spacing w:val="-6"/>
          <w:sz w:val="32"/>
          <w:szCs w:val="32"/>
          <w:lang w:val="en-US" w:eastAsia="zh-CN"/>
        </w:rPr>
        <w:t>拟订城市管理工作发展战略、中长期发展规划、年度计划并组织实施;制定城市管理制度和规范并组织实施;会同有关部门监督管理城市行政事业性收费:负责推进数字化城市管理和信息化建设。</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3.</w:t>
      </w:r>
      <w:r>
        <w:rPr>
          <w:rFonts w:hint="default" w:ascii="仿宋" w:hAnsi="仿宋" w:eastAsia="仿宋" w:cs="仿宋"/>
          <w:spacing w:val="-6"/>
          <w:sz w:val="32"/>
          <w:szCs w:val="32"/>
          <w:lang w:val="en-US" w:eastAsia="zh-CN"/>
        </w:rPr>
        <w:t>负责行使原由县经济信息化和科学技术局、县财政局(县金融工作局、县国有资产监督管理局)、县商务和经济合作局等部门行使的行政处罚权:负责行使原由县发展和改革局(县粮食和物资储备局)、县住房和城乡建设局、县公安局、县市场监督管理局、县水利局、剑阁生态环境局、县人力资源和社会保障局等部门行使的部分行政处罚权</w:t>
      </w:r>
      <w:r>
        <w:rPr>
          <w:rFonts w:hint="eastAsia" w:ascii="仿宋" w:hAnsi="仿宋" w:eastAsia="仿宋" w:cs="仿宋"/>
          <w:spacing w:val="-6"/>
          <w:sz w:val="32"/>
          <w:szCs w:val="32"/>
          <w:lang w:val="en-US" w:eastAsia="zh-CN"/>
        </w:rPr>
        <w:t>。</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4.</w:t>
      </w:r>
      <w:r>
        <w:rPr>
          <w:rFonts w:hint="default" w:ascii="仿宋" w:hAnsi="仿宋" w:eastAsia="仿宋" w:cs="仿宋"/>
          <w:spacing w:val="-6"/>
          <w:sz w:val="32"/>
          <w:szCs w:val="32"/>
          <w:lang w:val="en-US" w:eastAsia="zh-CN"/>
        </w:rPr>
        <w:t>负责剑阁经济开发区范围内上述(第三条第三款)行政处罚权及相关的行政强制权。</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5.</w:t>
      </w:r>
      <w:r>
        <w:rPr>
          <w:rFonts w:hint="default" w:ascii="仿宋" w:hAnsi="仿宋" w:eastAsia="仿宋" w:cs="仿宋"/>
          <w:spacing w:val="-6"/>
          <w:sz w:val="32"/>
          <w:szCs w:val="32"/>
          <w:lang w:val="en-US" w:eastAsia="zh-CN"/>
        </w:rPr>
        <w:t>统筹协调、监督管理全县城市管理工作;负责县城区临时摊点的综合管理;负责路标路牌、报刊电话亭、公交站牌、非机动车停放点等市政设施设置的许可管理;负责户外广告和店招店牌的设置、宣传品张贴悬挂、城市道路挖掘、废品收购、临时占用城市道路的许可管理;负责机动车辆清洗保洁(含修车、汽车美容)活动的监督管理。</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6.</w:t>
      </w:r>
      <w:r>
        <w:rPr>
          <w:rFonts w:hint="default" w:ascii="仿宋" w:hAnsi="仿宋" w:eastAsia="仿宋" w:cs="仿宋"/>
          <w:spacing w:val="-6"/>
          <w:sz w:val="32"/>
          <w:szCs w:val="32"/>
          <w:lang w:val="en-US" w:eastAsia="zh-CN"/>
        </w:rPr>
        <w:t>负责综合行政执法信息平台建设、管理、指挥、调度和协调工作:负责建立综合行政执法信息共享投诉举报平台和联合协调办案指挥机制;负责受理综合行政执法方面的投诉和举报;负责综合行政执法领域“双随机一公开”。</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7.</w:t>
      </w:r>
      <w:r>
        <w:rPr>
          <w:rFonts w:hint="default" w:ascii="仿宋" w:hAnsi="仿宋" w:eastAsia="仿宋" w:cs="仿宋"/>
          <w:spacing w:val="-6"/>
          <w:sz w:val="32"/>
          <w:szCs w:val="32"/>
          <w:lang w:val="en-US" w:eastAsia="zh-CN"/>
        </w:rPr>
        <w:t>负责综合行政执法案件有关行政复议、 行政应诉、组织听证等工作。</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8.</w:t>
      </w:r>
      <w:r>
        <w:rPr>
          <w:rFonts w:hint="default" w:ascii="仿宋" w:hAnsi="仿宋" w:eastAsia="仿宋" w:cs="仿宋"/>
          <w:spacing w:val="-6"/>
          <w:sz w:val="32"/>
          <w:szCs w:val="32"/>
          <w:lang w:val="en-US" w:eastAsia="zh-CN"/>
        </w:rPr>
        <w:t>负责“行政执法与刑事司法”衔接工作，按相关规定和程序向司法机关移送涉嫌犯罪的案件线索;建立行政执法与刑事司法衔接机制，健全完善执法预警体系推进综合行政执法规范化建设。</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9.</w:t>
      </w:r>
      <w:r>
        <w:rPr>
          <w:rFonts w:hint="default" w:ascii="仿宋" w:hAnsi="仿宋" w:eastAsia="仿宋" w:cs="仿宋"/>
          <w:spacing w:val="-6"/>
          <w:sz w:val="32"/>
          <w:szCs w:val="32"/>
          <w:lang w:val="en-US" w:eastAsia="zh-CN"/>
        </w:rPr>
        <w:t>负责牵头由县政府组织的专项整治和重大执法活动，查处违法行为，承担城市管理应急突发事件的处置工作。</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10.</w:t>
      </w:r>
      <w:r>
        <w:rPr>
          <w:rFonts w:hint="default" w:ascii="仿宋" w:hAnsi="仿宋" w:eastAsia="仿宋" w:cs="仿宋"/>
          <w:spacing w:val="-6"/>
          <w:sz w:val="32"/>
          <w:szCs w:val="32"/>
          <w:lang w:val="en-US" w:eastAsia="zh-CN"/>
        </w:rPr>
        <w:t>负责全县综合行政执法的组织、协调、监督和检查工作;负责对综合行政执法队伍建设、管理和培训;负责建立行政执法责任制和执法过错责任追究制度;负责对综合行政执法人员行使职权情况实施督察。</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11.</w:t>
      </w:r>
      <w:r>
        <w:rPr>
          <w:rFonts w:hint="default" w:ascii="仿宋" w:hAnsi="仿宋" w:eastAsia="仿宋" w:cs="仿宋"/>
          <w:spacing w:val="-6"/>
          <w:sz w:val="32"/>
          <w:szCs w:val="32"/>
          <w:lang w:val="en-US" w:eastAsia="zh-CN"/>
        </w:rPr>
        <w:t>负责城市管理的对外交流工作:负责城市管理的科学研究和社会宣传教育工作。</w:t>
      </w:r>
    </w:p>
    <w:p>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12.</w:t>
      </w:r>
      <w:r>
        <w:rPr>
          <w:rFonts w:hint="default" w:ascii="仿宋" w:hAnsi="仿宋" w:eastAsia="仿宋" w:cs="仿宋"/>
          <w:spacing w:val="-6"/>
          <w:sz w:val="32"/>
          <w:szCs w:val="32"/>
          <w:lang w:val="en-US" w:eastAsia="zh-CN"/>
        </w:rPr>
        <w:t>负责职责范围内的安全生产和职业健康、生态环境保护、审批服务便民化等工作。</w:t>
      </w:r>
    </w:p>
    <w:p>
      <w:pPr>
        <w:pStyle w:val="9"/>
        <w:ind w:firstLine="616" w:firstLineChars="200"/>
        <w:rPr>
          <w:rFonts w:hint="default" w:ascii="仿宋" w:hAnsi="仿宋" w:eastAsia="仿宋" w:cs="仿宋"/>
          <w:b w:val="0"/>
          <w:spacing w:val="-6"/>
          <w:kern w:val="2"/>
          <w:sz w:val="32"/>
          <w:szCs w:val="32"/>
          <w:lang w:val="en-US" w:eastAsia="zh-CN" w:bidi="ar-SA"/>
        </w:rPr>
      </w:pPr>
      <w:r>
        <w:rPr>
          <w:rFonts w:hint="eastAsia" w:ascii="仿宋" w:hAnsi="仿宋" w:eastAsia="仿宋" w:cs="仿宋"/>
          <w:b w:val="0"/>
          <w:spacing w:val="-6"/>
          <w:kern w:val="2"/>
          <w:sz w:val="32"/>
          <w:szCs w:val="32"/>
          <w:lang w:val="en-US" w:eastAsia="zh-CN" w:bidi="ar-SA"/>
        </w:rPr>
        <w:t>13.</w:t>
      </w:r>
      <w:r>
        <w:rPr>
          <w:rFonts w:hint="default" w:ascii="仿宋" w:hAnsi="仿宋" w:eastAsia="仿宋" w:cs="仿宋"/>
          <w:b w:val="0"/>
          <w:spacing w:val="-6"/>
          <w:kern w:val="2"/>
          <w:sz w:val="32"/>
          <w:szCs w:val="32"/>
          <w:lang w:val="en-US" w:eastAsia="zh-CN" w:bidi="ar-SA"/>
        </w:rPr>
        <w:t>承办县委、县政府交办的其他事项。</w:t>
      </w:r>
    </w:p>
    <w:p>
      <w:pPr>
        <w:spacing w:after="0" w:line="540" w:lineRule="exact"/>
        <w:ind w:firstLine="643" w:firstLineChars="200"/>
        <w:jc w:val="both"/>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（二）环境卫生事务中心</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lang w:val="en-US" w:eastAsia="zh-CN"/>
        </w:rPr>
      </w:pPr>
      <w:r>
        <w:rPr>
          <w:rFonts w:hint="default" w:ascii="仿宋_GB2312" w:hAnsi="仿宋_GB2312" w:eastAsia="仿宋_GB2312" w:cs="仿宋_GB2312"/>
          <w:b w:val="0"/>
          <w:bCs w:val="0"/>
          <w:kern w:val="0"/>
          <w:sz w:val="32"/>
          <w:szCs w:val="32"/>
          <w:lang w:val="en-US" w:eastAsia="zh-CN" w:bidi="ar-SA"/>
        </w:rPr>
        <w:t>负责全县城乡环境卫生的管理、监督、检查、考核工作和县城区、普安城市道路清扫保洁、垃圾清运处理、城市道路灯管理维护工作。</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黑体" w:hAnsi="黑体" w:eastAsia="黑体" w:cs="黑体"/>
          <w:b/>
          <w:bCs/>
          <w:spacing w:val="0"/>
          <w:sz w:val="32"/>
          <w:szCs w:val="32"/>
          <w:lang w:val="en-US" w:eastAsia="zh-CN"/>
        </w:rPr>
      </w:pPr>
      <w:r>
        <w:rPr>
          <w:rFonts w:hint="eastAsia" w:ascii="黑体" w:hAnsi="黑体" w:eastAsia="黑体" w:cs="黑体"/>
          <w:b/>
          <w:bCs/>
          <w:spacing w:val="0"/>
          <w:sz w:val="32"/>
          <w:szCs w:val="32"/>
          <w:lang w:val="en-US" w:eastAsia="zh-CN"/>
        </w:rPr>
        <w:t>二、2022年重点工作</w:t>
      </w:r>
    </w:p>
    <w:p>
      <w:pPr>
        <w:spacing w:line="520" w:lineRule="exact"/>
        <w:ind w:firstLine="645"/>
        <w:rPr>
          <w:rFonts w:hint="eastAsia" w:ascii="仿宋" w:hAnsi="仿宋" w:eastAsia="仿宋"/>
          <w:sz w:val="32"/>
          <w:szCs w:val="32"/>
        </w:rPr>
      </w:pPr>
      <w:r>
        <w:rPr>
          <w:rFonts w:hint="eastAsia" w:ascii="仿宋" w:hAnsi="仿宋" w:eastAsia="仿宋"/>
          <w:sz w:val="32"/>
          <w:szCs w:val="32"/>
        </w:rPr>
        <w:t>坚决围绕县委“1233”执政兴县战略深度谋划，奋力提升综合行政执法、城乡环境综合治理、城市秩序管理能力和水平，最大限度护航全县经济发展和民生保障。</w:t>
      </w:r>
    </w:p>
    <w:p>
      <w:pPr>
        <w:spacing w:line="52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（一）综合行政执法局</w:t>
      </w:r>
    </w:p>
    <w:p>
      <w:pPr>
        <w:spacing w:line="520" w:lineRule="exact"/>
        <w:ind w:firstLine="645"/>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持续推进综合行政执法改革，助推全县基层治理工作。加强全县综合行政执法工作的组织、协调、监督、培训。在重点领域多立案、严处罚，大力开展跨领域、跨部门的行政处罚案件办理工作，牵头保障由政府组织的重大执法活动，强力推进依法执政、依法行政，奋力助推全县依法治理工作。</w:t>
      </w:r>
    </w:p>
    <w:p>
      <w:pPr>
        <w:spacing w:line="520" w:lineRule="exact"/>
        <w:ind w:firstLine="645"/>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强力推进城乡环境综合治理，促进城乡人居环境大提升。牵头推进城乡环境综合治理工作，建立政府指导、部门协作、公众参与、严格监督考核的治理机制，完善城乡生活垃圾分类、收集、转运、处置体系。加快配套实施完成一批环卫设施项目建设，努力打造“干净城市”“干净农村”。</w:t>
      </w:r>
    </w:p>
    <w:p>
      <w:pPr>
        <w:spacing w:line="520" w:lineRule="exact"/>
        <w:ind w:firstLine="645"/>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严格城市监督管理，做强做美新老县城。拟订城市管理计划，制定城市管理制度，形成齐抓共管氛围。攻坚克难整治乱占、乱摆、乱停、乱放、油烟噪音等城市顽疾，打造“城市管理示范街”，加强城市管理应急突发事件处置，确保城市秩序规范有序。</w:t>
      </w:r>
    </w:p>
    <w:p>
      <w:pPr>
        <w:spacing w:line="520" w:lineRule="exact"/>
        <w:ind w:firstLine="645"/>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加强队伍建设，重塑综合行政执法队伍新形象。持续抓党风廉政建设和干部纪律作风整顿，针对队伍成分复杂、管理难度大的问题，创新管理举措。大力发扬“五皮精神”，认真落实“三宁三勿”工作法，严格落实奖惩机制，着实提升队伍的爱岗敬业、吃苦奉献、崇尚荣誉的职业精神。</w:t>
      </w:r>
    </w:p>
    <w:p>
      <w:pPr>
        <w:spacing w:line="52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（二）环境卫生事务中心</w:t>
      </w:r>
    </w:p>
    <w:p>
      <w:pPr>
        <w:spacing w:line="52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1.进一步抓环卫队伍建设。一是完成支部改选，发展入党积极分子，强化支部力量，以支部促干部队伍。二是继续发扬环卫人吃苦耐劳的精神，抓干部职工学习教育，以开展干部作风纪律整顿为契机提升干部执行力，力促干部作风纪律转变。</w:t>
      </w:r>
    </w:p>
    <w:p>
      <w:pPr>
        <w:spacing w:line="520" w:lineRule="exact"/>
        <w:ind w:firstLine="645"/>
        <w:rPr>
          <w:rFonts w:hint="default" w:ascii="仿宋" w:hAnsi="仿宋" w:eastAsia="仿宋"/>
          <w:sz w:val="32"/>
          <w:szCs w:val="32"/>
          <w:lang w:val="en-US" w:eastAsia="zh-CN"/>
        </w:rPr>
      </w:pPr>
      <w:r>
        <w:rPr>
          <w:rFonts w:hint="eastAsia" w:ascii="仿宋" w:hAnsi="仿宋" w:eastAsia="仿宋"/>
          <w:sz w:val="32"/>
          <w:szCs w:val="32"/>
          <w:lang w:val="en-US" w:eastAsia="zh-CN"/>
        </w:rPr>
        <w:t>2.进一步开展环境卫生整治。一是常态化抓道路日常保洁、垃圾收集、清运、处置，确保路段干净整洁。二是开展环境卫生专项整治。针对背街小巷、卫生死角，集中力量开展专项整治。三是提升城市公厕管理，争取资金完成公厕提升改造。四是加大沿街单位、商铺、社区、小区物业等沟通协调力度，落实好‘门前五包’，共同推进环境卫生大改善。</w:t>
      </w:r>
    </w:p>
    <w:p>
      <w:pPr>
        <w:spacing w:line="52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3.进一步创新管理举措。一是落实环境卫生网格化管理，开展精细化作业，将城区实行划片，每片明确责任人，负责包片区域环境卫生问题的巡查和督促整改。加强同城管大队的协作，共同抓好城市管理。二是加大对风险点位的管控。重点加强垃圾场、中转站、环卫车辆及路灯的管理，排查和消除安全隐患，做好基础设施的</w:t>
      </w:r>
      <w:r>
        <w:rPr>
          <w:rFonts w:hint="default" w:ascii="仿宋" w:hAnsi="仿宋" w:eastAsia="仿宋"/>
          <w:sz w:val="32"/>
          <w:szCs w:val="32"/>
          <w:lang w:val="en-US" w:eastAsia="zh-CN"/>
        </w:rPr>
        <w:t>日常维护工作,确保设施的整洁完好和正常运行</w:t>
      </w:r>
      <w:r>
        <w:rPr>
          <w:rFonts w:hint="eastAsia" w:ascii="仿宋" w:hAnsi="仿宋" w:eastAsia="仿宋"/>
          <w:sz w:val="32"/>
          <w:szCs w:val="32"/>
          <w:lang w:val="en-US" w:eastAsia="zh-CN"/>
        </w:rPr>
        <w:t>。三是改革尝试环卫服务市场化运营模式，由政府购买服务，市场化运作，从而降低管理成本，提高管理质量。</w:t>
      </w:r>
    </w:p>
    <w:p>
      <w:pPr>
        <w:spacing w:line="520" w:lineRule="exact"/>
        <w:ind w:firstLine="645"/>
      </w:pPr>
      <w:r>
        <w:rPr>
          <w:rFonts w:hint="eastAsia" w:ascii="仿宋" w:hAnsi="仿宋" w:eastAsia="仿宋"/>
          <w:sz w:val="32"/>
          <w:szCs w:val="32"/>
          <w:lang w:val="en-US" w:eastAsia="zh-CN"/>
        </w:rPr>
        <w:t>4.进一步推进项目建设。一是加快推进生活垃圾分类转运设施、餐厨垃圾项目、热解气化项目实施，指导、督导国有平台公司建筑垃圾项目，确保完成全年目标任务。二是抓项目包装，积极向上争取中央预算资金、地方债券和省级预算资金，助推环卫基础设施再提升，人居生活环境再改善。三是</w:t>
      </w:r>
      <w:r>
        <w:rPr>
          <w:rFonts w:hint="eastAsia" w:ascii="仿宋" w:hAnsi="仿宋" w:eastAsia="仿宋"/>
          <w:sz w:val="32"/>
          <w:szCs w:val="32"/>
          <w:lang w:eastAsia="zh-CN"/>
        </w:rPr>
        <w:t>抓项目落实，</w:t>
      </w:r>
      <w:r>
        <w:rPr>
          <w:rFonts w:hint="eastAsia" w:ascii="仿宋" w:hAnsi="仿宋" w:eastAsia="仿宋"/>
          <w:sz w:val="32"/>
          <w:szCs w:val="32"/>
        </w:rPr>
        <w:t>要在严格做好疫情防控的基础上，加大力度推进项目建设，强化目标导向抓调度</w:t>
      </w:r>
      <w:r>
        <w:rPr>
          <w:rFonts w:hint="eastAsia" w:ascii="仿宋_GB2312" w:hAnsi="仿宋_GB2312" w:eastAsia="仿宋_GB2312" w:cs="仿宋_GB2312"/>
          <w:b w:val="0"/>
          <w:bCs w:val="0"/>
          <w:kern w:val="0"/>
          <w:sz w:val="32"/>
          <w:szCs w:val="32"/>
        </w:rPr>
        <w:t>，强化问题导向解难题，强化结果导向求实效，坚持质量第一、效益优先，严把安全关、环保关、质量关</w:t>
      </w:r>
      <w:r>
        <w:rPr>
          <w:rFonts w:hint="eastAsia" w:ascii="仿宋_GB2312" w:hAnsi="仿宋_GB2312" w:eastAsia="仿宋_GB2312" w:cs="仿宋_GB2312"/>
          <w:b w:val="0"/>
          <w:bCs w:val="0"/>
          <w:kern w:val="0"/>
          <w:sz w:val="32"/>
          <w:szCs w:val="32"/>
          <w:lang w:eastAsia="zh-CN"/>
        </w:rPr>
        <w:t>。</w:t>
      </w:r>
    </w:p>
    <w:p>
      <w:pPr>
        <w:pStyle w:val="5"/>
        <w:ind w:firstLine="640" w:firstLineChars="200"/>
        <w:rPr>
          <w:rStyle w:val="32"/>
          <w:rFonts w:hint="eastAsia" w:ascii="黑体" w:hAnsi="黑体" w:eastAsia="黑体"/>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4"/>
      <w:bookmarkEnd w:id="15"/>
    </w:p>
    <w:p>
      <w:pPr>
        <w:pStyle w:val="7"/>
        <w:numPr>
          <w:ilvl w:val="0"/>
          <w:numId w:val="0"/>
        </w:numPr>
        <w:adjustRightInd w:val="0"/>
        <w:snapToGrid w:val="0"/>
        <w:spacing w:before="93" w:line="600" w:lineRule="exact"/>
        <w:ind w:firstLine="616" w:firstLineChars="200"/>
        <w:outlineLvl w:val="2"/>
        <w:rPr>
          <w:rFonts w:ascii="仿宋" w:hAnsi="仿宋" w:eastAsia="仿宋"/>
          <w:sz w:val="32"/>
          <w:szCs w:val="32"/>
        </w:rPr>
      </w:pPr>
      <w:r>
        <w:rPr>
          <w:rFonts w:hint="eastAsia" w:ascii="仿宋" w:hAnsi="仿宋" w:eastAsia="仿宋" w:cs="仿宋"/>
          <w:spacing w:val="-6"/>
          <w:sz w:val="32"/>
          <w:szCs w:val="32"/>
          <w:lang w:val="en-US" w:eastAsia="zh-CN"/>
        </w:rPr>
        <w:t>剑阁县综合行政执法局下属二级单位1个，其中行政单位0个，参照公务员法管理的事业单位0个，其他事业单位1个，为剑阁县环境卫生事务中心，属一级预算单位，于2021年10月划转到我局。</w:t>
      </w: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31"/>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31"/>
          <w:rFonts w:hint="eastAsia" w:ascii="黑体" w:hAnsi="黑体" w:eastAsia="黑体"/>
          <w:b w:val="0"/>
          <w:bCs/>
        </w:rPr>
        <w:t>部门决算情况说明</w:t>
      </w:r>
      <w:bookmarkEnd w:id="16"/>
      <w:bookmarkEnd w:id="17"/>
    </w:p>
    <w:p/>
    <w:p>
      <w:pPr>
        <w:pStyle w:val="30"/>
        <w:numPr>
          <w:ilvl w:val="0"/>
          <w:numId w:val="2"/>
        </w:numPr>
        <w:spacing w:line="600" w:lineRule="exact"/>
        <w:ind w:firstLineChars="0"/>
        <w:outlineLvl w:val="1"/>
        <w:rPr>
          <w:rStyle w:val="32"/>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2022年度收、支总计2,228.77万元。与2021年相比，收、支总计各</w:t>
      </w:r>
      <w:r>
        <w:rPr>
          <w:rFonts w:hint="eastAsia" w:ascii="仿宋" w:hAnsi="仿宋" w:eastAsia="仿宋"/>
          <w:sz w:val="32"/>
          <w:szCs w:val="32"/>
          <w:lang w:eastAsia="zh-CN"/>
        </w:rPr>
        <w:t>减少</w:t>
      </w:r>
      <w:r>
        <w:rPr>
          <w:rFonts w:hint="eastAsia" w:ascii="仿宋" w:hAnsi="仿宋" w:eastAsia="仿宋"/>
          <w:sz w:val="32"/>
          <w:szCs w:val="32"/>
        </w:rPr>
        <w:t>1750.38 万元，</w:t>
      </w:r>
      <w:r>
        <w:rPr>
          <w:rFonts w:hint="eastAsia" w:ascii="仿宋" w:hAnsi="仿宋" w:eastAsia="仿宋"/>
          <w:sz w:val="32"/>
          <w:szCs w:val="32"/>
          <w:lang w:eastAsia="zh-CN"/>
        </w:rPr>
        <w:t>下降</w:t>
      </w:r>
      <w:bookmarkStart w:id="67" w:name="_GoBack"/>
      <w:bookmarkEnd w:id="67"/>
      <w:r>
        <w:rPr>
          <w:rFonts w:hint="eastAsia" w:ascii="仿宋" w:hAnsi="仿宋" w:eastAsia="仿宋"/>
          <w:sz w:val="32"/>
          <w:szCs w:val="32"/>
          <w:lang w:val="en-US" w:eastAsia="zh-CN"/>
        </w:rPr>
        <w:t>43.99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压缩公用经费及项目建设经费减少</w:t>
      </w:r>
      <w:r>
        <w:rPr>
          <w:rFonts w:hint="eastAsia" w:ascii="仿宋" w:hAnsi="仿宋" w:eastAsia="仿宋"/>
          <w:sz w:val="32"/>
          <w:szCs w:val="32"/>
        </w:rPr>
        <w:t>。</w:t>
      </w:r>
    </w:p>
    <w:p>
      <w:pPr>
        <w:pStyle w:val="17"/>
        <w:rPr>
          <w:rFonts w:hint="eastAsia" w:ascii="仿宋" w:hAnsi="仿宋" w:eastAsia="仿宋"/>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280" w:firstLineChars="400"/>
        <w:jc w:val="both"/>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0"/>
        <w:numPr>
          <w:ilvl w:val="0"/>
          <w:numId w:val="2"/>
        </w:numPr>
        <w:spacing w:line="600" w:lineRule="exact"/>
        <w:ind w:firstLineChars="0"/>
        <w:outlineLvl w:val="1"/>
        <w:rPr>
          <w:rStyle w:val="32"/>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2"/>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22年本年收入合计2,228.77万元，其中：一般公共预算财政拨款收入2,228.77万元，占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_GB2312" w:eastAsia="仿宋_GB2312"/>
          <w:sz w:val="32"/>
          <w:szCs w:val="32"/>
        </w:rPr>
      </w:pPr>
    </w:p>
    <w:p>
      <w:pPr>
        <w:pStyle w:val="2"/>
        <w:rPr>
          <w:rFonts w:ascii="仿宋_GB2312" w:eastAsia="仿宋_GB2312"/>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560" w:firstLineChars="800"/>
        <w:jc w:val="both"/>
      </w:pPr>
      <w:r>
        <w:rPr>
          <w:rFonts w:hint="eastAsia" w:ascii="仿宋" w:hAnsi="仿宋" w:eastAsia="仿宋"/>
          <w:sz w:val="32"/>
          <w:szCs w:val="32"/>
        </w:rPr>
        <w:t>（图2：收入决算结构图）</w:t>
      </w:r>
    </w:p>
    <w:p>
      <w:pPr>
        <w:pStyle w:val="30"/>
        <w:numPr>
          <w:ilvl w:val="0"/>
          <w:numId w:val="2"/>
        </w:numPr>
        <w:spacing w:line="600" w:lineRule="exact"/>
        <w:ind w:firstLineChars="0"/>
        <w:outlineLvl w:val="1"/>
        <w:rPr>
          <w:rStyle w:val="32"/>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2"/>
          <w:rFonts w:hint="eastAsia" w:ascii="黑体" w:hAnsi="黑体" w:eastAsia="黑体"/>
          <w:b w:val="0"/>
        </w:rPr>
        <w:t>出决算情况说明</w:t>
      </w:r>
      <w:bookmarkEnd w:id="22"/>
      <w:bookmarkEnd w:id="23"/>
    </w:p>
    <w:p>
      <w:pPr>
        <w:spacing w:line="600" w:lineRule="exact"/>
        <w:ind w:firstLine="640" w:firstLineChars="200"/>
        <w:outlineLvl w:val="1"/>
      </w:pPr>
      <w:r>
        <w:rPr>
          <w:rFonts w:ascii="仿宋" w:hAnsi="仿宋" w:eastAsia="仿宋"/>
          <w:sz w:val="32"/>
          <w:szCs w:val="32"/>
        </w:rPr>
        <w:t>20</w:t>
      </w:r>
      <w:r>
        <w:rPr>
          <w:rFonts w:hint="eastAsia" w:ascii="仿宋" w:hAnsi="仿宋" w:eastAsia="仿宋"/>
          <w:sz w:val="32"/>
          <w:szCs w:val="32"/>
        </w:rPr>
        <w:t>22年本年支出合计2,228.77万元，其中：基本支出1,271.35万元，占</w:t>
      </w:r>
      <w:r>
        <w:rPr>
          <w:rFonts w:hint="eastAsia" w:ascii="仿宋" w:hAnsi="仿宋" w:eastAsia="仿宋"/>
          <w:sz w:val="32"/>
          <w:szCs w:val="32"/>
          <w:lang w:val="en-US" w:eastAsia="zh-CN"/>
        </w:rPr>
        <w:t>57.04</w:t>
      </w:r>
      <w:r>
        <w:rPr>
          <w:rFonts w:ascii="仿宋" w:hAnsi="仿宋" w:eastAsia="仿宋"/>
          <w:sz w:val="32"/>
          <w:szCs w:val="32"/>
        </w:rPr>
        <w:t>%</w:t>
      </w:r>
      <w:r>
        <w:rPr>
          <w:rFonts w:hint="eastAsia" w:ascii="仿宋" w:hAnsi="仿宋" w:eastAsia="仿宋"/>
          <w:sz w:val="32"/>
          <w:szCs w:val="32"/>
        </w:rPr>
        <w:t>；项目支出957.42万元，占</w:t>
      </w:r>
      <w:r>
        <w:rPr>
          <w:rFonts w:hint="eastAsia" w:ascii="仿宋" w:hAnsi="仿宋" w:eastAsia="仿宋"/>
          <w:sz w:val="32"/>
          <w:szCs w:val="32"/>
          <w:lang w:val="en-US" w:eastAsia="zh-CN"/>
        </w:rPr>
        <w:t>42.96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7"/>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7"/>
        <w:ind w:firstLine="1920" w:firstLineChars="600"/>
        <w:rPr>
          <w:rFonts w:hint="eastAsia"/>
        </w:rPr>
      </w:pPr>
      <w:r>
        <w:rPr>
          <w:rFonts w:hint="eastAsia" w:ascii="仿宋" w:hAnsi="仿宋" w:eastAsia="仿宋"/>
          <w:sz w:val="32"/>
          <w:szCs w:val="32"/>
        </w:rPr>
        <w:t>（图3：支出决算结构图）</w:t>
      </w:r>
    </w:p>
    <w:p>
      <w:pPr>
        <w:spacing w:line="600" w:lineRule="exact"/>
        <w:ind w:firstLine="640" w:firstLineChars="200"/>
        <w:outlineLvl w:val="1"/>
        <w:rPr>
          <w:rStyle w:val="32"/>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22年财政拨款收、支总计2,228.77万元。与</w:t>
      </w:r>
      <w:r>
        <w:rPr>
          <w:rFonts w:ascii="仿宋" w:hAnsi="仿宋" w:eastAsia="仿宋"/>
          <w:sz w:val="32"/>
          <w:szCs w:val="32"/>
        </w:rPr>
        <w:t>20</w:t>
      </w:r>
      <w:r>
        <w:rPr>
          <w:rFonts w:hint="eastAsia" w:ascii="仿宋" w:hAnsi="仿宋" w:eastAsia="仿宋"/>
          <w:sz w:val="32"/>
          <w:szCs w:val="32"/>
        </w:rPr>
        <w:t>21年相比，财政拨款收、支总计各</w:t>
      </w:r>
      <w:r>
        <w:rPr>
          <w:rFonts w:hint="eastAsia" w:ascii="仿宋" w:hAnsi="仿宋" w:eastAsia="仿宋"/>
          <w:sz w:val="32"/>
          <w:szCs w:val="32"/>
          <w:lang w:eastAsia="zh-CN"/>
        </w:rPr>
        <w:t>减少</w:t>
      </w:r>
      <w:r>
        <w:rPr>
          <w:rFonts w:hint="eastAsia" w:ascii="仿宋" w:hAnsi="仿宋" w:eastAsia="仿宋"/>
          <w:sz w:val="32"/>
          <w:szCs w:val="32"/>
        </w:rPr>
        <w:t>1750.38万元，</w:t>
      </w:r>
      <w:r>
        <w:rPr>
          <w:rFonts w:hint="eastAsia" w:ascii="仿宋" w:hAnsi="仿宋" w:eastAsia="仿宋"/>
          <w:sz w:val="32"/>
          <w:szCs w:val="32"/>
          <w:lang w:eastAsia="zh-CN"/>
        </w:rPr>
        <w:t>下降</w:t>
      </w:r>
      <w:r>
        <w:rPr>
          <w:rFonts w:hint="eastAsia" w:ascii="仿宋" w:hAnsi="仿宋" w:eastAsia="仿宋"/>
          <w:sz w:val="32"/>
          <w:szCs w:val="32"/>
          <w:lang w:val="en-US" w:eastAsia="zh-CN"/>
        </w:rPr>
        <w:t>43.99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压缩公用经费及项目建设经费减少。</w:t>
      </w:r>
    </w:p>
    <w:p>
      <w:pPr>
        <w:pStyle w:val="2"/>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609" w:firstLineChars="503"/>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32"/>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22年一般公共预算财政拨款支出2,228.77万元，占本年支出合计的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rPr>
        <w:t>1750.38万元，</w:t>
      </w:r>
      <w:r>
        <w:rPr>
          <w:rFonts w:hint="eastAsia" w:ascii="仿宋" w:hAnsi="仿宋" w:eastAsia="仿宋"/>
          <w:sz w:val="32"/>
          <w:szCs w:val="32"/>
          <w:lang w:eastAsia="zh-CN"/>
        </w:rPr>
        <w:t>下降</w:t>
      </w:r>
      <w:r>
        <w:rPr>
          <w:rFonts w:hint="eastAsia" w:ascii="仿宋" w:hAnsi="仿宋" w:eastAsia="仿宋"/>
          <w:sz w:val="32"/>
          <w:szCs w:val="32"/>
          <w:lang w:val="en-US" w:eastAsia="zh-CN"/>
        </w:rPr>
        <w:t>43.99</w:t>
      </w:r>
      <w:r>
        <w:rPr>
          <w:rFonts w:ascii="仿宋" w:hAnsi="仿宋" w:eastAsia="仿宋"/>
          <w:sz w:val="32"/>
          <w:szCs w:val="32"/>
        </w:rPr>
        <w:t>%</w:t>
      </w:r>
      <w:r>
        <w:rPr>
          <w:rFonts w:hint="eastAsia" w:ascii="仿宋" w:hAnsi="仿宋" w:eastAsia="仿宋"/>
          <w:sz w:val="32"/>
          <w:szCs w:val="32"/>
        </w:rPr>
        <w:t>。主要变动原因是主要变动原因是</w:t>
      </w:r>
      <w:r>
        <w:rPr>
          <w:rFonts w:hint="eastAsia" w:ascii="仿宋" w:hAnsi="仿宋" w:eastAsia="仿宋"/>
          <w:sz w:val="32"/>
          <w:szCs w:val="32"/>
          <w:lang w:eastAsia="zh-CN"/>
        </w:rPr>
        <w:t>压缩公用经费及项目建设经费减少。</w:t>
      </w:r>
    </w:p>
    <w:p>
      <w:pPr>
        <w:spacing w:line="600" w:lineRule="exact"/>
        <w:ind w:firstLine="640" w:firstLineChars="200"/>
        <w:rPr>
          <w:rFonts w:ascii="仿宋" w:hAnsi="仿宋" w:eastAsia="仿宋"/>
          <w:sz w:val="32"/>
          <w:szCs w:val="32"/>
        </w:rPr>
      </w:pPr>
    </w:p>
    <w:p>
      <w:pPr>
        <w:pStyle w:val="2"/>
        <w:rPr>
          <w:rFonts w:ascii="仿宋" w:hAnsi="仿宋" w:eastAsia="仿宋"/>
          <w:sz w:val="32"/>
          <w:szCs w:val="32"/>
        </w:rPr>
      </w:pPr>
      <w:r>
        <w:drawing>
          <wp:inline distT="0" distB="0" distL="114300" distR="114300">
            <wp:extent cx="4572000" cy="2743200"/>
            <wp:effectExtent l="4445" t="4445" r="1460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960" w:firstLineChars="300"/>
        <w:outlineLvl w:val="2"/>
        <w:rPr>
          <w:rFonts w:hint="eastAsia" w:ascii="仿宋" w:hAnsi="仿宋" w:eastAsia="仿宋"/>
          <w:sz w:val="32"/>
          <w:szCs w:val="32"/>
        </w:rPr>
      </w:pPr>
      <w:bookmarkStart w:id="29" w:name="_Toc15377211"/>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22年一般公共预算财政拨款支出2,228.77万元，主要用于以下方面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支出59.41</w:t>
      </w:r>
      <w:r>
        <w:rPr>
          <w:rFonts w:hint="eastAsia" w:ascii="仿宋" w:hAnsi="仿宋" w:eastAsia="仿宋"/>
          <w:sz w:val="32"/>
          <w:szCs w:val="32"/>
        </w:rPr>
        <w:t>万元，占</w:t>
      </w:r>
      <w:r>
        <w:rPr>
          <w:rFonts w:hint="eastAsia" w:ascii="仿宋" w:hAnsi="仿宋" w:eastAsia="仿宋"/>
          <w:sz w:val="32"/>
          <w:szCs w:val="32"/>
          <w:lang w:val="en-US" w:eastAsia="zh-CN"/>
        </w:rPr>
        <w:t>2.66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城乡社区支出2,082.83</w:t>
      </w:r>
      <w:r>
        <w:rPr>
          <w:rFonts w:hint="eastAsia" w:ascii="仿宋" w:hAnsi="仿宋" w:eastAsia="仿宋"/>
          <w:sz w:val="32"/>
          <w:szCs w:val="32"/>
        </w:rPr>
        <w:t>万元，占</w:t>
      </w:r>
      <w:r>
        <w:rPr>
          <w:rFonts w:hint="eastAsia" w:ascii="仿宋" w:hAnsi="仿宋" w:eastAsia="仿宋"/>
          <w:sz w:val="32"/>
          <w:szCs w:val="32"/>
          <w:lang w:val="en-US" w:eastAsia="zh-CN"/>
        </w:rPr>
        <w:t>93.45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 xml:space="preserve">卫生健康支出34.61 </w:t>
      </w:r>
      <w:r>
        <w:rPr>
          <w:rFonts w:hint="eastAsia" w:ascii="仿宋" w:hAnsi="仿宋" w:eastAsia="仿宋"/>
          <w:b/>
          <w:bCs/>
          <w:sz w:val="32"/>
          <w:szCs w:val="32"/>
          <w:lang w:eastAsia="zh-CN"/>
        </w:rPr>
        <w:t>万元</w:t>
      </w:r>
      <w:r>
        <w:rPr>
          <w:rFonts w:hint="eastAsia" w:ascii="仿宋" w:hAnsi="仿宋" w:eastAsia="仿宋"/>
          <w:b/>
          <w:bCs/>
          <w:sz w:val="32"/>
          <w:szCs w:val="32"/>
          <w:lang w:val="en-US" w:eastAsia="zh-CN"/>
        </w:rPr>
        <w:t xml:space="preserve"> </w:t>
      </w:r>
      <w:r>
        <w:rPr>
          <w:rFonts w:hint="eastAsia" w:ascii="仿宋" w:hAnsi="仿宋" w:eastAsia="仿宋"/>
          <w:sz w:val="32"/>
          <w:szCs w:val="32"/>
        </w:rPr>
        <w:t>，占</w:t>
      </w:r>
      <w:r>
        <w:rPr>
          <w:rFonts w:hint="eastAsia" w:ascii="仿宋" w:hAnsi="仿宋" w:eastAsia="仿宋"/>
          <w:sz w:val="32"/>
          <w:szCs w:val="32"/>
          <w:lang w:val="en-US" w:eastAsia="zh-CN"/>
        </w:rPr>
        <w:t>1.55</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rPr>
        <w:t>住房保障支出51.92</w:t>
      </w:r>
      <w:r>
        <w:rPr>
          <w:rFonts w:hint="eastAsia" w:ascii="仿宋" w:hAnsi="仿宋" w:eastAsia="仿宋"/>
          <w:sz w:val="32"/>
          <w:szCs w:val="32"/>
        </w:rPr>
        <w:t>万元，占</w:t>
      </w:r>
      <w:r>
        <w:rPr>
          <w:rFonts w:hint="eastAsia" w:ascii="仿宋" w:hAnsi="仿宋" w:eastAsia="仿宋"/>
          <w:sz w:val="32"/>
          <w:szCs w:val="32"/>
          <w:lang w:val="en-US" w:eastAsia="zh-CN"/>
        </w:rPr>
        <w:t>2.34</w:t>
      </w:r>
      <w:r>
        <w:rPr>
          <w:rFonts w:ascii="仿宋" w:hAnsi="仿宋" w:eastAsia="仿宋"/>
          <w:sz w:val="32"/>
          <w:szCs w:val="32"/>
        </w:rPr>
        <w:t>%</w:t>
      </w:r>
      <w:r>
        <w:rPr>
          <w:rFonts w:hint="eastAsia" w:ascii="仿宋" w:hAnsi="仿宋" w:eastAsia="仿宋"/>
          <w:sz w:val="32"/>
          <w:szCs w:val="32"/>
        </w:rPr>
        <w:t>。</w:t>
      </w:r>
    </w:p>
    <w:p>
      <w:pPr>
        <w:pStyle w:val="17"/>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7"/>
        <w:ind w:firstLine="640" w:firstLineChars="200"/>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0"/>
        <w:rPr>
          <w:rFonts w:hint="eastAsia" w:ascii="仿宋" w:hAnsi="仿宋" w:eastAsia="仿宋"/>
          <w:b/>
          <w:sz w:val="32"/>
          <w:szCs w:val="32"/>
        </w:rPr>
      </w:pPr>
      <w:bookmarkStart w:id="31" w:name="_Toc15377444"/>
      <w:bookmarkStart w:id="32" w:name="_Toc15378460"/>
      <w:bookmarkStart w:id="33" w:name="_Toc15377213"/>
      <w:r>
        <w:rPr>
          <w:rFonts w:hint="eastAsia" w:ascii="仿宋" w:hAnsi="仿宋" w:eastAsia="仿宋"/>
          <w:b/>
          <w:sz w:val="32"/>
          <w:szCs w:val="32"/>
        </w:rPr>
        <w:t>2022年一般公共预算支出决算数为2,228.77，完成预算</w:t>
      </w:r>
      <w:r>
        <w:rPr>
          <w:rFonts w:hint="eastAsia" w:ascii="仿宋" w:hAnsi="仿宋" w:eastAsia="仿宋"/>
          <w:b/>
          <w:sz w:val="32"/>
          <w:szCs w:val="32"/>
          <w:lang w:val="en-US" w:eastAsia="zh-CN"/>
        </w:rPr>
        <w:t>100</w:t>
      </w:r>
      <w:r>
        <w:rPr>
          <w:rFonts w:hint="eastAsia" w:ascii="仿宋" w:hAnsi="仿宋" w:eastAsia="仿宋"/>
          <w:b/>
          <w:sz w:val="32"/>
          <w:szCs w:val="32"/>
        </w:rPr>
        <w:t>%。其中：</w:t>
      </w:r>
      <w:bookmarkEnd w:id="31"/>
      <w:bookmarkEnd w:id="32"/>
      <w:bookmarkEnd w:id="33"/>
    </w:p>
    <w:p>
      <w:pPr>
        <w:spacing w:line="600" w:lineRule="exact"/>
        <w:ind w:firstLine="640"/>
        <w:rPr>
          <w:rFonts w:hint="eastAsia" w:ascii="仿宋" w:hAnsi="仿宋" w:eastAsia="仿宋"/>
          <w:b/>
          <w:sz w:val="32"/>
          <w:szCs w:val="32"/>
          <w:lang w:eastAsia="zh-CN"/>
        </w:rPr>
      </w:pPr>
      <w:r>
        <w:rPr>
          <w:rFonts w:hint="eastAsia" w:ascii="仿宋" w:hAnsi="仿宋" w:eastAsia="仿宋"/>
          <w:b/>
          <w:sz w:val="32"/>
          <w:szCs w:val="32"/>
          <w:lang w:val="en-US" w:eastAsia="zh-CN"/>
        </w:rPr>
        <w:t>1.社会保障和就业支出（类）行政事业单位养老支出（款）行政单位离退休（项）</w:t>
      </w:r>
      <w:r>
        <w:rPr>
          <w:rFonts w:hint="eastAsia" w:ascii="仿宋" w:hAnsi="仿宋" w:eastAsia="仿宋"/>
          <w:b/>
          <w:sz w:val="32"/>
          <w:szCs w:val="32"/>
        </w:rPr>
        <w:t xml:space="preserve">: </w:t>
      </w:r>
      <w:r>
        <w:rPr>
          <w:rFonts w:hint="eastAsia" w:ascii="仿宋" w:hAnsi="仿宋" w:eastAsia="仿宋" w:cs="Times New Roman"/>
          <w:kern w:val="0"/>
          <w:sz w:val="32"/>
          <w:szCs w:val="32"/>
          <w:lang w:val="en-US" w:eastAsia="zh-CN" w:bidi="ar-SA"/>
        </w:rPr>
        <w:t>支出决算为59.41 万元，完成预算100%，决算数与预算数持平。</w:t>
      </w:r>
    </w:p>
    <w:p>
      <w:pPr>
        <w:spacing w:line="600" w:lineRule="exact"/>
        <w:ind w:firstLine="640"/>
        <w:rPr>
          <w:rFonts w:hint="eastAsia" w:ascii="仿宋" w:hAnsi="仿宋" w:eastAsia="仿宋"/>
          <w:b/>
          <w:sz w:val="32"/>
          <w:szCs w:val="32"/>
          <w:lang w:val="en-US" w:eastAsia="zh-CN"/>
        </w:rPr>
      </w:pPr>
      <w:r>
        <w:rPr>
          <w:rFonts w:hint="eastAsia" w:ascii="仿宋" w:hAnsi="仿宋" w:eastAsia="仿宋"/>
          <w:b/>
          <w:sz w:val="32"/>
          <w:szCs w:val="32"/>
          <w:lang w:val="en-US" w:eastAsia="zh-CN"/>
        </w:rPr>
        <w:t>2</w:t>
      </w:r>
      <w:r>
        <w:rPr>
          <w:rFonts w:hint="eastAsia" w:ascii="仿宋" w:hAnsi="仿宋" w:eastAsia="仿宋"/>
          <w:b/>
          <w:sz w:val="32"/>
          <w:szCs w:val="32"/>
        </w:rPr>
        <w:t>.</w:t>
      </w:r>
      <w:r>
        <w:rPr>
          <w:rFonts w:hint="eastAsia" w:ascii="仿宋" w:hAnsi="仿宋" w:eastAsia="仿宋"/>
          <w:b/>
          <w:sz w:val="32"/>
          <w:szCs w:val="32"/>
          <w:lang w:val="en-US" w:eastAsia="zh-CN"/>
        </w:rPr>
        <w:t>城乡社区支出（类）城乡社区管理事务（款）行政运行（项）</w:t>
      </w:r>
      <w:r>
        <w:rPr>
          <w:rFonts w:hint="eastAsia" w:ascii="仿宋" w:hAnsi="仿宋" w:eastAsia="仿宋"/>
          <w:b/>
          <w:sz w:val="32"/>
          <w:szCs w:val="32"/>
          <w:lang w:eastAsia="zh-CN"/>
        </w:rPr>
        <w:t>：</w:t>
      </w:r>
      <w:r>
        <w:rPr>
          <w:rFonts w:hint="eastAsia" w:ascii="仿宋" w:hAnsi="仿宋" w:eastAsia="仿宋" w:cs="Times New Roman"/>
          <w:kern w:val="0"/>
          <w:sz w:val="32"/>
          <w:szCs w:val="32"/>
          <w:lang w:val="en-US" w:eastAsia="zh-CN" w:bidi="ar-SA"/>
        </w:rPr>
        <w:t>支出决算为2,082.83 万元，完成预算100%，决决算数与预算数持平。</w:t>
      </w:r>
    </w:p>
    <w:p>
      <w:pPr>
        <w:spacing w:line="600" w:lineRule="exact"/>
        <w:ind w:firstLine="640"/>
        <w:rPr>
          <w:rFonts w:hint="eastAsia" w:ascii="仿宋" w:hAnsi="仿宋" w:eastAsia="仿宋" w:cs="Times New Roman"/>
          <w:kern w:val="0"/>
          <w:sz w:val="32"/>
          <w:szCs w:val="32"/>
          <w:lang w:val="en-US" w:eastAsia="zh-CN" w:bidi="ar-SA"/>
        </w:rPr>
      </w:pPr>
      <w:r>
        <w:rPr>
          <w:rFonts w:hint="eastAsia" w:ascii="仿宋" w:hAnsi="仿宋" w:eastAsia="仿宋"/>
          <w:b/>
          <w:sz w:val="32"/>
          <w:szCs w:val="32"/>
          <w:lang w:val="en-US" w:eastAsia="zh-CN"/>
        </w:rPr>
        <w:t>3</w:t>
      </w:r>
      <w:r>
        <w:rPr>
          <w:rFonts w:hint="eastAsia" w:ascii="仿宋" w:hAnsi="仿宋" w:eastAsia="仿宋"/>
          <w:b/>
          <w:sz w:val="32"/>
          <w:szCs w:val="32"/>
        </w:rPr>
        <w:t>.</w:t>
      </w:r>
      <w:r>
        <w:rPr>
          <w:rFonts w:hint="eastAsia" w:ascii="仿宋" w:hAnsi="仿宋" w:eastAsia="仿宋"/>
          <w:b/>
          <w:sz w:val="32"/>
          <w:szCs w:val="32"/>
          <w:lang w:val="en-US" w:eastAsia="zh-CN"/>
        </w:rPr>
        <w:t>卫生健康支出（类）行政事业单位医疗（款）行政单位医疗（项）</w:t>
      </w:r>
      <w:r>
        <w:rPr>
          <w:rFonts w:hint="eastAsia" w:ascii="仿宋" w:hAnsi="仿宋" w:eastAsia="仿宋"/>
          <w:b/>
          <w:sz w:val="32"/>
          <w:szCs w:val="32"/>
        </w:rPr>
        <w:t>:</w:t>
      </w:r>
      <w:r>
        <w:rPr>
          <w:rFonts w:hint="eastAsia" w:ascii="仿宋" w:hAnsi="仿宋" w:eastAsia="仿宋" w:cs="Times New Roman"/>
          <w:kern w:val="0"/>
          <w:sz w:val="32"/>
          <w:szCs w:val="32"/>
          <w:lang w:val="en-US" w:eastAsia="zh-CN" w:bidi="ar-SA"/>
        </w:rPr>
        <w:t>支出决算为34.61万元，完成预算100%，决算数等于预算数。</w:t>
      </w:r>
    </w:p>
    <w:p>
      <w:pPr>
        <w:spacing w:line="600" w:lineRule="exact"/>
        <w:ind w:firstLine="64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w:t>
      </w:r>
      <w:r>
        <w:rPr>
          <w:rFonts w:hint="eastAsia" w:ascii="仿宋" w:hAnsi="仿宋" w:eastAsia="仿宋"/>
          <w:b/>
          <w:sz w:val="32"/>
          <w:szCs w:val="32"/>
          <w:lang w:val="en-US" w:eastAsia="zh-CN"/>
        </w:rPr>
        <w:t>住房保障支出（类）住房改革支出（款）住房公积金（项）</w:t>
      </w:r>
      <w:r>
        <w:rPr>
          <w:rFonts w:hint="eastAsia" w:ascii="仿宋" w:hAnsi="仿宋" w:eastAsia="仿宋"/>
          <w:b/>
          <w:sz w:val="32"/>
          <w:szCs w:val="32"/>
          <w:lang w:eastAsia="zh-CN"/>
        </w:rPr>
        <w:t>：</w:t>
      </w:r>
      <w:r>
        <w:rPr>
          <w:rFonts w:hint="eastAsia" w:ascii="仿宋" w:hAnsi="仿宋" w:eastAsia="仿宋" w:cs="Times New Roman"/>
          <w:kern w:val="0"/>
          <w:sz w:val="32"/>
          <w:szCs w:val="32"/>
          <w:lang w:val="en-US" w:eastAsia="zh-CN" w:bidi="ar-SA"/>
        </w:rPr>
        <w:t>支出决算为51.92万元，完成预算100%，决算数等于预算数。</w:t>
      </w:r>
    </w:p>
    <w:p>
      <w:pPr>
        <w:tabs>
          <w:tab w:val="right" w:pos="8306"/>
        </w:tabs>
        <w:spacing w:line="600" w:lineRule="exact"/>
        <w:ind w:firstLine="640"/>
        <w:outlineLvl w:val="1"/>
        <w:rPr>
          <w:rStyle w:val="32"/>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22年一般公共预算财政拨款基本支出1,271.35万元，其中：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1191.28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80.07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2"/>
          <w:rFonts w:ascii="黑体" w:hAnsi="黑体" w:eastAsia="黑体"/>
          <w:b w:val="0"/>
        </w:rPr>
      </w:pPr>
      <w:bookmarkStart w:id="36" w:name="_Toc15377215"/>
      <w:bookmarkStart w:id="37" w:name="_Toc15396609"/>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22年“三公”经费财政拨款支出决算为158.31万元，完成预算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41.66</w:t>
      </w:r>
      <w:r>
        <w:rPr>
          <w:rFonts w:hint="eastAsia" w:ascii="仿宋" w:hAnsi="仿宋" w:eastAsia="仿宋"/>
          <w:sz w:val="32"/>
          <w:szCs w:val="32"/>
        </w:rPr>
        <w:t>万元，增长</w:t>
      </w:r>
      <w:r>
        <w:rPr>
          <w:rFonts w:hint="eastAsia" w:ascii="仿宋" w:hAnsi="仿宋" w:eastAsia="仿宋"/>
          <w:sz w:val="32"/>
          <w:szCs w:val="32"/>
          <w:lang w:val="en-US" w:eastAsia="zh-CN"/>
        </w:rPr>
        <w:t>35.72</w:t>
      </w:r>
      <w:r>
        <w:rPr>
          <w:rFonts w:hint="eastAsia" w:ascii="仿宋" w:hAnsi="仿宋" w:eastAsia="仿宋"/>
          <w:sz w:val="32"/>
          <w:szCs w:val="32"/>
        </w:rPr>
        <w:t>%。决算数</w:t>
      </w:r>
      <w:r>
        <w:rPr>
          <w:rFonts w:hint="eastAsia" w:ascii="仿宋" w:hAnsi="仿宋" w:eastAsia="仿宋"/>
          <w:sz w:val="32"/>
          <w:szCs w:val="32"/>
          <w:lang w:eastAsia="zh-CN"/>
        </w:rPr>
        <w:t>与</w:t>
      </w:r>
      <w:r>
        <w:rPr>
          <w:rFonts w:hint="eastAsia" w:ascii="仿宋" w:hAnsi="仿宋" w:eastAsia="仿宋"/>
          <w:sz w:val="32"/>
          <w:szCs w:val="32"/>
        </w:rPr>
        <w:t>预算数持平</w:t>
      </w:r>
      <w:r>
        <w:rPr>
          <w:rFonts w:hint="eastAsia" w:ascii="微软雅黑" w:hAnsi="微软雅黑" w:eastAsia="微软雅黑" w:cs="微软雅黑"/>
          <w:i w:val="0"/>
          <w:iCs w:val="0"/>
          <w:caps w:val="0"/>
          <w:color w:val="333333"/>
          <w:spacing w:val="0"/>
          <w:sz w:val="24"/>
          <w:szCs w:val="24"/>
          <w:shd w:val="clear" w:fill="FFFFFF"/>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；公务用车购置及运行维护费支出决算156.62万元，占</w:t>
      </w:r>
      <w:r>
        <w:rPr>
          <w:rFonts w:hint="eastAsia" w:ascii="仿宋" w:hAnsi="仿宋" w:eastAsia="仿宋"/>
          <w:sz w:val="32"/>
          <w:szCs w:val="32"/>
          <w:lang w:val="en-US" w:eastAsia="zh-CN"/>
        </w:rPr>
        <w:t>98.93</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1.69</w:t>
      </w:r>
      <w:r>
        <w:rPr>
          <w:rFonts w:hint="eastAsia" w:ascii="仿宋" w:hAnsi="仿宋" w:eastAsia="仿宋"/>
          <w:sz w:val="32"/>
          <w:szCs w:val="32"/>
        </w:rPr>
        <w:t>万元，占</w:t>
      </w:r>
      <w:r>
        <w:rPr>
          <w:rFonts w:hint="eastAsia" w:ascii="仿宋" w:hAnsi="仿宋" w:eastAsia="仿宋"/>
          <w:sz w:val="32"/>
          <w:szCs w:val="32"/>
          <w:lang w:val="en-US" w:eastAsia="zh-CN"/>
        </w:rPr>
        <w:t>1.07</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p>
    <w:p>
      <w:pPr>
        <w:pStyle w:val="17"/>
        <w:rPr>
          <w:rFonts w:hint="eastAsia" w:ascii="仿宋" w:hAnsi="仿宋" w:eastAsia="仿宋"/>
          <w:sz w:val="32"/>
          <w:szCs w:val="32"/>
        </w:rPr>
      </w:pPr>
      <w:r>
        <w:drawing>
          <wp:inline distT="0" distB="0" distL="114300" distR="114300">
            <wp:extent cx="4847590" cy="2695575"/>
            <wp:effectExtent l="4445" t="5080" r="5715" b="444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7"/>
        <w:ind w:firstLine="1280" w:firstLineChars="400"/>
        <w:rPr>
          <w:rFonts w:hint="eastAsia" w:ascii="仿宋" w:hAnsi="仿宋" w:eastAsia="仿宋"/>
          <w:sz w:val="32"/>
          <w:szCs w:val="32"/>
        </w:rPr>
      </w:pPr>
      <w:r>
        <w:rPr>
          <w:rFonts w:hint="eastAsia" w:ascii="仿宋" w:hAnsi="仿宋" w:eastAsia="仿宋"/>
          <w:sz w:val="32"/>
          <w:szCs w:val="32"/>
        </w:rPr>
        <w:t>（图7：“三公”经费财政拨款支出结构）</w:t>
      </w:r>
    </w:p>
    <w:p>
      <w:pPr>
        <w:numPr>
          <w:ilvl w:val="0"/>
          <w:numId w:val="0"/>
        </w:numPr>
        <w:spacing w:line="600" w:lineRule="exact"/>
        <w:ind w:firstLine="643" w:firstLineChars="200"/>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因公出国（境）支出决算与2021年持平。</w:t>
      </w:r>
    </w:p>
    <w:p>
      <w:pPr>
        <w:numPr>
          <w:ilvl w:val="0"/>
          <w:numId w:val="0"/>
        </w:numPr>
        <w:spacing w:line="600" w:lineRule="exact"/>
        <w:ind w:firstLine="643" w:firstLineChars="200"/>
        <w:rPr>
          <w:rFonts w:hint="eastAsia"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156.62</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44.61</w:t>
      </w:r>
      <w:r>
        <w:rPr>
          <w:rFonts w:hint="eastAsia" w:ascii="仿宋_GB2312" w:eastAsia="仿宋_GB2312"/>
          <w:sz w:val="32"/>
          <w:szCs w:val="32"/>
        </w:rPr>
        <w:t>万元，增长</w:t>
      </w:r>
      <w:r>
        <w:rPr>
          <w:rFonts w:hint="eastAsia" w:ascii="仿宋_GB2312" w:eastAsia="仿宋_GB2312"/>
          <w:sz w:val="32"/>
          <w:szCs w:val="32"/>
          <w:lang w:val="en-US" w:eastAsia="zh-CN"/>
        </w:rPr>
        <w:t>39.84</w:t>
      </w:r>
      <w:r>
        <w:rPr>
          <w:rFonts w:ascii="仿宋_GB2312" w:eastAsia="仿宋_GB2312"/>
          <w:sz w:val="32"/>
          <w:szCs w:val="32"/>
        </w:rPr>
        <w:t>%</w:t>
      </w:r>
      <w:r>
        <w:rPr>
          <w:rFonts w:hint="eastAsia" w:ascii="仿宋_GB2312" w:eastAsia="仿宋_GB2312"/>
          <w:sz w:val="32"/>
          <w:szCs w:val="32"/>
        </w:rPr>
        <w:t>。主</w:t>
      </w:r>
      <w:r>
        <w:rPr>
          <w:rFonts w:hint="eastAsia" w:ascii="仿宋_GB2312" w:eastAsia="仿宋_GB2312"/>
          <w:sz w:val="32"/>
          <w:szCs w:val="32"/>
          <w:lang w:eastAsia="zh-CN"/>
        </w:rPr>
        <w:t>是</w:t>
      </w:r>
      <w:r>
        <w:rPr>
          <w:rFonts w:hint="eastAsia" w:ascii="仿宋_GB2312" w:eastAsia="仿宋_GB2312"/>
          <w:sz w:val="32"/>
          <w:szCs w:val="32"/>
        </w:rPr>
        <w:t>原因</w:t>
      </w:r>
      <w:r>
        <w:rPr>
          <w:rFonts w:hint="eastAsia" w:ascii="仿宋_GB2312" w:eastAsia="仿宋_GB2312"/>
          <w:sz w:val="32"/>
          <w:szCs w:val="32"/>
          <w:lang w:eastAsia="zh-CN"/>
        </w:rPr>
        <w:t>是</w:t>
      </w:r>
      <w:r>
        <w:rPr>
          <w:rFonts w:hint="eastAsia" w:ascii="仿宋_GB2312" w:eastAsia="仿宋_GB2312"/>
          <w:sz w:val="32"/>
          <w:szCs w:val="32"/>
        </w:rPr>
        <w:t>为了保障</w:t>
      </w:r>
      <w:r>
        <w:rPr>
          <w:rFonts w:hint="eastAsia" w:ascii="仿宋_GB2312" w:eastAsia="仿宋_GB2312"/>
          <w:sz w:val="32"/>
          <w:szCs w:val="32"/>
          <w:lang w:eastAsia="zh-CN"/>
        </w:rPr>
        <w:t>特种专业技术用车及执法执勤用车</w:t>
      </w:r>
      <w:r>
        <w:rPr>
          <w:rFonts w:hint="eastAsia" w:ascii="仿宋_GB2312" w:eastAsia="仿宋_GB2312"/>
          <w:sz w:val="32"/>
          <w:szCs w:val="32"/>
        </w:rPr>
        <w:t>日常运转，合理调整了预算，加之2022年加大执法检查力度，每天对城区进行巡察，用车使用频率增加，导致车辆损耗增大。</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43</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144.62</w:t>
      </w:r>
      <w:r>
        <w:rPr>
          <w:rFonts w:hint="eastAsia" w:ascii="仿宋_GB2312" w:eastAsia="仿宋_GB2312"/>
          <w:sz w:val="32"/>
          <w:szCs w:val="32"/>
        </w:rPr>
        <w:t>万元。主要用于</w:t>
      </w:r>
      <w:r>
        <w:rPr>
          <w:rFonts w:hint="eastAsia" w:ascii="仿宋_GB2312" w:eastAsia="仿宋_GB2312"/>
          <w:sz w:val="32"/>
          <w:szCs w:val="32"/>
          <w:lang w:eastAsia="zh-CN"/>
        </w:rPr>
        <w:t>环境卫生整治</w:t>
      </w:r>
      <w:r>
        <w:rPr>
          <w:rFonts w:hint="eastAsia" w:ascii="仿宋_GB2312" w:eastAsia="仿宋_GB2312"/>
          <w:sz w:val="32"/>
          <w:szCs w:val="32"/>
        </w:rPr>
        <w:t>等所需的</w:t>
      </w:r>
      <w:r>
        <w:rPr>
          <w:rFonts w:hint="eastAsia" w:ascii="仿宋_GB2312" w:eastAsia="仿宋_GB2312"/>
          <w:sz w:val="32"/>
          <w:szCs w:val="32"/>
          <w:lang w:eastAsia="zh-CN"/>
        </w:rPr>
        <w:t>环卫</w:t>
      </w:r>
      <w:r>
        <w:rPr>
          <w:rFonts w:hint="eastAsia" w:ascii="仿宋_GB2312" w:eastAsia="仿宋_GB2312"/>
          <w:sz w:val="32"/>
          <w:szCs w:val="32"/>
        </w:rPr>
        <w:t>车燃料费、维修费、过路过桥费、保险费等支出。</w:t>
      </w:r>
    </w:p>
    <w:p>
      <w:pPr>
        <w:keepNext w:val="0"/>
        <w:keepLines w:val="0"/>
        <w:widowControl/>
        <w:suppressLineNumbers w:val="0"/>
        <w:ind w:firstLine="964" w:firstLineChars="300"/>
        <w:jc w:val="left"/>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1.69</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1.21</w:t>
      </w:r>
      <w:r>
        <w:rPr>
          <w:rFonts w:hint="eastAsia" w:ascii="仿宋_GB2312" w:eastAsia="仿宋_GB2312"/>
          <w:sz w:val="32"/>
          <w:szCs w:val="32"/>
        </w:rPr>
        <w:t>万元，下降</w:t>
      </w:r>
      <w:r>
        <w:rPr>
          <w:rFonts w:hint="eastAsia" w:ascii="仿宋_GB2312" w:eastAsia="仿宋_GB2312"/>
          <w:sz w:val="32"/>
          <w:szCs w:val="32"/>
          <w:lang w:val="en-US" w:eastAsia="zh-CN"/>
        </w:rPr>
        <w:t>67.48</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宋体" w:eastAsia="仿宋_GB2312" w:cs="仿宋_GB2312"/>
          <w:color w:val="000000"/>
          <w:kern w:val="0"/>
          <w:sz w:val="31"/>
          <w:szCs w:val="31"/>
          <w:lang w:val="en-US" w:eastAsia="zh-CN" w:bidi="ar"/>
        </w:rPr>
        <w:t>落实过“紧 日子”要求，大力压减公务接待支出。</w:t>
      </w:r>
    </w:p>
    <w:p>
      <w:pPr>
        <w:spacing w:line="600" w:lineRule="exact"/>
        <w:ind w:firstLine="640"/>
        <w:rPr>
          <w:rFonts w:hint="eastAsia" w:ascii="仿宋_GB2312" w:eastAsia="仿宋_GB2312"/>
          <w:sz w:val="32"/>
          <w:szCs w:val="32"/>
          <w:lang w:val="en-US" w:eastAsia="zh-CN"/>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1.69</w:t>
      </w:r>
      <w:r>
        <w:rPr>
          <w:rFonts w:hint="eastAsia" w:ascii="仿宋_GB2312" w:eastAsia="仿宋_GB2312"/>
          <w:sz w:val="32"/>
          <w:szCs w:val="32"/>
        </w:rPr>
        <w:t>万元，主要用于</w:t>
      </w:r>
      <w:r>
        <w:rPr>
          <w:rFonts w:hint="eastAsia" w:ascii="仿宋_GB2312" w:eastAsia="仿宋_GB2312"/>
          <w:sz w:val="32"/>
          <w:szCs w:val="32"/>
          <w:lang w:eastAsia="zh-CN"/>
        </w:rPr>
        <w:t>环境卫生整治</w:t>
      </w:r>
      <w:r>
        <w:rPr>
          <w:rFonts w:hint="eastAsia" w:ascii="仿宋_GB2312" w:eastAsia="仿宋_GB2312"/>
          <w:sz w:val="32"/>
          <w:szCs w:val="32"/>
        </w:rPr>
        <w:t>的交通费、住宿费、用餐费等)。国内公务接待</w:t>
      </w:r>
      <w:r>
        <w:rPr>
          <w:rFonts w:hint="eastAsia" w:ascii="仿宋_GB2312" w:eastAsia="仿宋_GB2312"/>
          <w:sz w:val="32"/>
          <w:szCs w:val="32"/>
          <w:lang w:val="en-US" w:eastAsia="zh-CN"/>
        </w:rPr>
        <w:t>39</w:t>
      </w:r>
      <w:r>
        <w:rPr>
          <w:rFonts w:hint="eastAsia" w:ascii="仿宋_GB2312" w:eastAsia="仿宋_GB2312"/>
          <w:sz w:val="32"/>
          <w:szCs w:val="32"/>
        </w:rPr>
        <w:t>批次，</w:t>
      </w:r>
      <w:r>
        <w:rPr>
          <w:rFonts w:hint="eastAsia" w:ascii="仿宋_GB2312" w:eastAsia="仿宋_GB2312"/>
          <w:sz w:val="32"/>
          <w:szCs w:val="32"/>
          <w:lang w:val="en-US" w:eastAsia="zh-CN"/>
        </w:rPr>
        <w:t>262</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1.69</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77218"/>
      <w:bookmarkStart w:id="41" w:name="_Toc15396610"/>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42" w:name="_Toc15396611"/>
      <w:bookmarkStart w:id="43" w:name="_Toc15377219"/>
      <w:r>
        <w:rPr>
          <w:rStyle w:val="32"/>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44" w:name="_Toc15396612"/>
      <w:bookmarkStart w:id="45" w:name="_Toc15377221"/>
      <w:r>
        <w:rPr>
          <w:rStyle w:val="32"/>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剑阁县综合行政执法局部门</w:t>
      </w:r>
      <w:r>
        <w:rPr>
          <w:rFonts w:hint="eastAsia" w:ascii="仿宋_GB2312" w:eastAsia="仿宋_GB2312"/>
          <w:sz w:val="32"/>
          <w:szCs w:val="32"/>
        </w:rPr>
        <w:t>运行经费支出</w:t>
      </w:r>
      <w:r>
        <w:rPr>
          <w:rFonts w:hint="eastAsia" w:ascii="仿宋_GB2312" w:eastAsia="仿宋_GB2312"/>
          <w:sz w:val="32"/>
          <w:szCs w:val="32"/>
          <w:lang w:val="en-US" w:eastAsia="zh-CN"/>
        </w:rPr>
        <w:t>57.35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减少</w:t>
      </w:r>
      <w:r>
        <w:rPr>
          <w:rFonts w:hint="eastAsia" w:ascii="仿宋_GB2312" w:eastAsia="仿宋_GB2312"/>
          <w:sz w:val="32"/>
          <w:szCs w:val="32"/>
          <w:lang w:val="en-US" w:eastAsia="zh-CN"/>
        </w:rPr>
        <w:t>21.03</w:t>
      </w:r>
      <w:r>
        <w:rPr>
          <w:rFonts w:hint="eastAsia" w:ascii="仿宋_GB2312" w:eastAsia="仿宋_GB2312"/>
          <w:sz w:val="32"/>
          <w:szCs w:val="32"/>
        </w:rPr>
        <w:t>万元，下降</w:t>
      </w:r>
      <w:r>
        <w:rPr>
          <w:rFonts w:hint="eastAsia" w:ascii="仿宋_GB2312" w:eastAsia="仿宋_GB2312"/>
          <w:sz w:val="32"/>
          <w:szCs w:val="32"/>
          <w:lang w:val="en-US" w:eastAsia="zh-CN"/>
        </w:rPr>
        <w:t>26.83</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21年决算数持平）。主要原因是</w:t>
      </w:r>
      <w:r>
        <w:rPr>
          <w:rFonts w:hint="eastAsia" w:ascii="仿宋_GB2312" w:hAnsi="宋体" w:eastAsia="仿宋_GB2312" w:cs="仿宋_GB2312"/>
          <w:color w:val="000000"/>
          <w:kern w:val="0"/>
          <w:sz w:val="31"/>
          <w:szCs w:val="31"/>
          <w:lang w:val="en-US" w:eastAsia="zh-CN" w:bidi="ar"/>
        </w:rPr>
        <w:t>落实过“紧 日子”要求，大力压减开支</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剑阁县综合行政执法局部门</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环境卫生整治</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剑阁县综合行政执法局部门</w:t>
      </w:r>
      <w:r>
        <w:rPr>
          <w:rFonts w:hint="eastAsia" w:ascii="仿宋_GB2312" w:eastAsia="仿宋_GB2312"/>
          <w:sz w:val="32"/>
          <w:szCs w:val="32"/>
        </w:rPr>
        <w:t>共有车辆</w:t>
      </w:r>
      <w:r>
        <w:rPr>
          <w:rFonts w:hint="eastAsia" w:ascii="仿宋_GB2312" w:eastAsia="仿宋_GB2312"/>
          <w:sz w:val="32"/>
          <w:szCs w:val="32"/>
          <w:lang w:val="en-US" w:eastAsia="zh-CN"/>
        </w:rPr>
        <w:t>47</w:t>
      </w:r>
      <w:r>
        <w:rPr>
          <w:rFonts w:hint="eastAsia" w:ascii="仿宋_GB2312" w:eastAsia="仿宋_GB2312"/>
          <w:sz w:val="32"/>
          <w:szCs w:val="32"/>
        </w:rPr>
        <w:t>辆，其中：主要</w:t>
      </w:r>
      <w:r>
        <w:rPr>
          <w:rFonts w:hint="eastAsia" w:ascii="仿宋_GB2312" w:eastAsia="仿宋_GB2312"/>
          <w:sz w:val="32"/>
          <w:szCs w:val="32"/>
          <w:lang w:eastAsia="zh-CN"/>
        </w:rPr>
        <w:t>执法执勤用车</w:t>
      </w:r>
      <w:r>
        <w:rPr>
          <w:rFonts w:hint="eastAsia" w:ascii="仿宋_GB2312" w:eastAsia="仿宋_GB2312"/>
          <w:sz w:val="32"/>
          <w:szCs w:val="32"/>
          <w:lang w:val="en-US" w:eastAsia="zh-CN"/>
        </w:rPr>
        <w:t>3</w:t>
      </w:r>
      <w:r>
        <w:rPr>
          <w:rFonts w:hint="eastAsia" w:ascii="仿宋_GB2312" w:eastAsia="仿宋_GB2312"/>
          <w:sz w:val="32"/>
          <w:szCs w:val="32"/>
        </w:rPr>
        <w:t>辆、</w:t>
      </w:r>
      <w:r>
        <w:rPr>
          <w:rFonts w:hint="eastAsia" w:ascii="仿宋_GB2312" w:eastAsia="仿宋_GB2312"/>
          <w:sz w:val="32"/>
          <w:szCs w:val="32"/>
          <w:lang w:eastAsia="zh-CN"/>
        </w:rPr>
        <w:t>特种专业技术</w:t>
      </w:r>
      <w:r>
        <w:rPr>
          <w:rFonts w:hint="eastAsia" w:ascii="仿宋_GB2312" w:eastAsia="仿宋_GB2312"/>
          <w:sz w:val="32"/>
          <w:szCs w:val="32"/>
        </w:rPr>
        <w:t>用车</w:t>
      </w:r>
      <w:r>
        <w:rPr>
          <w:rFonts w:hint="eastAsia" w:ascii="仿宋_GB2312" w:eastAsia="仿宋_GB2312"/>
          <w:sz w:val="32"/>
          <w:szCs w:val="32"/>
          <w:lang w:val="en-US" w:eastAsia="zh-CN"/>
        </w:rPr>
        <w:t>43</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辆，其他用车主要是用于综合行政执法保障。单价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bookmarkStart w:id="49" w:name="_Toc15377225"/>
      <w:bookmarkStart w:id="50" w:name="_Toc15396613"/>
      <w:r>
        <w:rPr>
          <w:rFonts w:hint="eastAsia" w:ascii="仿宋_GB2312" w:hAnsi="Times New Roman" w:eastAsia="仿宋_GB2312" w:cs="Times New Roman"/>
          <w:kern w:val="2"/>
          <w:sz w:val="32"/>
          <w:szCs w:val="32"/>
          <w:lang w:val="en-US" w:eastAsia="zh-CN" w:bidi="ar-SA"/>
        </w:rPr>
        <w:t>2022年度，组织对一般公共预算、政府性基金预算等项目全面开展绩效自评，形成</w:t>
      </w:r>
      <w:r>
        <w:rPr>
          <w:rFonts w:hint="eastAsia" w:ascii="仿宋_GB2312" w:eastAsia="仿宋_GB2312" w:cs="Times New Roman"/>
          <w:kern w:val="2"/>
          <w:sz w:val="32"/>
          <w:szCs w:val="32"/>
          <w:lang w:val="en-US" w:eastAsia="zh-CN" w:bidi="ar-SA"/>
        </w:rPr>
        <w:t>剑阁</w:t>
      </w:r>
      <w:r>
        <w:rPr>
          <w:rFonts w:hint="eastAsia" w:ascii="仿宋_GB2312" w:hAnsi="Times New Roman" w:eastAsia="仿宋_GB2312" w:cs="Times New Roman"/>
          <w:kern w:val="2"/>
          <w:sz w:val="32"/>
          <w:szCs w:val="32"/>
          <w:lang w:val="en-US" w:eastAsia="zh-CN" w:bidi="ar-SA"/>
        </w:rPr>
        <w:t>县综合行政执法局部门整体绩效自评报告，设置定点祭祀场及工作经费等</w:t>
      </w:r>
      <w:r>
        <w:rPr>
          <w:rFonts w:hint="eastAsia" w:ascii="仿宋_GB2312" w:eastAsia="仿宋_GB2312" w:cs="Times New Roman"/>
          <w:kern w:val="2"/>
          <w:sz w:val="32"/>
          <w:szCs w:val="32"/>
          <w:lang w:val="en-US" w:eastAsia="zh-CN" w:bidi="ar-SA"/>
        </w:rPr>
        <w:t>14</w:t>
      </w:r>
      <w:r>
        <w:rPr>
          <w:rFonts w:hint="eastAsia" w:ascii="仿宋_GB2312" w:hAnsi="Times New Roman" w:eastAsia="仿宋_GB2312" w:cs="Times New Roman"/>
          <w:kern w:val="2"/>
          <w:sz w:val="32"/>
          <w:szCs w:val="32"/>
          <w:lang w:val="en-US" w:eastAsia="zh-CN" w:bidi="ar-SA"/>
        </w:rPr>
        <w:t>个专项预算项目绩效自评报告</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绩效自评综述：我局紧紧围绕中心工作，大力开展城乡环境综合治理、违法建设整治、创建省级文明县城工作，进一步加强城区市容卫生的监督管理力度，规范城区城市建设和户外广告管理，城乡环境卫生面貌和市容秩序得到进一步提高，保证了机关工作的正常运转，人民群众满意度进一步提高，自评结果为优秀；绩效自评报告详见附件。</w:t>
      </w:r>
    </w:p>
    <w:p>
      <w:pPr>
        <w:numPr>
          <w:ilvl w:val="0"/>
          <w:numId w:val="4"/>
        </w:numPr>
        <w:spacing w:line="600" w:lineRule="exact"/>
        <w:ind w:firstLine="660" w:firstLineChars="150"/>
        <w:jc w:val="center"/>
        <w:outlineLvl w:val="0"/>
        <w:rPr>
          <w:rStyle w:val="31"/>
          <w:rFonts w:ascii="黑体" w:hAnsi="黑体" w:eastAsia="黑体"/>
          <w:b w:val="0"/>
        </w:rPr>
      </w:pPr>
      <w:r>
        <w:rPr>
          <w:rFonts w:hint="eastAsia" w:ascii="黑体" w:hAnsi="黑体" w:eastAsia="黑体"/>
          <w:sz w:val="44"/>
          <w:szCs w:val="44"/>
        </w:rPr>
        <w:t>名</w:t>
      </w:r>
      <w:r>
        <w:rPr>
          <w:rStyle w:val="31"/>
          <w:rFonts w:hint="eastAsia" w:ascii="黑体" w:hAnsi="黑体" w:eastAsia="黑体"/>
          <w:b w:val="0"/>
        </w:rPr>
        <w:t>词解释</w:t>
      </w:r>
      <w:bookmarkEnd w:id="49"/>
      <w:bookmarkEnd w:id="50"/>
    </w:p>
    <w:p>
      <w:pPr>
        <w:spacing w:line="600" w:lineRule="exact"/>
        <w:jc w:val="left"/>
        <w:rPr>
          <w:rFonts w:ascii="宋体"/>
          <w:b/>
          <w:sz w:val="44"/>
          <w:szCs w:val="44"/>
        </w:rPr>
      </w:pP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color w:val="auto"/>
          <w:sz w:val="32"/>
          <w:szCs w:val="32"/>
          <w:highlight w:val="none"/>
        </w:rPr>
      </w:pPr>
      <w:r>
        <w:rPr>
          <w:rFonts w:ascii="仿宋_GB2312" w:eastAsia="仿宋_GB2312"/>
          <w:i w:val="0"/>
          <w:iCs w:val="0"/>
          <w:color w:val="auto"/>
          <w:sz w:val="32"/>
          <w:szCs w:val="32"/>
          <w:highlight w:val="none"/>
        </w:rPr>
        <w:t>1.</w:t>
      </w:r>
      <w:r>
        <w:rPr>
          <w:rFonts w:hint="eastAsia" w:ascii="仿宋_GB2312" w:eastAsia="仿宋_GB2312"/>
          <w:i w:val="0"/>
          <w:iCs w:val="0"/>
          <w:color w:val="auto"/>
          <w:sz w:val="32"/>
          <w:szCs w:val="32"/>
          <w:highlight w:val="none"/>
        </w:rPr>
        <w:t>财政拨款收入：指单位从同级财政部门取得的财政预算资金。</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2</w:t>
      </w:r>
      <w:r>
        <w:rPr>
          <w:rFonts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rPr>
        <w:t>其他收入：指单位取得的除上述收入以外的各项收入。主要是</w:t>
      </w:r>
      <w:r>
        <w:rPr>
          <w:rFonts w:hint="eastAsia" w:ascii="仿宋_GB2312" w:eastAsia="仿宋_GB2312"/>
          <w:i w:val="0"/>
          <w:iCs w:val="0"/>
          <w:color w:val="auto"/>
          <w:sz w:val="32"/>
          <w:szCs w:val="32"/>
          <w:highlight w:val="none"/>
          <w:lang w:eastAsia="zh-CN"/>
        </w:rPr>
        <w:t>利息收入等</w:t>
      </w:r>
      <w:r>
        <w:rPr>
          <w:rFonts w:hint="eastAsia" w:ascii="仿宋_GB2312" w:eastAsia="仿宋_GB2312"/>
          <w:i w:val="0"/>
          <w:iCs w:val="0"/>
          <w:color w:val="auto"/>
          <w:sz w:val="32"/>
          <w:szCs w:val="32"/>
          <w:highlight w:val="none"/>
        </w:rPr>
        <w:t>。</w:t>
      </w:r>
      <w:r>
        <w:rPr>
          <w:rFonts w:ascii="仿宋_GB2312" w:eastAsia="仿宋_GB2312"/>
          <w:i w:val="0"/>
          <w:iCs w:val="0"/>
          <w:color w:val="auto"/>
          <w:sz w:val="32"/>
          <w:szCs w:val="32"/>
          <w:highlight w:val="none"/>
        </w:rPr>
        <w:t xml:space="preserve"> </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3</w:t>
      </w:r>
      <w:r>
        <w:rPr>
          <w:rFonts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rPr>
        <w:t>使用非财政拨款结余：指事业单位使用以前年度积累的非财政拨款结余弥补当年收支差额的金额。</w:t>
      </w:r>
      <w:r>
        <w:rPr>
          <w:rFonts w:ascii="仿宋_GB2312" w:eastAsia="仿宋_GB2312"/>
          <w:i w:val="0"/>
          <w:iCs w:val="0"/>
          <w:color w:val="auto"/>
          <w:sz w:val="32"/>
          <w:szCs w:val="32"/>
          <w:highlight w:val="none"/>
        </w:rPr>
        <w:t xml:space="preserve"> </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4</w:t>
      </w:r>
      <w:r>
        <w:rPr>
          <w:rFonts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rPr>
        <w:t>年初结转和结余：指以前年度尚未完成、结转到本年按有关规定继续使用的资金。</w:t>
      </w:r>
      <w:r>
        <w:rPr>
          <w:rFonts w:ascii="仿宋_GB2312" w:eastAsia="仿宋_GB2312"/>
          <w:i w:val="0"/>
          <w:iCs w:val="0"/>
          <w:color w:val="auto"/>
          <w:sz w:val="32"/>
          <w:szCs w:val="32"/>
          <w:highlight w:val="none"/>
        </w:rPr>
        <w:t xml:space="preserve"> </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5</w:t>
      </w:r>
      <w:r>
        <w:rPr>
          <w:rFonts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rPr>
        <w:t>结余分配：指事业单位按照会计制度规定缴纳的所得税、提取的专用结余以及转入非财政拨款结余的金额等。</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6.</w:t>
      </w:r>
      <w:r>
        <w:rPr>
          <w:rFonts w:hint="eastAsia" w:ascii="仿宋_GB2312" w:eastAsia="仿宋_GB2312"/>
          <w:i w:val="0"/>
          <w:iCs w:val="0"/>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sz w:val="32"/>
          <w:szCs w:val="32"/>
          <w:highlight w:val="none"/>
          <w:lang w:eastAsia="zh-CN"/>
        </w:rPr>
      </w:pPr>
      <w:r>
        <w:rPr>
          <w:rFonts w:hint="eastAsia" w:ascii="仿宋_GB2312" w:eastAsia="仿宋_GB2312"/>
          <w:i w:val="0"/>
          <w:iCs w:val="0"/>
          <w:sz w:val="32"/>
          <w:szCs w:val="32"/>
          <w:highlight w:val="none"/>
          <w:lang w:val="en-US" w:eastAsia="zh-CN"/>
        </w:rPr>
        <w:t>7.</w:t>
      </w:r>
      <w:r>
        <w:rPr>
          <w:rFonts w:hint="eastAsia" w:ascii="仿宋_GB2312" w:eastAsia="仿宋_GB2312"/>
          <w:i w:val="0"/>
          <w:iCs w:val="0"/>
          <w:sz w:val="32"/>
          <w:szCs w:val="32"/>
          <w:highlight w:val="none"/>
          <w:lang w:eastAsia="zh-CN"/>
        </w:rPr>
        <w:t>城乡社区支出</w:t>
      </w:r>
      <w:r>
        <w:rPr>
          <w:rFonts w:hint="eastAsia" w:ascii="仿宋_GB2312" w:eastAsia="仿宋_GB2312"/>
          <w:i w:val="0"/>
          <w:iCs w:val="0"/>
          <w:sz w:val="32"/>
          <w:szCs w:val="32"/>
          <w:highlight w:val="none"/>
        </w:rPr>
        <w:t>（类）</w:t>
      </w:r>
      <w:r>
        <w:rPr>
          <w:rFonts w:hint="eastAsia" w:ascii="仿宋_GB2312" w:eastAsia="仿宋_GB2312"/>
          <w:i w:val="0"/>
          <w:iCs w:val="0"/>
          <w:sz w:val="32"/>
          <w:szCs w:val="32"/>
          <w:highlight w:val="none"/>
          <w:lang w:eastAsia="zh-CN"/>
        </w:rPr>
        <w:t>城乡社区管理事务</w:t>
      </w:r>
      <w:r>
        <w:rPr>
          <w:rFonts w:hint="eastAsia" w:ascii="仿宋_GB2312" w:eastAsia="仿宋_GB2312"/>
          <w:i w:val="0"/>
          <w:iCs w:val="0"/>
          <w:sz w:val="32"/>
          <w:szCs w:val="32"/>
          <w:highlight w:val="none"/>
        </w:rPr>
        <w:t>（款）</w:t>
      </w:r>
      <w:r>
        <w:rPr>
          <w:rFonts w:hint="eastAsia" w:ascii="仿宋_GB2312" w:eastAsia="仿宋_GB2312"/>
          <w:i w:val="0"/>
          <w:iCs w:val="0"/>
          <w:sz w:val="32"/>
          <w:szCs w:val="32"/>
          <w:highlight w:val="none"/>
          <w:lang w:eastAsia="zh-CN"/>
        </w:rPr>
        <w:t>城管执法</w:t>
      </w:r>
      <w:r>
        <w:rPr>
          <w:rFonts w:hint="eastAsia" w:ascii="仿宋_GB2312" w:eastAsia="仿宋_GB2312"/>
          <w:i w:val="0"/>
          <w:iCs w:val="0"/>
          <w:sz w:val="32"/>
          <w:szCs w:val="32"/>
          <w:highlight w:val="none"/>
        </w:rPr>
        <w:t>（项）</w:t>
      </w:r>
      <w:r>
        <w:rPr>
          <w:rFonts w:hint="eastAsia" w:ascii="仿宋_GB2312" w:eastAsia="仿宋_GB2312"/>
          <w:i w:val="0"/>
          <w:iCs w:val="0"/>
          <w:sz w:val="32"/>
          <w:szCs w:val="32"/>
          <w:highlight w:val="none"/>
          <w:lang w:eastAsia="zh-CN"/>
        </w:rPr>
        <w:t>指用于综合行政执法工作相关支出费用。</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8.</w:t>
      </w:r>
      <w:r>
        <w:rPr>
          <w:rFonts w:hint="eastAsia" w:ascii="仿宋_GB2312" w:eastAsia="仿宋_GB2312"/>
          <w:i w:val="0"/>
          <w:iCs w:val="0"/>
          <w:sz w:val="32"/>
          <w:szCs w:val="32"/>
          <w:highlight w:val="none"/>
        </w:rPr>
        <w:t>社会保障和就业（类）</w:t>
      </w:r>
      <w:r>
        <w:rPr>
          <w:rFonts w:hint="eastAsia" w:ascii="仿宋_GB2312" w:eastAsia="仿宋_GB2312"/>
          <w:i w:val="0"/>
          <w:iCs w:val="0"/>
          <w:sz w:val="32"/>
          <w:szCs w:val="32"/>
          <w:highlight w:val="none"/>
          <w:lang w:eastAsia="zh-CN"/>
        </w:rPr>
        <w:t>行政事业单位养老支出</w:t>
      </w:r>
      <w:r>
        <w:rPr>
          <w:rFonts w:hint="eastAsia" w:ascii="仿宋_GB2312" w:eastAsia="仿宋_GB2312"/>
          <w:i w:val="0"/>
          <w:iCs w:val="0"/>
          <w:sz w:val="32"/>
          <w:szCs w:val="32"/>
          <w:highlight w:val="none"/>
        </w:rPr>
        <w:t>（款）</w:t>
      </w:r>
      <w:r>
        <w:rPr>
          <w:rFonts w:hint="eastAsia" w:ascii="仿宋_GB2312" w:eastAsia="仿宋_GB2312"/>
          <w:i w:val="0"/>
          <w:iCs w:val="0"/>
          <w:sz w:val="32"/>
          <w:szCs w:val="32"/>
          <w:highlight w:val="none"/>
          <w:lang w:eastAsia="zh-CN"/>
        </w:rPr>
        <w:t>机关事业单位基本养老保险缴费支出</w:t>
      </w:r>
      <w:r>
        <w:rPr>
          <w:rFonts w:hint="eastAsia" w:ascii="仿宋_GB2312" w:eastAsia="仿宋_GB2312"/>
          <w:i w:val="0"/>
          <w:iCs w:val="0"/>
          <w:sz w:val="32"/>
          <w:szCs w:val="32"/>
          <w:highlight w:val="none"/>
        </w:rPr>
        <w:t>（项）</w:t>
      </w:r>
      <w:r>
        <w:rPr>
          <w:rFonts w:hint="eastAsia" w:ascii="仿宋_GB2312" w:eastAsia="仿宋_GB2312"/>
          <w:i w:val="0"/>
          <w:iCs w:val="0"/>
          <w:sz w:val="32"/>
          <w:szCs w:val="32"/>
          <w:highlight w:val="none"/>
          <w:lang w:eastAsia="zh-CN"/>
        </w:rPr>
        <w:t>指行政机关人员保险支出。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sz w:val="32"/>
          <w:szCs w:val="32"/>
          <w:highlight w:val="none"/>
          <w:lang w:eastAsia="zh-CN"/>
        </w:rPr>
      </w:pPr>
      <w:r>
        <w:rPr>
          <w:rFonts w:hint="eastAsia" w:ascii="仿宋_GB2312" w:eastAsia="仿宋_GB2312"/>
          <w:i w:val="0"/>
          <w:iCs w:val="0"/>
          <w:sz w:val="32"/>
          <w:szCs w:val="32"/>
          <w:highlight w:val="none"/>
          <w:lang w:val="en-US" w:eastAsia="zh-CN"/>
        </w:rPr>
        <w:t>9.</w:t>
      </w:r>
      <w:r>
        <w:rPr>
          <w:rFonts w:hint="eastAsia" w:ascii="仿宋_GB2312" w:eastAsia="仿宋_GB2312"/>
          <w:i w:val="0"/>
          <w:iCs w:val="0"/>
          <w:sz w:val="32"/>
          <w:szCs w:val="32"/>
          <w:highlight w:val="none"/>
        </w:rPr>
        <w:t>卫生健康（类）</w:t>
      </w:r>
      <w:r>
        <w:rPr>
          <w:rFonts w:hint="eastAsia" w:ascii="仿宋_GB2312" w:eastAsia="仿宋_GB2312"/>
          <w:i w:val="0"/>
          <w:iCs w:val="0"/>
          <w:sz w:val="32"/>
          <w:szCs w:val="32"/>
          <w:highlight w:val="none"/>
          <w:lang w:eastAsia="zh-CN"/>
        </w:rPr>
        <w:t>行政事业单位医疗</w:t>
      </w:r>
      <w:r>
        <w:rPr>
          <w:rFonts w:hint="eastAsia" w:ascii="仿宋_GB2312" w:eastAsia="仿宋_GB2312"/>
          <w:i w:val="0"/>
          <w:iCs w:val="0"/>
          <w:sz w:val="32"/>
          <w:szCs w:val="32"/>
          <w:highlight w:val="none"/>
        </w:rPr>
        <w:t>（款）</w:t>
      </w:r>
      <w:r>
        <w:rPr>
          <w:rFonts w:hint="eastAsia" w:ascii="仿宋_GB2312" w:eastAsia="仿宋_GB2312"/>
          <w:i w:val="0"/>
          <w:iCs w:val="0"/>
          <w:sz w:val="32"/>
          <w:szCs w:val="32"/>
          <w:highlight w:val="none"/>
          <w:lang w:eastAsia="zh-CN"/>
        </w:rPr>
        <w:t>行政单位</w:t>
      </w:r>
      <w:r>
        <w:rPr>
          <w:rFonts w:hint="eastAsia" w:ascii="仿宋_GB2312" w:eastAsia="仿宋_GB2312"/>
          <w:i w:val="0"/>
          <w:iCs w:val="0"/>
          <w:sz w:val="32"/>
          <w:szCs w:val="32"/>
          <w:highlight w:val="none"/>
        </w:rPr>
        <w:t>（项）</w:t>
      </w:r>
      <w:r>
        <w:rPr>
          <w:rFonts w:hint="eastAsia" w:ascii="仿宋_GB2312" w:eastAsia="仿宋_GB2312"/>
          <w:i w:val="0"/>
          <w:iCs w:val="0"/>
          <w:sz w:val="32"/>
          <w:szCs w:val="32"/>
          <w:highlight w:val="none"/>
          <w:lang w:eastAsia="zh-CN"/>
        </w:rPr>
        <w:t>指行政机关人员医疗保险支出。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10.</w:t>
      </w:r>
      <w:r>
        <w:rPr>
          <w:rFonts w:hint="eastAsia" w:ascii="仿宋_GB2312" w:eastAsia="仿宋_GB2312"/>
          <w:i w:val="0"/>
          <w:iCs w:val="0"/>
          <w:sz w:val="32"/>
          <w:szCs w:val="32"/>
          <w:highlight w:val="none"/>
          <w:lang w:eastAsia="zh-CN"/>
        </w:rPr>
        <w:t>住房保障支出</w:t>
      </w:r>
      <w:r>
        <w:rPr>
          <w:rFonts w:hint="eastAsia" w:ascii="仿宋_GB2312" w:eastAsia="仿宋_GB2312"/>
          <w:i w:val="0"/>
          <w:iCs w:val="0"/>
          <w:sz w:val="32"/>
          <w:szCs w:val="32"/>
          <w:highlight w:val="none"/>
        </w:rPr>
        <w:t>（类）</w:t>
      </w:r>
      <w:r>
        <w:rPr>
          <w:rFonts w:hint="eastAsia" w:ascii="仿宋_GB2312" w:eastAsia="仿宋_GB2312"/>
          <w:i w:val="0"/>
          <w:iCs w:val="0"/>
          <w:sz w:val="32"/>
          <w:szCs w:val="32"/>
          <w:highlight w:val="none"/>
          <w:lang w:eastAsia="zh-CN"/>
        </w:rPr>
        <w:t>住房改革支出（款）住房公积金（项）指行政机关人员住房公积金支出。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11.</w:t>
      </w:r>
      <w:r>
        <w:rPr>
          <w:rFonts w:hint="eastAsia" w:ascii="仿宋_GB2312" w:eastAsia="仿宋_GB2312"/>
          <w:i w:val="0"/>
          <w:iCs w:val="0"/>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12.</w:t>
      </w:r>
      <w:r>
        <w:rPr>
          <w:rFonts w:hint="eastAsia" w:ascii="仿宋_GB2312" w:eastAsia="仿宋_GB2312"/>
          <w:i w:val="0"/>
          <w:iCs w:val="0"/>
          <w:sz w:val="32"/>
          <w:szCs w:val="32"/>
          <w:highlight w:val="none"/>
        </w:rPr>
        <w:t>项目支出：指在基本支出之外为完成特定行政任务和事业发展目标所发生的支出。</w:t>
      </w:r>
      <w:r>
        <w:rPr>
          <w:rFonts w:ascii="仿宋_GB2312" w:eastAsia="仿宋_GB2312"/>
          <w:i w:val="0"/>
          <w:iCs w:val="0"/>
          <w:sz w:val="32"/>
          <w:szCs w:val="32"/>
          <w:highlight w:val="none"/>
        </w:rPr>
        <w:t xml:space="preserve">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13.</w:t>
      </w:r>
      <w:r>
        <w:rPr>
          <w:rFonts w:hint="eastAsia" w:ascii="仿宋_GB2312" w:eastAsia="仿宋_GB2312"/>
          <w:i w:val="0"/>
          <w:iCs w:val="0"/>
          <w:sz w:val="32"/>
          <w:szCs w:val="32"/>
          <w:highlight w:val="none"/>
        </w:rPr>
        <w:t>经营支出：指事业单位在专业业务活动及其辅助活动之外开展非独立核算经营活动发生的支出。</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14.</w:t>
      </w:r>
      <w:r>
        <w:rPr>
          <w:rFonts w:hint="eastAsia" w:ascii="仿宋_GB2312" w:eastAsia="仿宋_GB2312"/>
          <w:i w:val="0"/>
          <w:i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15.</w:t>
      </w:r>
      <w:r>
        <w:rPr>
          <w:rFonts w:hint="eastAsia" w:ascii="仿宋_GB2312" w:eastAsia="仿宋_GB2312"/>
          <w:i w:val="0"/>
          <w:i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31"/>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31"/>
          <w:rFonts w:hint="eastAsia" w:ascii="黑体" w:hAnsi="黑体" w:eastAsia="黑体"/>
          <w:b w:val="0"/>
        </w:rPr>
        <w:t>四部分 附件</w:t>
      </w:r>
      <w:bookmarkEnd w:id="52"/>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w:t>
      </w:r>
      <w:r>
        <w:rPr>
          <w:rFonts w:hint="eastAsia" w:ascii="宋体" w:hAnsi="宋体"/>
          <w:b/>
          <w:sz w:val="32"/>
          <w:szCs w:val="32"/>
          <w:shd w:val="clear" w:color="auto" w:fill="FFFFFF"/>
          <w:lang w:val="en-US" w:eastAsia="zh-CN"/>
        </w:rPr>
        <w:t>2</w:t>
      </w:r>
      <w:r>
        <w:rPr>
          <w:rFonts w:hint="eastAsia" w:ascii="宋体" w:hAnsi="宋体"/>
          <w:b/>
          <w:sz w:val="32"/>
          <w:szCs w:val="32"/>
          <w:shd w:val="clear" w:color="auto" w:fill="FFFFFF"/>
        </w:rPr>
        <w:t>年部门整体绩效评价报告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6"/>
        </w:numPr>
        <w:adjustRightInd w:val="0"/>
        <w:snapToGrid w:val="0"/>
        <w:spacing w:line="560" w:lineRule="exact"/>
        <w:ind w:left="-13" w:leftChars="0" w:firstLine="643" w:firstLineChars="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pStyle w:val="7"/>
        <w:numPr>
          <w:ilvl w:val="0"/>
          <w:numId w:val="0"/>
        </w:numPr>
        <w:ind w:firstLine="640" w:firstLineChars="200"/>
        <w:rPr>
          <w:lang w:val="zh-CN"/>
        </w:rPr>
      </w:pPr>
      <w:r>
        <w:rPr>
          <w:rFonts w:hint="eastAsia" w:ascii="仿宋" w:hAnsi="仿宋" w:eastAsia="仿宋"/>
          <w:sz w:val="32"/>
          <w:szCs w:val="32"/>
          <w:lang w:eastAsia="zh-CN"/>
        </w:rPr>
        <w:t>剑</w:t>
      </w:r>
      <w:r>
        <w:rPr>
          <w:rFonts w:hint="eastAsia" w:ascii="仿宋_GB2312" w:hAnsi="宋体" w:eastAsia="仿宋_GB2312" w:cs="宋体"/>
          <w:color w:val="000000"/>
          <w:kern w:val="0"/>
          <w:sz w:val="32"/>
          <w:szCs w:val="32"/>
          <w:shd w:val="clear" w:color="auto" w:fill="FFFFFF"/>
          <w:lang w:val="zh-CN" w:eastAsia="zh-CN"/>
        </w:rPr>
        <w:t>阁县综合行政执法局</w:t>
      </w:r>
      <w:r>
        <w:rPr>
          <w:rFonts w:hint="eastAsia" w:ascii="仿宋_GB2312" w:hAnsi="宋体" w:eastAsia="仿宋_GB2312" w:cs="宋体"/>
          <w:color w:val="000000"/>
          <w:kern w:val="0"/>
          <w:sz w:val="32"/>
          <w:szCs w:val="32"/>
          <w:shd w:val="clear" w:color="auto" w:fill="FFFFFF"/>
          <w:lang w:val="zh-CN"/>
        </w:rPr>
        <w:t>下属二级单位</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个，其中行政单位</w:t>
      </w:r>
      <w:r>
        <w:rPr>
          <w:rFonts w:hint="eastAsia" w:ascii="仿宋_GB2312" w:hAnsi="宋体" w:eastAsia="仿宋_GB2312" w:cs="宋体"/>
          <w:color w:val="000000"/>
          <w:kern w:val="0"/>
          <w:sz w:val="32"/>
          <w:szCs w:val="32"/>
          <w:shd w:val="clear" w:color="auto" w:fill="FFFFFF"/>
          <w:lang w:val="en-US" w:eastAsia="zh-CN"/>
        </w:rPr>
        <w:t>0</w:t>
      </w:r>
      <w:r>
        <w:rPr>
          <w:rFonts w:hint="eastAsia" w:ascii="仿宋_GB2312" w:hAnsi="宋体" w:eastAsia="仿宋_GB2312" w:cs="宋体"/>
          <w:color w:val="000000"/>
          <w:kern w:val="0"/>
          <w:sz w:val="32"/>
          <w:szCs w:val="32"/>
          <w:shd w:val="clear" w:color="auto" w:fill="FFFFFF"/>
          <w:lang w:val="zh-CN"/>
        </w:rPr>
        <w:t>个，参照公务员法管理的事业单位</w:t>
      </w:r>
      <w:r>
        <w:rPr>
          <w:rFonts w:hint="eastAsia" w:ascii="仿宋_GB2312" w:hAnsi="宋体" w:eastAsia="仿宋_GB2312" w:cs="宋体"/>
          <w:color w:val="000000"/>
          <w:kern w:val="0"/>
          <w:sz w:val="32"/>
          <w:szCs w:val="32"/>
          <w:shd w:val="clear" w:color="auto" w:fill="FFFFFF"/>
          <w:lang w:val="en-US" w:eastAsia="zh-CN"/>
        </w:rPr>
        <w:t>0</w:t>
      </w:r>
      <w:r>
        <w:rPr>
          <w:rFonts w:hint="eastAsia" w:ascii="仿宋_GB2312" w:hAnsi="宋体" w:eastAsia="仿宋_GB2312" w:cs="宋体"/>
          <w:color w:val="000000"/>
          <w:kern w:val="0"/>
          <w:sz w:val="32"/>
          <w:szCs w:val="32"/>
          <w:shd w:val="clear" w:color="auto" w:fill="FFFFFF"/>
          <w:lang w:val="zh-CN"/>
        </w:rPr>
        <w:t>个，其他事业单位</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个</w:t>
      </w:r>
      <w:r>
        <w:rPr>
          <w:rFonts w:hint="eastAsia" w:ascii="仿宋_GB2312" w:hAnsi="宋体" w:eastAsia="仿宋_GB2312" w:cs="宋体"/>
          <w:color w:val="000000"/>
          <w:kern w:val="0"/>
          <w:sz w:val="32"/>
          <w:szCs w:val="32"/>
          <w:shd w:val="clear" w:color="auto" w:fill="FFFFFF"/>
          <w:lang w:val="zh-CN" w:eastAsia="zh-CN"/>
        </w:rPr>
        <w:t>，为剑阁县环境卫生事务中心，属一级预算单位</w:t>
      </w:r>
      <w:r>
        <w:rPr>
          <w:rFonts w:hint="eastAsia" w:hAnsi="宋体" w:cs="宋体"/>
          <w:color w:val="000000"/>
          <w:kern w:val="0"/>
          <w:sz w:val="32"/>
          <w:szCs w:val="32"/>
          <w:shd w:val="clear" w:color="auto" w:fill="FFFFFF"/>
          <w:lang w:val="zh-CN" w:eastAsia="zh-CN"/>
        </w:rPr>
        <w:t>。</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left="-13" w:leftChars="0" w:firstLine="643" w:firstLineChars="0"/>
        <w:contextualSpacing/>
        <w:jc w:val="both"/>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both"/>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按照职责，县综合行政执法局主要负责贯彻执行国家、省、市有关综合行政执法工作的方针政策和法律、法规、规章，起草有关规范性文件草案;拟订全县综合行政执法工作规划并组织实施；行使城乡建设、城乡管理方面法律、法规、规章规定的部分行政处罚权。负责全县城乡环境综合治理工作，负责县城市容市貌和环境卫生的日常监督管理等工作。2022年，我县综合行政执法管理工作在县委、县政府的坚强领导下，在县人大、县政协的监督支持下，我局主动作为，真抓实干，攻坚克难，积极创新城市管理理念，不断加大督查考核力度，全面深化城区秩序和环境卫生综合整治，城市管理工作逐渐向规范化、精细化、常态化转变。</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2022年剑阁县综合行政执法局编制数</w:t>
      </w:r>
      <w:r>
        <w:rPr>
          <w:rFonts w:hint="eastAsia" w:ascii="仿宋_GB2312" w:hAnsi="宋体" w:eastAsia="仿宋_GB2312" w:cs="宋体"/>
          <w:color w:val="000000"/>
          <w:kern w:val="0"/>
          <w:sz w:val="32"/>
          <w:szCs w:val="32"/>
          <w:shd w:val="clear" w:color="auto" w:fill="FFFFFF"/>
          <w:lang w:val="en-US" w:eastAsia="zh-CN" w:bidi="ar-SA"/>
        </w:rPr>
        <w:t>75</w:t>
      </w:r>
      <w:r>
        <w:rPr>
          <w:rFonts w:hint="eastAsia" w:ascii="仿宋_GB2312" w:hAnsi="宋体" w:eastAsia="仿宋_GB2312" w:cs="宋体"/>
          <w:color w:val="000000"/>
          <w:kern w:val="0"/>
          <w:sz w:val="32"/>
          <w:szCs w:val="32"/>
          <w:shd w:val="clear" w:color="auto" w:fill="FFFFFF"/>
          <w:lang w:val="zh-CN" w:eastAsia="zh-CN" w:bidi="ar-SA"/>
        </w:rPr>
        <w:t>人，其中公务员编制</w:t>
      </w:r>
      <w:r>
        <w:rPr>
          <w:rFonts w:hint="eastAsia" w:ascii="仿宋_GB2312" w:hAnsi="宋体" w:eastAsia="仿宋_GB2312" w:cs="宋体"/>
          <w:color w:val="000000"/>
          <w:kern w:val="0"/>
          <w:sz w:val="32"/>
          <w:szCs w:val="32"/>
          <w:shd w:val="clear" w:color="auto" w:fill="FFFFFF"/>
          <w:lang w:val="en-US" w:eastAsia="zh-CN" w:bidi="ar-SA"/>
        </w:rPr>
        <w:t>9</w:t>
      </w:r>
      <w:r>
        <w:rPr>
          <w:rFonts w:hint="eastAsia" w:ascii="仿宋_GB2312" w:hAnsi="宋体" w:eastAsia="仿宋_GB2312" w:cs="宋体"/>
          <w:color w:val="000000"/>
          <w:kern w:val="0"/>
          <w:sz w:val="32"/>
          <w:szCs w:val="32"/>
          <w:shd w:val="clear" w:color="auto" w:fill="FFFFFF"/>
          <w:lang w:val="zh-CN" w:eastAsia="zh-CN" w:bidi="ar-SA"/>
        </w:rPr>
        <w:t>人，参照公务员管理编制</w:t>
      </w:r>
      <w:r>
        <w:rPr>
          <w:rFonts w:hint="eastAsia" w:ascii="仿宋_GB2312" w:hAnsi="宋体" w:eastAsia="仿宋_GB2312" w:cs="宋体"/>
          <w:color w:val="000000"/>
          <w:kern w:val="0"/>
          <w:sz w:val="32"/>
          <w:szCs w:val="32"/>
          <w:shd w:val="clear" w:color="auto" w:fill="FFFFFF"/>
          <w:lang w:val="en-US" w:eastAsia="zh-CN" w:bidi="ar-SA"/>
        </w:rPr>
        <w:t>26</w:t>
      </w:r>
      <w:r>
        <w:rPr>
          <w:rFonts w:hint="eastAsia" w:ascii="仿宋_GB2312" w:hAnsi="宋体" w:eastAsia="仿宋_GB2312" w:cs="宋体"/>
          <w:color w:val="000000"/>
          <w:kern w:val="0"/>
          <w:sz w:val="32"/>
          <w:szCs w:val="32"/>
          <w:shd w:val="clear" w:color="auto" w:fill="FFFFFF"/>
          <w:lang w:val="zh-CN" w:eastAsia="zh-CN" w:bidi="ar-SA"/>
        </w:rPr>
        <w:t>人，事业编制</w:t>
      </w:r>
      <w:r>
        <w:rPr>
          <w:rFonts w:hint="eastAsia" w:ascii="仿宋_GB2312" w:hAnsi="宋体" w:eastAsia="仿宋_GB2312" w:cs="宋体"/>
          <w:color w:val="000000"/>
          <w:kern w:val="0"/>
          <w:sz w:val="32"/>
          <w:szCs w:val="32"/>
          <w:shd w:val="clear" w:color="auto" w:fill="FFFFFF"/>
          <w:lang w:val="en-US" w:eastAsia="zh-CN" w:bidi="ar-SA"/>
        </w:rPr>
        <w:t>40</w:t>
      </w:r>
      <w:r>
        <w:rPr>
          <w:rFonts w:hint="eastAsia" w:ascii="仿宋_GB2312" w:hAnsi="宋体" w:eastAsia="仿宋_GB2312" w:cs="宋体"/>
          <w:color w:val="000000"/>
          <w:kern w:val="0"/>
          <w:sz w:val="32"/>
          <w:szCs w:val="32"/>
          <w:shd w:val="clear" w:color="auto" w:fill="FFFFFF"/>
          <w:lang w:val="zh-CN" w:eastAsia="zh-CN" w:bidi="ar-SA"/>
        </w:rPr>
        <w:t>人。截止2022年12月31日，实有在编在岗人员</w:t>
      </w:r>
      <w:r>
        <w:rPr>
          <w:rFonts w:hint="eastAsia" w:ascii="仿宋_GB2312" w:hAnsi="宋体" w:eastAsia="仿宋_GB2312" w:cs="宋体"/>
          <w:color w:val="000000"/>
          <w:kern w:val="0"/>
          <w:sz w:val="32"/>
          <w:szCs w:val="32"/>
          <w:shd w:val="clear" w:color="auto" w:fill="FFFFFF"/>
          <w:lang w:val="en-US" w:eastAsia="zh-CN" w:bidi="ar-SA"/>
        </w:rPr>
        <w:t>66</w:t>
      </w:r>
      <w:r>
        <w:rPr>
          <w:rFonts w:hint="eastAsia" w:ascii="仿宋_GB2312" w:hAnsi="宋体" w:eastAsia="仿宋_GB2312" w:cs="宋体"/>
          <w:color w:val="000000"/>
          <w:kern w:val="0"/>
          <w:sz w:val="32"/>
          <w:szCs w:val="32"/>
          <w:shd w:val="clear" w:color="auto" w:fill="FFFFFF"/>
          <w:lang w:val="zh-CN" w:eastAsia="zh-CN" w:bidi="ar-SA"/>
        </w:rPr>
        <w:t>人。临聘人员</w:t>
      </w:r>
      <w:r>
        <w:rPr>
          <w:rFonts w:hint="eastAsia" w:ascii="仿宋_GB2312" w:hAnsi="宋体" w:eastAsia="仿宋_GB2312" w:cs="宋体"/>
          <w:color w:val="000000"/>
          <w:kern w:val="0"/>
          <w:sz w:val="32"/>
          <w:szCs w:val="32"/>
          <w:shd w:val="clear" w:color="auto" w:fill="FFFFFF"/>
          <w:lang w:val="en-US" w:eastAsia="zh-CN" w:bidi="ar-SA"/>
        </w:rPr>
        <w:t>329</w:t>
      </w:r>
      <w:r>
        <w:rPr>
          <w:rFonts w:hint="eastAsia" w:ascii="仿宋_GB2312" w:hAnsi="宋体" w:eastAsia="仿宋_GB2312" w:cs="宋体"/>
          <w:color w:val="000000"/>
          <w:kern w:val="0"/>
          <w:sz w:val="32"/>
          <w:szCs w:val="32"/>
          <w:shd w:val="clear" w:color="auto" w:fill="FFFFFF"/>
          <w:lang w:val="zh-CN" w:eastAsia="zh-CN" w:bidi="ar-SA"/>
        </w:rPr>
        <w:t>人。</w:t>
      </w:r>
    </w:p>
    <w:p>
      <w:pPr>
        <w:widowControl/>
        <w:numPr>
          <w:ilvl w:val="0"/>
          <w:numId w:val="0"/>
        </w:numPr>
        <w:adjustRightInd w:val="0"/>
        <w:snapToGrid w:val="0"/>
        <w:spacing w:line="560" w:lineRule="exact"/>
        <w:ind w:left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（四）年度主要工作任务</w:t>
      </w:r>
    </w:p>
    <w:p>
      <w:pPr>
        <w:spacing w:line="520" w:lineRule="exact"/>
        <w:ind w:firstLine="645"/>
        <w:rPr>
          <w:rFonts w:hint="eastAsia" w:ascii="仿宋" w:hAnsi="仿宋" w:eastAsia="仿宋"/>
          <w:sz w:val="32"/>
          <w:szCs w:val="32"/>
        </w:rPr>
      </w:pPr>
      <w:r>
        <w:rPr>
          <w:rFonts w:hint="eastAsia" w:ascii="楷体_GB2312" w:hAnsi="楷体_GB2312" w:eastAsia="楷体_GB2312" w:cs="楷体_GB2312"/>
          <w:b w:val="0"/>
          <w:bCs w:val="0"/>
          <w:color w:val="000000"/>
          <w:kern w:val="0"/>
          <w:sz w:val="32"/>
          <w:szCs w:val="32"/>
          <w:lang w:eastAsia="zh-CN"/>
        </w:rPr>
        <w:t>（</w:t>
      </w:r>
      <w:r>
        <w:rPr>
          <w:rFonts w:hint="eastAsia" w:ascii="仿宋" w:hAnsi="仿宋" w:eastAsia="仿宋"/>
          <w:sz w:val="32"/>
          <w:szCs w:val="32"/>
        </w:rPr>
        <w:t>坚决围绕县委“1233”执政兴县战略深度谋划，奋力提升综合行政执法、城乡环境综合治理、城市秩序管理能力和水平，最大限度护航全县经济发展和民生保障。</w:t>
      </w:r>
    </w:p>
    <w:p>
      <w:pPr>
        <w:spacing w:line="520" w:lineRule="exact"/>
        <w:ind w:firstLine="645"/>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持续推进综合行政执法改革，助推全县基层治理工作。加强全县综合行政执法工作的组织、协调、监督、培训。在重点领域多立案、严处罚，大力开展跨领域、跨部门的行政处罚案件办理工作，牵头保障由政府组织的重大执法活动，强力推进依法执政、依法行政，奋力助推全县依法治理工作。</w:t>
      </w:r>
    </w:p>
    <w:p>
      <w:pPr>
        <w:spacing w:line="520" w:lineRule="exact"/>
        <w:ind w:firstLine="645"/>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强力推进城乡环境综合治理，促进城乡人居环境大提升。牵头推进城乡环境综合治理工作，建立政府指导、部门协作、公众参与、严格监督考核的治理机制，完善城乡生活垃圾分类、收集、转运、处置体系。加快配套实施完成一批环卫设施项目建设，努力打造“干净城市”“干净农村”。</w:t>
      </w:r>
    </w:p>
    <w:p>
      <w:pPr>
        <w:spacing w:line="520" w:lineRule="exact"/>
        <w:ind w:firstLine="645"/>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严格城市监督管理，做强做美新老县城。拟订城市管理计划，制定城市管理制度，形成齐抓共管氛围。攻坚克难整治乱占、乱摆、乱停、乱放、油烟噪音等城市顽疾，打造“城市管理示范街”，加强城市管理应急突发事件处置，确保城市秩序规范有序。</w:t>
      </w:r>
    </w:p>
    <w:p>
      <w:pPr>
        <w:spacing w:line="520" w:lineRule="exact"/>
        <w:ind w:firstLine="645"/>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加强队伍建设，重塑综合行政执法队伍新形象。持续抓党风廉政建设和干部纪律作风整顿，针对队伍成分复杂、管理难度大的问题，创新管理举措。大力发扬“五皮精神”，认真落实“三宁三勿”工作法，严格落实奖惩机制，着实提升队伍的爱岗敬业、吃苦奉献、崇尚荣誉的职业精神。</w:t>
      </w:r>
    </w:p>
    <w:p>
      <w:pPr>
        <w:spacing w:line="52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5.进一步抓环卫队伍建设。一是完成支部改选，发展入党积极分子，强化支部力量，以支部促干部队伍。二是继续发扬环卫人吃苦耐劳的精神，抓干部职工学习教育，以开展干部作风纪律整顿为契机提升干部执行力，力促干部作风纪律转变。</w:t>
      </w:r>
    </w:p>
    <w:p>
      <w:pPr>
        <w:spacing w:line="520" w:lineRule="exact"/>
        <w:ind w:firstLine="645"/>
        <w:rPr>
          <w:rFonts w:hint="default" w:ascii="仿宋" w:hAnsi="仿宋" w:eastAsia="仿宋"/>
          <w:sz w:val="32"/>
          <w:szCs w:val="32"/>
          <w:lang w:val="en-US" w:eastAsia="zh-CN"/>
        </w:rPr>
      </w:pPr>
      <w:r>
        <w:rPr>
          <w:rFonts w:hint="eastAsia" w:ascii="仿宋" w:hAnsi="仿宋" w:eastAsia="仿宋"/>
          <w:sz w:val="32"/>
          <w:szCs w:val="32"/>
          <w:lang w:val="en-US" w:eastAsia="zh-CN"/>
        </w:rPr>
        <w:t>6.进一步开展环境卫生整治。一是常态化抓道路日常保洁、垃圾收集、清运、处置，确保路段干净整洁。二是开展环境卫生专项整治。针对背街小巷、卫生死角，集中力量开展专项整治。三是提升城市公厕管理，争取资金完成公厕提升改造。四是加大沿街单位、商铺、社区、小区物业等沟通协调力度，落实好‘门前五包’，共同推进环境卫生大改善。</w:t>
      </w:r>
    </w:p>
    <w:p>
      <w:pPr>
        <w:spacing w:line="52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7.进一步创新管理举措。一是落实环境卫生网格化管理，开展精细化作业，将城区实行划片，每片明确责任人，负责包片区域环境卫生问题的巡查和督促整改。加强同城管大队的协作，共同抓好城市管理。二是加大对风险点位的管控。重点加强垃圾场、中转站、环卫车辆及路灯的管理，排查和消除安全隐患，做好基础设施的</w:t>
      </w:r>
      <w:r>
        <w:rPr>
          <w:rFonts w:hint="default" w:ascii="仿宋" w:hAnsi="仿宋" w:eastAsia="仿宋"/>
          <w:sz w:val="32"/>
          <w:szCs w:val="32"/>
          <w:lang w:val="en-US" w:eastAsia="zh-CN"/>
        </w:rPr>
        <w:t>日常维护工作,确保设施的整洁完好和正常运行</w:t>
      </w:r>
      <w:r>
        <w:rPr>
          <w:rFonts w:hint="eastAsia" w:ascii="仿宋" w:hAnsi="仿宋" w:eastAsia="仿宋"/>
          <w:sz w:val="32"/>
          <w:szCs w:val="32"/>
          <w:lang w:val="en-US" w:eastAsia="zh-CN"/>
        </w:rPr>
        <w:t>。三是改革尝试环卫服务市场化运营模式，由政府购买服务，市场化运作，从而降低管理成本，提高管理质量。</w:t>
      </w:r>
    </w:p>
    <w:p>
      <w:pPr>
        <w:spacing w:line="520" w:lineRule="exact"/>
        <w:ind w:firstLine="645"/>
        <w:rPr>
          <w:rFonts w:hint="eastAsia" w:ascii="仿宋" w:hAnsi="仿宋" w:eastAsia="仿宋"/>
          <w:sz w:val="32"/>
          <w:szCs w:val="32"/>
          <w:lang w:eastAsia="zh-CN"/>
        </w:rPr>
      </w:pPr>
      <w:r>
        <w:rPr>
          <w:rFonts w:hint="eastAsia" w:ascii="仿宋" w:hAnsi="仿宋" w:eastAsia="仿宋"/>
          <w:sz w:val="32"/>
          <w:szCs w:val="32"/>
          <w:lang w:val="en-US" w:eastAsia="zh-CN"/>
        </w:rPr>
        <w:t>8.进一步推进项目建设。一是加快推进生活垃圾分类转运设施、餐厨垃圾项目、热解气化项目实施，指导、督导国有平台公司建筑垃圾项目，确保完成全年目标任务。二是抓项目包装，积极向上争取中央预算资金、地方债券和省级预算资金，助推环卫基础设施再提升，人居生活环境再改善。三是</w:t>
      </w:r>
      <w:r>
        <w:rPr>
          <w:rFonts w:hint="eastAsia" w:ascii="仿宋" w:hAnsi="仿宋" w:eastAsia="仿宋"/>
          <w:sz w:val="32"/>
          <w:szCs w:val="32"/>
          <w:lang w:eastAsia="zh-CN"/>
        </w:rPr>
        <w:t>抓项目落实，</w:t>
      </w:r>
      <w:r>
        <w:rPr>
          <w:rFonts w:hint="eastAsia" w:ascii="仿宋" w:hAnsi="仿宋" w:eastAsia="仿宋"/>
          <w:sz w:val="32"/>
          <w:szCs w:val="32"/>
        </w:rPr>
        <w:t>要在严格做好疫情防控的基础上，加大力度推进项目建设，强化目标导向抓调度，强化问题导向解难题，强化结果导向求实效，坚持质量第一、效益优先，严把安全关、环保关、质量关</w:t>
      </w:r>
      <w:r>
        <w:rPr>
          <w:rFonts w:hint="eastAsia" w:ascii="仿宋" w:hAnsi="仿宋" w:eastAsia="仿宋"/>
          <w:sz w:val="32"/>
          <w:szCs w:val="32"/>
          <w:lang w:eastAsia="zh-CN"/>
        </w:rPr>
        <w:t>。</w:t>
      </w:r>
    </w:p>
    <w:p>
      <w:pPr>
        <w:spacing w:line="520" w:lineRule="exact"/>
        <w:ind w:firstLine="645"/>
        <w:rPr>
          <w:rFonts w:hint="eastAsia" w:ascii="仿宋" w:hAnsi="仿宋" w:eastAsia="仿宋"/>
          <w:sz w:val="32"/>
          <w:szCs w:val="32"/>
          <w:lang w:val="zh-CN"/>
        </w:rPr>
      </w:pPr>
      <w:r>
        <w:rPr>
          <w:rFonts w:hint="eastAsia" w:ascii="仿宋" w:hAnsi="仿宋" w:eastAsia="仿宋"/>
          <w:sz w:val="32"/>
          <w:szCs w:val="32"/>
          <w:lang w:val="zh-CN"/>
        </w:rPr>
        <w:t>（四）部门整体支出绩效目标。</w:t>
      </w:r>
    </w:p>
    <w:p>
      <w:pPr>
        <w:spacing w:line="520" w:lineRule="exact"/>
        <w:ind w:firstLine="645"/>
        <w:rPr>
          <w:rFonts w:hint="eastAsia" w:ascii="仿宋" w:hAnsi="仿宋" w:eastAsia="仿宋"/>
          <w:sz w:val="32"/>
          <w:szCs w:val="32"/>
          <w:lang w:val="zh-CN"/>
        </w:rPr>
      </w:pPr>
      <w:r>
        <w:rPr>
          <w:rFonts w:hint="eastAsia" w:ascii="仿宋" w:hAnsi="仿宋" w:eastAsia="仿宋"/>
          <w:sz w:val="32"/>
          <w:szCs w:val="32"/>
          <w:lang w:val="zh-CN" w:eastAsia="zh-CN"/>
        </w:rPr>
        <w:t>继续贯彻执行国家、省、市有关城市管理和行政执法的方针政策和法律、法规、规章等；在以前年度基础上细化2022年度城市管理标准和办法并组织实施；集中行使城市管理和行政执法职责，以及城市管理和行政执法领域法律、法规、规章规定的行政处罚权和行政强制措施。</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spacing w:line="600" w:lineRule="exact"/>
        <w:ind w:firstLine="640" w:firstLineChars="200"/>
        <w:rPr>
          <w:rFonts w:hint="eastAsia" w:eastAsia="仿宋"/>
          <w:lang w:val="en-US" w:eastAsia="zh-CN"/>
        </w:rPr>
      </w:pPr>
      <w:r>
        <w:rPr>
          <w:rFonts w:ascii="仿宋" w:hAnsi="仿宋" w:eastAsia="仿宋"/>
          <w:sz w:val="32"/>
          <w:szCs w:val="32"/>
        </w:rPr>
        <w:t>20</w:t>
      </w:r>
      <w:r>
        <w:rPr>
          <w:rFonts w:hint="eastAsia" w:ascii="仿宋" w:hAnsi="仿宋" w:eastAsia="仿宋"/>
          <w:sz w:val="32"/>
          <w:szCs w:val="32"/>
        </w:rPr>
        <w:t>22年本年收入合计2,228.77万元，其中：一般公共预算财政拨款收入2,228.77万元，占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lang w:eastAsia="zh-CN"/>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部门总体支出情况</w:t>
      </w:r>
    </w:p>
    <w:p>
      <w:pPr>
        <w:spacing w:line="600" w:lineRule="exact"/>
        <w:ind w:firstLine="640" w:firstLineChars="200"/>
        <w:outlineLvl w:val="1"/>
        <w:rPr>
          <w:rFonts w:hint="eastAsia" w:eastAsia="仿宋"/>
          <w:lang w:eastAsia="zh-CN"/>
        </w:rPr>
      </w:pPr>
      <w:r>
        <w:rPr>
          <w:rFonts w:ascii="仿宋" w:hAnsi="仿宋" w:eastAsia="仿宋"/>
          <w:sz w:val="32"/>
          <w:szCs w:val="32"/>
        </w:rPr>
        <w:t>20</w:t>
      </w:r>
      <w:r>
        <w:rPr>
          <w:rFonts w:hint="eastAsia" w:ascii="仿宋" w:hAnsi="仿宋" w:eastAsia="仿宋"/>
          <w:sz w:val="32"/>
          <w:szCs w:val="32"/>
        </w:rPr>
        <w:t>22年本年支出合计2,228.77万元，其中：基本支出1,271.35万元，占</w:t>
      </w:r>
      <w:r>
        <w:rPr>
          <w:rFonts w:hint="eastAsia" w:ascii="仿宋" w:hAnsi="仿宋" w:eastAsia="仿宋"/>
          <w:sz w:val="32"/>
          <w:szCs w:val="32"/>
          <w:lang w:val="en-US" w:eastAsia="zh-CN"/>
        </w:rPr>
        <w:t>57.04</w:t>
      </w:r>
      <w:r>
        <w:rPr>
          <w:rFonts w:ascii="仿宋" w:hAnsi="仿宋" w:eastAsia="仿宋"/>
          <w:sz w:val="32"/>
          <w:szCs w:val="32"/>
        </w:rPr>
        <w:t>%</w:t>
      </w:r>
      <w:r>
        <w:rPr>
          <w:rFonts w:hint="eastAsia" w:ascii="仿宋" w:hAnsi="仿宋" w:eastAsia="仿宋"/>
          <w:sz w:val="32"/>
          <w:szCs w:val="32"/>
        </w:rPr>
        <w:t>；项目支出957.42万元，占</w:t>
      </w:r>
      <w:r>
        <w:rPr>
          <w:rFonts w:hint="eastAsia" w:ascii="仿宋" w:hAnsi="仿宋" w:eastAsia="仿宋"/>
          <w:sz w:val="32"/>
          <w:szCs w:val="32"/>
          <w:lang w:val="en-US" w:eastAsia="zh-CN"/>
        </w:rPr>
        <w:t>42.96</w:t>
      </w:r>
      <w:r>
        <w:rPr>
          <w:rFonts w:ascii="仿宋" w:hAnsi="仿宋" w:eastAsia="仿宋"/>
          <w:sz w:val="32"/>
          <w:szCs w:val="32"/>
        </w:rPr>
        <w:t>%</w:t>
      </w:r>
      <w:r>
        <w:rPr>
          <w:rFonts w:hint="eastAsia" w:ascii="仿宋" w:hAnsi="仿宋" w:eastAsia="仿宋"/>
          <w:sz w:val="32"/>
          <w:szCs w:val="32"/>
          <w:lang w:eastAsia="zh-CN"/>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部门总体结转结余情况</w:t>
      </w:r>
    </w:p>
    <w:p>
      <w:pPr>
        <w:pStyle w:val="2"/>
        <w:numPr>
          <w:ilvl w:val="0"/>
          <w:numId w:val="0"/>
        </w:numPr>
        <w:ind w:leftChars="200"/>
        <w:rPr>
          <w:rFonts w:hint="default" w:eastAsia="宋体"/>
          <w:lang w:val="en-US" w:eastAsia="zh-CN"/>
        </w:rPr>
      </w:pPr>
      <w:r>
        <w:rPr>
          <w:rFonts w:hint="eastAsia" w:ascii="仿宋" w:hAnsi="仿宋" w:eastAsia="仿宋" w:cs="Times New Roman"/>
          <w:kern w:val="2"/>
          <w:sz w:val="32"/>
          <w:szCs w:val="32"/>
          <w:lang w:val="en-US" w:eastAsia="zh-CN" w:bidi="ar-SA"/>
        </w:rPr>
        <w:t xml:space="preserve">  本年度无结余</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22年一般公共预算财政拨款</w:t>
      </w:r>
      <w:r>
        <w:rPr>
          <w:rFonts w:hint="eastAsia" w:ascii="仿宋" w:hAnsi="仿宋" w:eastAsia="仿宋"/>
          <w:sz w:val="32"/>
          <w:szCs w:val="32"/>
          <w:lang w:eastAsia="zh-CN"/>
        </w:rPr>
        <w:t>收入</w:t>
      </w:r>
      <w:r>
        <w:rPr>
          <w:rFonts w:hint="eastAsia" w:ascii="仿宋" w:hAnsi="仿宋" w:eastAsia="仿宋"/>
          <w:sz w:val="32"/>
          <w:szCs w:val="32"/>
        </w:rPr>
        <w:t>2,228.77万元，占本年</w:t>
      </w:r>
      <w:r>
        <w:rPr>
          <w:rFonts w:hint="eastAsia" w:ascii="仿宋" w:hAnsi="仿宋" w:eastAsia="仿宋"/>
          <w:sz w:val="32"/>
          <w:szCs w:val="32"/>
          <w:lang w:eastAsia="zh-CN"/>
        </w:rPr>
        <w:t>收入</w:t>
      </w:r>
      <w:r>
        <w:rPr>
          <w:rFonts w:hint="eastAsia" w:ascii="仿宋" w:hAnsi="仿宋" w:eastAsia="仿宋"/>
          <w:sz w:val="32"/>
          <w:szCs w:val="32"/>
        </w:rPr>
        <w:t>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w:t>
      </w:r>
      <w:r>
        <w:rPr>
          <w:rFonts w:hint="eastAsia" w:ascii="仿宋" w:hAnsi="仿宋" w:eastAsia="仿宋"/>
          <w:sz w:val="32"/>
          <w:szCs w:val="32"/>
          <w:lang w:eastAsia="zh-CN"/>
        </w:rPr>
        <w:t>收入减少</w:t>
      </w:r>
      <w:r>
        <w:rPr>
          <w:rFonts w:hint="eastAsia" w:ascii="仿宋" w:hAnsi="仿宋" w:eastAsia="仿宋"/>
          <w:sz w:val="32"/>
          <w:szCs w:val="32"/>
        </w:rPr>
        <w:t>1750.38万元，</w:t>
      </w:r>
      <w:r>
        <w:rPr>
          <w:rFonts w:hint="eastAsia" w:ascii="仿宋" w:hAnsi="仿宋" w:eastAsia="仿宋"/>
          <w:sz w:val="32"/>
          <w:szCs w:val="32"/>
          <w:lang w:eastAsia="zh-CN"/>
        </w:rPr>
        <w:t>下降</w:t>
      </w:r>
      <w:r>
        <w:rPr>
          <w:rFonts w:hint="eastAsia" w:ascii="仿宋" w:hAnsi="仿宋" w:eastAsia="仿宋"/>
          <w:sz w:val="32"/>
          <w:szCs w:val="32"/>
          <w:lang w:val="en-US" w:eastAsia="zh-CN"/>
        </w:rPr>
        <w:t>43.99</w:t>
      </w:r>
      <w:r>
        <w:rPr>
          <w:rFonts w:ascii="仿宋" w:hAnsi="仿宋" w:eastAsia="仿宋"/>
          <w:sz w:val="32"/>
          <w:szCs w:val="32"/>
        </w:rPr>
        <w:t>%</w:t>
      </w:r>
      <w:r>
        <w:rPr>
          <w:rFonts w:hint="eastAsia" w:ascii="仿宋" w:hAnsi="仿宋" w:eastAsia="仿宋"/>
          <w:sz w:val="32"/>
          <w:szCs w:val="32"/>
        </w:rPr>
        <w:t>。主要变动原因是主要变动原因是</w:t>
      </w:r>
      <w:r>
        <w:rPr>
          <w:rFonts w:hint="eastAsia" w:ascii="仿宋" w:hAnsi="仿宋" w:eastAsia="仿宋"/>
          <w:sz w:val="32"/>
          <w:szCs w:val="32"/>
          <w:lang w:eastAsia="zh-CN"/>
        </w:rPr>
        <w:t>压缩公用经费及减少项目。</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部门财政拨款支出情况</w:t>
      </w:r>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w:t>
      </w:r>
      <w:r>
        <w:rPr>
          <w:rFonts w:hint="eastAsia" w:ascii="仿宋" w:hAnsi="仿宋" w:eastAsia="仿宋"/>
          <w:sz w:val="32"/>
          <w:szCs w:val="32"/>
          <w:lang w:eastAsia="zh-CN"/>
        </w:rPr>
        <w:t>支出</w:t>
      </w:r>
      <w:r>
        <w:rPr>
          <w:rFonts w:hint="eastAsia" w:ascii="仿宋" w:hAnsi="仿宋" w:eastAsia="仿宋"/>
          <w:sz w:val="32"/>
          <w:szCs w:val="32"/>
        </w:rPr>
        <w:t>2,228.77万元，占本年支出合计的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rPr>
        <w:t>1750.38万元，</w:t>
      </w:r>
      <w:r>
        <w:rPr>
          <w:rFonts w:hint="eastAsia" w:ascii="仿宋" w:hAnsi="仿宋" w:eastAsia="仿宋"/>
          <w:sz w:val="32"/>
          <w:szCs w:val="32"/>
          <w:lang w:eastAsia="zh-CN"/>
        </w:rPr>
        <w:t>下降</w:t>
      </w:r>
      <w:r>
        <w:rPr>
          <w:rFonts w:hint="eastAsia" w:ascii="仿宋" w:hAnsi="仿宋" w:eastAsia="仿宋"/>
          <w:sz w:val="32"/>
          <w:szCs w:val="32"/>
          <w:lang w:val="en-US" w:eastAsia="zh-CN"/>
        </w:rPr>
        <w:t>43.99</w:t>
      </w:r>
      <w:r>
        <w:rPr>
          <w:rFonts w:ascii="仿宋" w:hAnsi="仿宋" w:eastAsia="仿宋"/>
          <w:sz w:val="32"/>
          <w:szCs w:val="32"/>
        </w:rPr>
        <w:t>%</w:t>
      </w:r>
      <w:r>
        <w:rPr>
          <w:rFonts w:hint="eastAsia" w:ascii="仿宋" w:hAnsi="仿宋" w:eastAsia="仿宋"/>
          <w:sz w:val="32"/>
          <w:szCs w:val="32"/>
        </w:rPr>
        <w:t>。主要变动原因是主要变动原因是</w:t>
      </w:r>
      <w:r>
        <w:rPr>
          <w:rFonts w:hint="eastAsia" w:ascii="仿宋" w:hAnsi="仿宋" w:eastAsia="仿宋"/>
          <w:sz w:val="32"/>
          <w:szCs w:val="32"/>
          <w:lang w:eastAsia="zh-CN"/>
        </w:rPr>
        <w:t>压缩公用经费及减少项目。</w:t>
      </w:r>
    </w:p>
    <w:p>
      <w:pPr>
        <w:spacing w:line="60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部门财政拨款结转结余情况</w:t>
      </w:r>
    </w:p>
    <w:p>
      <w:pPr>
        <w:pStyle w:val="2"/>
        <w:numPr>
          <w:ilvl w:val="0"/>
          <w:numId w:val="0"/>
        </w:numPr>
        <w:ind w:leftChars="200" w:firstLine="320" w:firstLineChars="100"/>
      </w:pPr>
      <w:r>
        <w:rPr>
          <w:rFonts w:hint="eastAsia" w:ascii="仿宋" w:hAnsi="仿宋" w:eastAsia="仿宋" w:cs="Times New Roman"/>
          <w:kern w:val="2"/>
          <w:sz w:val="32"/>
          <w:szCs w:val="32"/>
          <w:lang w:val="en-US" w:eastAsia="zh-CN" w:bidi="ar-SA"/>
        </w:rPr>
        <w:t>本年度无结余</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1.人员类项目绩效分析</w:t>
      </w:r>
      <w:r>
        <w:rPr>
          <w:rFonts w:hint="eastAsia" w:ascii="仿宋_GB2312" w:hAnsi="仿宋_GB2312" w:eastAsia="仿宋_GB2312" w:cs="仿宋_GB2312"/>
          <w:kern w:val="0"/>
          <w:sz w:val="32"/>
          <w:szCs w:val="32"/>
          <w:shd w:val="clear" w:color="auto" w:fill="FFFFFF"/>
          <w:lang w:eastAsia="zh-CN"/>
        </w:rPr>
        <w:t>：</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主要用于保障机构正常运转的日常支出，主要包括基本工资、津贴补贴、养老保险、医保等人员经费，我单位制定了切实可行的绩效目标、工资发放</w:t>
      </w:r>
      <w:r>
        <w:rPr>
          <w:rFonts w:hint="eastAsia" w:ascii="仿宋_GB2312" w:hAnsi="仿宋_GB2312" w:eastAsia="仿宋_GB2312" w:cs="仿宋_GB2312"/>
          <w:kern w:val="0"/>
          <w:sz w:val="32"/>
          <w:szCs w:val="32"/>
          <w:shd w:val="clear" w:color="auto" w:fill="FFFFFF"/>
          <w:lang w:eastAsia="zh-CN"/>
        </w:rPr>
        <w:t>及时</w:t>
      </w:r>
      <w:r>
        <w:rPr>
          <w:rFonts w:hint="eastAsia" w:ascii="仿宋_GB2312" w:hAnsi="仿宋_GB2312" w:eastAsia="仿宋_GB2312" w:cs="仿宋_GB2312"/>
          <w:kern w:val="0"/>
          <w:sz w:val="32"/>
          <w:szCs w:val="32"/>
          <w:shd w:val="clear" w:color="auto" w:fill="FFFFFF"/>
        </w:rPr>
        <w:t>、社会保险缴纳及时、支出控制在预算内、按月缴纳保险、预算完成100%、资金无结余。</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2.运转类项目绩效分析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主要用于办公费、印刷费、水电费、邮电费、物管费、维修费、差旅费、公务用车运行维护费等，制定了合理的绩效目标，厉行节约，严格控制“三公”经费。根据实际工作需要，完成了办公费用等一般性商品和服务支出，开支控制在预算内，保障了单位机构正常运转和日常工作任务的顺利落实。</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2022年度，我单位专项资金为</w:t>
      </w:r>
      <w:r>
        <w:rPr>
          <w:rFonts w:hint="eastAsia" w:ascii="仿宋_GB2312" w:hAnsi="仿宋_GB2312" w:eastAsia="仿宋_GB2312" w:cs="仿宋_GB2312"/>
          <w:kern w:val="0"/>
          <w:sz w:val="32"/>
          <w:szCs w:val="32"/>
          <w:shd w:val="clear" w:color="auto" w:fill="FFFFFF"/>
          <w:lang w:val="en-US" w:eastAsia="zh-CN"/>
        </w:rPr>
        <w:t>744</w:t>
      </w:r>
      <w:r>
        <w:rPr>
          <w:rFonts w:hint="eastAsia" w:ascii="仿宋_GB2312" w:hAnsi="仿宋_GB2312" w:eastAsia="仿宋_GB2312" w:cs="仿宋_GB2312"/>
          <w:kern w:val="0"/>
          <w:sz w:val="32"/>
          <w:szCs w:val="32"/>
          <w:shd w:val="clear" w:color="auto" w:fill="FFFFFF"/>
        </w:rPr>
        <w:t>万元，按财务管理制度执行，资金使用严格把关，对</w:t>
      </w:r>
      <w:r>
        <w:rPr>
          <w:rFonts w:hint="eastAsia" w:ascii="仿宋_GB2312" w:hAnsi="仿宋_GB2312" w:eastAsia="仿宋_GB2312" w:cs="仿宋_GB2312"/>
          <w:kern w:val="0"/>
          <w:sz w:val="32"/>
          <w:szCs w:val="32"/>
          <w:shd w:val="clear" w:color="auto" w:fill="FFFFFF"/>
          <w:lang w:val="en-US" w:eastAsia="zh-CN"/>
        </w:rPr>
        <w:t>14</w:t>
      </w:r>
      <w:r>
        <w:rPr>
          <w:rFonts w:hint="eastAsia" w:ascii="仿宋_GB2312" w:hAnsi="仿宋_GB2312" w:eastAsia="仿宋_GB2312" w:cs="仿宋_GB2312"/>
          <w:kern w:val="0"/>
          <w:sz w:val="32"/>
          <w:szCs w:val="32"/>
          <w:shd w:val="clear" w:color="auto" w:fill="FFFFFF"/>
        </w:rPr>
        <w:t>个项目进行了绩效分析，根据每个项目按产出指标、效益指标、满意度指标制定了绩效目标。</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我单位积极履职，强化管理，较好地完成了年度工作目标，在部门整体支出绩效评价中，预算配置控制及预算执行较好，预算管理制度健全，资金使用合规，制度执行总体有效，预决算在规定时限内在县政府门户网站上进行公开，2022年度我单位在全体干部的共同努力下出色完成了各项工作目标和任务，得到社会大众的肯定和好评。</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市、县纪检监察、财政、审计部门在对我局的不定期检查中，提出了一些值得引以重视的问题，特别是财务开支执行财经纪律和票据审核方面，我们也分别进行了整改。预算执行动态监控中，县财政局国库动态监控未发现我局有违规情况。发现存在以下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、项目</w:t>
      </w:r>
      <w:r>
        <w:rPr>
          <w:rFonts w:hint="eastAsia" w:ascii="仿宋_GB2312" w:hAnsi="宋体" w:eastAsia="仿宋_GB2312" w:cs="宋体"/>
          <w:color w:val="000000"/>
          <w:kern w:val="0"/>
          <w:sz w:val="32"/>
          <w:szCs w:val="32"/>
          <w:shd w:val="clear" w:color="auto" w:fill="FFFFFF"/>
          <w:lang w:val="zh-CN" w:eastAsia="zh-CN"/>
        </w:rPr>
        <w:t>经费拨付进度缓慢。</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、部分企业财务核算与管理不够规范、会计机构不健全。</w:t>
      </w:r>
    </w:p>
    <w:p>
      <w:pPr>
        <w:widowControl/>
        <w:numPr>
          <w:ilvl w:val="0"/>
          <w:numId w:val="7"/>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我局</w:t>
      </w:r>
      <w:r>
        <w:rPr>
          <w:rFonts w:hint="default" w:ascii="仿宋" w:hAnsi="仿宋" w:eastAsia="仿宋"/>
          <w:sz w:val="32"/>
          <w:szCs w:val="32"/>
          <w:lang w:val="en-US" w:eastAsia="zh-CN"/>
        </w:rPr>
        <w:t>从业务管理、资金管理、资金使用等方面加强对项目管理，不断完善机制、明确责任，已较好完成县2</w:t>
      </w:r>
      <w:r>
        <w:rPr>
          <w:rFonts w:hint="eastAsia" w:ascii="仿宋" w:hAnsi="仿宋" w:eastAsia="仿宋"/>
          <w:sz w:val="32"/>
          <w:szCs w:val="32"/>
          <w:lang w:val="en-US" w:eastAsia="zh-CN"/>
        </w:rPr>
        <w:t>022</w:t>
      </w:r>
      <w:r>
        <w:rPr>
          <w:rFonts w:hint="default" w:ascii="仿宋" w:hAnsi="仿宋" w:eastAsia="仿宋"/>
          <w:sz w:val="32"/>
          <w:szCs w:val="32"/>
          <w:lang w:val="en-US" w:eastAsia="zh-CN"/>
        </w:rPr>
        <w:t>年度</w:t>
      </w:r>
      <w:r>
        <w:rPr>
          <w:rFonts w:hint="eastAsia" w:ascii="仿宋" w:hAnsi="仿宋" w:eastAsia="仿宋"/>
          <w:sz w:val="32"/>
          <w:szCs w:val="32"/>
          <w:lang w:val="en-US" w:eastAsia="zh-CN"/>
        </w:rPr>
        <w:t>项目</w:t>
      </w:r>
      <w:r>
        <w:rPr>
          <w:rFonts w:hint="default" w:ascii="仿宋" w:hAnsi="仿宋" w:eastAsia="仿宋"/>
          <w:sz w:val="32"/>
          <w:szCs w:val="32"/>
          <w:lang w:val="en-US" w:eastAsia="zh-CN"/>
        </w:rPr>
        <w:t>资金绩效评价的任务和目标，确保项目资金安全可靠，合规合法，</w:t>
      </w:r>
      <w:r>
        <w:rPr>
          <w:rFonts w:hint="eastAsia" w:ascii="仿宋" w:hAnsi="仿宋" w:eastAsia="仿宋" w:cs="仿宋"/>
          <w:kern w:val="2"/>
          <w:sz w:val="32"/>
          <w:szCs w:val="32"/>
          <w:lang w:val="zh-CN" w:eastAsia="zh-CN" w:bidi="ar-SA"/>
        </w:rPr>
        <w:t>保持县域良好环境起着积极作用。</w:t>
      </w:r>
      <w:r>
        <w:rPr>
          <w:rFonts w:hint="default" w:ascii="仿宋" w:hAnsi="仿宋" w:eastAsia="仿宋"/>
          <w:sz w:val="32"/>
          <w:szCs w:val="32"/>
          <w:lang w:val="en-US" w:eastAsia="zh-CN"/>
        </w:rPr>
        <w:t>项目基本达到既定目标，资金使用绩效良好。</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numPr>
          <w:ilvl w:val="0"/>
          <w:numId w:val="8"/>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lang w:val="zh-CN"/>
        </w:rPr>
      </w:pPr>
      <w:r>
        <w:rPr>
          <w:rFonts w:hint="eastAsia" w:ascii="仿宋_GB2312" w:hAnsi="宋体" w:eastAsia="仿宋_GB2312" w:cs="宋体"/>
          <w:color w:val="000000"/>
          <w:kern w:val="0"/>
          <w:sz w:val="32"/>
          <w:szCs w:val="32"/>
          <w:shd w:val="clear" w:color="auto" w:fill="FFFFFF"/>
          <w:lang w:val="zh-CN"/>
        </w:rPr>
        <w:t>根据预算绩效管理要求，本单位对202</w:t>
      </w: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年整体支出开展了绩效自评，全年基本支出保证了机关正常运行，项目支出保障了重点工作的开展，促进了全县</w:t>
      </w:r>
      <w:r>
        <w:rPr>
          <w:rFonts w:hint="eastAsia" w:ascii="仿宋_GB2312" w:hAnsi="宋体" w:eastAsia="仿宋_GB2312" w:cs="宋体"/>
          <w:color w:val="000000"/>
          <w:kern w:val="0"/>
          <w:sz w:val="32"/>
          <w:szCs w:val="32"/>
          <w:shd w:val="clear" w:color="auto" w:fill="FFFFFF"/>
          <w:lang w:val="zh-CN" w:eastAsia="zh-CN"/>
        </w:rPr>
        <w:t>城市管理</w:t>
      </w:r>
      <w:r>
        <w:rPr>
          <w:rFonts w:hint="eastAsia" w:ascii="仿宋_GB2312" w:hAnsi="宋体" w:eastAsia="仿宋_GB2312" w:cs="宋体"/>
          <w:color w:val="000000"/>
          <w:kern w:val="0"/>
          <w:sz w:val="32"/>
          <w:szCs w:val="32"/>
          <w:shd w:val="clear" w:color="auto" w:fill="FFFFFF"/>
          <w:lang w:val="zh-CN"/>
        </w:rPr>
        <w:t>的稳步发展，达到了预期绩效目标。</w:t>
      </w:r>
    </w:p>
    <w:p>
      <w:pPr>
        <w:widowControl/>
        <w:numPr>
          <w:ilvl w:val="0"/>
          <w:numId w:val="8"/>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lang w:val="zh-CN"/>
        </w:rPr>
      </w:pPr>
      <w:r>
        <w:rPr>
          <w:rFonts w:hint="eastAsia" w:ascii="仿宋_GB2312" w:hAnsi="宋体" w:eastAsia="仿宋_GB2312" w:cs="宋体"/>
          <w:color w:val="000000"/>
          <w:kern w:val="0"/>
          <w:sz w:val="32"/>
          <w:szCs w:val="32"/>
          <w:shd w:val="clear" w:color="auto" w:fill="FFFFFF"/>
          <w:lang w:val="zh-CN"/>
        </w:rPr>
        <w:t>存在的问题主要是绩效评价工作规范化、制度化以及信息化程度低。</w:t>
      </w:r>
    </w:p>
    <w:p>
      <w:pPr>
        <w:widowControl/>
        <w:numPr>
          <w:ilvl w:val="0"/>
          <w:numId w:val="8"/>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下一步改进措施：一是严格按照预算绩效管理要求，加强绩效管理学习与培训；二是建立健全绩效评价工作制度；三是研究规划绩效评价信息化工作。</w:t>
      </w:r>
    </w:p>
    <w:p>
      <w:pPr>
        <w:pStyle w:val="2"/>
        <w:numPr>
          <w:ilvl w:val="0"/>
          <w:numId w:val="0"/>
        </w:numPr>
        <w:ind w:leftChars="200"/>
        <w:rPr>
          <w:lang w:val="zh-CN"/>
        </w:rPr>
      </w:pPr>
    </w:p>
    <w:p>
      <w:pPr>
        <w:pStyle w:val="2"/>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2"/>
        <w:spacing w:line="560" w:lineRule="exact"/>
        <w:ind w:left="0" w:leftChars="0" w:firstLine="0" w:firstLineChars="0"/>
        <w:rPr>
          <w:sz w:val="32"/>
          <w:lang w:val="zh-CN"/>
        </w:rPr>
      </w:pPr>
    </w:p>
    <w:p>
      <w:pPr>
        <w:pStyle w:val="7"/>
        <w:spacing w:before="93"/>
        <w:rPr>
          <w:rFonts w:hAnsi="宋体" w:cs="宋体"/>
          <w:sz w:val="32"/>
          <w:szCs w:val="32"/>
          <w:shd w:val="clear" w:color="auto" w:fill="FFFFFF"/>
          <w:lang w:val="zh-CN"/>
        </w:rPr>
      </w:pPr>
    </w:p>
    <w:p>
      <w:pPr>
        <w:spacing w:line="580" w:lineRule="exact"/>
        <w:rPr>
          <w:rStyle w:val="31"/>
          <w:rFonts w:ascii="黑体" w:hAnsi="黑体" w:eastAsia="黑体"/>
          <w:b w:val="0"/>
        </w:rPr>
      </w:pPr>
    </w:p>
    <w:p>
      <w:pPr>
        <w:widowControl/>
        <w:jc w:val="left"/>
        <w:rPr>
          <w:rStyle w:val="31"/>
          <w:rFonts w:ascii="黑体" w:hAnsi="黑体" w:eastAsia="黑体"/>
          <w:b w:val="0"/>
        </w:rPr>
      </w:pP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31"/>
          <w:rFonts w:hint="eastAsia" w:ascii="黑体" w:hAnsi="黑体" w:eastAsia="黑体"/>
          <w:b w:val="0"/>
        </w:rPr>
        <w:t>五部分 附表</w:t>
      </w:r>
      <w:bookmarkEnd w:id="51"/>
      <w:bookmarkEnd w:id="53"/>
      <w:bookmarkStart w:id="54" w:name="_Toc15396619"/>
    </w:p>
    <w:p>
      <w:pPr>
        <w:pStyle w:val="5"/>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4"/>
    </w:p>
    <w:p>
      <w:pPr>
        <w:pStyle w:val="5"/>
        <w:rPr>
          <w:rFonts w:ascii="仿宋" w:hAnsi="仿宋" w:eastAsia="仿宋"/>
        </w:rPr>
      </w:pPr>
      <w:bookmarkStart w:id="55" w:name="_Toc15396620"/>
      <w:r>
        <w:rPr>
          <w:rFonts w:hint="eastAsia" w:ascii="仿宋" w:hAnsi="仿宋" w:eastAsia="仿宋"/>
          <w:b w:val="0"/>
        </w:rPr>
        <w:t>二、收</w:t>
      </w:r>
      <w:r>
        <w:rPr>
          <w:rStyle w:val="32"/>
          <w:rFonts w:hint="eastAsia" w:ascii="仿宋" w:hAnsi="仿宋" w:eastAsia="仿宋"/>
          <w:b w:val="0"/>
          <w:bCs w:val="0"/>
        </w:rPr>
        <w:t>入决算表</w:t>
      </w:r>
      <w:bookmarkEnd w:id="55"/>
    </w:p>
    <w:p>
      <w:pPr>
        <w:pStyle w:val="5"/>
        <w:rPr>
          <w:rFonts w:ascii="仿宋" w:hAnsi="仿宋" w:eastAsia="仿宋"/>
        </w:rPr>
      </w:pPr>
      <w:bookmarkStart w:id="56"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6"/>
    </w:p>
    <w:p>
      <w:pPr>
        <w:pStyle w:val="5"/>
        <w:rPr>
          <w:rFonts w:ascii="仿宋" w:hAnsi="仿宋" w:eastAsia="仿宋"/>
          <w:b w:val="0"/>
        </w:rPr>
      </w:pPr>
      <w:bookmarkStart w:id="57"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7"/>
    </w:p>
    <w:p>
      <w:pPr>
        <w:pStyle w:val="5"/>
        <w:rPr>
          <w:rStyle w:val="32"/>
          <w:rFonts w:ascii="仿宋" w:hAnsi="仿宋" w:eastAsia="仿宋"/>
          <w:b w:val="0"/>
          <w:bCs w:val="0"/>
        </w:rPr>
      </w:pPr>
      <w:bookmarkStart w:id="58"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58"/>
      <w:bookmarkStart w:id="59" w:name="_Toc15396624"/>
    </w:p>
    <w:p>
      <w:pPr>
        <w:pStyle w:val="5"/>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59"/>
    </w:p>
    <w:p>
      <w:pPr>
        <w:pStyle w:val="5"/>
        <w:rPr>
          <w:rFonts w:ascii="仿宋" w:hAnsi="仿宋" w:eastAsia="仿宋"/>
        </w:rPr>
      </w:pPr>
      <w:bookmarkStart w:id="60"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0"/>
    </w:p>
    <w:p>
      <w:pPr>
        <w:pStyle w:val="5"/>
        <w:rPr>
          <w:rFonts w:ascii="仿宋" w:hAnsi="仿宋" w:eastAsia="仿宋"/>
        </w:rPr>
      </w:pPr>
      <w:bookmarkStart w:id="61"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1"/>
    </w:p>
    <w:p>
      <w:pPr>
        <w:pStyle w:val="5"/>
        <w:rPr>
          <w:rFonts w:ascii="仿宋" w:hAnsi="仿宋" w:eastAsia="仿宋"/>
        </w:rPr>
      </w:pPr>
      <w:bookmarkStart w:id="62"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2"/>
    </w:p>
    <w:p>
      <w:pPr>
        <w:pStyle w:val="5"/>
        <w:rPr>
          <w:rFonts w:ascii="仿宋" w:hAnsi="仿宋" w:eastAsia="仿宋"/>
        </w:rPr>
      </w:pPr>
      <w:bookmarkStart w:id="63" w:name="_Toc15396628"/>
      <w:r>
        <w:rPr>
          <w:rStyle w:val="32"/>
          <w:rFonts w:hint="eastAsia" w:ascii="仿宋" w:hAnsi="仿宋" w:eastAsia="仿宋"/>
          <w:b w:val="0"/>
          <w:bCs w:val="0"/>
        </w:rPr>
        <w:t>十、</w:t>
      </w:r>
      <w:bookmarkEnd w:id="63"/>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5"/>
        <w:rPr>
          <w:rFonts w:ascii="仿宋" w:hAnsi="仿宋" w:eastAsia="仿宋"/>
        </w:rPr>
      </w:pPr>
      <w:bookmarkStart w:id="64" w:name="_Toc15396629"/>
      <w:r>
        <w:rPr>
          <w:rStyle w:val="32"/>
          <w:rFonts w:hint="eastAsia" w:ascii="仿宋" w:hAnsi="仿宋" w:eastAsia="仿宋"/>
          <w:b w:val="0"/>
          <w:bCs w:val="0"/>
        </w:rPr>
        <w:t>十一、</w:t>
      </w:r>
      <w:bookmarkEnd w:id="64"/>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5"/>
        <w:rPr>
          <w:rFonts w:ascii="仿宋" w:hAnsi="仿宋" w:eastAsia="仿宋"/>
        </w:rPr>
      </w:pPr>
      <w:bookmarkStart w:id="65" w:name="_Toc15396630"/>
      <w:r>
        <w:rPr>
          <w:rStyle w:val="32"/>
          <w:rFonts w:hint="eastAsia" w:ascii="仿宋" w:hAnsi="仿宋" w:eastAsia="仿宋"/>
          <w:b w:val="0"/>
          <w:bCs w:val="0"/>
        </w:rPr>
        <w:t>十二、</w:t>
      </w:r>
      <w:bookmarkEnd w:id="65"/>
      <w:r>
        <w:rPr>
          <w:rStyle w:val="32"/>
          <w:rFonts w:hint="eastAsia" w:ascii="仿宋" w:hAnsi="仿宋" w:eastAsia="仿宋"/>
          <w:b w:val="0"/>
          <w:bCs w:val="0"/>
        </w:rPr>
        <w:t>国有资本经营预算财政拨款支出决算表</w:t>
      </w:r>
    </w:p>
    <w:p>
      <w:pPr>
        <w:pStyle w:val="5"/>
        <w:rPr>
          <w:rFonts w:eastAsia="仿宋"/>
        </w:rPr>
      </w:pPr>
      <w:bookmarkStart w:id="66" w:name="_Toc15396631"/>
      <w:r>
        <w:rPr>
          <w:rStyle w:val="32"/>
          <w:rFonts w:hint="eastAsia" w:ascii="仿宋" w:hAnsi="仿宋" w:eastAsia="仿宋"/>
          <w:b w:val="0"/>
          <w:bCs w:val="0"/>
        </w:rPr>
        <w:t>十三、</w:t>
      </w:r>
      <w:bookmarkEnd w:id="66"/>
      <w:r>
        <w:rPr>
          <w:rStyle w:val="32"/>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5F859"/>
    <w:multiLevelType w:val="singleLevel"/>
    <w:tmpl w:val="8725F859"/>
    <w:lvl w:ilvl="0" w:tentative="0">
      <w:start w:val="1"/>
      <w:numFmt w:val="chineseCounting"/>
      <w:suff w:val="nothing"/>
      <w:lvlText w:val="（%1）"/>
      <w:lvlJc w:val="left"/>
      <w:rPr>
        <w:rFonts w:hint="eastAsia"/>
      </w:rPr>
    </w:lvl>
  </w:abstractNum>
  <w:abstractNum w:abstractNumId="1">
    <w:nsid w:val="C9579B1C"/>
    <w:multiLevelType w:val="singleLevel"/>
    <w:tmpl w:val="C9579B1C"/>
    <w:lvl w:ilvl="0" w:tentative="0">
      <w:start w:val="1"/>
      <w:numFmt w:val="chineseCounting"/>
      <w:suff w:val="nothing"/>
      <w:lvlText w:val="（%1）"/>
      <w:lvlJc w:val="left"/>
      <w:pPr>
        <w:ind w:left="-13"/>
      </w:pPr>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E082BC5"/>
    <w:multiLevelType w:val="singleLevel"/>
    <w:tmpl w:val="6E082BC5"/>
    <w:lvl w:ilvl="0" w:tentative="0">
      <w:start w:val="1"/>
      <w:numFmt w:val="chineseCounting"/>
      <w:suff w:val="nothing"/>
      <w:lvlText w:val="%1、"/>
      <w:lvlJc w:val="left"/>
      <w:rPr>
        <w:rFonts w:hint="eastAsia"/>
      </w:rPr>
    </w:lvl>
  </w:abstractNum>
  <w:num w:numId="1">
    <w:abstractNumId w:val="7"/>
  </w:num>
  <w:num w:numId="2">
    <w:abstractNumId w:val="6"/>
  </w:num>
  <w:num w:numId="3">
    <w:abstractNumId w:val="2"/>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ZWMzZjBmODU5ODJhNjE4YzAwZmJmOTIxMjcxO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26779BA"/>
    <w:rsid w:val="04AD224F"/>
    <w:rsid w:val="062005AC"/>
    <w:rsid w:val="066E0107"/>
    <w:rsid w:val="06A42F8B"/>
    <w:rsid w:val="0719024B"/>
    <w:rsid w:val="07996F6E"/>
    <w:rsid w:val="07E21FBD"/>
    <w:rsid w:val="0A2032A3"/>
    <w:rsid w:val="0B4E5BBB"/>
    <w:rsid w:val="0BE34556"/>
    <w:rsid w:val="0C394176"/>
    <w:rsid w:val="0C694752"/>
    <w:rsid w:val="0CAC2B9A"/>
    <w:rsid w:val="0D35493D"/>
    <w:rsid w:val="0E0A35FC"/>
    <w:rsid w:val="0EA93835"/>
    <w:rsid w:val="0F98263C"/>
    <w:rsid w:val="101860EC"/>
    <w:rsid w:val="10C055FF"/>
    <w:rsid w:val="118107EC"/>
    <w:rsid w:val="1226519C"/>
    <w:rsid w:val="12D20E80"/>
    <w:rsid w:val="136046DE"/>
    <w:rsid w:val="13D50BC4"/>
    <w:rsid w:val="158421C3"/>
    <w:rsid w:val="15F66C34"/>
    <w:rsid w:val="16BB723D"/>
    <w:rsid w:val="181D2B9D"/>
    <w:rsid w:val="189E6C73"/>
    <w:rsid w:val="1A3D12D5"/>
    <w:rsid w:val="1BAB226E"/>
    <w:rsid w:val="1BE8440E"/>
    <w:rsid w:val="1C4306F9"/>
    <w:rsid w:val="1D155CEE"/>
    <w:rsid w:val="1DE21BFC"/>
    <w:rsid w:val="1E012619"/>
    <w:rsid w:val="1E6A01BF"/>
    <w:rsid w:val="1FF35744"/>
    <w:rsid w:val="22933304"/>
    <w:rsid w:val="233E4DFB"/>
    <w:rsid w:val="23860B96"/>
    <w:rsid w:val="240371BF"/>
    <w:rsid w:val="24631F20"/>
    <w:rsid w:val="249661B1"/>
    <w:rsid w:val="24AC7783"/>
    <w:rsid w:val="253D662D"/>
    <w:rsid w:val="29183639"/>
    <w:rsid w:val="29FD04D3"/>
    <w:rsid w:val="2A830F86"/>
    <w:rsid w:val="2C4C53A8"/>
    <w:rsid w:val="2C8A61B5"/>
    <w:rsid w:val="2D746964"/>
    <w:rsid w:val="2DF04E50"/>
    <w:rsid w:val="2F040D46"/>
    <w:rsid w:val="2F8135BA"/>
    <w:rsid w:val="30A43A04"/>
    <w:rsid w:val="31031A5E"/>
    <w:rsid w:val="319F7F4E"/>
    <w:rsid w:val="31B22151"/>
    <w:rsid w:val="322E543B"/>
    <w:rsid w:val="324B3992"/>
    <w:rsid w:val="3304709D"/>
    <w:rsid w:val="34502058"/>
    <w:rsid w:val="352C3FC8"/>
    <w:rsid w:val="360311CD"/>
    <w:rsid w:val="36AA5135"/>
    <w:rsid w:val="376D39B2"/>
    <w:rsid w:val="37E16F03"/>
    <w:rsid w:val="38207E14"/>
    <w:rsid w:val="3851430F"/>
    <w:rsid w:val="38D469F0"/>
    <w:rsid w:val="39EF3F42"/>
    <w:rsid w:val="3A1C285D"/>
    <w:rsid w:val="3A287454"/>
    <w:rsid w:val="3A914FF9"/>
    <w:rsid w:val="3AED7D56"/>
    <w:rsid w:val="3B100186"/>
    <w:rsid w:val="3C81109D"/>
    <w:rsid w:val="3D2F0AF9"/>
    <w:rsid w:val="3D98207C"/>
    <w:rsid w:val="3E6730F0"/>
    <w:rsid w:val="3E78745D"/>
    <w:rsid w:val="4090365D"/>
    <w:rsid w:val="43A40AF2"/>
    <w:rsid w:val="44446C38"/>
    <w:rsid w:val="44C85ABB"/>
    <w:rsid w:val="44E268DA"/>
    <w:rsid w:val="45EE77A4"/>
    <w:rsid w:val="47395DE1"/>
    <w:rsid w:val="48671147"/>
    <w:rsid w:val="4A161077"/>
    <w:rsid w:val="4A627F82"/>
    <w:rsid w:val="4B0E749A"/>
    <w:rsid w:val="4B4F25DA"/>
    <w:rsid w:val="4BB943B0"/>
    <w:rsid w:val="4BE068DB"/>
    <w:rsid w:val="4C107D48"/>
    <w:rsid w:val="4D21045F"/>
    <w:rsid w:val="4D3A32CE"/>
    <w:rsid w:val="4D577224"/>
    <w:rsid w:val="4E5F640F"/>
    <w:rsid w:val="4EAB630A"/>
    <w:rsid w:val="4ECE2238"/>
    <w:rsid w:val="4EE221C8"/>
    <w:rsid w:val="502339F4"/>
    <w:rsid w:val="52657C81"/>
    <w:rsid w:val="52FE6B4C"/>
    <w:rsid w:val="5337774A"/>
    <w:rsid w:val="537E6D0A"/>
    <w:rsid w:val="55D40D5D"/>
    <w:rsid w:val="59EF5441"/>
    <w:rsid w:val="5AF92295"/>
    <w:rsid w:val="5B7976B8"/>
    <w:rsid w:val="5BD62414"/>
    <w:rsid w:val="5CD71FC4"/>
    <w:rsid w:val="5D3A5D89"/>
    <w:rsid w:val="5DFB0858"/>
    <w:rsid w:val="60311C36"/>
    <w:rsid w:val="62F132CF"/>
    <w:rsid w:val="63CE4319"/>
    <w:rsid w:val="645C1924"/>
    <w:rsid w:val="65EC0485"/>
    <w:rsid w:val="660A7C60"/>
    <w:rsid w:val="666305D1"/>
    <w:rsid w:val="66F2339F"/>
    <w:rsid w:val="66F95B50"/>
    <w:rsid w:val="695452C0"/>
    <w:rsid w:val="6A6908F7"/>
    <w:rsid w:val="6C4A05C8"/>
    <w:rsid w:val="6E7E3605"/>
    <w:rsid w:val="6F3B4F58"/>
    <w:rsid w:val="6FF00C7D"/>
    <w:rsid w:val="6FF5CC65"/>
    <w:rsid w:val="70B52AE8"/>
    <w:rsid w:val="715C0E4B"/>
    <w:rsid w:val="72734D90"/>
    <w:rsid w:val="73722F12"/>
    <w:rsid w:val="73AD73D5"/>
    <w:rsid w:val="73B6EB34"/>
    <w:rsid w:val="73E7521A"/>
    <w:rsid w:val="744731E5"/>
    <w:rsid w:val="76E3355F"/>
    <w:rsid w:val="7702635B"/>
    <w:rsid w:val="77073972"/>
    <w:rsid w:val="776A5740"/>
    <w:rsid w:val="77752FD1"/>
    <w:rsid w:val="778769C8"/>
    <w:rsid w:val="7990329A"/>
    <w:rsid w:val="79EE5BA4"/>
    <w:rsid w:val="7A1F03DF"/>
    <w:rsid w:val="7A326F58"/>
    <w:rsid w:val="7A894339"/>
    <w:rsid w:val="7ACA53E2"/>
    <w:rsid w:val="7AF83CFD"/>
    <w:rsid w:val="7B3A03BD"/>
    <w:rsid w:val="7BDD1145"/>
    <w:rsid w:val="7D7642A6"/>
    <w:rsid w:val="7E307C52"/>
    <w:rsid w:val="7E900275"/>
    <w:rsid w:val="7ECA3C03"/>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eastAsia="仿宋_GB2312" w:cs="Courier New"/>
      <w:b/>
      <w:sz w:val="32"/>
      <w:szCs w:val="21"/>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semiHidden/>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w:basedOn w:val="7"/>
    <w:qFormat/>
    <w:uiPriority w:val="0"/>
    <w:pPr>
      <w:ind w:firstLine="420" w:firstLineChars="1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4"/>
    <w:qFormat/>
    <w:uiPriority w:val="9"/>
    <w:rPr>
      <w:rFonts w:ascii="Times New Roman" w:hAnsi="Times New Roman"/>
      <w:b/>
      <w:bCs/>
      <w:kern w:val="44"/>
      <w:sz w:val="44"/>
      <w:szCs w:val="44"/>
    </w:rPr>
  </w:style>
  <w:style w:type="character" w:customStyle="1" w:styleId="32">
    <w:name w:val="标题 2 字符"/>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0"/>
    <w:semiHidden/>
    <w:qFormat/>
    <w:uiPriority w:val="99"/>
    <w:rPr>
      <w:rFonts w:ascii="Times New Roman" w:hAnsi="Times New Roman"/>
      <w:kern w:val="2"/>
      <w:sz w:val="18"/>
      <w:szCs w:val="18"/>
    </w:rPr>
  </w:style>
  <w:style w:type="character" w:customStyle="1" w:styleId="35">
    <w:name w:val="标题 3 字符"/>
    <w:basedOn w:val="19"/>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引用1"/>
    <w:basedOn w:val="1"/>
    <w:next w:val="1"/>
    <w:qFormat/>
    <w:uiPriority w:val="29"/>
    <w:pPr>
      <w:spacing w:line="500" w:lineRule="exact"/>
      <w:ind w:firstLine="200" w:firstLineChars="200"/>
    </w:pPr>
    <w:rPr>
      <w:i/>
      <w:sz w:val="28"/>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360zip$Temp\360$0\&#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0.00_ </c:formatCode>
                <c:ptCount val="2"/>
                <c:pt idx="0">
                  <c:v>3979.154088</c:v>
                </c:pt>
                <c:pt idx="1" c:formatCode="General">
                  <c:v>2228.77</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Cache>
                <c:formatCode>General</c:formatCode>
                <c:ptCount val="6"/>
                <c:pt idx="0">
                  <c:v>230</c:v>
                </c:pt>
                <c:pt idx="1">
                  <c:v>0</c:v>
                </c:pt>
                <c:pt idx="2">
                  <c:v>0</c:v>
                </c:pt>
                <c:pt idx="3">
                  <c:v>0</c:v>
                </c:pt>
                <c:pt idx="4">
                  <c:v>0</c:v>
                </c:pt>
                <c:pt idx="5">
                  <c:v>0</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0.5704</c:v>
                </c:pt>
                <c:pt idx="1">
                  <c:v>0.4296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0.00_ </c:formatCode>
                <c:ptCount val="2"/>
                <c:pt idx="0">
                  <c:v>3979.154088</c:v>
                </c:pt>
                <c:pt idx="1" c:formatCode="General">
                  <c:v>2228.77</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0.00_ </c:formatCode>
                <c:ptCount val="2"/>
                <c:pt idx="0">
                  <c:v>3979.154088</c:v>
                </c:pt>
                <c:pt idx="1" c:formatCode="General">
                  <c:v>2228.77</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城乡社区支出</c:v>
                </c:pt>
                <c:pt idx="1">
                  <c:v>社会保障和就业（类）支出</c:v>
                </c:pt>
                <c:pt idx="2">
                  <c:v>卫生健康(类)支出</c:v>
                </c:pt>
                <c:pt idx="3">
                  <c:v>住房保障（类）支出</c:v>
                </c:pt>
              </c:strCache>
            </c:strRef>
          </c:cat>
          <c:val>
            <c:numRef>
              <c:f>[决算公开插图制作示例.xlsx]图6!$B$2:$B$5</c:f>
              <c:numCache>
                <c:formatCode>0.00_ </c:formatCode>
                <c:ptCount val="4"/>
                <c:pt idx="0">
                  <c:v>2082.83</c:v>
                </c:pt>
                <c:pt idx="1">
                  <c:v>59.41</c:v>
                </c:pt>
                <c:pt idx="2">
                  <c:v>34.61</c:v>
                </c:pt>
                <c:pt idx="3">
                  <c:v>51.92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1.69</c:v>
                </c:pt>
                <c:pt idx="2">
                  <c:v>156.62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2</TotalTime>
  <ScaleCrop>false</ScaleCrop>
  <LinksUpToDate>false</LinksUpToDate>
  <CharactersWithSpaces>8226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莉艾晨</cp:lastModifiedBy>
  <cp:lastPrinted>2023-07-31T02:35:00Z</cp:lastPrinted>
  <dcterms:modified xsi:type="dcterms:W3CDTF">2023-10-25T02:36:26Z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8C4CCA2F97D24B2BB70089D7FB6C4BDF_12</vt:lpwstr>
  </property>
</Properties>
</file>