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eastAsiaTheme="minorEastAsia"/>
          <w:b/>
          <w:sz w:val="44"/>
          <w:szCs w:val="44"/>
          <w:lang w:val="en-US" w:eastAsia="zh-CN"/>
        </w:rPr>
      </w:pPr>
      <w:r>
        <w:rPr>
          <w:rFonts w:hint="eastAsia"/>
          <w:b/>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剑阁县20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年国民经济和社会发展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统  计  公  报</w:t>
      </w: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2022年，</w:t>
      </w:r>
      <w:r>
        <w:rPr>
          <w:rFonts w:hint="default" w:ascii="仿宋_GB2312" w:eastAsia="仿宋_GB2312"/>
          <w:color w:val="auto"/>
          <w:sz w:val="32"/>
          <w:szCs w:val="32"/>
          <w:highlight w:val="none"/>
          <w:lang w:eastAsia="zh-CN"/>
        </w:rPr>
        <w:t>面对错综复杂的发展环境和新冠肺炎疫情的严重冲击，</w:t>
      </w:r>
      <w:r>
        <w:rPr>
          <w:rFonts w:hint="eastAsia" w:ascii="仿宋_GB2312" w:eastAsia="仿宋_GB2312"/>
          <w:color w:val="auto"/>
          <w:sz w:val="32"/>
          <w:szCs w:val="32"/>
          <w:highlight w:val="none"/>
          <w:lang w:val="en-US" w:eastAsia="zh-CN"/>
        </w:rPr>
        <w:t>县委县政府坚定以习近平新时代中国特色社会主义思想为指导，深入学习贯彻党的二十大和省第十二次党代会精神，持续深化落实习近平总书记对四川工作系列重要指示精神，在市委、市政府的坚强领导下，团结带领全县人民，坚定实施县委“1233”执政兴县战略，</w:t>
      </w:r>
      <w:r>
        <w:rPr>
          <w:rFonts w:hint="eastAsia" w:ascii="仿宋_GB2312" w:eastAsia="仿宋_GB2312"/>
          <w:color w:val="auto"/>
          <w:sz w:val="32"/>
          <w:szCs w:val="32"/>
          <w:highlight w:val="none"/>
        </w:rPr>
        <w:t>高效统筹疫情防控和经济社会发展，化危机育新机</w:t>
      </w:r>
      <w:r>
        <w:rPr>
          <w:rFonts w:hint="eastAsia" w:ascii="仿宋_GB2312" w:eastAsia="仿宋_GB2312"/>
          <w:color w:val="auto"/>
          <w:sz w:val="32"/>
          <w:szCs w:val="32"/>
          <w:highlight w:val="none"/>
          <w:lang w:eastAsia="zh-CN"/>
        </w:rPr>
        <w:t>，稳住了社会经济发展基本盘</w:t>
      </w:r>
      <w:r>
        <w:rPr>
          <w:rFonts w:hint="default" w:ascii="仿宋_GB2312" w:eastAsia="仿宋_GB2312"/>
          <w:color w:val="auto"/>
          <w:sz w:val="32"/>
          <w:szCs w:val="32"/>
          <w:highlight w:val="none"/>
        </w:rPr>
        <w:t>，社会主义现代化剑阁建设迈出新步伐。</w:t>
      </w:r>
    </w:p>
    <w:p>
      <w:pPr>
        <w:keepNext w:val="0"/>
        <w:keepLines w:val="0"/>
        <w:pageBreakBefore w:val="0"/>
        <w:widowControl w:val="0"/>
        <w:kinsoku/>
        <w:wordWrap/>
        <w:overflowPunct/>
        <w:topLinePunct w:val="0"/>
        <w:autoSpaceDE/>
        <w:autoSpaceDN/>
        <w:bidi w:val="0"/>
        <w:adjustRightInd/>
        <w:snapToGrid/>
        <w:spacing w:line="576" w:lineRule="exact"/>
        <w:ind w:firstLine="641" w:firstLineChars="200"/>
        <w:jc w:val="left"/>
        <w:textAlignment w:val="auto"/>
        <w:rPr>
          <w:rFonts w:ascii="华文中宋" w:hAnsi="华文中宋" w:eastAsia="华文中宋"/>
          <w:b/>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2891" w:firstLineChars="900"/>
        <w:jc w:val="left"/>
        <w:textAlignment w:val="auto"/>
        <w:rPr>
          <w:rFonts w:hint="eastAsia" w:ascii="黑体" w:hAnsi="黑体" w:eastAsia="黑体" w:cs="黑体"/>
          <w:b/>
          <w:sz w:val="32"/>
          <w:szCs w:val="32"/>
        </w:rPr>
      </w:pPr>
      <w:r>
        <w:rPr>
          <w:rFonts w:hint="eastAsia" w:ascii="黑体" w:hAnsi="黑体" w:eastAsia="黑体" w:cs="黑体"/>
          <w:b/>
          <w:sz w:val="32"/>
          <w:szCs w:val="32"/>
        </w:rPr>
        <w:t>一、综    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rPr>
        <w:t>根据地区生产总值统一核算初步结果</w:t>
      </w:r>
      <w:r>
        <w:rPr>
          <w:rFonts w:hint="default" w:ascii="仿宋_GB2312" w:eastAsia="仿宋_GB2312"/>
          <w:color w:val="auto"/>
          <w:sz w:val="32"/>
          <w:szCs w:val="32"/>
          <w:highlight w:val="none"/>
        </w:rPr>
        <w:t>反馈</w:t>
      </w:r>
      <w:r>
        <w:rPr>
          <w:rFonts w:hint="eastAsia" w:ascii="仿宋_GB2312" w:eastAsia="仿宋_GB2312"/>
          <w:color w:val="auto"/>
          <w:sz w:val="32"/>
          <w:szCs w:val="32"/>
          <w:highlight w:val="none"/>
        </w:rPr>
        <w:t>，全年</w:t>
      </w:r>
      <w:r>
        <w:rPr>
          <w:rFonts w:hint="default" w:ascii="仿宋_GB2312" w:eastAsia="仿宋_GB2312"/>
          <w:color w:val="auto"/>
          <w:sz w:val="32"/>
          <w:szCs w:val="32"/>
          <w:highlight w:val="none"/>
        </w:rPr>
        <w:t>剑阁县</w:t>
      </w:r>
      <w:r>
        <w:rPr>
          <w:rFonts w:hint="eastAsia" w:ascii="仿宋_GB2312" w:eastAsia="仿宋_GB2312"/>
          <w:color w:val="auto"/>
          <w:sz w:val="32"/>
          <w:szCs w:val="32"/>
          <w:highlight w:val="none"/>
        </w:rPr>
        <w:t>地区生产总值（GDP）</w:t>
      </w:r>
      <w:r>
        <w:rPr>
          <w:rFonts w:hint="eastAsia" w:ascii="仿宋_GB2312" w:eastAsia="仿宋_GB2312"/>
          <w:color w:val="auto"/>
          <w:sz w:val="32"/>
          <w:szCs w:val="32"/>
          <w:highlight w:val="none"/>
          <w:lang w:val="en-US" w:eastAsia="zh-CN"/>
        </w:rPr>
        <w:t>166.35</w:t>
      </w:r>
      <w:r>
        <w:rPr>
          <w:rFonts w:hint="eastAsia" w:ascii="仿宋_GB2312" w:eastAsia="仿宋_GB2312"/>
          <w:color w:val="auto"/>
          <w:sz w:val="32"/>
          <w:szCs w:val="32"/>
          <w:highlight w:val="none"/>
        </w:rPr>
        <w:t>亿元，按可比价格计算，比上年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第一产业增加值</w:t>
      </w:r>
      <w:r>
        <w:rPr>
          <w:rFonts w:hint="eastAsia" w:ascii="仿宋_GB2312" w:eastAsia="仿宋_GB2312"/>
          <w:color w:val="auto"/>
          <w:sz w:val="32"/>
          <w:szCs w:val="32"/>
          <w:highlight w:val="none"/>
          <w:lang w:val="en-US" w:eastAsia="zh-CN"/>
        </w:rPr>
        <w:t>50.97</w:t>
      </w:r>
      <w:r>
        <w:rPr>
          <w:rFonts w:hint="eastAsia" w:ascii="仿宋_GB2312" w:eastAsia="仿宋_GB2312"/>
          <w:color w:val="auto"/>
          <w:sz w:val="32"/>
          <w:szCs w:val="32"/>
          <w:highlight w:val="none"/>
        </w:rPr>
        <w:t>亿元，</w:t>
      </w:r>
      <w:r>
        <w:rPr>
          <w:rFonts w:hint="default" w:ascii="仿宋_GB2312" w:eastAsia="仿宋_GB2312"/>
          <w:color w:val="auto"/>
          <w:sz w:val="32"/>
          <w:szCs w:val="32"/>
          <w:highlight w:val="none"/>
        </w:rPr>
        <w:t>比上年</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4.2</w:t>
      </w:r>
      <w:r>
        <w:rPr>
          <w:rFonts w:hint="eastAsia" w:ascii="仿宋_GB2312" w:eastAsia="仿宋_GB2312"/>
          <w:color w:val="auto"/>
          <w:sz w:val="32"/>
          <w:szCs w:val="32"/>
          <w:highlight w:val="none"/>
        </w:rPr>
        <w:t>%；第二产业增加值</w:t>
      </w:r>
      <w:r>
        <w:rPr>
          <w:rFonts w:hint="eastAsia" w:ascii="仿宋_GB2312" w:eastAsia="仿宋_GB2312"/>
          <w:color w:val="auto"/>
          <w:sz w:val="32"/>
          <w:szCs w:val="32"/>
          <w:highlight w:val="none"/>
          <w:lang w:val="en-US" w:eastAsia="zh-CN"/>
        </w:rPr>
        <w:t>48.92</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%；第三产业增加值</w:t>
      </w:r>
      <w:r>
        <w:rPr>
          <w:rFonts w:hint="eastAsia" w:ascii="仿宋_GB2312" w:eastAsia="仿宋_GB2312"/>
          <w:color w:val="auto"/>
          <w:sz w:val="32"/>
          <w:szCs w:val="32"/>
          <w:highlight w:val="none"/>
          <w:lang w:val="en-US" w:eastAsia="zh-CN"/>
        </w:rPr>
        <w:t>66.46</w:t>
      </w:r>
      <w:r>
        <w:rPr>
          <w:rFonts w:hint="eastAsia" w:ascii="仿宋_GB2312" w:eastAsia="仿宋_GB2312"/>
          <w:color w:val="auto"/>
          <w:sz w:val="32"/>
          <w:szCs w:val="32"/>
          <w:highlight w:val="none"/>
        </w:rPr>
        <w:t>亿元，增长</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%。第一、三产业</w:t>
      </w:r>
      <w:r>
        <w:rPr>
          <w:rFonts w:hint="eastAsia" w:ascii="仿宋_GB2312" w:eastAsia="仿宋_GB2312"/>
          <w:color w:val="auto"/>
          <w:sz w:val="32"/>
          <w:szCs w:val="32"/>
          <w:highlight w:val="none"/>
          <w:lang w:eastAsia="zh-CN"/>
        </w:rPr>
        <w:t>分别拉动经济增长</w:t>
      </w:r>
      <w:r>
        <w:rPr>
          <w:rFonts w:hint="eastAsia" w:ascii="仿宋_GB2312" w:eastAsia="仿宋_GB2312"/>
          <w:color w:val="auto"/>
          <w:sz w:val="32"/>
          <w:szCs w:val="32"/>
          <w:highlight w:val="none"/>
        </w:rPr>
        <w:t>1.2、1.3个百分点，第二产业下拉</w:t>
      </w:r>
      <w:r>
        <w:rPr>
          <w:rFonts w:hint="eastAsia" w:ascii="仿宋_GB2312" w:eastAsia="仿宋_GB2312"/>
          <w:color w:val="auto"/>
          <w:sz w:val="32"/>
          <w:szCs w:val="32"/>
          <w:highlight w:val="none"/>
          <w:lang w:eastAsia="zh-CN"/>
        </w:rPr>
        <w:t>经济增速</w:t>
      </w:r>
      <w:r>
        <w:rPr>
          <w:rFonts w:hint="eastAsia" w:ascii="仿宋_GB2312" w:eastAsia="仿宋_GB2312"/>
          <w:color w:val="auto"/>
          <w:sz w:val="32"/>
          <w:szCs w:val="32"/>
          <w:highlight w:val="none"/>
        </w:rPr>
        <w:t>5.2个百分点。三次产业结构由上年的</w:t>
      </w:r>
      <w:r>
        <w:rPr>
          <w:rFonts w:hint="eastAsia" w:ascii="仿宋_GB2312" w:eastAsia="仿宋_GB2312"/>
          <w:color w:val="auto"/>
          <w:sz w:val="32"/>
          <w:szCs w:val="32"/>
          <w:highlight w:val="none"/>
          <w:lang w:val="en-US" w:eastAsia="zh-CN"/>
        </w:rPr>
        <w:t>28.3:33.9:37.8</w:t>
      </w:r>
      <w:r>
        <w:rPr>
          <w:rFonts w:hint="eastAsia" w:ascii="仿宋_GB2312" w:eastAsia="仿宋_GB2312"/>
          <w:color w:val="auto"/>
          <w:sz w:val="32"/>
          <w:szCs w:val="32"/>
          <w:highlight w:val="none"/>
        </w:rPr>
        <w:t>调整为</w:t>
      </w:r>
      <w:r>
        <w:rPr>
          <w:rFonts w:hint="eastAsia" w:ascii="仿宋_GB2312" w:eastAsia="仿宋_GB2312"/>
          <w:color w:val="auto"/>
          <w:sz w:val="32"/>
          <w:szCs w:val="32"/>
          <w:highlight w:val="none"/>
          <w:lang w:val="en-US" w:eastAsia="zh-CN"/>
        </w:rPr>
        <w:t>30.6:29.4:40.0。</w:t>
      </w:r>
    </w:p>
    <w:p>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158750</wp:posOffset>
            </wp:positionV>
            <wp:extent cx="4705350" cy="2790825"/>
            <wp:effectExtent l="4445" t="4445" r="14605" b="508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eastAsia="仿宋_GB2312" w:hAnsiTheme="minorHAnsi" w:cstheme="minorBidi"/>
          <w:color w:val="auto"/>
          <w:kern w:val="2"/>
          <w:sz w:val="32"/>
          <w:szCs w:val="32"/>
          <w:highlight w:val="none"/>
          <w:lang w:val="en-US" w:eastAsia="zh-CN" w:bidi="ar-SA"/>
        </w:rPr>
        <w:t>依据地区生产总值统一核算制度要求，</w:t>
      </w:r>
      <w:r>
        <w:rPr>
          <w:rFonts w:hint="default" w:ascii="仿宋_GB2312" w:eastAsia="仿宋_GB2312" w:hAnsiTheme="minorHAnsi" w:cstheme="minorBidi"/>
          <w:color w:val="auto"/>
          <w:kern w:val="2"/>
          <w:sz w:val="32"/>
          <w:szCs w:val="32"/>
          <w:highlight w:val="none"/>
          <w:lang w:val="en-US" w:eastAsia="zh-CN" w:bidi="ar-SA"/>
        </w:rPr>
        <w:t>广元</w:t>
      </w:r>
      <w:r>
        <w:rPr>
          <w:rFonts w:hint="eastAsia" w:ascii="仿宋_GB2312" w:eastAsia="仿宋_GB2312" w:hAnsiTheme="minorHAnsi" w:cstheme="minorBidi"/>
          <w:color w:val="auto"/>
          <w:kern w:val="2"/>
          <w:sz w:val="32"/>
          <w:szCs w:val="32"/>
          <w:highlight w:val="none"/>
          <w:lang w:val="en-US" w:eastAsia="zh-CN" w:bidi="ar-SA"/>
        </w:rPr>
        <w:t>市统计局对2021年</w:t>
      </w:r>
      <w:r>
        <w:rPr>
          <w:rFonts w:hint="default" w:ascii="仿宋_GB2312" w:eastAsia="仿宋_GB2312" w:hAnsiTheme="minorHAnsi" w:cstheme="minorBidi"/>
          <w:color w:val="auto"/>
          <w:kern w:val="2"/>
          <w:sz w:val="32"/>
          <w:szCs w:val="32"/>
          <w:highlight w:val="none"/>
          <w:lang w:val="en-US" w:eastAsia="zh-CN" w:bidi="ar-SA"/>
        </w:rPr>
        <w:t>我县</w:t>
      </w:r>
      <w:r>
        <w:rPr>
          <w:rFonts w:hint="eastAsia" w:ascii="仿宋_GB2312" w:eastAsia="仿宋_GB2312" w:hAnsiTheme="minorHAnsi" w:cstheme="minorBidi"/>
          <w:color w:val="auto"/>
          <w:kern w:val="2"/>
          <w:sz w:val="32"/>
          <w:szCs w:val="32"/>
          <w:highlight w:val="none"/>
          <w:lang w:val="en-US" w:eastAsia="zh-CN" w:bidi="ar-SA"/>
        </w:rPr>
        <w:t>地区生产总值（GDP）初步核算数据进行了修订，修订结果为：2021年，全县地区生产总值（GDP）为167.71亿元。其中，第一产业增加值为47.41亿元，占GDP比重为28.3%；第二产业增加值为56.92亿元，比重为33.9%；第三产业增加值为63.38亿元，比重为37.8%。</w:t>
      </w:r>
    </w:p>
    <w:p>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273685</wp:posOffset>
                </wp:positionH>
                <wp:positionV relativeFrom="paragraph">
                  <wp:posOffset>323215</wp:posOffset>
                </wp:positionV>
                <wp:extent cx="607060" cy="257175"/>
                <wp:effectExtent l="0" t="0" r="2540" b="9525"/>
                <wp:wrapNone/>
                <wp:docPr id="4" name="文本框 4"/>
                <wp:cNvGraphicFramePr/>
                <a:graphic xmlns:a="http://schemas.openxmlformats.org/drawingml/2006/main">
                  <a:graphicData uri="http://schemas.microsoft.com/office/word/2010/wordprocessingShape">
                    <wps:wsp>
                      <wps:cNvSpPr txBox="1"/>
                      <wps:spPr>
                        <a:xfrm>
                          <a:off x="1416685" y="6387465"/>
                          <a:ext cx="60706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2"/>
                                <w:szCs w:val="24"/>
                                <w:lang w:val="en-US" w:eastAsia="zh-CN"/>
                              </w:rPr>
                            </w:pPr>
                            <w:r>
                              <w:rPr>
                                <w:rFonts w:hint="eastAsia" w:asciiTheme="minorEastAsia" w:hAnsiTheme="minorEastAsia" w:eastAsiaTheme="minorEastAsia" w:cstheme="minorEastAsia"/>
                                <w:sz w:val="22"/>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5pt;margin-top:25.45pt;height:20.25pt;width:47.8pt;z-index:251665408;mso-width-relative:page;mso-height-relative:page;" fillcolor="#FFFFFF [3201]" filled="t" stroked="f" coordsize="21600,21600" o:gfxdata="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uk8otQA&#10;AAAIAQAADwAAAAAAAAABACAAAAAiAAAAZHJzL2Rvd25yZXYueG1sUEsBAhQAFAAAAAgAh07iQIq6&#10;MqFcAgAAmgQAAA4AAAAAAAAAAQAgAAAAIwEAAGRycy9lMm9Eb2MueG1sUEsFBgAAAAAGAAYAWQEA&#10;APEFAAAAAA==&#10;">
                <v:fill on="t" focussize="0,0"/>
                <v:stroke on="f" weight="0.5pt"/>
                <v:imagedata o:title=""/>
                <o:lock v:ext="edit" aspectratio="f"/>
                <v:textbox>
                  <w:txbxContent>
                    <w:p>
                      <w:pPr>
                        <w:rPr>
                          <w:rFonts w:hint="eastAsia" w:asciiTheme="minorEastAsia" w:hAnsiTheme="minorEastAsia" w:eastAsiaTheme="minorEastAsia" w:cstheme="minorEastAsia"/>
                          <w:sz w:val="22"/>
                          <w:szCs w:val="24"/>
                          <w:lang w:val="en-US" w:eastAsia="zh-CN"/>
                        </w:rPr>
                      </w:pPr>
                      <w:r>
                        <w:rPr>
                          <w:rFonts w:hint="eastAsia" w:asciiTheme="minorEastAsia" w:hAnsiTheme="minorEastAsia" w:eastAsiaTheme="minorEastAsia" w:cstheme="minorEastAsia"/>
                          <w:sz w:val="22"/>
                          <w:szCs w:val="24"/>
                          <w:lang w:val="en-US" w:eastAsia="zh-CN"/>
                        </w:rPr>
                        <w:t>(%)</w:t>
                      </w:r>
                    </w:p>
                  </w:txbxContent>
                </v:textbox>
              </v:shape>
            </w:pict>
          </mc:Fallback>
        </mc:AlternateContent>
      </w:r>
      <w:r>
        <w:rPr>
          <w:sz w:val="32"/>
          <w:szCs w:val="32"/>
        </w:rPr>
        <w:drawing>
          <wp:anchor distT="0" distB="0" distL="114300" distR="114300" simplePos="0" relativeHeight="251660288" behindDoc="0" locked="0" layoutInCell="1" allowOverlap="1">
            <wp:simplePos x="0" y="0"/>
            <wp:positionH relativeFrom="column">
              <wp:posOffset>217170</wp:posOffset>
            </wp:positionH>
            <wp:positionV relativeFrom="paragraph">
              <wp:posOffset>234950</wp:posOffset>
            </wp:positionV>
            <wp:extent cx="4827270" cy="2743200"/>
            <wp:effectExtent l="4445" t="4445" r="6985" b="1460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全年民营经济增加值</w:t>
      </w:r>
      <w:r>
        <w:rPr>
          <w:rFonts w:hint="eastAsia" w:ascii="仿宋_GB2312" w:eastAsia="仿宋_GB2312"/>
          <w:color w:val="auto"/>
          <w:sz w:val="32"/>
          <w:szCs w:val="32"/>
          <w:highlight w:val="none"/>
          <w:lang w:val="en-US" w:eastAsia="zh-CN"/>
        </w:rPr>
        <w:t>92.64</w:t>
      </w:r>
      <w:r>
        <w:rPr>
          <w:rFonts w:hint="eastAsia" w:ascii="仿宋_GB2312" w:eastAsia="仿宋_GB2312"/>
          <w:color w:val="auto"/>
          <w:sz w:val="32"/>
          <w:szCs w:val="32"/>
          <w:highlight w:val="none"/>
        </w:rPr>
        <w:t>亿元，比上年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rPr>
        <w:t>%。民营经济增加值占GDP比重为</w:t>
      </w:r>
      <w:r>
        <w:rPr>
          <w:rFonts w:hint="eastAsia" w:ascii="仿宋_GB2312" w:eastAsia="仿宋_GB2312"/>
          <w:color w:val="auto"/>
          <w:sz w:val="32"/>
          <w:szCs w:val="32"/>
          <w:highlight w:val="none"/>
          <w:lang w:val="en-US" w:eastAsia="zh-CN"/>
        </w:rPr>
        <w:t>55.7</w:t>
      </w:r>
      <w:r>
        <w:rPr>
          <w:rFonts w:hint="eastAsia" w:ascii="仿宋_GB2312" w:eastAsia="仿宋_GB2312"/>
          <w:color w:val="auto"/>
          <w:sz w:val="32"/>
          <w:szCs w:val="32"/>
          <w:highlight w:val="none"/>
        </w:rPr>
        <w:t>%，比上年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0.3个百分点</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年末全县“四上”企业在库170个，比上年净增11个。其中，规模以上工业企业64个，比上年减少2个；资质建筑业企业39个，比上年净增4个；房地产开发经营企业15个，比上年净增1个；限额以上批零住餐企业33个，比上年净增5个；规模以上服务业企业19个，比上年净增3个。</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252095</wp:posOffset>
            </wp:positionH>
            <wp:positionV relativeFrom="paragraph">
              <wp:posOffset>192405</wp:posOffset>
            </wp:positionV>
            <wp:extent cx="4772025" cy="2762250"/>
            <wp:effectExtent l="4445" t="4445" r="5080"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rPr>
      </w:pPr>
      <w:r>
        <w:rPr>
          <w:rFonts w:hint="eastAsia" w:ascii="华文中宋" w:hAnsi="华文中宋" w:eastAsia="华文中宋"/>
          <w:b/>
          <w:sz w:val="32"/>
          <w:szCs w:val="32"/>
        </w:rPr>
        <w:t>二、农    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全年农林牧渔业总产值</w:t>
      </w:r>
      <w:r>
        <w:rPr>
          <w:rFonts w:hint="eastAsia" w:ascii="仿宋_GB2312" w:eastAsia="仿宋_GB2312"/>
          <w:color w:val="auto"/>
          <w:sz w:val="32"/>
          <w:szCs w:val="32"/>
          <w:highlight w:val="none"/>
          <w:lang w:val="en-US" w:eastAsia="zh-CN"/>
        </w:rPr>
        <w:t>90.26</w:t>
      </w:r>
      <w:r>
        <w:rPr>
          <w:rFonts w:hint="eastAsia" w:ascii="仿宋_GB2312" w:eastAsia="仿宋_GB2312"/>
          <w:color w:val="auto"/>
          <w:sz w:val="32"/>
          <w:szCs w:val="32"/>
          <w:highlight w:val="none"/>
        </w:rPr>
        <w:t>亿元，比上年增长</w:t>
      </w:r>
      <w:r>
        <w:rPr>
          <w:rFonts w:hint="eastAsia" w:ascii="仿宋_GB2312" w:eastAsia="仿宋_GB2312"/>
          <w:color w:val="auto"/>
          <w:sz w:val="32"/>
          <w:szCs w:val="32"/>
          <w:highlight w:val="none"/>
          <w:lang w:val="en-US" w:eastAsia="zh-CN"/>
        </w:rPr>
        <w:t>4.5</w:t>
      </w:r>
      <w:r>
        <w:rPr>
          <w:rFonts w:hint="eastAsia" w:ascii="仿宋_GB2312" w:eastAsia="仿宋_GB2312"/>
          <w:color w:val="auto"/>
          <w:sz w:val="32"/>
          <w:szCs w:val="32"/>
          <w:highlight w:val="none"/>
        </w:rPr>
        <w:t>%。粮食播种面积137.6万亩，同比增长2.3%；粮食总产量45.9万吨，下降2.1%。其中，小春粮食产量12.73万吨，增长1.4%；大春粮食产量33.17万吨，下降3.5%。经济作物中，油料产量11.6</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万吨，增长1.9%，其中，油菜籽产量8.78万吨，增长3.9%；</w:t>
      </w:r>
    </w:p>
    <w:p>
      <w:pPr>
        <w:pStyle w:val="2"/>
        <w:rPr>
          <w:rFonts w:hint="eastAsia"/>
        </w:rPr>
      </w:pPr>
      <w:bookmarkStart w:id="0" w:name="_GoBack"/>
      <w:r>
        <w:drawing>
          <wp:inline distT="0" distB="0" distL="114300" distR="114300">
            <wp:extent cx="4772025" cy="2762250"/>
            <wp:effectExtent l="4445" t="4445" r="5080"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全年肉类总产量9.</w:t>
      </w:r>
      <w:r>
        <w:rPr>
          <w:rFonts w:hint="eastAsia" w:ascii="仿宋_GB2312" w:eastAsia="仿宋_GB2312"/>
          <w:color w:val="auto"/>
          <w:sz w:val="32"/>
          <w:szCs w:val="32"/>
          <w:highlight w:val="none"/>
          <w:lang w:val="en-US" w:eastAsia="zh-CN"/>
        </w:rPr>
        <w:t>66</w:t>
      </w:r>
      <w:r>
        <w:rPr>
          <w:rFonts w:hint="eastAsia" w:ascii="仿宋_GB2312" w:eastAsia="仿宋_GB2312"/>
          <w:color w:val="auto"/>
          <w:sz w:val="32"/>
          <w:szCs w:val="32"/>
          <w:highlight w:val="none"/>
        </w:rPr>
        <w:t>万吨，比上年增长</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%，其中猪肉产量7.26万吨，比上年增长</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%。出栏生猪99.31万头，比上年增长</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%；出栏牛1.92万头，比上年增长12.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%；出栏羊19</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万只，比上年增长6.</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%；出栏家禽1124.23万只，比上年增长0.</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%。全年淡水养殖面积5423公顷，水产品产量1.21万吨，比上年增长14.3%。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全年完成营造林面积3260公顷，净增森林面积1200亩</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年末森林覆盖率52.75%。自然保护区2个，保护面积5.06万公顷。剑阁县木马笋用竹基地被认定为省级现代竹产业基地，认定四星级森林人家3个，剑阁县普安水池中药材现代林业园区被认定为市级现代林业园区。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全年综合治理水土流失面积52平方公里，整治山坪塘109口，除险加固5座小型病险水库，新建集中式供水工程22处，有效解决3.5万人的安全饮水。农用化肥施用量（折纯）</w:t>
      </w:r>
      <w:r>
        <w:rPr>
          <w:rFonts w:hint="eastAsia" w:ascii="仿宋_GB2312" w:eastAsia="仿宋_GB2312"/>
          <w:color w:val="auto"/>
          <w:sz w:val="32"/>
          <w:szCs w:val="32"/>
          <w:highlight w:val="none"/>
          <w:lang w:val="en-US" w:eastAsia="zh-CN"/>
        </w:rPr>
        <w:t>2.74万吨，下降0.5%。</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rPr>
      </w:pPr>
      <w:r>
        <w:rPr>
          <w:rFonts w:hint="eastAsia" w:ascii="华文中宋" w:hAnsi="华文中宋" w:eastAsia="华文中宋"/>
          <w:b/>
          <w:sz w:val="32"/>
          <w:szCs w:val="32"/>
        </w:rPr>
        <w:t>三、工业与建筑业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全年全部工业实现增加值</w:t>
      </w:r>
      <w:r>
        <w:rPr>
          <w:rFonts w:hint="eastAsia" w:ascii="仿宋_GB2312" w:eastAsia="仿宋_GB2312"/>
          <w:color w:val="auto"/>
          <w:sz w:val="32"/>
          <w:szCs w:val="32"/>
          <w:highlight w:val="none"/>
          <w:lang w:val="en-US" w:eastAsia="zh-CN"/>
        </w:rPr>
        <w:t>30.62</w:t>
      </w:r>
      <w:r>
        <w:rPr>
          <w:rFonts w:hint="eastAsia" w:ascii="仿宋_GB2312" w:eastAsia="仿宋_GB2312"/>
          <w:color w:val="auto"/>
          <w:sz w:val="32"/>
          <w:szCs w:val="32"/>
          <w:highlight w:val="none"/>
        </w:rPr>
        <w:t>亿元，比上年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25.8</w:t>
      </w:r>
      <w:r>
        <w:rPr>
          <w:rFonts w:hint="eastAsia" w:ascii="仿宋_GB2312" w:eastAsia="仿宋_GB2312"/>
          <w:color w:val="auto"/>
          <w:sz w:val="32"/>
          <w:szCs w:val="32"/>
          <w:highlight w:val="none"/>
        </w:rPr>
        <w:t>%，分门类看，</w:t>
      </w:r>
      <w:r>
        <w:rPr>
          <w:rFonts w:hint="eastAsia" w:ascii="仿宋_GB2312" w:eastAsia="仿宋_GB2312"/>
          <w:color w:val="auto"/>
          <w:sz w:val="32"/>
          <w:szCs w:val="32"/>
          <w:highlight w:val="none"/>
          <w:lang w:eastAsia="zh-CN"/>
        </w:rPr>
        <w:t>采矿业增长</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制造业</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27.2</w:t>
      </w:r>
      <w:r>
        <w:rPr>
          <w:rFonts w:hint="eastAsia" w:ascii="仿宋_GB2312" w:eastAsia="仿宋_GB2312"/>
          <w:color w:val="auto"/>
          <w:sz w:val="32"/>
          <w:szCs w:val="32"/>
          <w:highlight w:val="none"/>
        </w:rPr>
        <w:t>%，电力、燃气及水的生产和供应业增长</w:t>
      </w:r>
      <w:r>
        <w:rPr>
          <w:rFonts w:hint="eastAsia" w:ascii="仿宋_GB2312" w:eastAsia="仿宋_GB2312"/>
          <w:color w:val="auto"/>
          <w:sz w:val="32"/>
          <w:szCs w:val="32"/>
          <w:highlight w:val="none"/>
          <w:lang w:val="en-US" w:eastAsia="zh-CN"/>
        </w:rPr>
        <w:t>5.8</w:t>
      </w:r>
      <w:r>
        <w:rPr>
          <w:rFonts w:hint="eastAsia" w:ascii="仿宋_GB2312" w:eastAsia="仿宋_GB2312"/>
          <w:color w:val="auto"/>
          <w:sz w:val="32"/>
          <w:szCs w:val="32"/>
          <w:highlight w:val="none"/>
        </w:rPr>
        <w:t>%。全部工业增加值占GDP的比重</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lang w:val="en-US" w:eastAsia="zh-CN"/>
        </w:rPr>
        <w:t>18.4</w:t>
      </w:r>
      <w:r>
        <w:rPr>
          <w:rFonts w:hint="eastAsia" w:ascii="仿宋_GB2312" w:eastAsia="仿宋_GB2312"/>
          <w:color w:val="auto"/>
          <w:sz w:val="32"/>
          <w:szCs w:val="32"/>
          <w:highlight w:val="none"/>
        </w:rPr>
        <w:t>%，比上年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5.7</w:t>
      </w:r>
      <w:r>
        <w:rPr>
          <w:rFonts w:hint="eastAsia" w:ascii="仿宋_GB2312" w:eastAsia="仿宋_GB2312"/>
          <w:color w:val="auto"/>
          <w:sz w:val="32"/>
          <w:szCs w:val="32"/>
          <w:highlight w:val="none"/>
        </w:rPr>
        <w:t>个百分点，</w:t>
      </w:r>
      <w:r>
        <w:rPr>
          <w:rFonts w:hint="eastAsia" w:ascii="仿宋_GB2312" w:eastAsia="仿宋_GB2312"/>
          <w:color w:val="auto"/>
          <w:sz w:val="32"/>
          <w:szCs w:val="32"/>
          <w:highlight w:val="none"/>
          <w:lang w:eastAsia="zh-CN"/>
        </w:rPr>
        <w:t>下拉</w:t>
      </w:r>
      <w:r>
        <w:rPr>
          <w:rFonts w:hint="eastAsia" w:ascii="仿宋_GB2312" w:eastAsia="仿宋_GB2312"/>
          <w:color w:val="auto"/>
          <w:sz w:val="32"/>
          <w:szCs w:val="32"/>
          <w:highlight w:val="none"/>
        </w:rPr>
        <w:t>经济</w:t>
      </w:r>
      <w:r>
        <w:rPr>
          <w:rFonts w:hint="eastAsia" w:ascii="仿宋_GB2312" w:eastAsia="仿宋_GB2312"/>
          <w:color w:val="auto"/>
          <w:sz w:val="32"/>
          <w:szCs w:val="32"/>
          <w:highlight w:val="none"/>
          <w:lang w:eastAsia="zh-CN"/>
        </w:rPr>
        <w:t>增速</w:t>
      </w:r>
      <w:r>
        <w:rPr>
          <w:rFonts w:hint="eastAsia" w:ascii="仿宋_GB2312" w:eastAsia="仿宋_GB2312"/>
          <w:color w:val="auto"/>
          <w:sz w:val="32"/>
          <w:szCs w:val="32"/>
          <w:highlight w:val="none"/>
          <w:lang w:val="en-US" w:eastAsia="zh-CN"/>
        </w:rPr>
        <w:t>6.1</w:t>
      </w:r>
      <w:r>
        <w:rPr>
          <w:rFonts w:hint="eastAsia" w:ascii="仿宋_GB2312" w:eastAsia="仿宋_GB2312"/>
          <w:color w:val="auto"/>
          <w:sz w:val="32"/>
          <w:szCs w:val="32"/>
          <w:highlight w:val="none"/>
        </w:rPr>
        <w:t>个百分点。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年末规模以上工业企业</w:t>
      </w:r>
      <w:r>
        <w:rPr>
          <w:rFonts w:hint="eastAsia" w:ascii="仿宋_GB2312" w:eastAsia="仿宋_GB2312"/>
          <w:color w:val="auto"/>
          <w:sz w:val="32"/>
          <w:szCs w:val="32"/>
          <w:highlight w:val="none"/>
          <w:lang w:val="en-US" w:eastAsia="zh-CN"/>
        </w:rPr>
        <w:t>64</w:t>
      </w:r>
      <w:r>
        <w:rPr>
          <w:rFonts w:hint="eastAsia" w:ascii="仿宋_GB2312" w:eastAsia="仿宋_GB2312"/>
          <w:color w:val="auto"/>
          <w:sz w:val="32"/>
          <w:szCs w:val="32"/>
          <w:highlight w:val="none"/>
        </w:rPr>
        <w:t>户，</w:t>
      </w:r>
      <w:r>
        <w:rPr>
          <w:rFonts w:hint="eastAsia" w:ascii="仿宋_GB2312" w:eastAsia="仿宋_GB2312"/>
          <w:color w:val="auto"/>
          <w:sz w:val="32"/>
          <w:szCs w:val="32"/>
          <w:highlight w:val="none"/>
          <w:lang w:eastAsia="zh-CN"/>
        </w:rPr>
        <w:t>实现</w:t>
      </w:r>
      <w:r>
        <w:rPr>
          <w:rFonts w:hint="eastAsia" w:ascii="仿宋_GB2312" w:eastAsia="仿宋_GB2312"/>
          <w:color w:val="auto"/>
          <w:sz w:val="32"/>
          <w:szCs w:val="32"/>
          <w:highlight w:val="none"/>
        </w:rPr>
        <w:t>总产值</w:t>
      </w:r>
      <w:r>
        <w:rPr>
          <w:rFonts w:hint="eastAsia" w:ascii="仿宋_GB2312" w:eastAsia="仿宋_GB2312"/>
          <w:color w:val="auto"/>
          <w:sz w:val="32"/>
          <w:szCs w:val="32"/>
          <w:highlight w:val="none"/>
          <w:lang w:val="en-US" w:eastAsia="zh-CN"/>
        </w:rPr>
        <w:t>59.47</w:t>
      </w:r>
      <w:r>
        <w:rPr>
          <w:rFonts w:hint="eastAsia" w:ascii="仿宋_GB2312" w:eastAsia="仿宋_GB2312"/>
          <w:color w:val="auto"/>
          <w:sz w:val="32"/>
          <w:szCs w:val="32"/>
          <w:highlight w:val="none"/>
        </w:rPr>
        <w:t>亿元，比上年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50.0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规模以上工业增加值</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46.3</w:t>
      </w:r>
      <w:r>
        <w:rPr>
          <w:rFonts w:hint="eastAsia" w:ascii="仿宋_GB2312" w:eastAsia="仿宋_GB2312"/>
          <w:color w:val="auto"/>
          <w:sz w:val="32"/>
          <w:szCs w:val="32"/>
          <w:highlight w:val="none"/>
        </w:rPr>
        <w:t>%。分行业看，</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个行业大类有</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个</w:t>
      </w:r>
      <w:r>
        <w:rPr>
          <w:rFonts w:hint="eastAsia" w:ascii="仿宋_GB2312" w:eastAsia="仿宋_GB2312"/>
          <w:color w:val="auto"/>
          <w:sz w:val="32"/>
          <w:szCs w:val="32"/>
          <w:highlight w:val="none"/>
          <w:lang w:eastAsia="zh-CN"/>
        </w:rPr>
        <w:t>行业</w:t>
      </w:r>
      <w:r>
        <w:rPr>
          <w:rFonts w:hint="eastAsia" w:ascii="仿宋_GB2312" w:eastAsia="仿宋_GB2312"/>
          <w:color w:val="auto"/>
          <w:sz w:val="32"/>
          <w:szCs w:val="32"/>
          <w:highlight w:val="none"/>
        </w:rPr>
        <w:t>实现增长，增长面</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lang w:val="en-US" w:eastAsia="zh-CN"/>
        </w:rPr>
        <w:t>30.0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，农副食品加工业、非金属矿物制品业及风力、电力、热力生产和供应业等三大主要产业实现增加值</w:t>
      </w:r>
      <w:r>
        <w:rPr>
          <w:rFonts w:hint="eastAsia" w:ascii="仿宋_GB2312" w:eastAsia="仿宋_GB2312"/>
          <w:color w:val="auto"/>
          <w:sz w:val="32"/>
          <w:szCs w:val="32"/>
          <w:highlight w:val="none"/>
          <w:lang w:val="en-US" w:eastAsia="zh-CN"/>
        </w:rPr>
        <w:t>6.65亿元，</w:t>
      </w:r>
      <w:r>
        <w:rPr>
          <w:rFonts w:hint="eastAsia" w:ascii="仿宋_GB2312" w:eastAsia="仿宋_GB2312"/>
          <w:color w:val="auto"/>
          <w:sz w:val="32"/>
          <w:szCs w:val="32"/>
          <w:highlight w:val="none"/>
        </w:rPr>
        <w:t>占</w:t>
      </w:r>
      <w:r>
        <w:rPr>
          <w:rFonts w:hint="eastAsia" w:ascii="仿宋_GB2312" w:eastAsia="仿宋_GB2312"/>
          <w:color w:val="auto"/>
          <w:sz w:val="32"/>
          <w:szCs w:val="32"/>
          <w:highlight w:val="none"/>
          <w:lang w:eastAsia="zh-CN"/>
        </w:rPr>
        <w:t>全部</w:t>
      </w:r>
      <w:r>
        <w:rPr>
          <w:rFonts w:hint="eastAsia" w:ascii="仿宋_GB2312" w:eastAsia="仿宋_GB2312"/>
          <w:color w:val="auto"/>
          <w:sz w:val="32"/>
          <w:szCs w:val="32"/>
          <w:highlight w:val="none"/>
        </w:rPr>
        <w:t>规上工业</w:t>
      </w:r>
      <w:r>
        <w:rPr>
          <w:rFonts w:hint="eastAsia" w:ascii="仿宋_GB2312" w:eastAsia="仿宋_GB2312"/>
          <w:color w:val="auto"/>
          <w:sz w:val="32"/>
          <w:szCs w:val="32"/>
          <w:highlight w:val="none"/>
          <w:lang w:eastAsia="zh-CN"/>
        </w:rPr>
        <w:t>增加值</w:t>
      </w:r>
      <w:r>
        <w:rPr>
          <w:rFonts w:hint="eastAsia" w:ascii="仿宋_GB2312" w:eastAsia="仿宋_GB2312"/>
          <w:color w:val="auto"/>
          <w:sz w:val="32"/>
          <w:szCs w:val="32"/>
          <w:highlight w:val="none"/>
        </w:rPr>
        <w:t>的</w:t>
      </w:r>
      <w:r>
        <w:rPr>
          <w:rFonts w:hint="eastAsia" w:ascii="仿宋_GB2312" w:eastAsia="仿宋_GB2312"/>
          <w:color w:val="auto"/>
          <w:sz w:val="32"/>
          <w:szCs w:val="32"/>
          <w:highlight w:val="none"/>
          <w:lang w:val="en-US" w:eastAsia="zh-CN"/>
        </w:rPr>
        <w:t>47.5</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22.4</w:t>
      </w:r>
      <w:r>
        <w:rPr>
          <w:rFonts w:hint="eastAsia" w:ascii="仿宋_GB2312" w:eastAsia="仿宋_GB2312"/>
          <w:color w:val="auto"/>
          <w:sz w:val="32"/>
          <w:szCs w:val="32"/>
          <w:highlight w:val="none"/>
        </w:rPr>
        <w:t>%。战略性新兴产业实现产值</w:t>
      </w:r>
      <w:r>
        <w:rPr>
          <w:rFonts w:hint="eastAsia" w:ascii="仿宋_GB2312" w:eastAsia="仿宋_GB2312"/>
          <w:color w:val="auto"/>
          <w:sz w:val="32"/>
          <w:szCs w:val="32"/>
          <w:highlight w:val="none"/>
          <w:lang w:val="en-US" w:eastAsia="zh-CN"/>
        </w:rPr>
        <w:t>11.07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79.7%</w:t>
      </w:r>
      <w:r>
        <w:rPr>
          <w:rFonts w:hint="eastAsia" w:ascii="仿宋_GB2312" w:eastAsia="仿宋_GB2312"/>
          <w:color w:val="auto"/>
          <w:sz w:val="32"/>
          <w:szCs w:val="32"/>
          <w:highlight w:val="none"/>
        </w:rPr>
        <w:t>。分产品看，统计监测的2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种工业产品中有</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个产品产量增长，增长面为</w:t>
      </w:r>
      <w:r>
        <w:rPr>
          <w:rFonts w:hint="eastAsia" w:ascii="仿宋_GB2312" w:eastAsia="仿宋_GB2312"/>
          <w:color w:val="auto"/>
          <w:sz w:val="32"/>
          <w:szCs w:val="32"/>
          <w:highlight w:val="none"/>
          <w:lang w:val="en-US" w:eastAsia="zh-CN"/>
        </w:rPr>
        <w:t>25.0</w:t>
      </w:r>
      <w:r>
        <w:rPr>
          <w:rFonts w:hint="eastAsia" w:ascii="仿宋_GB2312" w:eastAsia="仿宋_GB2312"/>
          <w:color w:val="auto"/>
          <w:sz w:val="32"/>
          <w:szCs w:val="32"/>
          <w:highlight w:val="none"/>
        </w:rPr>
        <w:t>%。其中，医用口罩产量增长54.7%，中型拖拉机增长43.3%，鲜、冷藏肉增长7.2%，兽用药品增长1.8%</w:t>
      </w:r>
      <w:r>
        <w:rPr>
          <w:rFonts w:hint="eastAsia" w:ascii="仿宋_GB2312" w:eastAsia="仿宋_GB2312"/>
          <w:color w:val="auto"/>
          <w:sz w:val="32"/>
          <w:szCs w:val="32"/>
          <w:highlight w:val="none"/>
          <w:lang w:eastAsia="zh-CN"/>
        </w:rPr>
        <w:t>。电光源、家具、商品混凝土、小麦粉分别下降</w:t>
      </w:r>
      <w:r>
        <w:rPr>
          <w:rFonts w:hint="eastAsia" w:ascii="仿宋_GB2312" w:eastAsia="仿宋_GB2312"/>
          <w:color w:val="auto"/>
          <w:sz w:val="32"/>
          <w:szCs w:val="32"/>
          <w:highlight w:val="none"/>
          <w:lang w:val="en-US" w:eastAsia="zh-CN"/>
        </w:rPr>
        <w:t>79.9%、78.4%、64.1%、55.1%。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全年规模以上工业企业实现营业收入</w:t>
      </w:r>
      <w:r>
        <w:rPr>
          <w:rFonts w:hint="eastAsia" w:ascii="仿宋_GB2312" w:eastAsia="仿宋_GB2312"/>
          <w:color w:val="auto"/>
          <w:sz w:val="32"/>
          <w:szCs w:val="32"/>
          <w:highlight w:val="none"/>
          <w:lang w:val="en-US" w:eastAsia="zh-CN"/>
        </w:rPr>
        <w:t>59.23</w:t>
      </w:r>
      <w:r>
        <w:rPr>
          <w:rFonts w:hint="eastAsia" w:ascii="仿宋_GB2312" w:eastAsia="仿宋_GB2312"/>
          <w:color w:val="auto"/>
          <w:sz w:val="32"/>
          <w:szCs w:val="32"/>
          <w:highlight w:val="none"/>
        </w:rPr>
        <w:t>亿元，比上年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49.0</w:t>
      </w:r>
      <w:r>
        <w:rPr>
          <w:rFonts w:hint="eastAsia" w:ascii="仿宋_GB2312" w:eastAsia="仿宋_GB2312"/>
          <w:color w:val="auto"/>
          <w:sz w:val="32"/>
          <w:szCs w:val="32"/>
          <w:highlight w:val="none"/>
        </w:rPr>
        <w:t>%；产销率为</w:t>
      </w:r>
      <w:r>
        <w:rPr>
          <w:rFonts w:hint="eastAsia" w:ascii="仿宋_GB2312" w:eastAsia="仿宋_GB2312"/>
          <w:color w:val="auto"/>
          <w:sz w:val="32"/>
          <w:szCs w:val="32"/>
          <w:highlight w:val="none"/>
          <w:lang w:val="en-US" w:eastAsia="zh-CN"/>
        </w:rPr>
        <w:t>91.5</w:t>
      </w:r>
      <w:r>
        <w:rPr>
          <w:rFonts w:hint="eastAsia" w:ascii="仿宋_GB2312" w:eastAsia="仿宋_GB2312"/>
          <w:color w:val="auto"/>
          <w:sz w:val="32"/>
          <w:szCs w:val="32"/>
          <w:highlight w:val="none"/>
        </w:rPr>
        <w:t>%，比上年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4.8个百分点</w:t>
      </w:r>
      <w:r>
        <w:rPr>
          <w:rFonts w:hint="eastAsia" w:ascii="仿宋_GB2312" w:eastAsia="仿宋_GB2312"/>
          <w:color w:val="auto"/>
          <w:sz w:val="32"/>
          <w:szCs w:val="32"/>
          <w:highlight w:val="none"/>
        </w:rPr>
        <w:t>；实现利税总额</w:t>
      </w:r>
      <w:r>
        <w:rPr>
          <w:rFonts w:hint="eastAsia" w:ascii="仿宋_GB2312" w:eastAsia="仿宋_GB2312"/>
          <w:color w:val="auto"/>
          <w:sz w:val="32"/>
          <w:szCs w:val="32"/>
          <w:highlight w:val="none"/>
          <w:lang w:val="en-US" w:eastAsia="zh-CN"/>
        </w:rPr>
        <w:t>4.47</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6.7</w:t>
      </w:r>
      <w:r>
        <w:rPr>
          <w:rFonts w:hint="eastAsia" w:ascii="仿宋_GB2312" w:eastAsia="仿宋_GB2312"/>
          <w:color w:val="auto"/>
          <w:sz w:val="32"/>
          <w:szCs w:val="32"/>
          <w:highlight w:val="none"/>
        </w:rPr>
        <w:t>%，其中利润总额</w:t>
      </w:r>
      <w:r>
        <w:rPr>
          <w:rFonts w:hint="eastAsia" w:ascii="仿宋_GB2312" w:eastAsia="仿宋_GB2312"/>
          <w:color w:val="auto"/>
          <w:sz w:val="32"/>
          <w:szCs w:val="32"/>
          <w:highlight w:val="none"/>
          <w:lang w:val="en-US" w:eastAsia="zh-CN"/>
        </w:rPr>
        <w:t>3.58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20.2</w:t>
      </w:r>
      <w:r>
        <w:rPr>
          <w:rFonts w:hint="eastAsia" w:ascii="仿宋_GB2312" w:eastAsia="仿宋_GB2312"/>
          <w:color w:val="auto"/>
          <w:sz w:val="32"/>
          <w:szCs w:val="32"/>
          <w:highlight w:val="none"/>
        </w:rPr>
        <w:t>%；资产利润率</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个百分点；资产负债率</w:t>
      </w:r>
      <w:r>
        <w:rPr>
          <w:rFonts w:hint="eastAsia" w:ascii="仿宋_GB2312" w:eastAsia="仿宋_GB2312"/>
          <w:color w:val="auto"/>
          <w:sz w:val="32"/>
          <w:szCs w:val="32"/>
          <w:highlight w:val="none"/>
          <w:lang w:val="en-US" w:eastAsia="zh-CN"/>
        </w:rPr>
        <w:t>55.0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rPr>
        <w:t>个百分点。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全年全社会建筑业</w:t>
      </w:r>
      <w:r>
        <w:rPr>
          <w:rFonts w:hint="eastAsia" w:ascii="仿宋_GB2312" w:eastAsia="仿宋_GB2312"/>
          <w:color w:val="auto"/>
          <w:sz w:val="32"/>
          <w:szCs w:val="32"/>
          <w:highlight w:val="none"/>
          <w:lang w:eastAsia="zh-CN"/>
        </w:rPr>
        <w:t>实现</w:t>
      </w:r>
      <w:r>
        <w:rPr>
          <w:rFonts w:hint="eastAsia" w:ascii="仿宋_GB2312" w:eastAsia="仿宋_GB2312"/>
          <w:color w:val="auto"/>
          <w:sz w:val="32"/>
          <w:szCs w:val="32"/>
          <w:highlight w:val="none"/>
        </w:rPr>
        <w:t>增加值</w:t>
      </w:r>
      <w:r>
        <w:rPr>
          <w:rFonts w:hint="eastAsia" w:ascii="仿宋_GB2312" w:eastAsia="仿宋_GB2312"/>
          <w:color w:val="auto"/>
          <w:sz w:val="32"/>
          <w:szCs w:val="32"/>
          <w:highlight w:val="none"/>
          <w:lang w:val="en-US" w:eastAsia="zh-CN"/>
        </w:rPr>
        <w:t>18.30</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9.7</w:t>
      </w:r>
      <w:r>
        <w:rPr>
          <w:rFonts w:hint="eastAsia" w:ascii="仿宋_GB2312" w:eastAsia="仿宋_GB2312"/>
          <w:color w:val="auto"/>
          <w:sz w:val="32"/>
          <w:szCs w:val="32"/>
          <w:highlight w:val="none"/>
        </w:rPr>
        <w:t>%。当年新进资质建筑</w:t>
      </w:r>
      <w:r>
        <w:rPr>
          <w:rFonts w:hint="eastAsia" w:ascii="仿宋_GB2312" w:eastAsia="仿宋_GB2312"/>
          <w:color w:val="auto"/>
          <w:sz w:val="32"/>
          <w:szCs w:val="32"/>
          <w:highlight w:val="none"/>
          <w:lang w:eastAsia="zh-CN"/>
        </w:rPr>
        <w:t>业</w:t>
      </w:r>
      <w:r>
        <w:rPr>
          <w:rFonts w:hint="eastAsia" w:ascii="仿宋_GB2312" w:eastAsia="仿宋_GB2312"/>
          <w:color w:val="auto"/>
          <w:sz w:val="32"/>
          <w:szCs w:val="32"/>
          <w:highlight w:val="none"/>
        </w:rPr>
        <w:t>企业</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家，年末在库资质建筑</w:t>
      </w:r>
      <w:r>
        <w:rPr>
          <w:rFonts w:hint="eastAsia" w:ascii="仿宋_GB2312" w:eastAsia="仿宋_GB2312"/>
          <w:color w:val="auto"/>
          <w:sz w:val="32"/>
          <w:szCs w:val="32"/>
          <w:highlight w:val="none"/>
          <w:lang w:eastAsia="zh-CN"/>
        </w:rPr>
        <w:t>业</w:t>
      </w:r>
      <w:r>
        <w:rPr>
          <w:rFonts w:hint="eastAsia" w:ascii="仿宋_GB2312" w:eastAsia="仿宋_GB2312"/>
          <w:color w:val="auto"/>
          <w:sz w:val="32"/>
          <w:szCs w:val="32"/>
          <w:highlight w:val="none"/>
        </w:rPr>
        <w:t>企业累计达到</w:t>
      </w:r>
      <w:r>
        <w:rPr>
          <w:rFonts w:hint="eastAsia" w:ascii="仿宋_GB2312" w:eastAsia="仿宋_GB2312"/>
          <w:color w:val="auto"/>
          <w:sz w:val="32"/>
          <w:szCs w:val="32"/>
          <w:highlight w:val="none"/>
          <w:lang w:val="en-US" w:eastAsia="zh-CN"/>
        </w:rPr>
        <w:t>39</w:t>
      </w:r>
      <w:r>
        <w:rPr>
          <w:rFonts w:hint="eastAsia" w:ascii="仿宋_GB2312" w:eastAsia="仿宋_GB2312"/>
          <w:color w:val="auto"/>
          <w:sz w:val="32"/>
          <w:szCs w:val="32"/>
          <w:highlight w:val="none"/>
        </w:rPr>
        <w:t>家，完成建筑业总产值</w:t>
      </w:r>
      <w:r>
        <w:rPr>
          <w:rFonts w:hint="eastAsia" w:ascii="仿宋_GB2312" w:eastAsia="仿宋_GB2312"/>
          <w:color w:val="auto"/>
          <w:sz w:val="32"/>
          <w:szCs w:val="32"/>
          <w:highlight w:val="none"/>
          <w:lang w:val="en-US" w:eastAsia="zh-CN"/>
        </w:rPr>
        <w:t>21.15</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11.6</w:t>
      </w:r>
      <w:r>
        <w:rPr>
          <w:rFonts w:hint="eastAsia" w:ascii="仿宋_GB2312" w:eastAsia="仿宋_GB2312"/>
          <w:color w:val="auto"/>
          <w:sz w:val="32"/>
          <w:szCs w:val="32"/>
          <w:highlight w:val="none"/>
        </w:rPr>
        <w:t>%。全年房屋建筑施工面积</w:t>
      </w:r>
      <w:r>
        <w:rPr>
          <w:rFonts w:hint="eastAsia" w:ascii="仿宋_GB2312" w:eastAsia="仿宋_GB2312"/>
          <w:color w:val="auto"/>
          <w:sz w:val="32"/>
          <w:szCs w:val="32"/>
          <w:highlight w:val="none"/>
          <w:lang w:val="en-US" w:eastAsia="zh-CN"/>
        </w:rPr>
        <w:t>10.04</w:t>
      </w:r>
      <w:r>
        <w:rPr>
          <w:rFonts w:hint="eastAsia" w:ascii="仿宋_GB2312" w:eastAsia="仿宋_GB2312"/>
          <w:color w:val="auto"/>
          <w:sz w:val="32"/>
          <w:szCs w:val="32"/>
          <w:highlight w:val="none"/>
        </w:rPr>
        <w:t>万平方米，比上年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57.7</w:t>
      </w:r>
      <w:r>
        <w:rPr>
          <w:rFonts w:hint="eastAsia" w:ascii="仿宋_GB2312" w:eastAsia="仿宋_GB2312"/>
          <w:color w:val="auto"/>
          <w:sz w:val="32"/>
          <w:szCs w:val="32"/>
          <w:highlight w:val="none"/>
        </w:rPr>
        <w:t>%，其中新开工面积</w:t>
      </w:r>
      <w:r>
        <w:rPr>
          <w:rFonts w:hint="eastAsia" w:ascii="仿宋_GB2312" w:eastAsia="仿宋_GB2312"/>
          <w:color w:val="auto"/>
          <w:sz w:val="32"/>
          <w:szCs w:val="32"/>
          <w:highlight w:val="none"/>
          <w:lang w:val="en-US" w:eastAsia="zh-CN"/>
        </w:rPr>
        <w:t>3.87</w:t>
      </w:r>
      <w:r>
        <w:rPr>
          <w:rFonts w:hint="eastAsia" w:ascii="仿宋_GB2312" w:eastAsia="仿宋_GB2312"/>
          <w:color w:val="auto"/>
          <w:sz w:val="32"/>
          <w:szCs w:val="32"/>
          <w:highlight w:val="none"/>
        </w:rPr>
        <w:t>万平方米，</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74.0</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rPr>
      </w:pPr>
      <w:r>
        <w:rPr>
          <w:rFonts w:hint="eastAsia" w:ascii="华文中宋" w:hAnsi="华文中宋" w:eastAsia="华文中宋"/>
          <w:b/>
          <w:sz w:val="32"/>
          <w:szCs w:val="32"/>
        </w:rPr>
        <w:t>四、固定资产投资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sz w:val="21"/>
          <w:szCs w:val="21"/>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全年全社会固定资产投资完成额比上年增长</w:t>
      </w:r>
      <w:r>
        <w:rPr>
          <w:rFonts w:hint="eastAsia" w:ascii="仿宋_GB2312" w:eastAsia="仿宋_GB2312"/>
          <w:color w:val="auto"/>
          <w:sz w:val="32"/>
          <w:szCs w:val="32"/>
          <w:highlight w:val="none"/>
          <w:lang w:val="en-US" w:eastAsia="zh-CN"/>
        </w:rPr>
        <w:t>15.7</w:t>
      </w:r>
      <w:r>
        <w:rPr>
          <w:rFonts w:hint="eastAsia" w:ascii="仿宋_GB2312" w:eastAsia="仿宋_GB2312"/>
          <w:color w:val="auto"/>
          <w:sz w:val="32"/>
          <w:szCs w:val="32"/>
          <w:highlight w:val="none"/>
        </w:rPr>
        <w:t>%。其中，固定资产项目投资增长</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建安工程投资（不含农户）</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17.9</w:t>
      </w:r>
      <w:r>
        <w:rPr>
          <w:rFonts w:hint="eastAsia" w:ascii="仿宋_GB2312" w:eastAsia="仿宋_GB2312"/>
          <w:color w:val="auto"/>
          <w:sz w:val="32"/>
          <w:szCs w:val="32"/>
          <w:highlight w:val="none"/>
        </w:rPr>
        <w:t>%；设备工器具购置投资</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48.2</w:t>
      </w:r>
      <w:r>
        <w:rPr>
          <w:rFonts w:hint="eastAsia" w:ascii="仿宋_GB2312" w:eastAsia="仿宋_GB2312"/>
          <w:color w:val="auto"/>
          <w:sz w:val="32"/>
          <w:szCs w:val="32"/>
          <w:highlight w:val="none"/>
        </w:rPr>
        <w:t>%；其他费用投资</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37.1</w:t>
      </w:r>
      <w:r>
        <w:rPr>
          <w:rFonts w:hint="eastAsia" w:ascii="仿宋_GB2312" w:eastAsia="仿宋_GB2312"/>
          <w:color w:val="auto"/>
          <w:sz w:val="32"/>
          <w:szCs w:val="32"/>
          <w:highlight w:val="none"/>
        </w:rPr>
        <w:t>%。第一产业投资</w:t>
      </w:r>
      <w:r>
        <w:rPr>
          <w:rFonts w:hint="eastAsia" w:ascii="仿宋_GB2312" w:eastAsia="仿宋_GB2312"/>
          <w:color w:val="auto"/>
          <w:sz w:val="32"/>
          <w:szCs w:val="32"/>
          <w:highlight w:val="none"/>
          <w:lang w:eastAsia="zh-CN"/>
        </w:rPr>
        <w:t>（含农户）增长</w:t>
      </w:r>
      <w:r>
        <w:rPr>
          <w:rFonts w:hint="eastAsia" w:ascii="仿宋_GB2312" w:eastAsia="仿宋_GB2312"/>
          <w:color w:val="auto"/>
          <w:sz w:val="32"/>
          <w:szCs w:val="32"/>
          <w:highlight w:val="none"/>
          <w:lang w:val="en-US" w:eastAsia="zh-CN"/>
        </w:rPr>
        <w:t>12.3</w:t>
      </w:r>
      <w:r>
        <w:rPr>
          <w:rFonts w:hint="eastAsia" w:ascii="仿宋_GB2312" w:eastAsia="仿宋_GB2312"/>
          <w:color w:val="auto"/>
          <w:sz w:val="32"/>
          <w:szCs w:val="32"/>
          <w:highlight w:val="none"/>
        </w:rPr>
        <w:t>%；第二产业投资</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18.2</w:t>
      </w:r>
      <w:r>
        <w:rPr>
          <w:rFonts w:hint="eastAsia" w:ascii="仿宋_GB2312" w:eastAsia="仿宋_GB2312"/>
          <w:color w:val="auto"/>
          <w:sz w:val="32"/>
          <w:szCs w:val="32"/>
          <w:highlight w:val="none"/>
        </w:rPr>
        <w:t>%，其中工业投资</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18.2</w:t>
      </w:r>
      <w:r>
        <w:rPr>
          <w:rFonts w:hint="eastAsia" w:ascii="仿宋_GB2312" w:eastAsia="仿宋_GB2312"/>
          <w:color w:val="auto"/>
          <w:sz w:val="32"/>
          <w:szCs w:val="32"/>
          <w:highlight w:val="none"/>
        </w:rPr>
        <w:t>%；第三产业投资</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12.7</w:t>
      </w:r>
      <w:r>
        <w:rPr>
          <w:rFonts w:hint="eastAsia" w:ascii="仿宋_GB2312" w:eastAsia="仿宋_GB2312"/>
          <w:color w:val="auto"/>
          <w:sz w:val="32"/>
          <w:szCs w:val="32"/>
          <w:highlight w:val="none"/>
        </w:rPr>
        <w:t>%。民间投资</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3.7</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sz w:val="32"/>
          <w:szCs w:val="32"/>
        </w:rPr>
        <w:drawing>
          <wp:anchor distT="0" distB="0" distL="114300" distR="114300" simplePos="0" relativeHeight="251664384" behindDoc="0" locked="0" layoutInCell="1" allowOverlap="1">
            <wp:simplePos x="0" y="0"/>
            <wp:positionH relativeFrom="column">
              <wp:posOffset>356870</wp:posOffset>
            </wp:positionH>
            <wp:positionV relativeFrom="paragraph">
              <wp:posOffset>140970</wp:posOffset>
            </wp:positionV>
            <wp:extent cx="4800600" cy="276225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olor w:val="auto"/>
          <w:sz w:val="32"/>
          <w:szCs w:val="32"/>
          <w:highlight w:val="none"/>
        </w:rPr>
        <w:t>全年房地产开发投资比上年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13.6</w:t>
      </w:r>
      <w:r>
        <w:rPr>
          <w:rFonts w:hint="eastAsia" w:ascii="仿宋_GB2312" w:eastAsia="仿宋_GB2312"/>
          <w:color w:val="auto"/>
          <w:sz w:val="32"/>
          <w:szCs w:val="32"/>
          <w:highlight w:val="none"/>
        </w:rPr>
        <w:t>%。商品房施工面积</w:t>
      </w:r>
      <w:r>
        <w:rPr>
          <w:rFonts w:hint="eastAsia" w:ascii="仿宋_GB2312" w:eastAsia="仿宋_GB2312"/>
          <w:color w:val="auto"/>
          <w:sz w:val="32"/>
          <w:szCs w:val="32"/>
          <w:highlight w:val="none"/>
          <w:lang w:val="en-US" w:eastAsia="zh-CN"/>
        </w:rPr>
        <w:t>39.08</w:t>
      </w:r>
      <w:r>
        <w:rPr>
          <w:rFonts w:hint="eastAsia" w:ascii="仿宋_GB2312" w:eastAsia="仿宋_GB2312"/>
          <w:color w:val="auto"/>
          <w:sz w:val="32"/>
          <w:szCs w:val="32"/>
          <w:highlight w:val="none"/>
        </w:rPr>
        <w:t>万平方米，</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9.5</w:t>
      </w:r>
      <w:r>
        <w:rPr>
          <w:rFonts w:hint="eastAsia" w:ascii="仿宋_GB2312" w:eastAsia="仿宋_GB2312"/>
          <w:color w:val="auto"/>
          <w:sz w:val="32"/>
          <w:szCs w:val="32"/>
          <w:highlight w:val="none"/>
        </w:rPr>
        <w:t>%，其中本年新开工面积</w:t>
      </w:r>
      <w:r>
        <w:rPr>
          <w:rFonts w:hint="eastAsia" w:ascii="仿宋_GB2312" w:eastAsia="仿宋_GB2312"/>
          <w:color w:val="auto"/>
          <w:sz w:val="32"/>
          <w:szCs w:val="32"/>
          <w:highlight w:val="none"/>
          <w:lang w:val="en-US" w:eastAsia="zh-CN"/>
        </w:rPr>
        <w:t>4.98</w:t>
      </w:r>
      <w:r>
        <w:rPr>
          <w:rFonts w:hint="eastAsia" w:ascii="仿宋_GB2312" w:eastAsia="仿宋_GB2312"/>
          <w:color w:val="auto"/>
          <w:sz w:val="32"/>
          <w:szCs w:val="32"/>
          <w:highlight w:val="none"/>
        </w:rPr>
        <w:t>万平方米，下降</w:t>
      </w:r>
      <w:r>
        <w:rPr>
          <w:rFonts w:hint="eastAsia" w:ascii="仿宋_GB2312" w:eastAsia="仿宋_GB2312"/>
          <w:color w:val="auto"/>
          <w:sz w:val="32"/>
          <w:szCs w:val="32"/>
          <w:highlight w:val="none"/>
          <w:lang w:val="en-US" w:eastAsia="zh-CN"/>
        </w:rPr>
        <w:t>49.8</w:t>
      </w:r>
      <w:r>
        <w:rPr>
          <w:rFonts w:hint="eastAsia" w:ascii="仿宋_GB2312" w:eastAsia="仿宋_GB2312"/>
          <w:color w:val="auto"/>
          <w:sz w:val="32"/>
          <w:szCs w:val="32"/>
          <w:highlight w:val="none"/>
        </w:rPr>
        <w:t>%。商品房销售面积</w:t>
      </w:r>
      <w:r>
        <w:rPr>
          <w:rFonts w:hint="eastAsia" w:ascii="仿宋_GB2312" w:eastAsia="仿宋_GB2312"/>
          <w:color w:val="auto"/>
          <w:sz w:val="32"/>
          <w:szCs w:val="32"/>
          <w:highlight w:val="none"/>
          <w:lang w:val="en-US" w:eastAsia="zh-CN"/>
        </w:rPr>
        <w:t>13.75</w:t>
      </w:r>
      <w:r>
        <w:rPr>
          <w:rFonts w:hint="eastAsia" w:ascii="仿宋_GB2312" w:eastAsia="仿宋_GB2312"/>
          <w:color w:val="auto"/>
          <w:sz w:val="32"/>
          <w:szCs w:val="32"/>
          <w:highlight w:val="none"/>
        </w:rPr>
        <w:t>万平方米，</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11.9</w:t>
      </w:r>
      <w:r>
        <w:rPr>
          <w:rFonts w:hint="eastAsia" w:ascii="仿宋_GB2312" w:eastAsia="仿宋_GB2312"/>
          <w:color w:val="auto"/>
          <w:sz w:val="32"/>
          <w:szCs w:val="32"/>
          <w:highlight w:val="none"/>
        </w:rPr>
        <w:t>%。商品房销售额</w:t>
      </w:r>
      <w:r>
        <w:rPr>
          <w:rFonts w:hint="eastAsia" w:ascii="仿宋_GB2312" w:eastAsia="仿宋_GB2312"/>
          <w:color w:val="auto"/>
          <w:sz w:val="32"/>
          <w:szCs w:val="32"/>
          <w:highlight w:val="none"/>
          <w:lang w:val="en-US" w:eastAsia="zh-CN"/>
        </w:rPr>
        <w:t>6.13</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9.8</w:t>
      </w:r>
      <w:r>
        <w:rPr>
          <w:rFonts w:hint="eastAsia" w:ascii="仿宋_GB2312" w:eastAsia="仿宋_GB2312"/>
          <w:color w:val="auto"/>
          <w:sz w:val="32"/>
          <w:szCs w:val="32"/>
          <w:highlight w:val="none"/>
        </w:rPr>
        <w:t>%，其中住宅销售额</w:t>
      </w:r>
      <w:r>
        <w:rPr>
          <w:rFonts w:hint="eastAsia" w:ascii="仿宋_GB2312" w:eastAsia="仿宋_GB2312"/>
          <w:color w:val="auto"/>
          <w:sz w:val="32"/>
          <w:szCs w:val="32"/>
          <w:highlight w:val="none"/>
          <w:lang w:val="en-US" w:eastAsia="zh-CN"/>
        </w:rPr>
        <w:t>5.84</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%。商品住宅销售</w:t>
      </w:r>
      <w:r>
        <w:rPr>
          <w:rFonts w:hint="eastAsia" w:ascii="仿宋_GB2312" w:eastAsia="仿宋_GB2312"/>
          <w:color w:val="auto"/>
          <w:sz w:val="32"/>
          <w:szCs w:val="32"/>
          <w:highlight w:val="none"/>
          <w:lang w:val="en-US" w:eastAsia="zh-CN"/>
        </w:rPr>
        <w:t>1111</w:t>
      </w:r>
      <w:r>
        <w:rPr>
          <w:rFonts w:hint="eastAsia" w:ascii="仿宋_GB2312" w:eastAsia="仿宋_GB2312"/>
          <w:color w:val="auto"/>
          <w:sz w:val="32"/>
          <w:szCs w:val="32"/>
          <w:highlight w:val="none"/>
        </w:rPr>
        <w:t>套，</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24.9</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rPr>
      </w:pPr>
      <w:r>
        <w:rPr>
          <w:rFonts w:hint="eastAsia" w:ascii="华文中宋" w:hAnsi="华文中宋" w:eastAsia="华文中宋"/>
          <w:b/>
          <w:sz w:val="32"/>
          <w:szCs w:val="32"/>
        </w:rPr>
        <w:t>五、交通运输与邮电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全年公路运输总周转量33957万吨公里，比上年增长2.4%，其中：货运周转量33450万吨公里，增长5.5%；客运周转量5069万人公里，下降64.7%。</w:t>
      </w:r>
      <w:r>
        <w:rPr>
          <w:rFonts w:hint="eastAsia" w:ascii="仿宋_GB2312" w:eastAsia="仿宋_GB2312"/>
          <w:color w:val="auto"/>
          <w:sz w:val="32"/>
          <w:szCs w:val="32"/>
          <w:highlight w:val="none"/>
        </w:rPr>
        <w:t>年末全县境内公路总里程</w:t>
      </w:r>
      <w:r>
        <w:rPr>
          <w:rFonts w:hint="eastAsia" w:ascii="仿宋_GB2312" w:eastAsia="仿宋_GB2312"/>
          <w:color w:val="auto"/>
          <w:sz w:val="32"/>
          <w:szCs w:val="32"/>
          <w:highlight w:val="none"/>
          <w:lang w:val="en-US" w:eastAsia="zh-CN"/>
        </w:rPr>
        <w:t>4593.46</w:t>
      </w:r>
      <w:r>
        <w:rPr>
          <w:rFonts w:hint="eastAsia" w:ascii="仿宋_GB2312" w:eastAsia="仿宋_GB2312"/>
          <w:color w:val="auto"/>
          <w:sz w:val="32"/>
          <w:szCs w:val="32"/>
          <w:highlight w:val="none"/>
        </w:rPr>
        <w:t>公里，其中等级公路</w:t>
      </w:r>
      <w:r>
        <w:rPr>
          <w:rFonts w:hint="eastAsia" w:ascii="仿宋_GB2312" w:eastAsia="仿宋_GB2312"/>
          <w:color w:val="auto"/>
          <w:sz w:val="32"/>
          <w:szCs w:val="32"/>
          <w:highlight w:val="none"/>
          <w:lang w:val="en-US" w:eastAsia="zh-CN"/>
        </w:rPr>
        <w:t>3591.67</w:t>
      </w:r>
      <w:r>
        <w:rPr>
          <w:rFonts w:hint="eastAsia" w:ascii="仿宋_GB2312" w:eastAsia="仿宋_GB2312"/>
          <w:color w:val="auto"/>
          <w:sz w:val="32"/>
          <w:szCs w:val="32"/>
          <w:highlight w:val="none"/>
        </w:rPr>
        <w:t>公里；国道公路14</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84</w:t>
      </w:r>
      <w:r>
        <w:rPr>
          <w:rFonts w:hint="eastAsia" w:ascii="仿宋_GB2312" w:eastAsia="仿宋_GB2312"/>
          <w:color w:val="auto"/>
          <w:sz w:val="32"/>
          <w:szCs w:val="32"/>
          <w:highlight w:val="none"/>
        </w:rPr>
        <w:t>公里，农村公路</w:t>
      </w:r>
      <w:r>
        <w:rPr>
          <w:rFonts w:hint="eastAsia" w:ascii="仿宋_GB2312" w:eastAsia="仿宋_GB2312"/>
          <w:color w:val="auto"/>
          <w:sz w:val="32"/>
          <w:szCs w:val="32"/>
          <w:highlight w:val="none"/>
          <w:lang w:val="en-US" w:eastAsia="zh-CN"/>
        </w:rPr>
        <w:t>4201.30</w:t>
      </w:r>
      <w:r>
        <w:rPr>
          <w:rFonts w:hint="eastAsia" w:ascii="仿宋_GB2312" w:eastAsia="仿宋_GB2312"/>
          <w:color w:val="auto"/>
          <w:sz w:val="32"/>
          <w:szCs w:val="32"/>
          <w:highlight w:val="none"/>
        </w:rPr>
        <w:t>公里。</w:t>
      </w:r>
      <w:r>
        <w:rPr>
          <w:rFonts w:hint="eastAsia" w:ascii="仿宋_GB2312" w:eastAsia="仿宋_GB2312"/>
          <w:color w:val="auto"/>
          <w:sz w:val="32"/>
          <w:szCs w:val="32"/>
          <w:highlight w:val="none"/>
          <w:lang w:val="en-US" w:eastAsia="zh-CN"/>
        </w:rPr>
        <w:t>新增四级公路233.62公里，国省干线管养里程371.34</w:t>
      </w:r>
      <w:r>
        <w:rPr>
          <w:rFonts w:hint="eastAsia" w:ascii="仿宋_GB2312" w:eastAsia="仿宋_GB2312"/>
          <w:color w:val="auto"/>
          <w:sz w:val="32"/>
          <w:szCs w:val="32"/>
          <w:highlight w:val="none"/>
        </w:rPr>
        <w:t>公里</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全年电信主营业务收入2.75亿元，增长3.2%。年末固定电话用户8.39万，增长1.1%；移动电话用户41.42万，增长1.6%。固定电话普及率20.0部/百人，移动电话普及率98.9部/百人。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rPr>
      </w:pPr>
      <w:r>
        <w:rPr>
          <w:rFonts w:hint="eastAsia" w:ascii="华文中宋" w:hAnsi="华文中宋" w:eastAsia="华文中宋"/>
          <w:b/>
          <w:sz w:val="32"/>
          <w:szCs w:val="32"/>
        </w:rPr>
        <w:t>六、贸易与旅游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全年社会消费品零售总额</w:t>
      </w:r>
      <w:r>
        <w:rPr>
          <w:rFonts w:hint="eastAsia" w:ascii="仿宋_GB2312" w:eastAsia="仿宋_GB2312"/>
          <w:color w:val="auto"/>
          <w:sz w:val="32"/>
          <w:szCs w:val="32"/>
          <w:highlight w:val="none"/>
          <w:lang w:val="en-US" w:eastAsia="zh-CN"/>
        </w:rPr>
        <w:t>65.23</w:t>
      </w:r>
      <w:r>
        <w:rPr>
          <w:rFonts w:hint="eastAsia" w:ascii="仿宋_GB2312" w:eastAsia="仿宋_GB2312"/>
          <w:color w:val="auto"/>
          <w:sz w:val="32"/>
          <w:szCs w:val="32"/>
          <w:highlight w:val="none"/>
        </w:rPr>
        <w:t>亿元，比上年</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3.2</w:t>
      </w:r>
      <w:r>
        <w:rPr>
          <w:rFonts w:hint="eastAsia" w:ascii="仿宋_GB2312" w:eastAsia="仿宋_GB2312"/>
          <w:color w:val="auto"/>
          <w:sz w:val="32"/>
          <w:szCs w:val="32"/>
          <w:highlight w:val="none"/>
        </w:rPr>
        <w:t>%。其中，限额以上单位零售额</w:t>
      </w:r>
      <w:r>
        <w:rPr>
          <w:rFonts w:hint="eastAsia" w:ascii="仿宋_GB2312" w:eastAsia="仿宋_GB2312"/>
          <w:color w:val="auto"/>
          <w:sz w:val="32"/>
          <w:szCs w:val="32"/>
          <w:highlight w:val="none"/>
          <w:lang w:val="en-US" w:eastAsia="zh-CN"/>
        </w:rPr>
        <w:t>6.33</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17.4</w:t>
      </w:r>
      <w:r>
        <w:rPr>
          <w:rFonts w:hint="eastAsia" w:ascii="仿宋_GB2312" w:eastAsia="仿宋_GB2312"/>
          <w:color w:val="auto"/>
          <w:sz w:val="32"/>
          <w:szCs w:val="32"/>
          <w:highlight w:val="none"/>
        </w:rPr>
        <w:t>%，占社会消费品零售总额的</w:t>
      </w:r>
      <w:r>
        <w:rPr>
          <w:rFonts w:hint="eastAsia" w:ascii="仿宋_GB2312" w:eastAsia="仿宋_GB2312"/>
          <w:color w:val="auto"/>
          <w:sz w:val="32"/>
          <w:szCs w:val="32"/>
          <w:highlight w:val="none"/>
          <w:lang w:val="en-US" w:eastAsia="zh-CN"/>
        </w:rPr>
        <w:t>9.7</w:t>
      </w:r>
      <w:r>
        <w:rPr>
          <w:rFonts w:hint="eastAsia" w:ascii="仿宋_GB2312" w:eastAsia="仿宋_GB2312"/>
          <w:color w:val="auto"/>
          <w:sz w:val="32"/>
          <w:szCs w:val="32"/>
          <w:highlight w:val="none"/>
        </w:rPr>
        <w:t>%。分经营地看，城镇市场消费品零售额</w:t>
      </w:r>
      <w:r>
        <w:rPr>
          <w:rFonts w:hint="eastAsia" w:ascii="仿宋_GB2312" w:eastAsia="仿宋_GB2312"/>
          <w:color w:val="auto"/>
          <w:sz w:val="32"/>
          <w:szCs w:val="32"/>
          <w:highlight w:val="none"/>
          <w:lang w:val="en-US" w:eastAsia="zh-CN"/>
        </w:rPr>
        <w:t>52.15</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rPr>
        <w:t>%；乡村市场消费品零售额</w:t>
      </w:r>
      <w:r>
        <w:rPr>
          <w:rFonts w:hint="eastAsia" w:ascii="仿宋_GB2312" w:eastAsia="仿宋_GB2312"/>
          <w:color w:val="auto"/>
          <w:sz w:val="32"/>
          <w:szCs w:val="32"/>
          <w:highlight w:val="none"/>
          <w:lang w:val="en-US" w:eastAsia="zh-CN"/>
        </w:rPr>
        <w:t>13.09</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%。分行业看，批发业</w:t>
      </w:r>
      <w:r>
        <w:rPr>
          <w:rFonts w:hint="eastAsia" w:ascii="仿宋_GB2312" w:eastAsia="仿宋_GB2312"/>
          <w:color w:val="auto"/>
          <w:sz w:val="32"/>
          <w:szCs w:val="32"/>
          <w:highlight w:val="none"/>
          <w:lang w:val="en-US" w:eastAsia="zh-CN"/>
        </w:rPr>
        <w:t>6.14</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%；零售业</w:t>
      </w:r>
      <w:r>
        <w:rPr>
          <w:rFonts w:hint="eastAsia" w:ascii="仿宋_GB2312" w:eastAsia="仿宋_GB2312"/>
          <w:color w:val="auto"/>
          <w:sz w:val="32"/>
          <w:szCs w:val="32"/>
          <w:highlight w:val="none"/>
          <w:lang w:val="en-US" w:eastAsia="zh-CN"/>
        </w:rPr>
        <w:t>43.35</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%；住宿业</w:t>
      </w:r>
      <w:r>
        <w:rPr>
          <w:rFonts w:hint="eastAsia" w:ascii="仿宋_GB2312" w:eastAsia="仿宋_GB2312"/>
          <w:color w:val="auto"/>
          <w:sz w:val="32"/>
          <w:szCs w:val="32"/>
          <w:highlight w:val="none"/>
          <w:lang w:val="en-US" w:eastAsia="zh-CN"/>
        </w:rPr>
        <w:t>1.50</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8.6</w:t>
      </w:r>
      <w:r>
        <w:rPr>
          <w:rFonts w:hint="eastAsia" w:ascii="仿宋_GB2312" w:eastAsia="仿宋_GB2312"/>
          <w:color w:val="auto"/>
          <w:sz w:val="32"/>
          <w:szCs w:val="32"/>
          <w:highlight w:val="none"/>
        </w:rPr>
        <w:t>%；餐饮业</w:t>
      </w:r>
      <w:r>
        <w:rPr>
          <w:rFonts w:hint="eastAsia" w:ascii="仿宋_GB2312" w:eastAsia="仿宋_GB2312"/>
          <w:color w:val="auto"/>
          <w:sz w:val="32"/>
          <w:szCs w:val="32"/>
          <w:highlight w:val="none"/>
          <w:lang w:val="en-US" w:eastAsia="zh-CN"/>
        </w:rPr>
        <w:t>14.24</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从限额以上企业（单位）主要商品零售额看，通讯器材类比上年增长72.0%，服装、鞋帽、针纺织品类增长51.5%，粮油、食品、饮料、烟酒类增长13.8%，家具类增长11.1%。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sz w:val="32"/>
          <w:szCs w:val="32"/>
        </w:rPr>
        <w:drawing>
          <wp:anchor distT="0" distB="0" distL="114300" distR="114300" simplePos="0" relativeHeight="251662336" behindDoc="0" locked="0" layoutInCell="1" allowOverlap="1">
            <wp:simplePos x="0" y="0"/>
            <wp:positionH relativeFrom="column">
              <wp:posOffset>222885</wp:posOffset>
            </wp:positionH>
            <wp:positionV relativeFrom="paragraph">
              <wp:posOffset>2294255</wp:posOffset>
            </wp:positionV>
            <wp:extent cx="5047615" cy="3599815"/>
            <wp:effectExtent l="4445" t="4445" r="15240" b="1524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eastAsia="仿宋_GB2312"/>
          <w:color w:val="auto"/>
          <w:sz w:val="32"/>
          <w:szCs w:val="32"/>
          <w:highlight w:val="none"/>
          <w:lang w:eastAsia="zh-CN"/>
        </w:rPr>
        <w:t>荣获中国最具文旅投资价值县、美丽中国首选旅游目的地。“剑门关”号冠名动车组成功开行。双旗美村入选中国最美乡村，获评第三批省级乡村旅游重点村。翠云廊古驿道入选2022年四川林草最受欢迎生态体验线路。翠云湖创成国家级水利风景区。</w:t>
      </w:r>
      <w:r>
        <w:rPr>
          <w:rFonts w:hint="eastAsia" w:ascii="仿宋_GB2312" w:eastAsia="仿宋_GB2312"/>
          <w:color w:val="auto"/>
          <w:sz w:val="32"/>
          <w:szCs w:val="32"/>
          <w:highlight w:val="none"/>
        </w:rPr>
        <w:t>全年</w:t>
      </w:r>
      <w:r>
        <w:rPr>
          <w:rFonts w:hint="eastAsia" w:ascii="仿宋_GB2312" w:eastAsia="仿宋_GB2312"/>
          <w:color w:val="auto"/>
          <w:sz w:val="32"/>
          <w:szCs w:val="32"/>
          <w:highlight w:val="none"/>
          <w:lang w:eastAsia="zh-CN"/>
        </w:rPr>
        <w:t>剑门关</w:t>
      </w:r>
      <w:r>
        <w:rPr>
          <w:rFonts w:hint="eastAsia" w:ascii="仿宋_GB2312" w:eastAsia="仿宋_GB2312"/>
          <w:color w:val="auto"/>
          <w:sz w:val="32"/>
          <w:szCs w:val="32"/>
          <w:highlight w:val="none"/>
        </w:rPr>
        <w:t>景区接待游客</w:t>
      </w:r>
      <w:r>
        <w:rPr>
          <w:rFonts w:hint="eastAsia" w:ascii="仿宋_GB2312" w:eastAsia="仿宋_GB2312"/>
          <w:color w:val="auto"/>
          <w:sz w:val="32"/>
          <w:szCs w:val="32"/>
          <w:highlight w:val="none"/>
          <w:lang w:val="en-US" w:eastAsia="zh-CN"/>
        </w:rPr>
        <w:t>223.53</w:t>
      </w:r>
      <w:r>
        <w:rPr>
          <w:rFonts w:hint="eastAsia" w:ascii="仿宋_GB2312" w:eastAsia="仿宋_GB2312"/>
          <w:color w:val="auto"/>
          <w:sz w:val="32"/>
          <w:szCs w:val="32"/>
          <w:highlight w:val="none"/>
        </w:rPr>
        <w:t>万人次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实现</w:t>
      </w:r>
      <w:r>
        <w:rPr>
          <w:rFonts w:hint="eastAsia" w:ascii="仿宋_GB2312" w:eastAsia="仿宋_GB2312"/>
          <w:color w:val="auto"/>
          <w:sz w:val="32"/>
          <w:szCs w:val="32"/>
          <w:highlight w:val="none"/>
          <w:lang w:eastAsia="zh-CN"/>
        </w:rPr>
        <w:t>旅游门票</w:t>
      </w:r>
      <w:r>
        <w:rPr>
          <w:rFonts w:hint="eastAsia" w:ascii="仿宋_GB2312" w:eastAsia="仿宋_GB2312"/>
          <w:color w:val="auto"/>
          <w:sz w:val="32"/>
          <w:szCs w:val="32"/>
          <w:highlight w:val="none"/>
        </w:rPr>
        <w:t>收入</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亿元。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rPr>
      </w:pPr>
      <w:r>
        <w:rPr>
          <w:rFonts w:hint="eastAsia" w:ascii="华文中宋" w:hAnsi="华文中宋" w:eastAsia="华文中宋"/>
          <w:b/>
          <w:sz w:val="32"/>
          <w:szCs w:val="32"/>
        </w:rPr>
        <w:t>七、财政、金融与保险</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全年地方一般公共预算收入完成</w:t>
      </w:r>
      <w:r>
        <w:rPr>
          <w:rFonts w:hint="eastAsia" w:ascii="仿宋_GB2312" w:eastAsia="仿宋_GB2312"/>
          <w:color w:val="auto"/>
          <w:sz w:val="32"/>
          <w:szCs w:val="32"/>
          <w:highlight w:val="none"/>
          <w:lang w:val="en-US" w:eastAsia="zh-CN"/>
        </w:rPr>
        <w:t>5.30</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剔除留抵退税影响后比上年增长</w:t>
      </w:r>
      <w:r>
        <w:rPr>
          <w:rFonts w:hint="eastAsia" w:ascii="仿宋_GB2312" w:eastAsia="仿宋_GB2312"/>
          <w:color w:val="auto"/>
          <w:sz w:val="32"/>
          <w:szCs w:val="32"/>
          <w:highlight w:val="none"/>
          <w:lang w:val="en-US" w:eastAsia="zh-CN"/>
        </w:rPr>
        <w:t>21.5</w:t>
      </w:r>
      <w:r>
        <w:rPr>
          <w:rFonts w:hint="eastAsia" w:ascii="仿宋_GB2312" w:eastAsia="仿宋_GB2312"/>
          <w:color w:val="auto"/>
          <w:sz w:val="32"/>
          <w:szCs w:val="32"/>
          <w:highlight w:val="none"/>
        </w:rPr>
        <w:t>%。其中，税收收入</w:t>
      </w:r>
      <w:r>
        <w:rPr>
          <w:rFonts w:hint="eastAsia" w:ascii="仿宋_GB2312" w:eastAsia="仿宋_GB2312"/>
          <w:color w:val="auto"/>
          <w:sz w:val="32"/>
          <w:szCs w:val="32"/>
          <w:highlight w:val="none"/>
          <w:lang w:val="en-US" w:eastAsia="zh-CN"/>
        </w:rPr>
        <w:t>2.40</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4.7</w:t>
      </w:r>
      <w:r>
        <w:rPr>
          <w:rFonts w:hint="eastAsia" w:ascii="仿宋_GB2312" w:eastAsia="仿宋_GB2312"/>
          <w:color w:val="auto"/>
          <w:sz w:val="32"/>
          <w:szCs w:val="32"/>
          <w:highlight w:val="none"/>
        </w:rPr>
        <w:t>%；非税收入</w:t>
      </w:r>
      <w:r>
        <w:rPr>
          <w:rFonts w:hint="eastAsia" w:ascii="仿宋_GB2312" w:eastAsia="仿宋_GB2312"/>
          <w:color w:val="auto"/>
          <w:sz w:val="32"/>
          <w:szCs w:val="32"/>
          <w:highlight w:val="none"/>
          <w:lang w:val="en-US" w:eastAsia="zh-CN"/>
        </w:rPr>
        <w:t>2.90</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35.4</w:t>
      </w:r>
      <w:r>
        <w:rPr>
          <w:rFonts w:hint="eastAsia" w:ascii="仿宋_GB2312" w:eastAsia="仿宋_GB2312"/>
          <w:color w:val="auto"/>
          <w:sz w:val="32"/>
          <w:szCs w:val="32"/>
          <w:highlight w:val="none"/>
        </w:rPr>
        <w:t>%。地方一般公共预算支出</w:t>
      </w:r>
      <w:r>
        <w:rPr>
          <w:rFonts w:hint="eastAsia" w:ascii="仿宋_GB2312" w:eastAsia="仿宋_GB2312"/>
          <w:color w:val="auto"/>
          <w:sz w:val="32"/>
          <w:szCs w:val="32"/>
          <w:highlight w:val="none"/>
          <w:lang w:val="en-US" w:eastAsia="zh-CN"/>
        </w:rPr>
        <w:t>40.48</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sz w:val="32"/>
          <w:szCs w:val="32"/>
        </w:rPr>
        <w:drawing>
          <wp:anchor distT="0" distB="0" distL="114300" distR="114300" simplePos="0" relativeHeight="251661312" behindDoc="0" locked="0" layoutInCell="1" allowOverlap="1">
            <wp:simplePos x="0" y="0"/>
            <wp:positionH relativeFrom="column">
              <wp:posOffset>299720</wp:posOffset>
            </wp:positionH>
            <wp:positionV relativeFrom="paragraph">
              <wp:posOffset>71120</wp:posOffset>
            </wp:positionV>
            <wp:extent cx="4772025" cy="2762250"/>
            <wp:effectExtent l="4445" t="4445" r="5080" b="1460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color w:val="auto"/>
          <w:sz w:val="32"/>
          <w:szCs w:val="32"/>
          <w:highlight w:val="none"/>
        </w:rPr>
        <w:t>年末金融机构各项存款余额</w:t>
      </w:r>
      <w:r>
        <w:rPr>
          <w:rFonts w:hint="eastAsia" w:ascii="仿宋_GB2312" w:eastAsia="仿宋_GB2312"/>
          <w:color w:val="auto"/>
          <w:sz w:val="32"/>
          <w:szCs w:val="32"/>
          <w:highlight w:val="none"/>
          <w:lang w:val="en-US" w:eastAsia="zh-CN"/>
        </w:rPr>
        <w:t>279.31</w:t>
      </w:r>
      <w:r>
        <w:rPr>
          <w:rFonts w:hint="eastAsia" w:ascii="仿宋_GB2312" w:eastAsia="仿宋_GB2312"/>
          <w:color w:val="auto"/>
          <w:sz w:val="32"/>
          <w:szCs w:val="32"/>
          <w:highlight w:val="none"/>
        </w:rPr>
        <w:t>亿元，比上年末增长</w:t>
      </w:r>
      <w:r>
        <w:rPr>
          <w:rFonts w:hint="eastAsia" w:ascii="仿宋_GB2312" w:eastAsia="仿宋_GB2312"/>
          <w:color w:val="auto"/>
          <w:sz w:val="32"/>
          <w:szCs w:val="32"/>
          <w:highlight w:val="none"/>
          <w:lang w:val="en-US" w:eastAsia="zh-CN"/>
        </w:rPr>
        <w:t>12.7</w:t>
      </w:r>
      <w:r>
        <w:rPr>
          <w:rFonts w:hint="eastAsia" w:ascii="仿宋_GB2312" w:eastAsia="仿宋_GB2312"/>
          <w:color w:val="auto"/>
          <w:sz w:val="32"/>
          <w:szCs w:val="32"/>
          <w:highlight w:val="none"/>
        </w:rPr>
        <w:t>%。其中，住户存款余额</w:t>
      </w:r>
      <w:r>
        <w:rPr>
          <w:rFonts w:hint="eastAsia" w:ascii="仿宋_GB2312" w:eastAsia="仿宋_GB2312"/>
          <w:color w:val="auto"/>
          <w:sz w:val="32"/>
          <w:szCs w:val="32"/>
          <w:highlight w:val="none"/>
          <w:lang w:val="en-US" w:eastAsia="zh-CN"/>
        </w:rPr>
        <w:t>241.08</w:t>
      </w:r>
      <w:r>
        <w:rPr>
          <w:rFonts w:hint="eastAsia" w:ascii="仿宋_GB2312" w:eastAsia="仿宋_GB2312"/>
          <w:color w:val="auto"/>
          <w:sz w:val="32"/>
          <w:szCs w:val="32"/>
          <w:highlight w:val="none"/>
        </w:rPr>
        <w:t>亿元，增长</w:t>
      </w:r>
      <w:r>
        <w:rPr>
          <w:rFonts w:hint="eastAsia" w:ascii="仿宋_GB2312" w:eastAsia="仿宋_GB2312"/>
          <w:color w:val="auto"/>
          <w:sz w:val="32"/>
          <w:szCs w:val="32"/>
          <w:highlight w:val="none"/>
          <w:lang w:val="en-US" w:eastAsia="zh-CN"/>
        </w:rPr>
        <w:t>14.6</w:t>
      </w:r>
      <w:r>
        <w:rPr>
          <w:rFonts w:hint="eastAsia" w:ascii="仿宋_GB2312" w:eastAsia="仿宋_GB2312"/>
          <w:color w:val="auto"/>
          <w:sz w:val="32"/>
          <w:szCs w:val="32"/>
          <w:highlight w:val="none"/>
        </w:rPr>
        <w:t>%。金融机构各项贷款余额</w:t>
      </w:r>
      <w:r>
        <w:rPr>
          <w:rFonts w:hint="eastAsia" w:ascii="仿宋_GB2312" w:eastAsia="仿宋_GB2312"/>
          <w:color w:val="auto"/>
          <w:sz w:val="32"/>
          <w:szCs w:val="32"/>
          <w:highlight w:val="none"/>
          <w:lang w:val="en-US" w:eastAsia="zh-CN"/>
        </w:rPr>
        <w:t>154.39</w:t>
      </w:r>
      <w:r>
        <w:rPr>
          <w:rFonts w:hint="eastAsia" w:ascii="仿宋_GB2312" w:eastAsia="仿宋_GB2312"/>
          <w:color w:val="auto"/>
          <w:sz w:val="32"/>
          <w:szCs w:val="32"/>
          <w:highlight w:val="none"/>
        </w:rPr>
        <w:t>亿元，增长</w:t>
      </w:r>
      <w:r>
        <w:rPr>
          <w:rFonts w:hint="eastAsia" w:ascii="仿宋_GB2312" w:eastAsia="仿宋_GB2312"/>
          <w:color w:val="auto"/>
          <w:sz w:val="32"/>
          <w:szCs w:val="32"/>
          <w:highlight w:val="none"/>
          <w:lang w:val="en-US" w:eastAsia="zh-CN"/>
        </w:rPr>
        <w:t>15.7</w:t>
      </w:r>
      <w:r>
        <w:rPr>
          <w:rFonts w:hint="eastAsia" w:ascii="仿宋_GB2312" w:eastAsia="仿宋_GB2312"/>
          <w:color w:val="auto"/>
          <w:sz w:val="32"/>
          <w:szCs w:val="32"/>
          <w:highlight w:val="none"/>
        </w:rPr>
        <w:t>%。其中，短期贷款余额</w:t>
      </w:r>
      <w:r>
        <w:rPr>
          <w:rFonts w:hint="eastAsia" w:ascii="仿宋_GB2312" w:eastAsia="仿宋_GB2312"/>
          <w:color w:val="auto"/>
          <w:sz w:val="32"/>
          <w:szCs w:val="32"/>
          <w:highlight w:val="none"/>
          <w:lang w:val="en-US" w:eastAsia="zh-CN"/>
        </w:rPr>
        <w:t>21.53</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12.9</w:t>
      </w:r>
      <w:r>
        <w:rPr>
          <w:rFonts w:hint="eastAsia" w:ascii="仿宋_GB2312" w:eastAsia="仿宋_GB2312"/>
          <w:color w:val="auto"/>
          <w:sz w:val="32"/>
          <w:szCs w:val="32"/>
          <w:highlight w:val="none"/>
        </w:rPr>
        <w:t>%；中长期贷款余额</w:t>
      </w:r>
      <w:r>
        <w:rPr>
          <w:rFonts w:hint="eastAsia" w:ascii="仿宋_GB2312" w:eastAsia="仿宋_GB2312"/>
          <w:color w:val="auto"/>
          <w:sz w:val="32"/>
          <w:szCs w:val="32"/>
          <w:highlight w:val="none"/>
          <w:lang w:val="en-US" w:eastAsia="zh-CN"/>
        </w:rPr>
        <w:t>122.67</w:t>
      </w:r>
      <w:r>
        <w:rPr>
          <w:rFonts w:hint="eastAsia" w:ascii="仿宋_GB2312" w:eastAsia="仿宋_GB2312"/>
          <w:color w:val="auto"/>
          <w:sz w:val="32"/>
          <w:szCs w:val="32"/>
          <w:highlight w:val="none"/>
        </w:rPr>
        <w:t>亿元，增长</w:t>
      </w:r>
      <w:r>
        <w:rPr>
          <w:rFonts w:hint="eastAsia" w:ascii="仿宋_GB2312" w:eastAsia="仿宋_GB2312"/>
          <w:color w:val="auto"/>
          <w:sz w:val="32"/>
          <w:szCs w:val="32"/>
          <w:highlight w:val="none"/>
          <w:lang w:val="en-US" w:eastAsia="zh-CN"/>
        </w:rPr>
        <w:t>15.0</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全年保费收入6.81亿元，比上年下降5.7%。其中，财险保费收入2.18亿元，增长15.4%；寿险保费收入4.63亿元，下降13.2%。</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sz w:val="32"/>
          <w:szCs w:val="32"/>
        </w:rPr>
      </w:pPr>
      <w:r>
        <w:rPr>
          <w:rFonts w:hint="eastAsia" w:ascii="华文中宋" w:hAnsi="华文中宋" w:eastAsia="华文中宋"/>
          <w:b/>
          <w:sz w:val="32"/>
          <w:szCs w:val="32"/>
        </w:rPr>
        <w:t>八、教育与科学技术</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全县共有各级各类学校111所，在</w:t>
      </w:r>
      <w:r>
        <w:rPr>
          <w:rFonts w:hint="eastAsia" w:ascii="仿宋_GB2312" w:eastAsia="仿宋_GB2312"/>
          <w:color w:val="auto"/>
          <w:sz w:val="32"/>
          <w:szCs w:val="32"/>
          <w:highlight w:val="none"/>
          <w:lang w:eastAsia="zh-CN"/>
        </w:rPr>
        <w:t>校</w:t>
      </w:r>
      <w:r>
        <w:rPr>
          <w:rFonts w:hint="eastAsia" w:ascii="仿宋_GB2312" w:eastAsia="仿宋_GB2312"/>
          <w:color w:val="auto"/>
          <w:sz w:val="32"/>
          <w:szCs w:val="32"/>
          <w:highlight w:val="none"/>
        </w:rPr>
        <w:t>学生数6.62万人，专任教师5181人。其中，普通高中4所，在校生0.83万人，专任教师699人；普通初中16所，在校生1.52万人，专任教师1261人；中等职业教育学校2所，在校生0.38万人，专任教师225人；小学58所，在校学生2.54万人，专任教师2301人；幼儿园29所，在园幼儿1.2万人，专任教师631人；特殊教育学校1所，在校生107人，专任教师26人；成教中心1所。普通高考本科上线1619人，其中：一本上线288人，上线率连续七年实现正增长。巩固全国义务教育发展基本均衡县成果，义务教育入学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巩固率均达100%。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全年专利申请量</w:t>
      </w:r>
      <w:r>
        <w:rPr>
          <w:rFonts w:hint="eastAsia" w:ascii="仿宋_GB2312" w:eastAsia="仿宋_GB2312"/>
          <w:color w:val="auto"/>
          <w:sz w:val="32"/>
          <w:szCs w:val="32"/>
          <w:highlight w:val="none"/>
          <w:lang w:val="en-US" w:eastAsia="zh-CN"/>
        </w:rPr>
        <w:t>49</w:t>
      </w:r>
      <w:r>
        <w:rPr>
          <w:rFonts w:hint="eastAsia" w:ascii="仿宋_GB2312" w:eastAsia="仿宋_GB2312"/>
          <w:color w:val="auto"/>
          <w:sz w:val="32"/>
          <w:szCs w:val="32"/>
          <w:highlight w:val="none"/>
        </w:rPr>
        <w:t>件，其中：发明专利申请量</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件。新培育建立国家高新技术企业1家，省级科技企业孵化器1个。新入库科技型企业19个</w:t>
      </w:r>
      <w:r>
        <w:rPr>
          <w:rFonts w:hint="eastAsia" w:ascii="仿宋_GB2312" w:eastAsia="仿宋_GB2312"/>
          <w:color w:val="auto"/>
          <w:sz w:val="32"/>
          <w:szCs w:val="32"/>
          <w:highlight w:val="none"/>
          <w:lang w:eastAsia="zh-CN"/>
        </w:rPr>
        <w:t>，规模以上工业</w:t>
      </w:r>
      <w:r>
        <w:rPr>
          <w:rFonts w:hint="eastAsia" w:ascii="仿宋_GB2312" w:eastAsia="仿宋_GB2312"/>
          <w:color w:val="auto"/>
          <w:sz w:val="32"/>
          <w:szCs w:val="32"/>
          <w:highlight w:val="none"/>
        </w:rPr>
        <w:t>高新技术主营业务收入</w:t>
      </w:r>
      <w:r>
        <w:rPr>
          <w:rFonts w:hint="eastAsia" w:ascii="仿宋_GB2312" w:eastAsia="仿宋_GB2312"/>
          <w:color w:val="auto"/>
          <w:sz w:val="32"/>
          <w:szCs w:val="32"/>
          <w:highlight w:val="none"/>
          <w:lang w:val="en-US" w:eastAsia="zh-CN"/>
        </w:rPr>
        <w:t>8.42</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促进企业与高校、科研院所签订产学研合作协议8项。</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华文中宋" w:hAnsi="华文中宋" w:eastAsia="华文中宋"/>
          <w:b/>
          <w:sz w:val="32"/>
          <w:szCs w:val="32"/>
          <w:highlight w:val="none"/>
        </w:rPr>
      </w:pPr>
      <w:r>
        <w:rPr>
          <w:rFonts w:hint="eastAsia" w:ascii="华文中宋" w:hAnsi="华文中宋" w:eastAsia="华文中宋"/>
          <w:b/>
          <w:sz w:val="32"/>
          <w:szCs w:val="32"/>
          <w:highlight w:val="none"/>
        </w:rPr>
        <w:t>九、文化、卫生与体育</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zh-CN"/>
        </w:rPr>
        <w:t>全县有民营文艺表演团体4支，乡土剧团、百姓戏</w:t>
      </w:r>
      <w:r>
        <w:rPr>
          <w:rFonts w:hint="eastAsia" w:ascii="仿宋_GB2312" w:eastAsia="仿宋_GB2312"/>
          <w:color w:val="auto"/>
          <w:sz w:val="32"/>
          <w:szCs w:val="32"/>
          <w:highlight w:val="none"/>
          <w:lang w:val="zh-CN" w:eastAsia="zh-CN"/>
        </w:rPr>
        <w:t>班等</w:t>
      </w:r>
      <w:r>
        <w:rPr>
          <w:rFonts w:hint="eastAsia" w:ascii="仿宋_GB2312" w:eastAsia="仿宋_GB2312"/>
          <w:color w:val="auto"/>
          <w:sz w:val="32"/>
          <w:szCs w:val="32"/>
          <w:highlight w:val="none"/>
          <w:lang w:val="zh-CN"/>
        </w:rPr>
        <w:t>民间业余文艺演出队伍8支，县级文化馆1个，乡镇综合文化站29个，村（社）文化室364个，美术馆1个，图书馆1个，藏书量28万余册；现有省级非物质文化遗产6个、传承人5位，市级非物质文化遗产19个</w:t>
      </w:r>
      <w:r>
        <w:rPr>
          <w:rFonts w:hint="eastAsia" w:ascii="仿宋_GB2312" w:eastAsia="仿宋_GB2312"/>
          <w:color w:val="auto"/>
          <w:sz w:val="32"/>
          <w:szCs w:val="32"/>
          <w:highlight w:val="none"/>
          <w:lang w:val="zh-CN" w:eastAsia="zh-CN"/>
        </w:rPr>
        <w:t>、</w:t>
      </w:r>
      <w:r>
        <w:rPr>
          <w:rFonts w:hint="eastAsia" w:ascii="仿宋_GB2312" w:eastAsia="仿宋_GB2312"/>
          <w:color w:val="auto"/>
          <w:sz w:val="32"/>
          <w:szCs w:val="32"/>
          <w:highlight w:val="none"/>
          <w:lang w:val="zh-CN"/>
        </w:rPr>
        <w:t>传承人26位，</w:t>
      </w:r>
      <w:r>
        <w:rPr>
          <w:rFonts w:hint="eastAsia" w:ascii="仿宋_GB2312" w:eastAsia="仿宋_GB2312"/>
          <w:color w:val="auto"/>
          <w:sz w:val="32"/>
          <w:szCs w:val="32"/>
          <w:highlight w:val="none"/>
          <w:lang w:eastAsia="zh-CN"/>
        </w:rPr>
        <w:t>白龙花灯、剑门豆腐等传统非遗文化亮相央视新闻直播间</w:t>
      </w:r>
      <w:r>
        <w:rPr>
          <w:rFonts w:hint="eastAsia" w:ascii="仿宋_GB2312" w:eastAsia="仿宋_GB2312"/>
          <w:color w:val="auto"/>
          <w:sz w:val="32"/>
          <w:szCs w:val="32"/>
          <w:highlight w:val="none"/>
          <w:lang w:val="zh-CN"/>
        </w:rPr>
        <w:t>。摄影作品《蜀道光晖》《乡村旅游·化林》《关山云海》《金色田园》在四川省首届公共空间视觉艺术宣传展览中获得二等奖1件、三等奖2件和优秀奖1件。</w:t>
      </w:r>
      <w:r>
        <w:rPr>
          <w:rFonts w:hint="default" w:ascii="仿宋_GB2312" w:eastAsia="仿宋_GB2312"/>
          <w:color w:val="auto"/>
          <w:sz w:val="32"/>
          <w:szCs w:val="32"/>
          <w:highlight w:val="none"/>
          <w:lang w:val="en-US" w:eastAsia="zh-CN"/>
        </w:rPr>
        <w:t>本土电影《白</w:t>
      </w:r>
      <w:r>
        <w:rPr>
          <w:rFonts w:hint="default" w:ascii="仿宋_GB2312" w:eastAsia="仿宋_GB2312"/>
          <w:color w:val="auto"/>
          <w:sz w:val="32"/>
          <w:szCs w:val="32"/>
          <w:highlight w:val="none"/>
        </w:rPr>
        <w:t>月光下》在全国影院上映</w:t>
      </w:r>
      <w:r>
        <w:rPr>
          <w:rFonts w:hint="eastAsia" w:ascii="仿宋_GB2312" w:eastAsia="仿宋_GB2312"/>
          <w:color w:val="auto"/>
          <w:sz w:val="32"/>
          <w:szCs w:val="32"/>
          <w:highlight w:val="none"/>
          <w:lang w:eastAsia="zh-CN"/>
        </w:rPr>
        <w:t>。剑门关景区被授予四川省文艺创作培训基地称号。建成剑门关·中国华侨国际文化交流基地。全年</w:t>
      </w:r>
      <w:r>
        <w:rPr>
          <w:rFonts w:hint="eastAsia" w:ascii="仿宋_GB2312" w:eastAsia="仿宋_GB2312"/>
          <w:color w:val="auto"/>
          <w:sz w:val="32"/>
          <w:szCs w:val="32"/>
          <w:highlight w:val="none"/>
          <w:lang w:val="zh-CN"/>
        </w:rPr>
        <w:t>开展群众文化活动71场次。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实施364个村（社区）无线公共wifi及29个乡镇广播电视公共服务网点维护，全面系统维护5682只大喇叭，广播覆盖率99.1%；有线电视用户5.88万户，直播卫星用户3.79万户，地面数字电视用户1.54万户，电视覆盖率99%。广播电视综合覆盖率99%。</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zh-CN" w:eastAsia="zh-CN"/>
        </w:rPr>
      </w:pPr>
      <w:r>
        <w:rPr>
          <w:rFonts w:hint="eastAsia" w:ascii="仿宋_GB2312" w:eastAsia="仿宋_GB2312"/>
          <w:color w:val="auto"/>
          <w:sz w:val="32"/>
          <w:szCs w:val="32"/>
          <w:highlight w:val="none"/>
          <w:lang w:val="zh-CN" w:eastAsia="zh-CN"/>
        </w:rPr>
        <w:t>全县共有医疗卫生机构449个，其中医院8个、基层医疗卫生机构438个，专业公共卫生机构2个，实有病床2616张，卫生和计生人员3585人。医院、卫生院39个，实有病床2223张，卫生人员3255人，其中卫生技术人员2282人，执业（助理）医师788人；村卫生室348个，乡村医生583人。医疗卫生体制改革进一步深化，分级诊疗制度稳步推行，县域内就诊率达到80.53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高质量承办“体总杯”三大球四川省城市联赛北部赛区排球赛和四川省自然岩壁攀岩精英赛，</w:t>
      </w:r>
      <w:r>
        <w:rPr>
          <w:rFonts w:hint="eastAsia" w:ascii="仿宋_GB2312" w:eastAsia="仿宋_GB2312"/>
          <w:color w:val="auto"/>
          <w:sz w:val="32"/>
          <w:szCs w:val="32"/>
          <w:highlight w:val="none"/>
          <w:lang w:val="en-US" w:eastAsia="zh-CN"/>
        </w:rPr>
        <w:t>被授予首个四川省自然岩壁攀岩训练基地称号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举行“百城千乡万村.社区”篮球赛，走进5个片区、12个乡镇、16个社区，完成223场次比赛创全省第一。体育场馆免费对外开放21.5万人次，开展室内室外免费体质监测3100余人次。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rPr>
      </w:pPr>
      <w:r>
        <w:rPr>
          <w:rFonts w:hint="eastAsia" w:ascii="华文中宋" w:hAnsi="华文中宋" w:eastAsia="华文中宋"/>
          <w:b/>
          <w:sz w:val="32"/>
          <w:szCs w:val="32"/>
        </w:rPr>
        <w:t>十、人口、就业与保障、居民生活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全县年末户籍总人口</w:t>
      </w:r>
      <w:r>
        <w:rPr>
          <w:rFonts w:hint="eastAsia" w:ascii="仿宋_GB2312" w:eastAsia="仿宋_GB2312"/>
          <w:color w:val="auto"/>
          <w:sz w:val="32"/>
          <w:szCs w:val="32"/>
          <w:highlight w:val="none"/>
          <w:lang w:val="en-US" w:eastAsia="zh-CN"/>
        </w:rPr>
        <w:t>63.25</w:t>
      </w:r>
      <w:r>
        <w:rPr>
          <w:rFonts w:hint="eastAsia" w:ascii="仿宋_GB2312" w:eastAsia="仿宋_GB2312"/>
          <w:color w:val="auto"/>
          <w:sz w:val="32"/>
          <w:szCs w:val="32"/>
          <w:highlight w:val="none"/>
        </w:rPr>
        <w:t>万人，比上年下降</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%。其中：乡村人口</w:t>
      </w:r>
      <w:r>
        <w:rPr>
          <w:rFonts w:hint="eastAsia" w:ascii="仿宋_GB2312" w:eastAsia="仿宋_GB2312"/>
          <w:color w:val="auto"/>
          <w:sz w:val="32"/>
          <w:szCs w:val="32"/>
          <w:highlight w:val="none"/>
          <w:lang w:val="en-US" w:eastAsia="zh-CN"/>
        </w:rPr>
        <w:t>50.43</w:t>
      </w:r>
      <w:r>
        <w:rPr>
          <w:rFonts w:hint="eastAsia" w:ascii="仿宋_GB2312" w:eastAsia="仿宋_GB2312"/>
          <w:color w:val="auto"/>
          <w:sz w:val="32"/>
          <w:szCs w:val="32"/>
          <w:highlight w:val="none"/>
        </w:rPr>
        <w:t>万人，城镇人口</w:t>
      </w:r>
      <w:r>
        <w:rPr>
          <w:rFonts w:hint="eastAsia" w:ascii="仿宋_GB2312" w:eastAsia="仿宋_GB2312"/>
          <w:color w:val="auto"/>
          <w:sz w:val="32"/>
          <w:szCs w:val="32"/>
          <w:highlight w:val="none"/>
          <w:lang w:val="en-US" w:eastAsia="zh-CN"/>
        </w:rPr>
        <w:t>12.82</w:t>
      </w:r>
      <w:r>
        <w:rPr>
          <w:rFonts w:hint="eastAsia" w:ascii="仿宋_GB2312" w:eastAsia="仿宋_GB2312"/>
          <w:color w:val="auto"/>
          <w:sz w:val="32"/>
          <w:szCs w:val="32"/>
          <w:highlight w:val="none"/>
        </w:rPr>
        <w:t>万人；男性人口</w:t>
      </w:r>
      <w:r>
        <w:rPr>
          <w:rFonts w:hint="eastAsia" w:ascii="仿宋_GB2312" w:eastAsia="仿宋_GB2312"/>
          <w:color w:val="auto"/>
          <w:sz w:val="32"/>
          <w:szCs w:val="32"/>
          <w:highlight w:val="none"/>
          <w:lang w:val="en-US" w:eastAsia="zh-CN"/>
        </w:rPr>
        <w:t>33.10</w:t>
      </w:r>
      <w:r>
        <w:rPr>
          <w:rFonts w:hint="eastAsia" w:ascii="仿宋_GB2312" w:eastAsia="仿宋_GB2312"/>
          <w:color w:val="auto"/>
          <w:sz w:val="32"/>
          <w:szCs w:val="32"/>
          <w:highlight w:val="none"/>
        </w:rPr>
        <w:t>万人，女性人口</w:t>
      </w:r>
      <w:r>
        <w:rPr>
          <w:rFonts w:hint="eastAsia" w:ascii="仿宋_GB2312" w:eastAsia="仿宋_GB2312"/>
          <w:color w:val="auto"/>
          <w:sz w:val="32"/>
          <w:szCs w:val="32"/>
          <w:highlight w:val="none"/>
          <w:lang w:val="en-US" w:eastAsia="zh-CN"/>
        </w:rPr>
        <w:t>30.15</w:t>
      </w:r>
      <w:r>
        <w:rPr>
          <w:rFonts w:hint="eastAsia" w:ascii="仿宋_GB2312" w:eastAsia="仿宋_GB2312"/>
          <w:color w:val="auto"/>
          <w:sz w:val="32"/>
          <w:szCs w:val="32"/>
          <w:highlight w:val="none"/>
        </w:rPr>
        <w:t>万人，男女性别比为109.</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（以女性人口为100）。全县符合政策生育率</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％，人口出生率</w:t>
      </w:r>
      <w:r>
        <w:rPr>
          <w:rFonts w:hint="eastAsia" w:ascii="仿宋_GB2312" w:eastAsia="仿宋_GB2312"/>
          <w:color w:val="auto"/>
          <w:sz w:val="32"/>
          <w:szCs w:val="32"/>
          <w:highlight w:val="none"/>
          <w:lang w:val="en-US" w:eastAsia="zh-CN"/>
        </w:rPr>
        <w:t>8.55</w:t>
      </w:r>
      <w:r>
        <w:rPr>
          <w:rFonts w:hint="eastAsia" w:ascii="仿宋_GB2312" w:eastAsia="仿宋_GB2312"/>
          <w:color w:val="auto"/>
          <w:sz w:val="32"/>
          <w:szCs w:val="32"/>
          <w:highlight w:val="none"/>
        </w:rPr>
        <w:t>‰，人口死亡率</w:t>
      </w:r>
      <w:r>
        <w:rPr>
          <w:rFonts w:hint="eastAsia" w:ascii="仿宋_GB2312" w:eastAsia="仿宋_GB2312"/>
          <w:color w:val="auto"/>
          <w:sz w:val="32"/>
          <w:szCs w:val="32"/>
          <w:highlight w:val="none"/>
          <w:lang w:val="en-US" w:eastAsia="zh-CN"/>
        </w:rPr>
        <w:t>10.44</w:t>
      </w:r>
      <w:r>
        <w:rPr>
          <w:rFonts w:hint="eastAsia" w:ascii="仿宋_GB2312" w:eastAsia="仿宋_GB2312"/>
          <w:color w:val="auto"/>
          <w:sz w:val="32"/>
          <w:szCs w:val="32"/>
          <w:highlight w:val="none"/>
        </w:rPr>
        <w:t>‰，人口自然增长率-</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szCs w:val="32"/>
          <w:highlight w:val="none"/>
        </w:rPr>
        <w:t>‰。出生婴儿性别比10</w:t>
      </w:r>
      <w:r>
        <w:rPr>
          <w:rFonts w:hint="eastAsia" w:ascii="仿宋_GB2312" w:eastAsia="仿宋_GB2312"/>
          <w:color w:val="auto"/>
          <w:sz w:val="32"/>
          <w:szCs w:val="32"/>
          <w:highlight w:val="none"/>
          <w:lang w:val="en-US" w:eastAsia="zh-CN"/>
        </w:rPr>
        <w:t>7.36</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城镇新增就业6424人，城镇失业人员再就业1625人，就业困难人员再就业333人，城镇登记失业率控制在2.95%。举办技能培训班94期，培训4811人，其中培训脱贫人口914人，就业创业培训3897人；全年参加见习80人，发放见习补贴85.1万元，扶持大学生创业3人，发放创业补贴3万元，全年共发放小额担保贷款7220万元。全年登记入库农村劳动力</w:t>
      </w:r>
      <w:r>
        <w:rPr>
          <w:rFonts w:hint="eastAsia" w:ascii="仿宋_GB2312" w:eastAsia="仿宋_GB2312"/>
          <w:color w:val="auto"/>
          <w:sz w:val="32"/>
          <w:szCs w:val="32"/>
          <w:highlight w:val="none"/>
          <w:lang w:val="en-US" w:eastAsia="zh-CN"/>
        </w:rPr>
        <w:t>31.4</w:t>
      </w:r>
      <w:r>
        <w:rPr>
          <w:rFonts w:hint="eastAsia" w:ascii="仿宋_GB2312" w:eastAsia="仿宋_GB2312"/>
          <w:color w:val="auto"/>
          <w:sz w:val="32"/>
          <w:szCs w:val="32"/>
          <w:highlight w:val="none"/>
        </w:rPr>
        <w:t>万人，组织召开招聘会39场。拓展输出渠道，转移输出劳动力总数27.2万</w:t>
      </w:r>
      <w:r>
        <w:rPr>
          <w:rFonts w:hint="eastAsia" w:ascii="仿宋_GB2312" w:eastAsia="仿宋_GB2312"/>
          <w:color w:val="auto"/>
          <w:sz w:val="32"/>
          <w:szCs w:val="32"/>
          <w:highlight w:val="none"/>
          <w:lang w:eastAsia="zh-CN"/>
        </w:rPr>
        <w:t>人</w:t>
      </w:r>
      <w:r>
        <w:rPr>
          <w:rFonts w:hint="eastAsia" w:ascii="仿宋_GB2312" w:eastAsia="仿宋_GB2312"/>
          <w:color w:val="auto"/>
          <w:sz w:val="32"/>
          <w:szCs w:val="32"/>
          <w:highlight w:val="none"/>
        </w:rPr>
        <w:t>，创劳务收入60亿</w:t>
      </w:r>
      <w:r>
        <w:rPr>
          <w:rFonts w:hint="eastAsia" w:ascii="仿宋_GB2312" w:eastAsia="仿宋_GB2312"/>
          <w:color w:val="auto"/>
          <w:sz w:val="32"/>
          <w:szCs w:val="32"/>
          <w:highlight w:val="none"/>
          <w:lang w:eastAsia="zh-CN"/>
        </w:rPr>
        <w:t>元</w:t>
      </w:r>
      <w:r>
        <w:rPr>
          <w:rFonts w:hint="eastAsia" w:ascii="仿宋_GB2312" w:eastAsia="仿宋_GB2312"/>
          <w:color w:val="auto"/>
          <w:sz w:val="32"/>
          <w:szCs w:val="32"/>
          <w:highlight w:val="none"/>
        </w:rPr>
        <w:t>左右。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年末城镇职工养老保险参保人数</w:t>
      </w:r>
      <w:r>
        <w:rPr>
          <w:rFonts w:hint="eastAsia" w:ascii="仿宋_GB2312" w:eastAsia="仿宋_GB2312"/>
          <w:color w:val="auto"/>
          <w:sz w:val="32"/>
          <w:szCs w:val="32"/>
          <w:highlight w:val="none"/>
          <w:lang w:val="en-US" w:eastAsia="zh-CN"/>
        </w:rPr>
        <w:t>在职3.23万人，退休2.41万</w:t>
      </w:r>
      <w:r>
        <w:rPr>
          <w:rFonts w:hint="eastAsia" w:ascii="仿宋_GB2312" w:eastAsia="仿宋_GB2312"/>
          <w:color w:val="auto"/>
          <w:sz w:val="32"/>
          <w:szCs w:val="32"/>
          <w:highlight w:val="none"/>
        </w:rPr>
        <w:t>人；城乡居民养老保险覆盖人数</w:t>
      </w:r>
      <w:r>
        <w:rPr>
          <w:rFonts w:hint="eastAsia" w:ascii="仿宋_GB2312" w:eastAsia="仿宋_GB2312"/>
          <w:color w:val="auto"/>
          <w:sz w:val="32"/>
          <w:szCs w:val="32"/>
          <w:highlight w:val="none"/>
          <w:lang w:val="en-US" w:eastAsia="zh-CN"/>
        </w:rPr>
        <w:t>32.23</w:t>
      </w:r>
      <w:r>
        <w:rPr>
          <w:rFonts w:hint="eastAsia" w:ascii="仿宋_GB2312" w:eastAsia="仿宋_GB2312"/>
          <w:color w:val="auto"/>
          <w:sz w:val="32"/>
          <w:szCs w:val="32"/>
          <w:highlight w:val="none"/>
        </w:rPr>
        <w:t>万人；城镇职工医疗保险参保</w:t>
      </w:r>
      <w:r>
        <w:rPr>
          <w:rFonts w:hint="eastAsia" w:ascii="仿宋_GB2312" w:eastAsia="仿宋_GB2312"/>
          <w:color w:val="auto"/>
          <w:sz w:val="32"/>
          <w:szCs w:val="32"/>
          <w:highlight w:val="none"/>
          <w:lang w:val="en-US" w:eastAsia="zh-CN"/>
        </w:rPr>
        <w:t>3.22</w:t>
      </w:r>
      <w:r>
        <w:rPr>
          <w:rFonts w:hint="eastAsia" w:ascii="仿宋_GB2312" w:eastAsia="仿宋_GB2312"/>
          <w:color w:val="auto"/>
          <w:sz w:val="32"/>
          <w:szCs w:val="32"/>
          <w:highlight w:val="none"/>
        </w:rPr>
        <w:t>万人；生育</w:t>
      </w:r>
      <w:r>
        <w:rPr>
          <w:rFonts w:hint="eastAsia" w:ascii="仿宋_GB2312" w:eastAsia="仿宋_GB2312"/>
          <w:color w:val="auto"/>
          <w:sz w:val="32"/>
          <w:szCs w:val="32"/>
          <w:highlight w:val="none"/>
          <w:lang w:eastAsia="zh-CN"/>
        </w:rPr>
        <w:t>保险</w:t>
      </w:r>
      <w:r>
        <w:rPr>
          <w:rFonts w:hint="eastAsia" w:ascii="仿宋_GB2312" w:eastAsia="仿宋_GB2312"/>
          <w:color w:val="auto"/>
          <w:sz w:val="32"/>
          <w:szCs w:val="32"/>
          <w:highlight w:val="none"/>
        </w:rPr>
        <w:t>参保</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szCs w:val="32"/>
          <w:highlight w:val="none"/>
        </w:rPr>
        <w:t>万人；失业</w:t>
      </w:r>
      <w:r>
        <w:rPr>
          <w:rFonts w:hint="eastAsia" w:ascii="仿宋_GB2312" w:eastAsia="仿宋_GB2312"/>
          <w:color w:val="auto"/>
          <w:sz w:val="32"/>
          <w:szCs w:val="32"/>
          <w:highlight w:val="none"/>
          <w:lang w:eastAsia="zh-CN"/>
        </w:rPr>
        <w:t>保险</w:t>
      </w:r>
      <w:r>
        <w:rPr>
          <w:rFonts w:hint="eastAsia" w:ascii="仿宋_GB2312" w:eastAsia="仿宋_GB2312"/>
          <w:color w:val="auto"/>
          <w:sz w:val="32"/>
          <w:szCs w:val="32"/>
          <w:highlight w:val="none"/>
        </w:rPr>
        <w:t>参保</w:t>
      </w:r>
      <w:r>
        <w:rPr>
          <w:rFonts w:hint="eastAsia" w:ascii="仿宋_GB2312" w:eastAsia="仿宋_GB2312"/>
          <w:color w:val="auto"/>
          <w:sz w:val="32"/>
          <w:szCs w:val="32"/>
          <w:highlight w:val="none"/>
          <w:lang w:val="en-US" w:eastAsia="zh-CN"/>
        </w:rPr>
        <w:t>1.68</w:t>
      </w:r>
      <w:r>
        <w:rPr>
          <w:rFonts w:hint="eastAsia" w:ascii="仿宋_GB2312" w:eastAsia="仿宋_GB2312"/>
          <w:color w:val="auto"/>
          <w:sz w:val="32"/>
          <w:szCs w:val="32"/>
          <w:highlight w:val="none"/>
        </w:rPr>
        <w:t>万人；农村基本医疗保障制度进一步健全，城乡居民基本医疗保险实际参保48.07万人。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全年享受城镇最低生活保障5.1万人次，发放保障金2027.5万元；享受农村最低生活保障50.68万人次，发放保障金10722.4万元。养老服务事业取得新进展，新建民办养老院1所、日间照料中心14所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城乡特困人员供养率100%,发放城乡特困人员供养金1654.4万元。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全年全体居民人均可支配收入</w:t>
      </w:r>
      <w:r>
        <w:rPr>
          <w:rFonts w:hint="eastAsia" w:ascii="仿宋_GB2312" w:eastAsia="仿宋_GB2312"/>
          <w:color w:val="auto"/>
          <w:sz w:val="32"/>
          <w:szCs w:val="32"/>
          <w:highlight w:val="none"/>
          <w:lang w:val="en-US" w:eastAsia="zh-CN"/>
        </w:rPr>
        <w:t>24945</w:t>
      </w:r>
      <w:r>
        <w:rPr>
          <w:rFonts w:hint="eastAsia" w:ascii="仿宋_GB2312" w:eastAsia="仿宋_GB2312"/>
          <w:color w:val="auto"/>
          <w:sz w:val="32"/>
          <w:szCs w:val="32"/>
          <w:highlight w:val="none"/>
        </w:rPr>
        <w:t>元，比上年增长</w:t>
      </w:r>
      <w:r>
        <w:rPr>
          <w:rFonts w:hint="eastAsia" w:ascii="仿宋_GB2312" w:eastAsia="仿宋_GB2312"/>
          <w:color w:val="auto"/>
          <w:sz w:val="32"/>
          <w:szCs w:val="32"/>
          <w:highlight w:val="none"/>
          <w:lang w:val="en-US" w:eastAsia="zh-CN"/>
        </w:rPr>
        <w:t>5.1</w:t>
      </w:r>
      <w:r>
        <w:rPr>
          <w:rFonts w:hint="eastAsia" w:ascii="仿宋_GB2312" w:eastAsia="仿宋_GB2312"/>
          <w:color w:val="auto"/>
          <w:sz w:val="32"/>
          <w:szCs w:val="32"/>
          <w:highlight w:val="none"/>
        </w:rPr>
        <w:t>%。按常住地分，城镇居民人均可支配收入</w:t>
      </w:r>
      <w:r>
        <w:rPr>
          <w:rFonts w:hint="eastAsia" w:ascii="仿宋_GB2312" w:eastAsia="仿宋_GB2312"/>
          <w:color w:val="auto"/>
          <w:sz w:val="32"/>
          <w:szCs w:val="32"/>
          <w:highlight w:val="none"/>
          <w:lang w:val="en-US" w:eastAsia="zh-CN"/>
        </w:rPr>
        <w:t>40713</w:t>
      </w:r>
      <w:r>
        <w:rPr>
          <w:rFonts w:hint="eastAsia" w:ascii="仿宋_GB2312" w:eastAsia="仿宋_GB2312"/>
          <w:color w:val="auto"/>
          <w:sz w:val="32"/>
          <w:szCs w:val="32"/>
          <w:highlight w:val="none"/>
        </w:rPr>
        <w:t>元，增加</w:t>
      </w:r>
      <w:r>
        <w:rPr>
          <w:rFonts w:hint="eastAsia" w:ascii="仿宋_GB2312" w:eastAsia="仿宋_GB2312"/>
          <w:color w:val="auto"/>
          <w:sz w:val="32"/>
          <w:szCs w:val="32"/>
          <w:highlight w:val="none"/>
          <w:lang w:val="en-US" w:eastAsia="zh-CN"/>
        </w:rPr>
        <w:t>1637</w:t>
      </w:r>
      <w:r>
        <w:rPr>
          <w:rFonts w:hint="eastAsia" w:ascii="仿宋_GB2312" w:eastAsia="仿宋_GB2312"/>
          <w:color w:val="auto"/>
          <w:sz w:val="32"/>
          <w:szCs w:val="32"/>
          <w:highlight w:val="none"/>
        </w:rPr>
        <w:t>元，增长</w:t>
      </w:r>
      <w:r>
        <w:rPr>
          <w:rFonts w:hint="eastAsia" w:ascii="仿宋_GB2312" w:eastAsia="仿宋_GB2312"/>
          <w:color w:val="auto"/>
          <w:sz w:val="32"/>
          <w:szCs w:val="32"/>
          <w:highlight w:val="none"/>
          <w:lang w:val="en-US" w:eastAsia="zh-CN"/>
        </w:rPr>
        <w:t>4.2</w:t>
      </w:r>
      <w:r>
        <w:rPr>
          <w:rFonts w:hint="eastAsia" w:ascii="仿宋_GB2312" w:eastAsia="仿宋_GB2312"/>
          <w:color w:val="auto"/>
          <w:sz w:val="32"/>
          <w:szCs w:val="32"/>
          <w:highlight w:val="none"/>
        </w:rPr>
        <w:t>%，人均消费性支出</w:t>
      </w:r>
      <w:r>
        <w:rPr>
          <w:rFonts w:hint="eastAsia" w:ascii="仿宋_GB2312" w:eastAsia="仿宋_GB2312"/>
          <w:color w:val="auto"/>
          <w:sz w:val="32"/>
          <w:szCs w:val="32"/>
          <w:highlight w:val="none"/>
          <w:lang w:val="en-US" w:eastAsia="zh-CN"/>
        </w:rPr>
        <w:t>25484</w:t>
      </w:r>
      <w:r>
        <w:rPr>
          <w:rFonts w:hint="eastAsia" w:ascii="仿宋_GB2312" w:eastAsia="仿宋_GB2312"/>
          <w:color w:val="auto"/>
          <w:sz w:val="32"/>
          <w:szCs w:val="32"/>
          <w:highlight w:val="none"/>
        </w:rPr>
        <w:t>元，增长</w:t>
      </w:r>
      <w:r>
        <w:rPr>
          <w:rFonts w:hint="eastAsia" w:ascii="仿宋_GB2312" w:eastAsia="仿宋_GB2312"/>
          <w:color w:val="auto"/>
          <w:sz w:val="32"/>
          <w:szCs w:val="32"/>
          <w:highlight w:val="none"/>
          <w:lang w:val="en-US" w:eastAsia="zh-CN"/>
        </w:rPr>
        <w:t>3.9</w:t>
      </w:r>
      <w:r>
        <w:rPr>
          <w:rFonts w:hint="eastAsia" w:ascii="仿宋_GB2312" w:eastAsia="仿宋_GB2312"/>
          <w:color w:val="auto"/>
          <w:sz w:val="32"/>
          <w:szCs w:val="32"/>
          <w:highlight w:val="none"/>
        </w:rPr>
        <w:t>%；农村居民人均可支配收入</w:t>
      </w:r>
      <w:r>
        <w:rPr>
          <w:rFonts w:hint="eastAsia" w:ascii="仿宋_GB2312" w:eastAsia="仿宋_GB2312"/>
          <w:color w:val="auto"/>
          <w:sz w:val="32"/>
          <w:szCs w:val="32"/>
          <w:highlight w:val="none"/>
          <w:lang w:val="en-US" w:eastAsia="zh-CN"/>
        </w:rPr>
        <w:t>16539</w:t>
      </w:r>
      <w:r>
        <w:rPr>
          <w:rFonts w:hint="eastAsia" w:ascii="仿宋_GB2312" w:eastAsia="仿宋_GB2312"/>
          <w:color w:val="auto"/>
          <w:sz w:val="32"/>
          <w:szCs w:val="32"/>
          <w:highlight w:val="none"/>
        </w:rPr>
        <w:t>元，增加</w:t>
      </w:r>
      <w:r>
        <w:rPr>
          <w:rFonts w:hint="eastAsia" w:ascii="仿宋_GB2312" w:eastAsia="仿宋_GB2312"/>
          <w:color w:val="auto"/>
          <w:sz w:val="32"/>
          <w:szCs w:val="32"/>
          <w:highlight w:val="none"/>
          <w:lang w:val="en-US" w:eastAsia="zh-CN"/>
        </w:rPr>
        <w:t>871</w:t>
      </w:r>
      <w:r>
        <w:rPr>
          <w:rFonts w:hint="eastAsia" w:ascii="仿宋_GB2312" w:eastAsia="仿宋_GB2312"/>
          <w:color w:val="auto"/>
          <w:sz w:val="32"/>
          <w:szCs w:val="32"/>
          <w:highlight w:val="none"/>
        </w:rPr>
        <w:t>元，增长</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%，人均生活消费支出</w:t>
      </w:r>
      <w:r>
        <w:rPr>
          <w:rFonts w:hint="eastAsia" w:ascii="仿宋_GB2312" w:eastAsia="仿宋_GB2312"/>
          <w:color w:val="auto"/>
          <w:sz w:val="32"/>
          <w:szCs w:val="32"/>
          <w:highlight w:val="none"/>
          <w:lang w:val="en-US" w:eastAsia="zh-CN"/>
        </w:rPr>
        <w:t>13806</w:t>
      </w:r>
      <w:r>
        <w:rPr>
          <w:rFonts w:hint="eastAsia" w:ascii="仿宋_GB2312" w:eastAsia="仿宋_GB2312"/>
          <w:color w:val="auto"/>
          <w:sz w:val="32"/>
          <w:szCs w:val="32"/>
          <w:highlight w:val="none"/>
        </w:rPr>
        <w:t>元，增长</w:t>
      </w:r>
      <w:r>
        <w:rPr>
          <w:rFonts w:hint="eastAsia" w:ascii="仿宋_GB2312" w:eastAsia="仿宋_GB2312"/>
          <w:color w:val="auto"/>
          <w:sz w:val="32"/>
          <w:szCs w:val="32"/>
          <w:highlight w:val="none"/>
          <w:lang w:val="en-US" w:eastAsia="zh-CN"/>
        </w:rPr>
        <w:t>5.4</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华文中宋" w:hAnsi="华文中宋" w:eastAsia="华文中宋"/>
          <w:b/>
          <w:sz w:val="32"/>
          <w:szCs w:val="32"/>
          <w:highlight w:val="none"/>
        </w:rPr>
      </w:pPr>
      <w:r>
        <w:rPr>
          <w:rFonts w:hint="eastAsia" w:ascii="华文中宋" w:hAnsi="华文中宋" w:eastAsia="华文中宋"/>
          <w:b/>
          <w:sz w:val="32"/>
          <w:szCs w:val="32"/>
          <w:highlight w:val="none"/>
        </w:rPr>
        <w:t>十一、环境保护与安全生产</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全县</w:t>
      </w:r>
      <w:r>
        <w:rPr>
          <w:rFonts w:hint="eastAsia" w:ascii="仿宋_GB2312" w:eastAsia="仿宋_GB2312"/>
          <w:color w:val="auto"/>
          <w:sz w:val="32"/>
          <w:szCs w:val="32"/>
          <w:highlight w:val="none"/>
        </w:rPr>
        <w:t>全年空气优良天数</w:t>
      </w:r>
      <w:r>
        <w:rPr>
          <w:rFonts w:hint="eastAsia" w:ascii="仿宋_GB2312" w:eastAsia="仿宋_GB2312"/>
          <w:color w:val="auto"/>
          <w:sz w:val="32"/>
          <w:szCs w:val="32"/>
          <w:highlight w:val="none"/>
          <w:lang w:val="en-US" w:eastAsia="zh-CN"/>
        </w:rPr>
        <w:t>358</w:t>
      </w:r>
      <w:r>
        <w:rPr>
          <w:rFonts w:hint="eastAsia" w:ascii="仿宋_GB2312" w:eastAsia="仿宋_GB2312"/>
          <w:color w:val="auto"/>
          <w:sz w:val="32"/>
          <w:szCs w:val="32"/>
          <w:highlight w:val="none"/>
        </w:rPr>
        <w:t>天，优良率</w:t>
      </w:r>
      <w:r>
        <w:rPr>
          <w:rFonts w:hint="eastAsia" w:ascii="仿宋_GB2312" w:eastAsia="仿宋_GB2312"/>
          <w:color w:val="auto"/>
          <w:sz w:val="32"/>
          <w:szCs w:val="32"/>
          <w:highlight w:val="none"/>
          <w:lang w:val="en-US" w:eastAsia="zh-CN"/>
        </w:rPr>
        <w:t>98.1</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，细颗粒物（PM2.5）平均浓度26.2微克/立方米</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重要河流水环境质量总体较好，辖区1个国控断面平均水质达地表水Ⅱ类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3个纳入考核的省控断面均达Ⅲ类及以上水质标准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污水处理厂集中处理率达90.</w:t>
      </w:r>
      <w:r>
        <w:rPr>
          <w:rFonts w:hint="eastAsia" w:ascii="仿宋_GB2312" w:eastAsia="仿宋_GB2312"/>
          <w:color w:val="auto"/>
          <w:sz w:val="32"/>
          <w:szCs w:val="32"/>
          <w:highlight w:val="none"/>
          <w:lang w:val="en-US" w:eastAsia="zh-CN"/>
        </w:rPr>
        <w:t>72</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县城区集中式饮用水源水质达标率100%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县城区生活垃圾无害化处理率达到</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建成区绿地率达到</w:t>
      </w:r>
      <w:r>
        <w:rPr>
          <w:rFonts w:hint="eastAsia" w:ascii="仿宋_GB2312" w:eastAsia="仿宋_GB2312"/>
          <w:color w:val="auto"/>
          <w:sz w:val="32"/>
          <w:szCs w:val="32"/>
          <w:highlight w:val="none"/>
          <w:lang w:val="en-US" w:eastAsia="zh-CN"/>
        </w:rPr>
        <w:t>37.5</w:t>
      </w:r>
      <w:r>
        <w:rPr>
          <w:rFonts w:hint="eastAsia" w:ascii="仿宋_GB2312" w:eastAsia="仿宋_GB2312"/>
          <w:color w:val="auto"/>
          <w:sz w:val="32"/>
          <w:szCs w:val="32"/>
          <w:highlight w:val="none"/>
        </w:rPr>
        <w:t>%，绿化覆盖率达38.</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全年发生各类安全生产事故</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起，死亡</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轻伤</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人。全年未发生较大及以上安全生产事故。</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Cs/>
          <w:sz w:val="32"/>
          <w:szCs w:val="32"/>
        </w:rPr>
      </w:pPr>
    </w:p>
    <w:p>
      <w:pPr>
        <w:widowControl/>
        <w:snapToGrid w:val="0"/>
        <w:spacing w:line="360" w:lineRule="exact"/>
        <w:ind w:firstLine="480" w:firstLineChars="200"/>
        <w:jc w:val="left"/>
        <w:rPr>
          <w:rFonts w:hint="eastAsia" w:ascii="楷体" w:hAnsi="楷体" w:eastAsia="楷体" w:cs="楷体"/>
          <w:color w:val="auto"/>
          <w:spacing w:val="0"/>
          <w:sz w:val="24"/>
          <w:szCs w:val="24"/>
        </w:rPr>
      </w:pPr>
      <w:r>
        <w:rPr>
          <w:rFonts w:hint="eastAsia" w:ascii="楷体" w:hAnsi="楷体" w:eastAsia="楷体" w:cs="楷体"/>
          <w:color w:val="auto"/>
          <w:spacing w:val="0"/>
          <w:sz w:val="24"/>
          <w:szCs w:val="24"/>
        </w:rPr>
        <w:t>注：1、公报中</w:t>
      </w:r>
      <w:r>
        <w:rPr>
          <w:rFonts w:hint="eastAsia" w:ascii="楷体" w:hAnsi="楷体" w:eastAsia="楷体" w:cs="楷体"/>
          <w:color w:val="auto"/>
          <w:spacing w:val="0"/>
          <w:sz w:val="24"/>
          <w:szCs w:val="24"/>
          <w:lang w:val="en-US" w:eastAsia="zh-CN"/>
        </w:rPr>
        <w:t>2022年</w:t>
      </w:r>
      <w:r>
        <w:rPr>
          <w:rFonts w:hint="eastAsia" w:ascii="楷体" w:hAnsi="楷体" w:eastAsia="楷体" w:cs="楷体"/>
          <w:color w:val="auto"/>
          <w:spacing w:val="0"/>
          <w:sz w:val="24"/>
          <w:szCs w:val="24"/>
        </w:rPr>
        <w:t>各项数据为初步统计数。</w:t>
      </w:r>
    </w:p>
    <w:p>
      <w:pPr>
        <w:widowControl/>
        <w:snapToGrid w:val="0"/>
        <w:spacing w:line="360" w:lineRule="exact"/>
        <w:ind w:firstLine="960" w:firstLineChars="400"/>
        <w:jc w:val="left"/>
        <w:rPr>
          <w:rFonts w:hint="eastAsia" w:ascii="楷体" w:hAnsi="楷体" w:eastAsia="楷体" w:cs="楷体"/>
          <w:color w:val="auto"/>
          <w:spacing w:val="0"/>
          <w:sz w:val="24"/>
          <w:szCs w:val="24"/>
        </w:rPr>
      </w:pPr>
      <w:r>
        <w:rPr>
          <w:rFonts w:hint="eastAsia" w:ascii="楷体" w:hAnsi="楷体" w:eastAsia="楷体" w:cs="楷体"/>
          <w:color w:val="auto"/>
          <w:spacing w:val="0"/>
          <w:sz w:val="24"/>
          <w:szCs w:val="24"/>
        </w:rPr>
        <w:t>2、公报中地区生产总值、各产业增加值和农业总产值绝对数按当年价格计算，增长速度按可比价格计算。</w:t>
      </w:r>
    </w:p>
    <w:p>
      <w:pPr>
        <w:widowControl/>
        <w:snapToGrid w:val="0"/>
        <w:spacing w:line="360" w:lineRule="exact"/>
        <w:ind w:firstLine="960" w:firstLineChars="400"/>
        <w:jc w:val="left"/>
        <w:rPr>
          <w:rFonts w:hint="eastAsia" w:ascii="楷体" w:hAnsi="楷体" w:eastAsia="楷体" w:cs="楷体"/>
          <w:color w:val="auto"/>
          <w:spacing w:val="0"/>
          <w:sz w:val="24"/>
          <w:szCs w:val="24"/>
        </w:rPr>
      </w:pPr>
      <w:r>
        <w:rPr>
          <w:rFonts w:hint="eastAsia" w:ascii="楷体" w:hAnsi="楷体" w:eastAsia="楷体" w:cs="楷体"/>
          <w:color w:val="auto"/>
          <w:spacing w:val="0"/>
          <w:sz w:val="24"/>
          <w:szCs w:val="24"/>
        </w:rPr>
        <w:t>3、公报中林业、渔业、农业机械化、交通运输、邮政、电信、旅游、对外贸易、财政、金融、保险、教育、科技、文化、广电、卫生、体育、人口、计生、社会保障、环境保护、安全生产等数据来源于相关部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WIzYTY4ODE2MDQ1MjIxOTQ2NGZlNjJkNjU0MTAifQ=="/>
  </w:docVars>
  <w:rsids>
    <w:rsidRoot w:val="00211F21"/>
    <w:rsid w:val="00120504"/>
    <w:rsid w:val="0015138F"/>
    <w:rsid w:val="001768A6"/>
    <w:rsid w:val="001A751F"/>
    <w:rsid w:val="00211F21"/>
    <w:rsid w:val="002D073A"/>
    <w:rsid w:val="004A404A"/>
    <w:rsid w:val="004C03F5"/>
    <w:rsid w:val="005A1315"/>
    <w:rsid w:val="005C5EEA"/>
    <w:rsid w:val="006C631B"/>
    <w:rsid w:val="007D6B02"/>
    <w:rsid w:val="0080337A"/>
    <w:rsid w:val="00831B73"/>
    <w:rsid w:val="00906E28"/>
    <w:rsid w:val="00962926"/>
    <w:rsid w:val="0098388D"/>
    <w:rsid w:val="009E6DC9"/>
    <w:rsid w:val="00A51747"/>
    <w:rsid w:val="00AE12E6"/>
    <w:rsid w:val="00B7101D"/>
    <w:rsid w:val="00D338AE"/>
    <w:rsid w:val="00DC1985"/>
    <w:rsid w:val="00E24A7E"/>
    <w:rsid w:val="00EA59B2"/>
    <w:rsid w:val="00EA6F7D"/>
    <w:rsid w:val="00F23CFC"/>
    <w:rsid w:val="00FA35C5"/>
    <w:rsid w:val="00FA5445"/>
    <w:rsid w:val="0111696B"/>
    <w:rsid w:val="011F0012"/>
    <w:rsid w:val="015C320C"/>
    <w:rsid w:val="019B1B97"/>
    <w:rsid w:val="01C547D4"/>
    <w:rsid w:val="02034012"/>
    <w:rsid w:val="020E6F83"/>
    <w:rsid w:val="02245AC8"/>
    <w:rsid w:val="026B36A0"/>
    <w:rsid w:val="026C4672"/>
    <w:rsid w:val="0270061D"/>
    <w:rsid w:val="028D2914"/>
    <w:rsid w:val="028D5C69"/>
    <w:rsid w:val="02FB4130"/>
    <w:rsid w:val="035E2CD6"/>
    <w:rsid w:val="03AD74A7"/>
    <w:rsid w:val="03AE0F06"/>
    <w:rsid w:val="03B37200"/>
    <w:rsid w:val="03BA6784"/>
    <w:rsid w:val="04353A72"/>
    <w:rsid w:val="043B2665"/>
    <w:rsid w:val="045940F2"/>
    <w:rsid w:val="046511F2"/>
    <w:rsid w:val="04777C93"/>
    <w:rsid w:val="04A04B68"/>
    <w:rsid w:val="04F6335D"/>
    <w:rsid w:val="04FD284E"/>
    <w:rsid w:val="05296F63"/>
    <w:rsid w:val="0583679F"/>
    <w:rsid w:val="05B42EAF"/>
    <w:rsid w:val="05E46477"/>
    <w:rsid w:val="05FB1829"/>
    <w:rsid w:val="061E57C0"/>
    <w:rsid w:val="064A65E2"/>
    <w:rsid w:val="0683534B"/>
    <w:rsid w:val="06874187"/>
    <w:rsid w:val="06AB748C"/>
    <w:rsid w:val="06BA63AA"/>
    <w:rsid w:val="072E3303"/>
    <w:rsid w:val="077A0BC2"/>
    <w:rsid w:val="07BF5A1C"/>
    <w:rsid w:val="07D018AA"/>
    <w:rsid w:val="07DD6287"/>
    <w:rsid w:val="07F571E1"/>
    <w:rsid w:val="083C7A6A"/>
    <w:rsid w:val="088D53C4"/>
    <w:rsid w:val="08FF449E"/>
    <w:rsid w:val="09591599"/>
    <w:rsid w:val="09CE6797"/>
    <w:rsid w:val="09F9254F"/>
    <w:rsid w:val="0A003494"/>
    <w:rsid w:val="0A566942"/>
    <w:rsid w:val="0A66456B"/>
    <w:rsid w:val="0A9358DF"/>
    <w:rsid w:val="0A9F5A70"/>
    <w:rsid w:val="0B104692"/>
    <w:rsid w:val="0B240292"/>
    <w:rsid w:val="0B4A3670"/>
    <w:rsid w:val="0B6907F9"/>
    <w:rsid w:val="0BB63AD6"/>
    <w:rsid w:val="0BD10F1F"/>
    <w:rsid w:val="0BFD7BF8"/>
    <w:rsid w:val="0C2C7CAB"/>
    <w:rsid w:val="0C4F10C8"/>
    <w:rsid w:val="0CDD345F"/>
    <w:rsid w:val="0CEF304B"/>
    <w:rsid w:val="0CF04DBA"/>
    <w:rsid w:val="0D086ED6"/>
    <w:rsid w:val="0D183342"/>
    <w:rsid w:val="0D295053"/>
    <w:rsid w:val="0D366B39"/>
    <w:rsid w:val="0D4B1F45"/>
    <w:rsid w:val="0D65044B"/>
    <w:rsid w:val="0D841461"/>
    <w:rsid w:val="0DCF3A10"/>
    <w:rsid w:val="0DDA1C87"/>
    <w:rsid w:val="0DE14725"/>
    <w:rsid w:val="0E160C02"/>
    <w:rsid w:val="0E18188C"/>
    <w:rsid w:val="0E1954E1"/>
    <w:rsid w:val="0E5B4827"/>
    <w:rsid w:val="0E733299"/>
    <w:rsid w:val="0EA25CD4"/>
    <w:rsid w:val="0EB11571"/>
    <w:rsid w:val="0EDC0742"/>
    <w:rsid w:val="0EE02917"/>
    <w:rsid w:val="0F0349E5"/>
    <w:rsid w:val="0F163FE4"/>
    <w:rsid w:val="0F3B747F"/>
    <w:rsid w:val="0F557133"/>
    <w:rsid w:val="0F583E76"/>
    <w:rsid w:val="0F6F157D"/>
    <w:rsid w:val="0F7C4F7B"/>
    <w:rsid w:val="0F824E24"/>
    <w:rsid w:val="0FA26A53"/>
    <w:rsid w:val="0FE303DA"/>
    <w:rsid w:val="0FE7268B"/>
    <w:rsid w:val="100704FE"/>
    <w:rsid w:val="100B5582"/>
    <w:rsid w:val="106526E6"/>
    <w:rsid w:val="10BE6FB6"/>
    <w:rsid w:val="10CA5F04"/>
    <w:rsid w:val="10F51F51"/>
    <w:rsid w:val="113A48C4"/>
    <w:rsid w:val="11470803"/>
    <w:rsid w:val="11921825"/>
    <w:rsid w:val="11A427B1"/>
    <w:rsid w:val="11C22A06"/>
    <w:rsid w:val="11D67B53"/>
    <w:rsid w:val="11E74A4B"/>
    <w:rsid w:val="12267A1D"/>
    <w:rsid w:val="124863B2"/>
    <w:rsid w:val="128671C3"/>
    <w:rsid w:val="13180A59"/>
    <w:rsid w:val="13257168"/>
    <w:rsid w:val="132D7EAA"/>
    <w:rsid w:val="132F3832"/>
    <w:rsid w:val="134D7392"/>
    <w:rsid w:val="136808F4"/>
    <w:rsid w:val="136C68FC"/>
    <w:rsid w:val="137354F7"/>
    <w:rsid w:val="1386075E"/>
    <w:rsid w:val="138C6A9B"/>
    <w:rsid w:val="139B44DF"/>
    <w:rsid w:val="13E234EF"/>
    <w:rsid w:val="1469614F"/>
    <w:rsid w:val="14813966"/>
    <w:rsid w:val="14D95FBE"/>
    <w:rsid w:val="14DE409D"/>
    <w:rsid w:val="14FB0840"/>
    <w:rsid w:val="153A01D3"/>
    <w:rsid w:val="15441C32"/>
    <w:rsid w:val="156F5A02"/>
    <w:rsid w:val="15715DF1"/>
    <w:rsid w:val="15A507C7"/>
    <w:rsid w:val="15A62BD9"/>
    <w:rsid w:val="15A667C0"/>
    <w:rsid w:val="15F4103D"/>
    <w:rsid w:val="165E138E"/>
    <w:rsid w:val="166E7112"/>
    <w:rsid w:val="1684225B"/>
    <w:rsid w:val="168B6569"/>
    <w:rsid w:val="169D3608"/>
    <w:rsid w:val="16DC5321"/>
    <w:rsid w:val="16F941B3"/>
    <w:rsid w:val="17BA75E5"/>
    <w:rsid w:val="17D023BA"/>
    <w:rsid w:val="17D0699D"/>
    <w:rsid w:val="189D51CE"/>
    <w:rsid w:val="18C0428D"/>
    <w:rsid w:val="19210BD3"/>
    <w:rsid w:val="19953D1B"/>
    <w:rsid w:val="199B021E"/>
    <w:rsid w:val="19B841F8"/>
    <w:rsid w:val="19BE48C2"/>
    <w:rsid w:val="1A0B749C"/>
    <w:rsid w:val="1A271FF8"/>
    <w:rsid w:val="1A527FB4"/>
    <w:rsid w:val="1A8807F9"/>
    <w:rsid w:val="1AD47E79"/>
    <w:rsid w:val="1AF95978"/>
    <w:rsid w:val="1B045599"/>
    <w:rsid w:val="1B663936"/>
    <w:rsid w:val="1B914637"/>
    <w:rsid w:val="1BE612BD"/>
    <w:rsid w:val="1BEC792B"/>
    <w:rsid w:val="1C0E785C"/>
    <w:rsid w:val="1C4C612A"/>
    <w:rsid w:val="1C4D3917"/>
    <w:rsid w:val="1C645000"/>
    <w:rsid w:val="1CAF3882"/>
    <w:rsid w:val="1CD80ADD"/>
    <w:rsid w:val="1CE1683B"/>
    <w:rsid w:val="1CF827F7"/>
    <w:rsid w:val="1D2508F5"/>
    <w:rsid w:val="1D534759"/>
    <w:rsid w:val="1D6D3618"/>
    <w:rsid w:val="1DFE766B"/>
    <w:rsid w:val="1E7E683D"/>
    <w:rsid w:val="1EE63DF1"/>
    <w:rsid w:val="1F1D1053"/>
    <w:rsid w:val="1F3209B5"/>
    <w:rsid w:val="1F7A3B70"/>
    <w:rsid w:val="1F7D7753"/>
    <w:rsid w:val="1F844211"/>
    <w:rsid w:val="1F8F353C"/>
    <w:rsid w:val="1F97084F"/>
    <w:rsid w:val="1FC03FC6"/>
    <w:rsid w:val="2010340F"/>
    <w:rsid w:val="20583ED5"/>
    <w:rsid w:val="208A59D9"/>
    <w:rsid w:val="20D76AC5"/>
    <w:rsid w:val="20DA6D23"/>
    <w:rsid w:val="211D71DF"/>
    <w:rsid w:val="2170621F"/>
    <w:rsid w:val="2235163A"/>
    <w:rsid w:val="223D45C0"/>
    <w:rsid w:val="22645F28"/>
    <w:rsid w:val="226B4C47"/>
    <w:rsid w:val="227806A0"/>
    <w:rsid w:val="228259A8"/>
    <w:rsid w:val="22CC2726"/>
    <w:rsid w:val="23196172"/>
    <w:rsid w:val="233757E9"/>
    <w:rsid w:val="238111AF"/>
    <w:rsid w:val="23826D5D"/>
    <w:rsid w:val="239C0AC9"/>
    <w:rsid w:val="23B54DBA"/>
    <w:rsid w:val="23C65375"/>
    <w:rsid w:val="23D960C5"/>
    <w:rsid w:val="23E404A6"/>
    <w:rsid w:val="23F80CD7"/>
    <w:rsid w:val="24034DE3"/>
    <w:rsid w:val="241B04D3"/>
    <w:rsid w:val="24517E5B"/>
    <w:rsid w:val="24537ECE"/>
    <w:rsid w:val="24691263"/>
    <w:rsid w:val="247423AE"/>
    <w:rsid w:val="2509793B"/>
    <w:rsid w:val="2517096D"/>
    <w:rsid w:val="254A1CA1"/>
    <w:rsid w:val="254C6E34"/>
    <w:rsid w:val="25713235"/>
    <w:rsid w:val="258D6BA8"/>
    <w:rsid w:val="25E95D55"/>
    <w:rsid w:val="262C5798"/>
    <w:rsid w:val="26404A8B"/>
    <w:rsid w:val="267D3EE8"/>
    <w:rsid w:val="268214B4"/>
    <w:rsid w:val="26BB5F5C"/>
    <w:rsid w:val="26C9522F"/>
    <w:rsid w:val="26E0494B"/>
    <w:rsid w:val="26E61874"/>
    <w:rsid w:val="271D6F22"/>
    <w:rsid w:val="278B62C9"/>
    <w:rsid w:val="27B040F1"/>
    <w:rsid w:val="27C61800"/>
    <w:rsid w:val="27D03598"/>
    <w:rsid w:val="27F465BB"/>
    <w:rsid w:val="2833354C"/>
    <w:rsid w:val="285048C9"/>
    <w:rsid w:val="286B4162"/>
    <w:rsid w:val="28B17ED0"/>
    <w:rsid w:val="28BB5EB7"/>
    <w:rsid w:val="28FE4325"/>
    <w:rsid w:val="292E12AF"/>
    <w:rsid w:val="296348B1"/>
    <w:rsid w:val="29646028"/>
    <w:rsid w:val="29657BE2"/>
    <w:rsid w:val="2AA146C4"/>
    <w:rsid w:val="2AA72E33"/>
    <w:rsid w:val="2AB8067D"/>
    <w:rsid w:val="2AC97E08"/>
    <w:rsid w:val="2ACC6765"/>
    <w:rsid w:val="2ACE79ED"/>
    <w:rsid w:val="2AE06692"/>
    <w:rsid w:val="2B5B585D"/>
    <w:rsid w:val="2B850B35"/>
    <w:rsid w:val="2B961660"/>
    <w:rsid w:val="2BA76C01"/>
    <w:rsid w:val="2BAE2DFD"/>
    <w:rsid w:val="2BB51037"/>
    <w:rsid w:val="2BE450E0"/>
    <w:rsid w:val="2BF41F1B"/>
    <w:rsid w:val="2C47286A"/>
    <w:rsid w:val="2C575B9F"/>
    <w:rsid w:val="2C65461C"/>
    <w:rsid w:val="2CE21871"/>
    <w:rsid w:val="2D2E5B28"/>
    <w:rsid w:val="2D446725"/>
    <w:rsid w:val="2D662E6A"/>
    <w:rsid w:val="2D694E5F"/>
    <w:rsid w:val="2D926C5A"/>
    <w:rsid w:val="2D9F6190"/>
    <w:rsid w:val="2E375522"/>
    <w:rsid w:val="2E51768B"/>
    <w:rsid w:val="2E895945"/>
    <w:rsid w:val="2E9A2C50"/>
    <w:rsid w:val="2EC86C3E"/>
    <w:rsid w:val="2EDA3BA7"/>
    <w:rsid w:val="2F5A4C59"/>
    <w:rsid w:val="2F5E280F"/>
    <w:rsid w:val="2F85526C"/>
    <w:rsid w:val="2F8A153A"/>
    <w:rsid w:val="2FB954A2"/>
    <w:rsid w:val="2FC36211"/>
    <w:rsid w:val="302068AC"/>
    <w:rsid w:val="302502A4"/>
    <w:rsid w:val="3029125F"/>
    <w:rsid w:val="303531C7"/>
    <w:rsid w:val="30822902"/>
    <w:rsid w:val="30D50C0B"/>
    <w:rsid w:val="312D18CA"/>
    <w:rsid w:val="314036DC"/>
    <w:rsid w:val="3160576B"/>
    <w:rsid w:val="318C4FB9"/>
    <w:rsid w:val="32A12EE4"/>
    <w:rsid w:val="33430C14"/>
    <w:rsid w:val="33690CCC"/>
    <w:rsid w:val="336C7241"/>
    <w:rsid w:val="33E24C83"/>
    <w:rsid w:val="33EA0E5D"/>
    <w:rsid w:val="340C1F79"/>
    <w:rsid w:val="344E57D4"/>
    <w:rsid w:val="346D355C"/>
    <w:rsid w:val="34725C4F"/>
    <w:rsid w:val="34964C8F"/>
    <w:rsid w:val="34B8678E"/>
    <w:rsid w:val="34BE0A2C"/>
    <w:rsid w:val="35175F41"/>
    <w:rsid w:val="358A443D"/>
    <w:rsid w:val="35E45138"/>
    <w:rsid w:val="35E74CC3"/>
    <w:rsid w:val="360C3E19"/>
    <w:rsid w:val="360F0EBB"/>
    <w:rsid w:val="36462986"/>
    <w:rsid w:val="369C700C"/>
    <w:rsid w:val="36C956E9"/>
    <w:rsid w:val="3767100D"/>
    <w:rsid w:val="37DB15A8"/>
    <w:rsid w:val="380B4C4C"/>
    <w:rsid w:val="382F0C8B"/>
    <w:rsid w:val="3851483A"/>
    <w:rsid w:val="387F4AD3"/>
    <w:rsid w:val="38B5188D"/>
    <w:rsid w:val="39595684"/>
    <w:rsid w:val="39914878"/>
    <w:rsid w:val="39950C85"/>
    <w:rsid w:val="39976F35"/>
    <w:rsid w:val="399A3D50"/>
    <w:rsid w:val="39B776DA"/>
    <w:rsid w:val="3A39785E"/>
    <w:rsid w:val="3A4B6162"/>
    <w:rsid w:val="3ABE1223"/>
    <w:rsid w:val="3AE7618E"/>
    <w:rsid w:val="3B721C43"/>
    <w:rsid w:val="3C5019E9"/>
    <w:rsid w:val="3C5C3EBB"/>
    <w:rsid w:val="3CA566AF"/>
    <w:rsid w:val="3CD72BE8"/>
    <w:rsid w:val="3CED113A"/>
    <w:rsid w:val="3CFA2DC2"/>
    <w:rsid w:val="3D3001CC"/>
    <w:rsid w:val="3D4414C8"/>
    <w:rsid w:val="3D81434F"/>
    <w:rsid w:val="3E042BE7"/>
    <w:rsid w:val="3E0C734F"/>
    <w:rsid w:val="3E2D35FE"/>
    <w:rsid w:val="3E803C87"/>
    <w:rsid w:val="3EA02431"/>
    <w:rsid w:val="3ECE1FB2"/>
    <w:rsid w:val="3F1534AF"/>
    <w:rsid w:val="3FC75019"/>
    <w:rsid w:val="414B3AB3"/>
    <w:rsid w:val="416B3035"/>
    <w:rsid w:val="41CA1598"/>
    <w:rsid w:val="41CD647E"/>
    <w:rsid w:val="41E2438C"/>
    <w:rsid w:val="428F0C73"/>
    <w:rsid w:val="42953641"/>
    <w:rsid w:val="43064C80"/>
    <w:rsid w:val="433364A6"/>
    <w:rsid w:val="4336093A"/>
    <w:rsid w:val="43600CC0"/>
    <w:rsid w:val="43722D6F"/>
    <w:rsid w:val="43B465E2"/>
    <w:rsid w:val="441605ED"/>
    <w:rsid w:val="444753E3"/>
    <w:rsid w:val="44531F1C"/>
    <w:rsid w:val="445B2E57"/>
    <w:rsid w:val="44B458D4"/>
    <w:rsid w:val="44FF666D"/>
    <w:rsid w:val="45547942"/>
    <w:rsid w:val="45AD7784"/>
    <w:rsid w:val="45FA3BE3"/>
    <w:rsid w:val="45FC4115"/>
    <w:rsid w:val="464543E6"/>
    <w:rsid w:val="464E7713"/>
    <w:rsid w:val="46550BD6"/>
    <w:rsid w:val="4688540D"/>
    <w:rsid w:val="46A47BF4"/>
    <w:rsid w:val="46AA2F6D"/>
    <w:rsid w:val="46C81058"/>
    <w:rsid w:val="46F72FE5"/>
    <w:rsid w:val="472E1A4F"/>
    <w:rsid w:val="47586E82"/>
    <w:rsid w:val="477563F5"/>
    <w:rsid w:val="47C620C5"/>
    <w:rsid w:val="47D5782F"/>
    <w:rsid w:val="47FA48E9"/>
    <w:rsid w:val="482E4C08"/>
    <w:rsid w:val="486B0F5E"/>
    <w:rsid w:val="489E592C"/>
    <w:rsid w:val="48C52F11"/>
    <w:rsid w:val="48E85F91"/>
    <w:rsid w:val="49350B32"/>
    <w:rsid w:val="4935561F"/>
    <w:rsid w:val="49812301"/>
    <w:rsid w:val="49F31649"/>
    <w:rsid w:val="49F94852"/>
    <w:rsid w:val="4A501B1B"/>
    <w:rsid w:val="4A9E64F2"/>
    <w:rsid w:val="4ABA7703"/>
    <w:rsid w:val="4ABE2BB6"/>
    <w:rsid w:val="4AC44BB7"/>
    <w:rsid w:val="4AF10E0B"/>
    <w:rsid w:val="4B1700C9"/>
    <w:rsid w:val="4B797AB3"/>
    <w:rsid w:val="4BC04DBB"/>
    <w:rsid w:val="4BD40658"/>
    <w:rsid w:val="4BD47982"/>
    <w:rsid w:val="4C172508"/>
    <w:rsid w:val="4CFB23C2"/>
    <w:rsid w:val="4DB85AA2"/>
    <w:rsid w:val="4DC74C85"/>
    <w:rsid w:val="4E366B6B"/>
    <w:rsid w:val="4E4F73F4"/>
    <w:rsid w:val="4E7A678E"/>
    <w:rsid w:val="4EA67A33"/>
    <w:rsid w:val="4EB55C5D"/>
    <w:rsid w:val="4EC63D8E"/>
    <w:rsid w:val="4ED44A66"/>
    <w:rsid w:val="4EDF1B53"/>
    <w:rsid w:val="4F1262F2"/>
    <w:rsid w:val="4F22175D"/>
    <w:rsid w:val="4F53644D"/>
    <w:rsid w:val="4F8856D7"/>
    <w:rsid w:val="4FF96D69"/>
    <w:rsid w:val="4FFF643C"/>
    <w:rsid w:val="503471FC"/>
    <w:rsid w:val="507C27D5"/>
    <w:rsid w:val="509960A5"/>
    <w:rsid w:val="50AF0EF6"/>
    <w:rsid w:val="51314996"/>
    <w:rsid w:val="518F2ACE"/>
    <w:rsid w:val="51CC3C67"/>
    <w:rsid w:val="521E1268"/>
    <w:rsid w:val="527950C3"/>
    <w:rsid w:val="529B514E"/>
    <w:rsid w:val="529D493B"/>
    <w:rsid w:val="53B03638"/>
    <w:rsid w:val="53E4099F"/>
    <w:rsid w:val="54653DED"/>
    <w:rsid w:val="549140D5"/>
    <w:rsid w:val="54C45B04"/>
    <w:rsid w:val="55A40A3B"/>
    <w:rsid w:val="55C55044"/>
    <w:rsid w:val="55E02539"/>
    <w:rsid w:val="560B6D9C"/>
    <w:rsid w:val="56313793"/>
    <w:rsid w:val="56BF242A"/>
    <w:rsid w:val="56DD2530"/>
    <w:rsid w:val="56E85B49"/>
    <w:rsid w:val="572D51DB"/>
    <w:rsid w:val="57833033"/>
    <w:rsid w:val="57DA2DAC"/>
    <w:rsid w:val="57E563A6"/>
    <w:rsid w:val="58355273"/>
    <w:rsid w:val="58445001"/>
    <w:rsid w:val="58635F09"/>
    <w:rsid w:val="58943F5F"/>
    <w:rsid w:val="58A61712"/>
    <w:rsid w:val="58AD7CA8"/>
    <w:rsid w:val="58D27466"/>
    <w:rsid w:val="594A36E9"/>
    <w:rsid w:val="59577B4C"/>
    <w:rsid w:val="595D5456"/>
    <w:rsid w:val="59673170"/>
    <w:rsid w:val="59EA4F52"/>
    <w:rsid w:val="5A2441DE"/>
    <w:rsid w:val="5A317AB8"/>
    <w:rsid w:val="5A371152"/>
    <w:rsid w:val="5A8127AB"/>
    <w:rsid w:val="5AB07EDD"/>
    <w:rsid w:val="5ADD391C"/>
    <w:rsid w:val="5AF44967"/>
    <w:rsid w:val="5B87157B"/>
    <w:rsid w:val="5C411CEE"/>
    <w:rsid w:val="5C7817CE"/>
    <w:rsid w:val="5C9545FD"/>
    <w:rsid w:val="5C991CA8"/>
    <w:rsid w:val="5CA07FCB"/>
    <w:rsid w:val="5CB42D1D"/>
    <w:rsid w:val="5CE01919"/>
    <w:rsid w:val="5CEE280A"/>
    <w:rsid w:val="5D0237A1"/>
    <w:rsid w:val="5D3C5EDD"/>
    <w:rsid w:val="5D5B7FE9"/>
    <w:rsid w:val="5DA327CA"/>
    <w:rsid w:val="5E184F3C"/>
    <w:rsid w:val="5E2F2915"/>
    <w:rsid w:val="5E465398"/>
    <w:rsid w:val="5E8E2DFC"/>
    <w:rsid w:val="5E9833DA"/>
    <w:rsid w:val="5E9B2185"/>
    <w:rsid w:val="5EAB125F"/>
    <w:rsid w:val="5F1C6CD8"/>
    <w:rsid w:val="5F365052"/>
    <w:rsid w:val="5F84783E"/>
    <w:rsid w:val="5F8542E8"/>
    <w:rsid w:val="5FA13511"/>
    <w:rsid w:val="5FCA5915"/>
    <w:rsid w:val="5FF46D36"/>
    <w:rsid w:val="60074CE8"/>
    <w:rsid w:val="601045EE"/>
    <w:rsid w:val="6078143F"/>
    <w:rsid w:val="60BE7EBA"/>
    <w:rsid w:val="60C61EAF"/>
    <w:rsid w:val="60D47D42"/>
    <w:rsid w:val="612C6BE3"/>
    <w:rsid w:val="612E57D8"/>
    <w:rsid w:val="613D5083"/>
    <w:rsid w:val="61A1127E"/>
    <w:rsid w:val="61B37CD2"/>
    <w:rsid w:val="61E60EFF"/>
    <w:rsid w:val="62B579BA"/>
    <w:rsid w:val="62BE0ADC"/>
    <w:rsid w:val="63643677"/>
    <w:rsid w:val="63B45380"/>
    <w:rsid w:val="63C2173C"/>
    <w:rsid w:val="63DB2FB0"/>
    <w:rsid w:val="64162008"/>
    <w:rsid w:val="64501B87"/>
    <w:rsid w:val="64B966F8"/>
    <w:rsid w:val="64B96BF8"/>
    <w:rsid w:val="64C33752"/>
    <w:rsid w:val="64E442C2"/>
    <w:rsid w:val="652B03F6"/>
    <w:rsid w:val="652C7668"/>
    <w:rsid w:val="652D09DC"/>
    <w:rsid w:val="6531612E"/>
    <w:rsid w:val="655C4610"/>
    <w:rsid w:val="656761B4"/>
    <w:rsid w:val="65993529"/>
    <w:rsid w:val="65A30A5A"/>
    <w:rsid w:val="65A47F99"/>
    <w:rsid w:val="664D0C39"/>
    <w:rsid w:val="6676361E"/>
    <w:rsid w:val="66A070CD"/>
    <w:rsid w:val="66AA4510"/>
    <w:rsid w:val="66B30923"/>
    <w:rsid w:val="66D17BAB"/>
    <w:rsid w:val="6721622E"/>
    <w:rsid w:val="674C52E7"/>
    <w:rsid w:val="677B103A"/>
    <w:rsid w:val="67824A95"/>
    <w:rsid w:val="67900427"/>
    <w:rsid w:val="685B4774"/>
    <w:rsid w:val="68753BBD"/>
    <w:rsid w:val="68B42A33"/>
    <w:rsid w:val="694444BE"/>
    <w:rsid w:val="695B6754"/>
    <w:rsid w:val="69856DC9"/>
    <w:rsid w:val="699B1BA9"/>
    <w:rsid w:val="69B92FC0"/>
    <w:rsid w:val="69D543CF"/>
    <w:rsid w:val="6A655DAC"/>
    <w:rsid w:val="6A9C2B59"/>
    <w:rsid w:val="6AC27C96"/>
    <w:rsid w:val="6B2959F0"/>
    <w:rsid w:val="6B4429AD"/>
    <w:rsid w:val="6B6775EA"/>
    <w:rsid w:val="6B7F5969"/>
    <w:rsid w:val="6BA67F9A"/>
    <w:rsid w:val="6BB12AA0"/>
    <w:rsid w:val="6C0A057A"/>
    <w:rsid w:val="6C175990"/>
    <w:rsid w:val="6C5A1281"/>
    <w:rsid w:val="6CBF3044"/>
    <w:rsid w:val="6CCA19BB"/>
    <w:rsid w:val="6CE5090C"/>
    <w:rsid w:val="6D02123D"/>
    <w:rsid w:val="6D0E27E2"/>
    <w:rsid w:val="6D493F24"/>
    <w:rsid w:val="6D8E2791"/>
    <w:rsid w:val="6E38432B"/>
    <w:rsid w:val="6E8D2FF2"/>
    <w:rsid w:val="6EC04A56"/>
    <w:rsid w:val="6EC4114E"/>
    <w:rsid w:val="6ECD033B"/>
    <w:rsid w:val="6F0D4F3C"/>
    <w:rsid w:val="6F8E3C84"/>
    <w:rsid w:val="6FC708AE"/>
    <w:rsid w:val="6FCD4AF3"/>
    <w:rsid w:val="70433B9A"/>
    <w:rsid w:val="70604FA0"/>
    <w:rsid w:val="708E621B"/>
    <w:rsid w:val="70C40FF5"/>
    <w:rsid w:val="70F84E2C"/>
    <w:rsid w:val="71145A61"/>
    <w:rsid w:val="711A0BB9"/>
    <w:rsid w:val="7133370F"/>
    <w:rsid w:val="71484823"/>
    <w:rsid w:val="71556772"/>
    <w:rsid w:val="7249798C"/>
    <w:rsid w:val="72732C79"/>
    <w:rsid w:val="72E55BBF"/>
    <w:rsid w:val="72F638D5"/>
    <w:rsid w:val="72FF44E0"/>
    <w:rsid w:val="73101BF9"/>
    <w:rsid w:val="73227709"/>
    <w:rsid w:val="73534AB6"/>
    <w:rsid w:val="73656B23"/>
    <w:rsid w:val="7366612C"/>
    <w:rsid w:val="736970F0"/>
    <w:rsid w:val="73BF7934"/>
    <w:rsid w:val="73E44F0F"/>
    <w:rsid w:val="747D351D"/>
    <w:rsid w:val="7486253E"/>
    <w:rsid w:val="74893F0B"/>
    <w:rsid w:val="750E57E9"/>
    <w:rsid w:val="7516011C"/>
    <w:rsid w:val="75476B2C"/>
    <w:rsid w:val="754E5F44"/>
    <w:rsid w:val="75685C7E"/>
    <w:rsid w:val="75834F63"/>
    <w:rsid w:val="75947C6D"/>
    <w:rsid w:val="75A76697"/>
    <w:rsid w:val="75BB297E"/>
    <w:rsid w:val="75D46373"/>
    <w:rsid w:val="75E46E15"/>
    <w:rsid w:val="75F14A03"/>
    <w:rsid w:val="76283902"/>
    <w:rsid w:val="764A197F"/>
    <w:rsid w:val="765A5467"/>
    <w:rsid w:val="766A6CB9"/>
    <w:rsid w:val="76913CCC"/>
    <w:rsid w:val="769711A1"/>
    <w:rsid w:val="76A25791"/>
    <w:rsid w:val="76AC031D"/>
    <w:rsid w:val="76E57E00"/>
    <w:rsid w:val="773B3283"/>
    <w:rsid w:val="77592E44"/>
    <w:rsid w:val="7778605C"/>
    <w:rsid w:val="77E3104E"/>
    <w:rsid w:val="77FD3280"/>
    <w:rsid w:val="781A039A"/>
    <w:rsid w:val="78516ACA"/>
    <w:rsid w:val="78630ED0"/>
    <w:rsid w:val="787A20A3"/>
    <w:rsid w:val="78AB4CE9"/>
    <w:rsid w:val="78B25EF0"/>
    <w:rsid w:val="78CB0956"/>
    <w:rsid w:val="78CF1BE4"/>
    <w:rsid w:val="78D05738"/>
    <w:rsid w:val="78D147F4"/>
    <w:rsid w:val="78DF1F3E"/>
    <w:rsid w:val="7926654A"/>
    <w:rsid w:val="792C7C96"/>
    <w:rsid w:val="7938364E"/>
    <w:rsid w:val="794278C9"/>
    <w:rsid w:val="794C613E"/>
    <w:rsid w:val="79522E53"/>
    <w:rsid w:val="79566E88"/>
    <w:rsid w:val="79CF35CB"/>
    <w:rsid w:val="79D25098"/>
    <w:rsid w:val="79ED069C"/>
    <w:rsid w:val="7A081E7C"/>
    <w:rsid w:val="7A1B4012"/>
    <w:rsid w:val="7A5451A9"/>
    <w:rsid w:val="7A7C4366"/>
    <w:rsid w:val="7A8B5B94"/>
    <w:rsid w:val="7AB56543"/>
    <w:rsid w:val="7ACF6FDE"/>
    <w:rsid w:val="7AD95405"/>
    <w:rsid w:val="7AFB0BC6"/>
    <w:rsid w:val="7B3D18DA"/>
    <w:rsid w:val="7B58449F"/>
    <w:rsid w:val="7B8F0A6D"/>
    <w:rsid w:val="7BB81899"/>
    <w:rsid w:val="7C221D5C"/>
    <w:rsid w:val="7C6675E0"/>
    <w:rsid w:val="7C755F1C"/>
    <w:rsid w:val="7CBA3C37"/>
    <w:rsid w:val="7CD84D3F"/>
    <w:rsid w:val="7CDD4A5A"/>
    <w:rsid w:val="7CE30FDE"/>
    <w:rsid w:val="7CF566BB"/>
    <w:rsid w:val="7CF642C6"/>
    <w:rsid w:val="7D0D0371"/>
    <w:rsid w:val="7D525671"/>
    <w:rsid w:val="7D552082"/>
    <w:rsid w:val="7D9C078E"/>
    <w:rsid w:val="7DA641E7"/>
    <w:rsid w:val="7E130550"/>
    <w:rsid w:val="7E1A1E2A"/>
    <w:rsid w:val="7E62201A"/>
    <w:rsid w:val="7E7514E3"/>
    <w:rsid w:val="7E8C4B42"/>
    <w:rsid w:val="7F225B74"/>
    <w:rsid w:val="7F2E14BB"/>
    <w:rsid w:val="7F746CC5"/>
    <w:rsid w:val="7FCD33AC"/>
    <w:rsid w:val="7FE1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annotation text"/>
    <w:basedOn w:val="1"/>
    <w:semiHidden/>
    <w:unhideWhenUsed/>
    <w:qFormat/>
    <w:uiPriority w:val="99"/>
    <w:pPr>
      <w:jc w:val="left"/>
    </w:p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Plain Text"/>
    <w:basedOn w:val="1"/>
    <w:unhideWhenUsed/>
    <w:qFormat/>
    <w:uiPriority w:val="99"/>
    <w:pPr>
      <w:spacing w:line="620" w:lineRule="exact"/>
    </w:pPr>
    <w:rPr>
      <w:rFonts w:ascii="宋体" w:hAnsi="Courier New" w:cs="Courier New"/>
      <w:szCs w:val="21"/>
    </w:rPr>
  </w:style>
  <w:style w:type="paragraph" w:styleId="6">
    <w:name w:val="Date"/>
    <w:basedOn w:val="1"/>
    <w:next w:val="1"/>
    <w:qFormat/>
    <w:uiPriority w:val="0"/>
    <w:pPr>
      <w:ind w:left="2500" w:leftChars="2500"/>
      <w:jc w:val="both"/>
      <w:textAlignment w:val="baseline"/>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4"/>
    <w:qFormat/>
    <w:uiPriority w:val="0"/>
    <w:pPr>
      <w:ind w:firstLine="420" w:firstLineChars="200"/>
    </w:pPr>
    <w:rPr>
      <w:rFonts w:cs="Calibri"/>
      <w:szCs w:val="21"/>
    </w:rPr>
  </w:style>
  <w:style w:type="character" w:styleId="14">
    <w:name w:val="FollowedHyperlink"/>
    <w:basedOn w:val="13"/>
    <w:semiHidden/>
    <w:unhideWhenUsed/>
    <w:qFormat/>
    <w:uiPriority w:val="99"/>
    <w:rPr>
      <w:color w:val="000000"/>
      <w:u w:val="none"/>
    </w:rPr>
  </w:style>
  <w:style w:type="character" w:styleId="15">
    <w:name w:val="Hyperlink"/>
    <w:basedOn w:val="13"/>
    <w:semiHidden/>
    <w:unhideWhenUsed/>
    <w:qFormat/>
    <w:uiPriority w:val="99"/>
    <w:rPr>
      <w:color w:val="000000"/>
      <w:u w:val="none"/>
    </w:rPr>
  </w:style>
  <w:style w:type="paragraph" w:customStyle="1" w:styleId="16">
    <w:name w:val="BodyText1I2"/>
    <w:basedOn w:val="17"/>
    <w:next w:val="1"/>
    <w:qFormat/>
    <w:uiPriority w:val="0"/>
    <w:pPr>
      <w:spacing w:after="120"/>
      <w:ind w:left="420" w:leftChars="200" w:firstLine="420" w:firstLineChars="200"/>
      <w:jc w:val="both"/>
      <w:textAlignment w:val="baseline"/>
    </w:pPr>
    <w:rPr>
      <w:rFonts w:ascii="Times New Roman" w:hAnsi="Times New Roman" w:eastAsia="宋体"/>
      <w:kern w:val="2"/>
      <w:sz w:val="21"/>
      <w:szCs w:val="21"/>
      <w:lang w:val="en-US" w:eastAsia="zh-CN" w:bidi="ar-SA"/>
    </w:rPr>
  </w:style>
  <w:style w:type="paragraph" w:customStyle="1" w:styleId="17">
    <w:name w:val="BodyTextIndent"/>
    <w:basedOn w:val="1"/>
    <w:next w:val="6"/>
    <w:qFormat/>
    <w:uiPriority w:val="0"/>
    <w:pPr>
      <w:spacing w:after="120"/>
      <w:ind w:left="420" w:leftChars="200"/>
      <w:jc w:val="both"/>
      <w:textAlignment w:val="baseline"/>
    </w:pPr>
    <w:rPr>
      <w:rFonts w:ascii="Times New Roman" w:hAnsi="Times New Roman" w:eastAsia="宋体"/>
      <w:kern w:val="2"/>
      <w:sz w:val="21"/>
      <w:szCs w:val="24"/>
      <w:lang w:val="en-US" w:eastAsia="zh-CN" w:bidi="ar-SA"/>
    </w:rPr>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批注框文本 Char"/>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2.xml"/><Relationship Id="rId1" Type="http://schemas.openxmlformats.org/officeDocument/2006/relationships/oleObject" Target="file:///C:\Users\lenovo\Desktop\&#26032;&#24314;%20XLS%20&#24037;&#20316;&#34920;.xls"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3.xml"/><Relationship Id="rId1" Type="http://schemas.openxmlformats.org/officeDocument/2006/relationships/oleObject" Target="file:///C:\Users\lenovo\Desktop\&#26032;&#24314;%20XLS%20&#24037;&#20316;&#34920;.xls"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chartUserShapes" Target="../drawings/drawing4.xml"/><Relationship Id="rId1" Type="http://schemas.openxmlformats.org/officeDocument/2006/relationships/oleObject" Target="file:///C:\Users\zsj\Documents\WPSDrive\241627663\WPS&#20113;&#30424;\&#26700;&#38754;\&#24037;&#20316;&#31807;11.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chartUserShapes" Target="../drawings/drawing5.xml"/><Relationship Id="rId1" Type="http://schemas.openxmlformats.org/officeDocument/2006/relationships/oleObject" Target="file:///C:\Users\zsj\Documents\WPSDrive\241627663\WPS&#20113;&#30424;\&#26700;&#38754;\&#24037;&#20316;&#31807;11.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chartUserShapes" Target="../drawings/drawing6.xml"/><Relationship Id="rId1" Type="http://schemas.openxmlformats.org/officeDocument/2006/relationships/oleObject" Target="file:///C:\Users\zsj\Documents\WPSDrive\241627663\WPS&#20113;&#30424;\&#26700;&#38754;\&#24037;&#20316;&#31807;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lang="en-US" altLang="zh-CN" b="1">
                <a:solidFill>
                  <a:schemeClr val="tx1"/>
                </a:solidFill>
              </a:rPr>
              <a:t>2018</a:t>
            </a:r>
            <a:r>
              <a:rPr altLang="en-US" b="1">
                <a:solidFill>
                  <a:schemeClr val="tx1"/>
                </a:solidFill>
              </a:rPr>
              <a:t>年</a:t>
            </a:r>
            <a:r>
              <a:rPr lang="en-US" altLang="zh-CN" b="1">
                <a:solidFill>
                  <a:schemeClr val="tx1"/>
                </a:solidFill>
              </a:rPr>
              <a:t>—2022</a:t>
            </a:r>
            <a:r>
              <a:rPr altLang="en-US" b="1">
                <a:solidFill>
                  <a:schemeClr val="tx1"/>
                </a:solidFill>
              </a:rPr>
              <a:t>年地区生产总值和增长速度</a:t>
            </a:r>
            <a:endParaRPr altLang="en-US" b="1">
              <a:solidFill>
                <a:schemeClr val="tx1"/>
              </a:solidFill>
            </a:endParaRPr>
          </a:p>
        </c:rich>
      </c:tx>
      <c:layout/>
      <c:overlay val="0"/>
      <c:spPr>
        <a:noFill/>
        <a:ln>
          <a:noFill/>
        </a:ln>
        <a:effectLst/>
      </c:spPr>
    </c:title>
    <c:autoTitleDeleted val="0"/>
    <c:plotArea>
      <c:layout>
        <c:manualLayout>
          <c:layoutTarget val="inner"/>
          <c:xMode val="edge"/>
          <c:yMode val="edge"/>
          <c:x val="0.0984615384615385"/>
          <c:y val="0.174061433447099"/>
          <c:w val="0.81387314439946"/>
          <c:h val="0.612832764505119"/>
        </c:manualLayout>
      </c:layout>
      <c:barChart>
        <c:barDir val="col"/>
        <c:grouping val="clustered"/>
        <c:varyColors val="0"/>
        <c:ser>
          <c:idx val="0"/>
          <c:order val="0"/>
          <c:tx>
            <c:strRef>
              <c:f>[工作簿1]Sheet1!$B$1</c:f>
              <c:strCache>
                <c:ptCount val="1"/>
                <c:pt idx="0">
                  <c:v>地区生产总值</c:v>
                </c:pt>
              </c:strCache>
            </c:strRef>
          </c:tx>
          <c:spPr>
            <a:solidFill>
              <a:schemeClr val="accent1">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[工作簿1]Sheet1!$A$2:$A$6</c:f>
              <c:strCache>
                <c:ptCount val="5"/>
                <c:pt idx="0">
                  <c:v>2018年</c:v>
                </c:pt>
                <c:pt idx="1">
                  <c:v>2019年</c:v>
                </c:pt>
                <c:pt idx="2">
                  <c:v>2020年</c:v>
                </c:pt>
                <c:pt idx="3">
                  <c:v>2021年</c:v>
                </c:pt>
                <c:pt idx="4">
                  <c:v>2022年</c:v>
                </c:pt>
              </c:strCache>
            </c:strRef>
          </c:cat>
          <c:val>
            <c:numRef>
              <c:f>[工作簿1]Sheet1!$B$2:$B$6</c:f>
              <c:numCache>
                <c:formatCode>General</c:formatCode>
                <c:ptCount val="5"/>
                <c:pt idx="0">
                  <c:v>134.22</c:v>
                </c:pt>
                <c:pt idx="1">
                  <c:v>144.69</c:v>
                </c:pt>
                <c:pt idx="2">
                  <c:v>155.53</c:v>
                </c:pt>
                <c:pt idx="3">
                  <c:v>167.71</c:v>
                </c:pt>
                <c:pt idx="4">
                  <c:v>166.35</c:v>
                </c:pt>
              </c:numCache>
            </c:numRef>
          </c:val>
        </c:ser>
        <c:dLbls>
          <c:showLegendKey val="0"/>
          <c:showVal val="1"/>
          <c:showCatName val="0"/>
          <c:showSerName val="0"/>
          <c:showPercent val="0"/>
          <c:showBubbleSize val="0"/>
        </c:dLbls>
        <c:gapWidth val="219"/>
        <c:overlap val="-27"/>
        <c:axId val="307110048"/>
        <c:axId val="177276125"/>
      </c:barChart>
      <c:lineChart>
        <c:grouping val="standard"/>
        <c:varyColors val="0"/>
        <c:ser>
          <c:idx val="1"/>
          <c:order val="1"/>
          <c:tx>
            <c:strRef>
              <c:f>[工作簿1]Sheet1!$C$1</c:f>
              <c:strCache>
                <c:ptCount val="1"/>
                <c:pt idx="0">
                  <c:v>地区生产总值增长速度</c:v>
                </c:pt>
              </c:strCache>
            </c:strRef>
          </c:tx>
          <c:spPr>
            <a:ln w="28575" cap="rnd">
              <a:solidFill>
                <a:schemeClr val="accent2"/>
              </a:solidFill>
              <a:round/>
            </a:ln>
            <a:effectLst/>
          </c:spPr>
          <c:marker>
            <c:symbol val="none"/>
          </c:marker>
          <c:dPt>
            <c:idx val="0"/>
            <c:marker>
              <c:symbol val="square"/>
              <c:size val="5"/>
              <c:spPr>
                <a:solidFill>
                  <a:schemeClr val="accent2"/>
                </a:solidFill>
                <a:ln w="9525">
                  <a:solidFill>
                    <a:schemeClr val="accent2"/>
                  </a:solidFill>
                </a:ln>
                <a:effectLst/>
              </c:spPr>
            </c:marker>
            <c:bubble3D val="0"/>
          </c:dPt>
          <c:dPt>
            <c:idx val="1"/>
            <c:marker>
              <c:symbol val="square"/>
              <c:size val="5"/>
              <c:spPr>
                <a:solidFill>
                  <a:schemeClr val="accent2"/>
                </a:solidFill>
                <a:ln w="9525">
                  <a:solidFill>
                    <a:schemeClr val="accent2"/>
                  </a:solidFill>
                </a:ln>
                <a:effectLst/>
              </c:spPr>
            </c:marker>
            <c:bubble3D val="0"/>
          </c:dPt>
          <c:dPt>
            <c:idx val="2"/>
            <c:marker>
              <c:symbol val="square"/>
              <c:size val="5"/>
              <c:spPr>
                <a:solidFill>
                  <a:schemeClr val="accent2"/>
                </a:solidFill>
                <a:ln w="9525">
                  <a:solidFill>
                    <a:schemeClr val="accent2"/>
                  </a:solidFill>
                </a:ln>
                <a:effectLst/>
              </c:spPr>
            </c:marker>
            <c:bubble3D val="0"/>
          </c:dPt>
          <c:dPt>
            <c:idx val="3"/>
            <c:marker>
              <c:symbol val="square"/>
              <c:size val="5"/>
              <c:spPr>
                <a:solidFill>
                  <a:schemeClr val="accent2"/>
                </a:solidFill>
                <a:ln w="9525">
                  <a:solidFill>
                    <a:schemeClr val="accent2"/>
                  </a:solidFill>
                </a:ln>
                <a:effectLst/>
              </c:spPr>
            </c:marker>
            <c:bubble3D val="0"/>
          </c:dPt>
          <c:dPt>
            <c:idx val="4"/>
            <c:marker>
              <c:symbol val="square"/>
              <c:size val="5"/>
              <c:spPr>
                <a:solidFill>
                  <a:schemeClr val="accent2"/>
                </a:solidFill>
                <a:ln w="9525">
                  <a:solidFill>
                    <a:schemeClr val="accent2"/>
                  </a:solidFill>
                </a:ln>
                <a:effectLst/>
              </c:spPr>
            </c:marker>
            <c:bubble3D val="0"/>
          </c:dPt>
          <c:dLbls>
            <c:dLbl>
              <c:idx val="0"/>
              <c:layout>
                <c:manualLayout>
                  <c:x val="0"/>
                  <c:y val="0.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[工作簿1]Sheet1!$A$2:$A$6</c:f>
              <c:strCache>
                <c:ptCount val="5"/>
                <c:pt idx="0">
                  <c:v>2018年</c:v>
                </c:pt>
                <c:pt idx="1">
                  <c:v>2019年</c:v>
                </c:pt>
                <c:pt idx="2">
                  <c:v>2020年</c:v>
                </c:pt>
                <c:pt idx="3">
                  <c:v>2021年</c:v>
                </c:pt>
                <c:pt idx="4">
                  <c:v>2022年</c:v>
                </c:pt>
              </c:strCache>
            </c:strRef>
          </c:cat>
          <c:val>
            <c:numRef>
              <c:f>[工作簿1]Sheet1!$C$2:$C$6</c:f>
              <c:numCache>
                <c:formatCode>General</c:formatCode>
                <c:ptCount val="5"/>
                <c:pt idx="0">
                  <c:v>8.4</c:v>
                </c:pt>
                <c:pt idx="1">
                  <c:v>7.1</c:v>
                </c:pt>
                <c:pt idx="2">
                  <c:v>4.1</c:v>
                </c:pt>
                <c:pt idx="3">
                  <c:v>6.5</c:v>
                </c:pt>
                <c:pt idx="4">
                  <c:v>-2.7</c:v>
                </c:pt>
              </c:numCache>
            </c:numRef>
          </c:val>
          <c:smooth val="0"/>
        </c:ser>
        <c:dLbls>
          <c:showLegendKey val="0"/>
          <c:showVal val="1"/>
          <c:showCatName val="0"/>
          <c:showSerName val="0"/>
          <c:showPercent val="0"/>
          <c:showBubbleSize val="0"/>
        </c:dLbls>
        <c:marker val="0"/>
        <c:smooth val="0"/>
        <c:axId val="906913070"/>
        <c:axId val="238585048"/>
      </c:lineChart>
      <c:catAx>
        <c:axId val="307110048"/>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177276125"/>
        <c:crosses val="autoZero"/>
        <c:auto val="1"/>
        <c:lblAlgn val="ctr"/>
        <c:lblOffset val="100"/>
        <c:tickMarkSkip val="2"/>
        <c:noMultiLvlLbl val="0"/>
      </c:catAx>
      <c:valAx>
        <c:axId val="177276125"/>
        <c:scaling>
          <c:orientation val="minMax"/>
          <c:max val="200"/>
          <c:min val="0"/>
        </c:scaling>
        <c:delete val="0"/>
        <c:axPos val="l"/>
        <c:majorGridlines>
          <c:spPr>
            <a:ln w="9525" cap="flat" cmpd="sng" algn="ctr">
              <a:solidFill>
                <a:schemeClr val="tx1">
                  <a:lumMod val="15000"/>
                  <a:lumOff val="85000"/>
                </a:schemeClr>
              </a:solidFill>
              <a:round/>
            </a:ln>
            <a:effectLst/>
          </c:spPr>
        </c:majorGridlines>
        <c:numFmt formatCode="0_ " sourceLinked="0"/>
        <c:majorTickMark val="in"/>
        <c:minorTickMark val="none"/>
        <c:tickLblPos val="low"/>
        <c:spPr>
          <a:noFill/>
          <a:ln>
            <a:solidFill>
              <a:schemeClr val="tx1"/>
            </a:solidFill>
          </a:ln>
          <a:effectLst/>
        </c:spPr>
        <c:txPr>
          <a:bodyPr rot="-60000000" spcFirstLastPara="0" vertOverflow="ellipsis" vert="horz" wrap="square" anchor="t" anchorCtr="0"/>
          <a:lstStyle/>
          <a:p>
            <a:pPr>
              <a:defRPr lang="zh-CN" sz="900" b="1" i="0" u="none" strike="noStrike" kern="1200" baseline="0">
                <a:solidFill>
                  <a:schemeClr val="tx1"/>
                </a:solidFill>
                <a:latin typeface="+mn-lt"/>
                <a:ea typeface="+mn-ea"/>
                <a:cs typeface="+mn-cs"/>
              </a:defRPr>
            </a:pPr>
          </a:p>
        </c:txPr>
        <c:crossAx val="307110048"/>
        <c:crosses val="autoZero"/>
        <c:crossBetween val="between"/>
        <c:majorUnit val="40"/>
      </c:valAx>
      <c:catAx>
        <c:axId val="906913070"/>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238585048"/>
        <c:crosses val="autoZero"/>
        <c:auto val="1"/>
        <c:lblAlgn val="ctr"/>
        <c:lblOffset val="100"/>
        <c:noMultiLvlLbl val="0"/>
      </c:catAx>
      <c:valAx>
        <c:axId val="238585048"/>
        <c:scaling>
          <c:orientation val="minMax"/>
          <c:max val="20"/>
        </c:scaling>
        <c:delete val="0"/>
        <c:axPos val="r"/>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906913070"/>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ayout>
        <c:manualLayout>
          <c:xMode val="edge"/>
          <c:yMode val="edge"/>
          <c:x val="0.147916666666667"/>
          <c:y val="0.888194444444444"/>
          <c:w val="0.722361111111111"/>
          <c:h val="0.0770833333333333"/>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b="1">
                <a:solidFill>
                  <a:sysClr val="windowText" lastClr="000000"/>
                </a:solidFill>
              </a:rPr>
              <a:t>2018年—2022年三次产业增加值占</a:t>
            </a:r>
            <a:r>
              <a:rPr lang="en-US" altLang="zh-CN" b="1">
                <a:solidFill>
                  <a:sysClr val="windowText" lastClr="000000"/>
                </a:solidFill>
              </a:rPr>
              <a:t>GDP</a:t>
            </a:r>
            <a:r>
              <a:rPr altLang="en-US" b="1">
                <a:solidFill>
                  <a:sysClr val="windowText" lastClr="000000"/>
                </a:solidFill>
              </a:rPr>
              <a:t>的比重</a:t>
            </a:r>
            <a:endParaRPr altLang="en-US" b="1">
              <a:solidFill>
                <a:sysClr val="windowText" lastClr="000000"/>
              </a:solidFill>
            </a:endParaRPr>
          </a:p>
        </c:rich>
      </c:tx>
      <c:layout/>
      <c:overlay val="0"/>
      <c:spPr>
        <a:noFill/>
        <a:ln>
          <a:noFill/>
        </a:ln>
        <a:effectLst/>
      </c:spPr>
    </c:title>
    <c:autoTitleDeleted val="0"/>
    <c:plotArea>
      <c:layout/>
      <c:barChart>
        <c:barDir val="col"/>
        <c:grouping val="stacked"/>
        <c:varyColors val="0"/>
        <c:ser>
          <c:idx val="3"/>
          <c:order val="0"/>
          <c:tx>
            <c:strRef>
              <c:f>[工作簿1]Sheet1!$L$7</c:f>
              <c:strCache>
                <c:ptCount val="1"/>
                <c:pt idx="0">
                  <c:v>第一产业</c:v>
                </c:pt>
              </c:strCache>
            </c:strRef>
          </c:tx>
          <c:spPr>
            <a:solidFill>
              <a:schemeClr val="accent1">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[工作簿1]Sheet1!$K$8:$K$12</c:f>
              <c:strCache>
                <c:ptCount val="5"/>
                <c:pt idx="0">
                  <c:v>2018年</c:v>
                </c:pt>
                <c:pt idx="1">
                  <c:v>2019年</c:v>
                </c:pt>
                <c:pt idx="2">
                  <c:v>2020年</c:v>
                </c:pt>
                <c:pt idx="3">
                  <c:v>2021年</c:v>
                </c:pt>
                <c:pt idx="4">
                  <c:v>2022年</c:v>
                </c:pt>
              </c:strCache>
            </c:strRef>
          </c:cat>
          <c:val>
            <c:numRef>
              <c:f>[工作簿1]Sheet1!$L$8:$L$12</c:f>
              <c:numCache>
                <c:formatCode>0.0_ </c:formatCode>
                <c:ptCount val="5"/>
                <c:pt idx="0">
                  <c:v>26.1582488747758</c:v>
                </c:pt>
                <c:pt idx="1">
                  <c:v>25.3370220424096</c:v>
                </c:pt>
                <c:pt idx="2">
                  <c:v>28.728249107396</c:v>
                </c:pt>
                <c:pt idx="3">
                  <c:v>28.2667337671011</c:v>
                </c:pt>
                <c:pt idx="4">
                  <c:v>30.6431367645503</c:v>
                </c:pt>
              </c:numCache>
            </c:numRef>
          </c:val>
        </c:ser>
        <c:ser>
          <c:idx val="4"/>
          <c:order val="1"/>
          <c:tx>
            <c:strRef>
              <c:f>[工作簿1]Sheet1!$M$7</c:f>
              <c:strCache>
                <c:ptCount val="1"/>
                <c:pt idx="0">
                  <c:v>第二产业</c:v>
                </c:pt>
              </c:strCache>
            </c:strRef>
          </c:tx>
          <c:spPr>
            <a:solidFill>
              <a:schemeClr val="accent1">
                <a:lumMod val="40000"/>
                <a:lumOff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[工作簿1]Sheet1!$K$8:$K$12</c:f>
              <c:strCache>
                <c:ptCount val="5"/>
                <c:pt idx="0">
                  <c:v>2018年</c:v>
                </c:pt>
                <c:pt idx="1">
                  <c:v>2019年</c:v>
                </c:pt>
                <c:pt idx="2">
                  <c:v>2020年</c:v>
                </c:pt>
                <c:pt idx="3">
                  <c:v>2021年</c:v>
                </c:pt>
                <c:pt idx="4">
                  <c:v>2022年</c:v>
                </c:pt>
              </c:strCache>
            </c:strRef>
          </c:cat>
          <c:val>
            <c:numRef>
              <c:f>[工作簿1]Sheet1!$M$8:$M$12</c:f>
              <c:numCache>
                <c:formatCode>0.0_ </c:formatCode>
                <c:ptCount val="5"/>
                <c:pt idx="0">
                  <c:v>35.0968612932571</c:v>
                </c:pt>
                <c:pt idx="1">
                  <c:v>35.4</c:v>
                </c:pt>
                <c:pt idx="2">
                  <c:v>34.1276592461427</c:v>
                </c:pt>
                <c:pt idx="3">
                  <c:v>33.9405564883894</c:v>
                </c:pt>
                <c:pt idx="4">
                  <c:v>29.4061457000779</c:v>
                </c:pt>
              </c:numCache>
            </c:numRef>
          </c:val>
        </c:ser>
        <c:ser>
          <c:idx val="5"/>
          <c:order val="2"/>
          <c:tx>
            <c:strRef>
              <c:f>[工作簿1]Sheet1!$N$7</c:f>
              <c:strCache>
                <c:ptCount val="1"/>
                <c:pt idx="0">
                  <c:v>第三产业</c:v>
                </c:pt>
              </c:strCache>
            </c:strRef>
          </c:tx>
          <c:spPr>
            <a:solidFill>
              <a:schemeClr val="accent1">
                <a:lumMod val="20000"/>
                <a:lumOff val="8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[工作簿1]Sheet1!$K$8:$K$12</c:f>
              <c:strCache>
                <c:ptCount val="5"/>
                <c:pt idx="0">
                  <c:v>2018年</c:v>
                </c:pt>
                <c:pt idx="1">
                  <c:v>2019年</c:v>
                </c:pt>
                <c:pt idx="2">
                  <c:v>2020年</c:v>
                </c:pt>
                <c:pt idx="3">
                  <c:v>2021年</c:v>
                </c:pt>
                <c:pt idx="4">
                  <c:v>2022年</c:v>
                </c:pt>
              </c:strCache>
            </c:strRef>
          </c:cat>
          <c:val>
            <c:numRef>
              <c:f>[工作簿1]Sheet1!$N$8:$N$12</c:f>
              <c:numCache>
                <c:formatCode>0.0_ </c:formatCode>
                <c:ptCount val="5"/>
                <c:pt idx="0">
                  <c:v>38.744889831967</c:v>
                </c:pt>
                <c:pt idx="1">
                  <c:v>39.3165429341133</c:v>
                </c:pt>
                <c:pt idx="2">
                  <c:v>37.2</c:v>
                </c:pt>
                <c:pt idx="3">
                  <c:v>37.7927097445095</c:v>
                </c:pt>
                <c:pt idx="4">
                  <c:v>39.9507175353718</c:v>
                </c:pt>
              </c:numCache>
            </c:numRef>
          </c:val>
        </c:ser>
        <c:dLbls>
          <c:showLegendKey val="0"/>
          <c:showVal val="1"/>
          <c:showCatName val="0"/>
          <c:showSerName val="0"/>
          <c:showPercent val="0"/>
          <c:showBubbleSize val="0"/>
        </c:dLbls>
        <c:gapWidth val="150"/>
        <c:overlap val="100"/>
        <c:axId val="879482306"/>
        <c:axId val="169746772"/>
      </c:barChart>
      <c:catAx>
        <c:axId val="879482306"/>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crossAx val="169746772"/>
        <c:crosses val="autoZero"/>
        <c:auto val="1"/>
        <c:lblAlgn val="ctr"/>
        <c:lblOffset val="100"/>
        <c:noMultiLvlLbl val="0"/>
      </c:catAx>
      <c:valAx>
        <c:axId val="1697467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crossAx val="879482306"/>
        <c:crosses val="autoZero"/>
        <c:crossBetween val="between"/>
        <c:majorUnit val="20"/>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lang="en-US" altLang="zh-CN" b="1">
                <a:solidFill>
                  <a:schemeClr val="tx1"/>
                </a:solidFill>
              </a:rPr>
              <a:t>2018</a:t>
            </a:r>
            <a:r>
              <a:rPr altLang="en-US" b="1">
                <a:solidFill>
                  <a:schemeClr val="tx1"/>
                </a:solidFill>
              </a:rPr>
              <a:t>年</a:t>
            </a:r>
            <a:r>
              <a:rPr lang="en-US" altLang="zh-CN" b="1">
                <a:solidFill>
                  <a:schemeClr val="tx1"/>
                </a:solidFill>
              </a:rPr>
              <a:t>-2022</a:t>
            </a:r>
            <a:r>
              <a:rPr altLang="en-US" b="1">
                <a:solidFill>
                  <a:schemeClr val="tx1"/>
                </a:solidFill>
              </a:rPr>
              <a:t>年</a:t>
            </a:r>
            <a:r>
              <a:rPr lang="en-US" altLang="zh-CN" b="1">
                <a:solidFill>
                  <a:schemeClr val="tx1"/>
                </a:solidFill>
              </a:rPr>
              <a:t>“</a:t>
            </a:r>
            <a:r>
              <a:rPr altLang="en-US" b="1">
                <a:solidFill>
                  <a:schemeClr val="tx1"/>
                </a:solidFill>
              </a:rPr>
              <a:t>四上</a:t>
            </a:r>
            <a:r>
              <a:rPr lang="en-US" altLang="zh-CN" b="1">
                <a:solidFill>
                  <a:schemeClr val="tx1"/>
                </a:solidFill>
              </a:rPr>
              <a:t>”</a:t>
            </a:r>
            <a:r>
              <a:rPr altLang="en-US" b="1">
                <a:solidFill>
                  <a:schemeClr val="tx1"/>
                </a:solidFill>
              </a:rPr>
              <a:t>企业个数</a:t>
            </a:r>
            <a:endParaRPr altLang="en-US" b="1">
              <a:solidFill>
                <a:schemeClr val="tx1"/>
              </a:solidFill>
            </a:endParaRPr>
          </a:p>
        </c:rich>
      </c:tx>
      <c:layout/>
      <c:overlay val="0"/>
      <c:spPr>
        <a:noFill/>
        <a:ln>
          <a:noFill/>
        </a:ln>
        <a:effectLst/>
      </c:spPr>
    </c:title>
    <c:autoTitleDeleted val="0"/>
    <c:plotArea>
      <c:layout>
        <c:manualLayout>
          <c:layoutTarget val="inner"/>
          <c:xMode val="edge"/>
          <c:yMode val="edge"/>
          <c:x val="0.10047619047619"/>
          <c:y val="0.18735632183908"/>
          <c:w val="0.839338624338624"/>
          <c:h val="0.597333333333333"/>
        </c:manualLayout>
      </c:layout>
      <c:barChart>
        <c:barDir val="col"/>
        <c:grouping val="clustered"/>
        <c:varyColors val="0"/>
        <c:ser>
          <c:idx val="0"/>
          <c:order val="0"/>
          <c:tx>
            <c:strRef>
              <c:f>'[新建 XLS 工作表.xls]Sheet1'!$K$15</c:f>
              <c:strCache>
                <c:ptCount val="1"/>
                <c:pt idx="0">
                  <c:v>“四上”企业个数</c:v>
                </c:pt>
              </c:strCache>
            </c:strRef>
          </c:tx>
          <c:spPr>
            <a:solidFill>
              <a:schemeClr val="accent1">
                <a:lumMod val="60000"/>
                <a:lumOff val="40000"/>
              </a:schemeClr>
            </a:solidFill>
            <a:ln>
              <a:noFill/>
            </a:ln>
            <a:effectLst/>
          </c:spPr>
          <c:invertIfNegative val="0"/>
          <c:dPt>
            <c:idx val="0"/>
            <c:invertIfNegative val="0"/>
            <c:bubble3D val="0"/>
          </c:dPt>
          <c:dPt>
            <c:idx val="1"/>
            <c:invertIfNegative val="0"/>
            <c:bubble3D val="0"/>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layout/>
              <c:dLblPos val="outEnd"/>
              <c:showLegendKey val="0"/>
              <c:showVal val="1"/>
              <c:showCatName val="0"/>
              <c:showSerName val="0"/>
              <c:showPercent val="0"/>
              <c:showBubbleSize val="0"/>
              <c:extLst>
                <c:ext xmlns:c15="http://schemas.microsoft.com/office/drawing/2012/chart" uri="{CE6537A1-D6FC-4f65-9D91-7224C49458BB}"/>
              </c:extLst>
            </c:dLbl>
            <c:dLbl>
              <c:idx val="4"/>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工作表.xls]Sheet1'!$J$16:$J$20</c:f>
              <c:strCache>
                <c:ptCount val="5"/>
                <c:pt idx="0">
                  <c:v>2018年</c:v>
                </c:pt>
                <c:pt idx="1">
                  <c:v>2019年</c:v>
                </c:pt>
                <c:pt idx="2">
                  <c:v>2020年</c:v>
                </c:pt>
                <c:pt idx="3">
                  <c:v>2021年</c:v>
                </c:pt>
                <c:pt idx="4">
                  <c:v>2022年</c:v>
                </c:pt>
              </c:strCache>
            </c:strRef>
          </c:cat>
          <c:val>
            <c:numRef>
              <c:f>'[新建 XLS 工作表.xls]Sheet1'!$K$16:$K$20</c:f>
              <c:numCache>
                <c:formatCode>General</c:formatCode>
                <c:ptCount val="5"/>
                <c:pt idx="0">
                  <c:v>111</c:v>
                </c:pt>
                <c:pt idx="1">
                  <c:v>118</c:v>
                </c:pt>
                <c:pt idx="2">
                  <c:v>133</c:v>
                </c:pt>
                <c:pt idx="3">
                  <c:v>159</c:v>
                </c:pt>
                <c:pt idx="4">
                  <c:v>170</c:v>
                </c:pt>
              </c:numCache>
            </c:numRef>
          </c:val>
        </c:ser>
        <c:dLbls>
          <c:showLegendKey val="0"/>
          <c:showVal val="1"/>
          <c:showCatName val="0"/>
          <c:showSerName val="0"/>
          <c:showPercent val="0"/>
          <c:showBubbleSize val="0"/>
        </c:dLbls>
        <c:gapWidth val="219"/>
        <c:overlap val="-27"/>
        <c:axId val="592928218"/>
        <c:axId val="829502609"/>
      </c:barChart>
      <c:catAx>
        <c:axId val="592928218"/>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829502609"/>
        <c:crosses val="autoZero"/>
        <c:auto val="1"/>
        <c:lblAlgn val="ctr"/>
        <c:lblOffset val="100"/>
        <c:noMultiLvlLbl val="0"/>
      </c:catAx>
      <c:valAx>
        <c:axId val="8295026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59292821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defRPr>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lang="en-US" altLang="zh-CN" b="1">
                <a:solidFill>
                  <a:schemeClr val="tx1"/>
                </a:solidFill>
              </a:rPr>
              <a:t>2018</a:t>
            </a:r>
            <a:r>
              <a:rPr altLang="en-US" b="1">
                <a:solidFill>
                  <a:schemeClr val="tx1"/>
                </a:solidFill>
              </a:rPr>
              <a:t>年</a:t>
            </a:r>
            <a:r>
              <a:rPr lang="en-US" altLang="zh-CN" b="1">
                <a:solidFill>
                  <a:schemeClr val="tx1"/>
                </a:solidFill>
              </a:rPr>
              <a:t>-2022</a:t>
            </a:r>
            <a:r>
              <a:rPr altLang="en-US" b="1">
                <a:solidFill>
                  <a:schemeClr val="tx1"/>
                </a:solidFill>
              </a:rPr>
              <a:t>年粮食总产量</a:t>
            </a:r>
            <a:endParaRPr altLang="en-US" b="1">
              <a:solidFill>
                <a:schemeClr val="tx1"/>
              </a:solidFill>
            </a:endParaRPr>
          </a:p>
        </c:rich>
      </c:tx>
      <c:layout/>
      <c:overlay val="0"/>
      <c:spPr>
        <a:noFill/>
        <a:ln>
          <a:noFill/>
        </a:ln>
        <a:effectLst/>
      </c:spPr>
    </c:title>
    <c:autoTitleDeleted val="0"/>
    <c:plotArea>
      <c:layout>
        <c:manualLayout>
          <c:layoutTarget val="inner"/>
          <c:xMode val="edge"/>
          <c:yMode val="edge"/>
          <c:x val="0.10047619047619"/>
          <c:y val="0.18735632183908"/>
          <c:w val="0.839338624338624"/>
          <c:h val="0.597333333333333"/>
        </c:manualLayout>
      </c:layout>
      <c:barChart>
        <c:barDir val="col"/>
        <c:grouping val="clustered"/>
        <c:varyColors val="0"/>
        <c:ser>
          <c:idx val="0"/>
          <c:order val="0"/>
          <c:tx>
            <c:strRef>
              <c:f>'[新建 XLS 工作表.xls]Sheet1'!$N$23</c:f>
              <c:strCache>
                <c:ptCount val="1"/>
                <c:pt idx="0">
                  <c:v>粮食总产量</c:v>
                </c:pt>
              </c:strCache>
            </c:strRef>
          </c:tx>
          <c:spPr>
            <a:solidFill>
              <a:schemeClr val="accent1">
                <a:lumMod val="60000"/>
                <a:lumOff val="40000"/>
              </a:schemeClr>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layout/>
              <c:dLblPos val="outEnd"/>
              <c:showLegendKey val="0"/>
              <c:showVal val="1"/>
              <c:showCatName val="0"/>
              <c:showSerName val="0"/>
              <c:showPercent val="0"/>
              <c:showBubbleSize val="0"/>
              <c:extLst>
                <c:ext xmlns:c15="http://schemas.microsoft.com/office/drawing/2012/chart" uri="{CE6537A1-D6FC-4f65-9D91-7224C49458BB}"/>
              </c:extLst>
            </c:dLbl>
            <c:dLbl>
              <c:idx val="4"/>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工作表.xls]Sheet1'!$M$24:$M$28</c:f>
              <c:strCache>
                <c:ptCount val="5"/>
                <c:pt idx="0">
                  <c:v>2018年</c:v>
                </c:pt>
                <c:pt idx="1">
                  <c:v>2019年</c:v>
                </c:pt>
                <c:pt idx="2">
                  <c:v>2020年</c:v>
                </c:pt>
                <c:pt idx="3">
                  <c:v>2021年</c:v>
                </c:pt>
                <c:pt idx="4">
                  <c:v>2022年</c:v>
                </c:pt>
              </c:strCache>
            </c:strRef>
          </c:cat>
          <c:val>
            <c:numRef>
              <c:f>'[新建 XLS 工作表.xls]Sheet1'!$N$24:$N$28</c:f>
              <c:numCache>
                <c:formatCode>0.0_ </c:formatCode>
                <c:ptCount val="5"/>
                <c:pt idx="0">
                  <c:v>45.3851</c:v>
                </c:pt>
                <c:pt idx="1">
                  <c:v>45.6271</c:v>
                </c:pt>
                <c:pt idx="2">
                  <c:v>46.2499</c:v>
                </c:pt>
                <c:pt idx="3">
                  <c:v>46.93</c:v>
                </c:pt>
                <c:pt idx="4">
                  <c:v>45.9</c:v>
                </c:pt>
              </c:numCache>
            </c:numRef>
          </c:val>
        </c:ser>
        <c:dLbls>
          <c:showLegendKey val="0"/>
          <c:showVal val="1"/>
          <c:showCatName val="0"/>
          <c:showSerName val="0"/>
          <c:showPercent val="0"/>
          <c:showBubbleSize val="0"/>
        </c:dLbls>
        <c:gapWidth val="219"/>
        <c:overlap val="-27"/>
        <c:axId val="592928218"/>
        <c:axId val="829502609"/>
      </c:barChart>
      <c:lineChart>
        <c:grouping val="standard"/>
        <c:varyColors val="0"/>
        <c:ser>
          <c:idx val="1"/>
          <c:order val="1"/>
          <c:tx>
            <c:strRef>
              <c:f>'[新建 XLS 工作表.xls]Sheet1'!#REF!</c:f>
              <c:strCache>
                <c:ptCount val="1"/>
                <c:pt idx="0">
                  <c:v/>
                </c:pt>
              </c:strCache>
            </c:strRef>
          </c:tx>
          <c:spPr>
            <a:ln w="28575" cap="rnd">
              <a:solidFill>
                <a:schemeClr val="accent2"/>
              </a:solidFill>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 工作表.xls]Sheet1'!$M$24:$M$28</c:f>
              <c:strCache>
                <c:ptCount val="5"/>
                <c:pt idx="0">
                  <c:v>2018年</c:v>
                </c:pt>
                <c:pt idx="1">
                  <c:v>2019年</c:v>
                </c:pt>
                <c:pt idx="2">
                  <c:v>2020年</c:v>
                </c:pt>
                <c:pt idx="3">
                  <c:v>2021年</c:v>
                </c:pt>
                <c:pt idx="4">
                  <c:v>2022年</c:v>
                </c:pt>
              </c:strCache>
            </c:strRef>
          </c:cat>
          <c:val>
            <c:numRef>
              <c:f>'[新建 XLS 工作表.xls]Sheet1'!#REF!</c:f>
              <c:numCache>
                <c:formatCode>General</c:formatCode>
                <c:ptCount val="1"/>
                <c:pt idx="0">
                  <c:v>1</c:v>
                </c:pt>
              </c:numCache>
            </c:numRef>
          </c:val>
          <c:smooth val="0"/>
        </c:ser>
        <c:dLbls>
          <c:showLegendKey val="0"/>
          <c:showVal val="1"/>
          <c:showCatName val="0"/>
          <c:showSerName val="0"/>
          <c:showPercent val="0"/>
          <c:showBubbleSize val="0"/>
        </c:dLbls>
        <c:marker val="0"/>
        <c:smooth val="0"/>
        <c:axId val="217993438"/>
        <c:axId val="860829069"/>
      </c:lineChart>
      <c:catAx>
        <c:axId val="592928218"/>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829502609"/>
        <c:crosses val="autoZero"/>
        <c:auto val="1"/>
        <c:lblAlgn val="ctr"/>
        <c:lblOffset val="100"/>
        <c:noMultiLvlLbl val="0"/>
      </c:catAx>
      <c:valAx>
        <c:axId val="829502609"/>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0_ "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592928218"/>
        <c:crosses val="autoZero"/>
        <c:crossBetween val="between"/>
      </c:valAx>
      <c:catAx>
        <c:axId val="21799343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860829069"/>
        <c:crosses val="autoZero"/>
        <c:auto val="1"/>
        <c:lblAlgn val="ctr"/>
        <c:lblOffset val="100"/>
        <c:noMultiLvlLbl val="0"/>
      </c:catAx>
      <c:valAx>
        <c:axId val="860829069"/>
        <c:scaling>
          <c:orientation val="minMax"/>
          <c:max val="0.2"/>
        </c:scaling>
        <c:delete val="1"/>
        <c:axPos val="r"/>
        <c:numFmt formatCode="General" sourceLinked="1"/>
        <c:majorTickMark val="none"/>
        <c:minorTickMark val="none"/>
        <c:tickLblPos val="nextTo"/>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217993438"/>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egendEntry>
        <c:idx val="1"/>
        <c:delete val="1"/>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defRPr>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lang="en-US" altLang="zh-CN" b="1">
                <a:solidFill>
                  <a:schemeClr val="tx1"/>
                </a:solidFill>
              </a:rPr>
              <a:t>2018</a:t>
            </a:r>
            <a:r>
              <a:rPr altLang="en-US" b="1">
                <a:solidFill>
                  <a:schemeClr val="tx1"/>
                </a:solidFill>
              </a:rPr>
              <a:t>年</a:t>
            </a:r>
            <a:r>
              <a:rPr lang="en-US" altLang="zh-CN" b="1">
                <a:solidFill>
                  <a:schemeClr val="tx1"/>
                </a:solidFill>
              </a:rPr>
              <a:t>-2022</a:t>
            </a:r>
            <a:r>
              <a:rPr altLang="en-US" b="1">
                <a:solidFill>
                  <a:schemeClr val="tx1"/>
                </a:solidFill>
              </a:rPr>
              <a:t>年全社会固定资产投资增速</a:t>
            </a:r>
            <a:endParaRPr b="1">
              <a:solidFill>
                <a:schemeClr val="tx1"/>
              </a:solidFill>
            </a:endParaRPr>
          </a:p>
        </c:rich>
      </c:tx>
      <c:layout>
        <c:manualLayout>
          <c:xMode val="edge"/>
          <c:yMode val="edge"/>
          <c:x val="0.212806901128069"/>
          <c:y val="0.00704225352112676"/>
        </c:manualLayout>
      </c:layout>
      <c:overlay val="0"/>
      <c:spPr>
        <a:noFill/>
        <a:ln>
          <a:noFill/>
        </a:ln>
        <a:effectLst/>
      </c:spPr>
    </c:title>
    <c:autoTitleDeleted val="0"/>
    <c:plotArea>
      <c:layout>
        <c:manualLayout>
          <c:layoutTarget val="inner"/>
          <c:xMode val="edge"/>
          <c:yMode val="edge"/>
          <c:x val="0.10047619047619"/>
          <c:y val="0.18735632183908"/>
          <c:w val="0.839338624338624"/>
          <c:h val="0.597333333333333"/>
        </c:manualLayout>
      </c:layout>
      <c:lineChart>
        <c:grouping val="standard"/>
        <c:varyColors val="0"/>
        <c:ser>
          <c:idx val="0"/>
          <c:order val="0"/>
          <c:tx>
            <c:strRef>
              <c:f>[工作簿11.xlsx]Sheet1!$Q$18</c:f>
              <c:strCache>
                <c:ptCount val="1"/>
                <c:pt idx="0">
                  <c:v>全社会固定资产投资增速</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225613802256138"/>
                  <c:y val="0.020628223159868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dLblPos val="t"/>
              <c:showLegendKey val="0"/>
              <c:showVal val="1"/>
              <c:showCatName val="0"/>
              <c:showSerName val="0"/>
              <c:showPercent val="0"/>
              <c:showBubbleSize val="0"/>
              <c:extLst>
                <c:ext xmlns:c15="http://schemas.microsoft.com/office/drawing/2012/chart" uri="{CE6537A1-D6FC-4f65-9D91-7224C49458BB}"/>
              </c:extLst>
            </c:dLbl>
            <c:dLbl>
              <c:idx val="2"/>
              <c:layout/>
              <c:dLblPos val="t"/>
              <c:showLegendKey val="0"/>
              <c:showVal val="1"/>
              <c:showCatName val="0"/>
              <c:showSerName val="0"/>
              <c:showPercent val="0"/>
              <c:showBubbleSize val="0"/>
              <c:extLst>
                <c:ext xmlns:c15="http://schemas.microsoft.com/office/drawing/2012/chart" uri="{CE6537A1-D6FC-4f65-9D91-7224C49458BB}"/>
              </c:extLst>
            </c:dLbl>
            <c:dLbl>
              <c:idx val="3"/>
              <c:layout/>
              <c:dLblPos val="t"/>
              <c:showLegendKey val="0"/>
              <c:showVal val="1"/>
              <c:showCatName val="0"/>
              <c:showSerName val="0"/>
              <c:showPercent val="0"/>
              <c:showBubbleSize val="0"/>
              <c:extLst>
                <c:ext xmlns:c15="http://schemas.microsoft.com/office/drawing/2012/chart" uri="{CE6537A1-D6FC-4f65-9D91-7224C49458BB}"/>
              </c:extLst>
            </c:dLbl>
            <c:dLbl>
              <c:idx val="4"/>
              <c:layout/>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t"/>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[工作簿11.xlsx]Sheet1!$P$19:$P$23</c:f>
              <c:strCache>
                <c:ptCount val="5"/>
                <c:pt idx="0">
                  <c:v>2018年</c:v>
                </c:pt>
                <c:pt idx="1">
                  <c:v>2019年</c:v>
                </c:pt>
                <c:pt idx="2">
                  <c:v>2020年</c:v>
                </c:pt>
                <c:pt idx="3">
                  <c:v>2021年</c:v>
                </c:pt>
                <c:pt idx="4">
                  <c:v>2022年</c:v>
                </c:pt>
              </c:strCache>
            </c:strRef>
          </c:cat>
          <c:val>
            <c:numRef>
              <c:f>[工作簿11.xlsx]Sheet1!$Q$19:$Q$23</c:f>
              <c:numCache>
                <c:formatCode>General</c:formatCode>
                <c:ptCount val="5"/>
                <c:pt idx="0">
                  <c:v>19.4</c:v>
                </c:pt>
                <c:pt idx="1">
                  <c:v>12.5</c:v>
                </c:pt>
                <c:pt idx="2" c:formatCode="0.0_ ">
                  <c:v>15</c:v>
                </c:pt>
                <c:pt idx="3" c:formatCode="0.0_ ">
                  <c:v>8</c:v>
                </c:pt>
                <c:pt idx="4" c:formatCode="0.0_ ">
                  <c:v>15.7</c:v>
                </c:pt>
              </c:numCache>
            </c:numRef>
          </c:val>
          <c:smooth val="0"/>
        </c:ser>
        <c:dLbls>
          <c:showLegendKey val="0"/>
          <c:showVal val="0"/>
          <c:showCatName val="0"/>
          <c:showSerName val="0"/>
          <c:showPercent val="0"/>
          <c:showBubbleSize val="0"/>
        </c:dLbls>
        <c:marker val="1"/>
        <c:smooth val="0"/>
        <c:axId val="592928218"/>
        <c:axId val="829502609"/>
      </c:lineChart>
      <c:catAx>
        <c:axId val="592928218"/>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829502609"/>
        <c:crosses val="autoZero"/>
        <c:auto val="1"/>
        <c:lblAlgn val="ctr"/>
        <c:lblOffset val="100"/>
        <c:noMultiLvlLbl val="0"/>
      </c:catAx>
      <c:valAx>
        <c:axId val="829502609"/>
        <c:scaling>
          <c:orientation val="minMax"/>
          <c:max val="2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59292821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defRPr>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lang="en-US" altLang="zh-CN" b="1">
                <a:solidFill>
                  <a:schemeClr val="tx1"/>
                </a:solidFill>
              </a:rPr>
              <a:t>2018</a:t>
            </a:r>
            <a:r>
              <a:rPr altLang="en-US" b="1">
                <a:solidFill>
                  <a:schemeClr val="tx1"/>
                </a:solidFill>
              </a:rPr>
              <a:t>年</a:t>
            </a:r>
            <a:r>
              <a:rPr lang="en-US" altLang="zh-CN" b="1">
                <a:solidFill>
                  <a:schemeClr val="tx1"/>
                </a:solidFill>
              </a:rPr>
              <a:t>—2022</a:t>
            </a:r>
            <a:r>
              <a:rPr altLang="en-US" b="1">
                <a:solidFill>
                  <a:schemeClr val="tx1"/>
                </a:solidFill>
              </a:rPr>
              <a:t>年社会消费品零售总额及增速</a:t>
            </a:r>
            <a:endParaRPr altLang="en-US" b="1">
              <a:solidFill>
                <a:schemeClr val="tx1"/>
              </a:solidFill>
            </a:endParaRPr>
          </a:p>
        </c:rich>
      </c:tx>
      <c:layout>
        <c:manualLayout>
          <c:xMode val="edge"/>
          <c:yMode val="edge"/>
          <c:x val="0.132840526751283"/>
          <c:y val="0.0335285200930071"/>
        </c:manualLayout>
      </c:layout>
      <c:overlay val="0"/>
      <c:spPr>
        <a:noFill/>
        <a:ln>
          <a:noFill/>
        </a:ln>
        <a:effectLst/>
      </c:spPr>
    </c:title>
    <c:autoTitleDeleted val="0"/>
    <c:plotArea>
      <c:layout>
        <c:manualLayout>
          <c:layoutTarget val="inner"/>
          <c:xMode val="edge"/>
          <c:yMode val="edge"/>
          <c:x val="0.0984615384615385"/>
          <c:y val="0.174061433447099"/>
          <c:w val="0.81387314439946"/>
          <c:h val="0.612832764505119"/>
        </c:manualLayout>
      </c:layout>
      <c:barChart>
        <c:barDir val="col"/>
        <c:grouping val="clustered"/>
        <c:varyColors val="0"/>
        <c:ser>
          <c:idx val="0"/>
          <c:order val="0"/>
          <c:tx>
            <c:strRef>
              <c:f>[工作簿11.xlsx]Sheet1!$W$18</c:f>
              <c:strCache>
                <c:ptCount val="1"/>
                <c:pt idx="0">
                  <c:v>社会消费品零售总额</c:v>
                </c:pt>
              </c:strCache>
            </c:strRef>
          </c:tx>
          <c:spPr>
            <a:solidFill>
              <a:schemeClr val="tx2">
                <a:lumMod val="40000"/>
                <a:lumOff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[工作簿11.xlsx]Sheet1!$V$19:$V$23</c:f>
              <c:strCache>
                <c:ptCount val="5"/>
                <c:pt idx="0">
                  <c:v>2018年</c:v>
                </c:pt>
                <c:pt idx="1">
                  <c:v>2019年</c:v>
                </c:pt>
                <c:pt idx="2">
                  <c:v>2020年</c:v>
                </c:pt>
                <c:pt idx="3">
                  <c:v>2021年</c:v>
                </c:pt>
                <c:pt idx="4">
                  <c:v>2022年</c:v>
                </c:pt>
              </c:strCache>
            </c:strRef>
          </c:cat>
          <c:val>
            <c:numRef>
              <c:f>[工作簿11.xlsx]Sheet1!$W$19:$W$23</c:f>
              <c:numCache>
                <c:formatCode>General</c:formatCode>
                <c:ptCount val="5"/>
                <c:pt idx="0">
                  <c:v>55.14</c:v>
                </c:pt>
                <c:pt idx="1">
                  <c:v>60.65</c:v>
                </c:pt>
                <c:pt idx="2">
                  <c:v>59.53</c:v>
                </c:pt>
                <c:pt idx="3">
                  <c:v>67.37</c:v>
                </c:pt>
                <c:pt idx="4">
                  <c:v>65.23</c:v>
                </c:pt>
              </c:numCache>
            </c:numRef>
          </c:val>
        </c:ser>
        <c:dLbls>
          <c:showLegendKey val="0"/>
          <c:showVal val="1"/>
          <c:showCatName val="0"/>
          <c:showSerName val="0"/>
          <c:showPercent val="0"/>
          <c:showBubbleSize val="0"/>
        </c:dLbls>
        <c:gapWidth val="219"/>
        <c:overlap val="-27"/>
        <c:axId val="307110048"/>
        <c:axId val="177276125"/>
      </c:barChart>
      <c:lineChart>
        <c:grouping val="standard"/>
        <c:varyColors val="0"/>
        <c:ser>
          <c:idx val="1"/>
          <c:order val="1"/>
          <c:tx>
            <c:strRef>
              <c:f>[工作簿11.xlsx]Sheet1!$X$18</c:f>
              <c:strCache>
                <c:ptCount val="1"/>
                <c:pt idx="0">
                  <c:v>社会消费品零售总额增速
</c:v>
                </c:pt>
              </c:strCache>
            </c:strRef>
          </c:tx>
          <c:spPr>
            <a:ln w="28575" cap="rnd">
              <a:solidFill>
                <a:schemeClr val="accent2"/>
              </a:solidFill>
              <a:round/>
            </a:ln>
            <a:effectLst/>
          </c:spPr>
          <c:marker>
            <c:symbol val="none"/>
          </c:marker>
          <c:dPt>
            <c:idx val="0"/>
            <c:marker>
              <c:symbol val="square"/>
              <c:size val="5"/>
              <c:spPr>
                <a:solidFill>
                  <a:schemeClr val="accent2"/>
                </a:solidFill>
                <a:ln w="9525">
                  <a:solidFill>
                    <a:schemeClr val="accent2"/>
                  </a:solidFill>
                </a:ln>
                <a:effectLst/>
              </c:spPr>
            </c:marker>
            <c:bubble3D val="0"/>
          </c:dPt>
          <c:dPt>
            <c:idx val="1"/>
            <c:marker>
              <c:symbol val="square"/>
              <c:size val="5"/>
              <c:spPr>
                <a:solidFill>
                  <a:schemeClr val="accent2"/>
                </a:solidFill>
                <a:ln w="9525">
                  <a:solidFill>
                    <a:schemeClr val="accent2"/>
                  </a:solidFill>
                </a:ln>
                <a:effectLst/>
              </c:spPr>
            </c:marker>
            <c:bubble3D val="0"/>
          </c:dPt>
          <c:dPt>
            <c:idx val="2"/>
            <c:marker>
              <c:symbol val="square"/>
              <c:size val="5"/>
              <c:spPr>
                <a:solidFill>
                  <a:schemeClr val="accent2"/>
                </a:solidFill>
                <a:ln w="9525">
                  <a:solidFill>
                    <a:schemeClr val="accent2"/>
                  </a:solidFill>
                </a:ln>
                <a:effectLst/>
              </c:spPr>
            </c:marker>
            <c:bubble3D val="0"/>
          </c:dPt>
          <c:dPt>
            <c:idx val="3"/>
            <c:marker>
              <c:symbol val="square"/>
              <c:size val="5"/>
              <c:spPr>
                <a:solidFill>
                  <a:schemeClr val="accent2"/>
                </a:solidFill>
                <a:ln w="9525">
                  <a:solidFill>
                    <a:schemeClr val="accent2"/>
                  </a:solidFill>
                </a:ln>
                <a:effectLst/>
              </c:spPr>
            </c:marker>
            <c:bubble3D val="0"/>
          </c:dPt>
          <c:dPt>
            <c:idx val="4"/>
            <c:marker>
              <c:symbol val="square"/>
              <c:size val="5"/>
              <c:spPr>
                <a:solidFill>
                  <a:schemeClr val="accent2"/>
                </a:solidFill>
                <a:ln w="9525">
                  <a:solidFill>
                    <a:schemeClr val="accent2"/>
                  </a:solidFill>
                </a:ln>
                <a:effectLst/>
              </c:spPr>
            </c:marker>
            <c:bubble3D val="0"/>
          </c:dPt>
          <c:dLbls>
            <c:dLbl>
              <c:idx val="0"/>
              <c:layout>
                <c:manualLayout>
                  <c:x val="0"/>
                  <c:y val="0.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solidFill>
                        <a:latin typeface="+mn-lt"/>
                        <a:ea typeface="+mn-ea"/>
                        <a:cs typeface="+mn-cs"/>
                      </a:defRPr>
                    </a:pPr>
                    <a:r>
                      <a:rPr>
                        <a:solidFill>
                          <a:schemeClr val="tx1"/>
                        </a:solidFill>
                      </a:rPr>
                      <a:t>-3.2</a:t>
                    </a:r>
                    <a:endParaRPr>
                      <a:solidFill>
                        <a:schemeClr val="tx1"/>
                      </a:solidFill>
                    </a:endParaRPr>
                  </a:p>
                </c:rich>
              </c:tx>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[工作簿11.xlsx]Sheet1!$V$19:$V$23</c:f>
              <c:strCache>
                <c:ptCount val="5"/>
                <c:pt idx="0">
                  <c:v>2018年</c:v>
                </c:pt>
                <c:pt idx="1">
                  <c:v>2019年</c:v>
                </c:pt>
                <c:pt idx="2">
                  <c:v>2020年</c:v>
                </c:pt>
                <c:pt idx="3">
                  <c:v>2021年</c:v>
                </c:pt>
                <c:pt idx="4">
                  <c:v>2022年</c:v>
                </c:pt>
              </c:strCache>
            </c:strRef>
          </c:cat>
          <c:val>
            <c:numRef>
              <c:f>[工作簿11.xlsx]Sheet1!$X$19:$X$23</c:f>
              <c:numCache>
                <c:formatCode>General</c:formatCode>
                <c:ptCount val="5"/>
                <c:pt idx="0">
                  <c:v>11.6</c:v>
                </c:pt>
                <c:pt idx="1">
                  <c:v>10.3</c:v>
                </c:pt>
                <c:pt idx="2">
                  <c:v>-1.8</c:v>
                </c:pt>
                <c:pt idx="3">
                  <c:v>19.2</c:v>
                </c:pt>
                <c:pt idx="4" c:formatCode="0.00_ ">
                  <c:v>-3.2</c:v>
                </c:pt>
              </c:numCache>
            </c:numRef>
          </c:val>
          <c:smooth val="0"/>
        </c:ser>
        <c:dLbls>
          <c:showLegendKey val="0"/>
          <c:showVal val="1"/>
          <c:showCatName val="0"/>
          <c:showSerName val="0"/>
          <c:showPercent val="0"/>
          <c:showBubbleSize val="0"/>
        </c:dLbls>
        <c:marker val="0"/>
        <c:smooth val="0"/>
        <c:axId val="906913070"/>
        <c:axId val="238585048"/>
      </c:lineChart>
      <c:catAx>
        <c:axId val="307110048"/>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177276125"/>
        <c:crosses val="autoZero"/>
        <c:auto val="1"/>
        <c:lblAlgn val="ctr"/>
        <c:lblOffset val="100"/>
        <c:tickMarkSkip val="2"/>
        <c:noMultiLvlLbl val="0"/>
      </c:catAx>
      <c:valAx>
        <c:axId val="177276125"/>
        <c:scaling>
          <c:orientation val="minMax"/>
          <c:max val="80"/>
          <c:min val="0"/>
        </c:scaling>
        <c:delete val="0"/>
        <c:axPos val="l"/>
        <c:majorGridlines>
          <c:spPr>
            <a:ln w="9525" cap="flat" cmpd="sng" algn="ctr">
              <a:solidFill>
                <a:schemeClr val="tx1">
                  <a:lumMod val="15000"/>
                  <a:lumOff val="85000"/>
                </a:schemeClr>
              </a:solidFill>
              <a:round/>
            </a:ln>
            <a:effectLst/>
          </c:spPr>
        </c:majorGridlines>
        <c:numFmt formatCode="0_ " sourceLinked="0"/>
        <c:majorTickMark val="in"/>
        <c:minorTickMark val="none"/>
        <c:tickLblPos val="low"/>
        <c:spPr>
          <a:noFill/>
          <a:ln>
            <a:solidFill>
              <a:schemeClr val="tx1"/>
            </a:solidFill>
          </a:ln>
          <a:effectLst/>
        </c:spPr>
        <c:txPr>
          <a:bodyPr rot="-60000000" spcFirstLastPara="0" vertOverflow="ellipsis" vert="horz" wrap="square" anchor="t" anchorCtr="0"/>
          <a:lstStyle/>
          <a:p>
            <a:pPr>
              <a:defRPr lang="zh-CN" sz="900" b="1" i="0" u="none" strike="noStrike" kern="1200" baseline="0">
                <a:solidFill>
                  <a:schemeClr val="tx1"/>
                </a:solidFill>
                <a:latin typeface="+mn-lt"/>
                <a:ea typeface="+mn-ea"/>
                <a:cs typeface="+mn-cs"/>
              </a:defRPr>
            </a:pPr>
          </a:p>
        </c:txPr>
        <c:crossAx val="307110048"/>
        <c:crosses val="autoZero"/>
        <c:crossBetween val="between"/>
        <c:majorUnit val="20"/>
      </c:valAx>
      <c:catAx>
        <c:axId val="906913070"/>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238585048"/>
        <c:crosses val="autoZero"/>
        <c:auto val="1"/>
        <c:lblAlgn val="ctr"/>
        <c:lblOffset val="100"/>
        <c:noMultiLvlLbl val="0"/>
      </c:catAx>
      <c:valAx>
        <c:axId val="238585048"/>
        <c:scaling>
          <c:orientation val="minMax"/>
          <c:max val="30"/>
        </c:scaling>
        <c:delete val="0"/>
        <c:axPos val="r"/>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906913070"/>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ayout>
        <c:manualLayout>
          <c:xMode val="edge"/>
          <c:yMode val="edge"/>
          <c:x val="0.147916666666667"/>
          <c:y val="0.888194444444444"/>
          <c:w val="0.722361111111111"/>
          <c:h val="0.0770833333333333"/>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defRPr>
      </a:pPr>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lang="en-US" altLang="zh-CN" b="1">
                <a:solidFill>
                  <a:schemeClr val="tx1"/>
                </a:solidFill>
              </a:rPr>
              <a:t>2018</a:t>
            </a:r>
            <a:r>
              <a:rPr altLang="en-US" b="1">
                <a:solidFill>
                  <a:schemeClr val="tx1"/>
                </a:solidFill>
              </a:rPr>
              <a:t>年</a:t>
            </a:r>
            <a:r>
              <a:rPr lang="en-US" altLang="zh-CN" b="1">
                <a:solidFill>
                  <a:schemeClr val="tx1"/>
                </a:solidFill>
              </a:rPr>
              <a:t>-2022</a:t>
            </a:r>
            <a:r>
              <a:rPr altLang="en-US" b="1">
                <a:solidFill>
                  <a:schemeClr val="tx1"/>
                </a:solidFill>
              </a:rPr>
              <a:t>年</a:t>
            </a:r>
            <a:r>
              <a:rPr b="1">
                <a:solidFill>
                  <a:schemeClr val="tx1"/>
                </a:solidFill>
              </a:rPr>
              <a:t>地方一般公共预算收入</a:t>
            </a:r>
            <a:endParaRPr b="1">
              <a:solidFill>
                <a:schemeClr val="tx1"/>
              </a:solidFill>
            </a:endParaRPr>
          </a:p>
        </c:rich>
      </c:tx>
      <c:layout/>
      <c:overlay val="0"/>
      <c:spPr>
        <a:noFill/>
        <a:ln>
          <a:noFill/>
        </a:ln>
        <a:effectLst/>
      </c:spPr>
    </c:title>
    <c:autoTitleDeleted val="0"/>
    <c:plotArea>
      <c:layout>
        <c:manualLayout>
          <c:layoutTarget val="inner"/>
          <c:xMode val="edge"/>
          <c:yMode val="edge"/>
          <c:x val="0.10047619047619"/>
          <c:y val="0.18735632183908"/>
          <c:w val="0.839338624338624"/>
          <c:h val="0.597333333333333"/>
        </c:manualLayout>
      </c:layout>
      <c:barChart>
        <c:barDir val="col"/>
        <c:grouping val="clustered"/>
        <c:varyColors val="0"/>
        <c:ser>
          <c:idx val="0"/>
          <c:order val="0"/>
          <c:tx>
            <c:strRef>
              <c:f>[工作簿11.xlsx]Sheet1!$M$18</c:f>
              <c:strCache>
                <c:ptCount val="1"/>
                <c:pt idx="0">
                  <c:v>地方一般公共预算收入</c:v>
                </c:pt>
              </c:strCache>
            </c:strRef>
          </c:tx>
          <c:spPr>
            <a:solidFill>
              <a:schemeClr val="tx2">
                <a:lumMod val="40000"/>
                <a:lumOff val="60000"/>
              </a:schemeClr>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layout/>
              <c:dLblPos val="outEnd"/>
              <c:showLegendKey val="0"/>
              <c:showVal val="1"/>
              <c:showCatName val="0"/>
              <c:showSerName val="0"/>
              <c:showPercent val="0"/>
              <c:showBubbleSize val="0"/>
              <c:extLst>
                <c:ext xmlns:c15="http://schemas.microsoft.com/office/drawing/2012/chart" uri="{CE6537A1-D6FC-4f65-9D91-7224C49458BB}"/>
              </c:extLst>
            </c:dLbl>
            <c:dLbl>
              <c:idx val="3"/>
              <c:layout/>
              <c:dLblPos val="outEnd"/>
              <c:showLegendKey val="0"/>
              <c:showVal val="1"/>
              <c:showCatName val="0"/>
              <c:showSerName val="0"/>
              <c:showPercent val="0"/>
              <c:showBubbleSize val="0"/>
              <c:extLst>
                <c:ext xmlns:c15="http://schemas.microsoft.com/office/drawing/2012/chart" uri="{CE6537A1-D6FC-4f65-9D91-7224C49458BB}"/>
              </c:extLst>
            </c:dLbl>
            <c:dLbl>
              <c:idx val="4"/>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[工作簿11.xlsx]Sheet1!$L$19:$L$23</c:f>
              <c:strCache>
                <c:ptCount val="5"/>
                <c:pt idx="0">
                  <c:v>2018年</c:v>
                </c:pt>
                <c:pt idx="1">
                  <c:v>2019年</c:v>
                </c:pt>
                <c:pt idx="2">
                  <c:v>2020年</c:v>
                </c:pt>
                <c:pt idx="3">
                  <c:v>2021年</c:v>
                </c:pt>
                <c:pt idx="4">
                  <c:v>2022年</c:v>
                </c:pt>
              </c:strCache>
            </c:strRef>
          </c:cat>
          <c:val>
            <c:numRef>
              <c:f>[工作簿11.xlsx]Sheet1!$M$19:$M$23</c:f>
              <c:numCache>
                <c:formatCode>General</c:formatCode>
                <c:ptCount val="5"/>
                <c:pt idx="0">
                  <c:v>4.55</c:v>
                </c:pt>
                <c:pt idx="1">
                  <c:v>3.51</c:v>
                </c:pt>
                <c:pt idx="2">
                  <c:v>3.72</c:v>
                </c:pt>
                <c:pt idx="3">
                  <c:v>4.43</c:v>
                </c:pt>
                <c:pt idx="4" c:formatCode="0.00_ ">
                  <c:v>5.3</c:v>
                </c:pt>
              </c:numCache>
            </c:numRef>
          </c:val>
        </c:ser>
        <c:dLbls>
          <c:showLegendKey val="0"/>
          <c:showVal val="1"/>
          <c:showCatName val="0"/>
          <c:showSerName val="0"/>
          <c:showPercent val="0"/>
          <c:showBubbleSize val="0"/>
        </c:dLbls>
        <c:gapWidth val="219"/>
        <c:overlap val="-27"/>
        <c:axId val="592928218"/>
        <c:axId val="829502609"/>
      </c:barChart>
      <c:catAx>
        <c:axId val="592928218"/>
        <c:scaling>
          <c:orientation val="minMax"/>
        </c:scaling>
        <c:delete val="0"/>
        <c:axPos val="b"/>
        <c:majorTickMark val="in"/>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829502609"/>
        <c:crosses val="autoZero"/>
        <c:auto val="1"/>
        <c:lblAlgn val="ctr"/>
        <c:lblOffset val="100"/>
        <c:noMultiLvlLbl val="0"/>
      </c:catAx>
      <c:valAx>
        <c:axId val="8295026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tx1"/>
            </a:solidFill>
          </a:ln>
          <a:effectLst/>
        </c:spPr>
        <c:txPr>
          <a:bodyPr rot="-6000000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crossAx val="59292821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defRPr>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0.0740740740740741</cdr:y>
    </cdr:from>
    <cdr:to>
      <cdr:x>0.133472222222222</cdr:x>
      <cdr:y>0.153935185185185</cdr:y>
    </cdr:to>
    <cdr:sp>
      <cdr:nvSpPr>
        <cdr:cNvPr id="2" name="矩形 1"/>
        <cdr:cNvSpPr/>
      </cdr:nvSpPr>
      <cdr:spPr xmlns:a="http://schemas.openxmlformats.org/drawingml/2006/main">
        <a:xfrm xmlns:a="http://schemas.openxmlformats.org/drawingml/2006/main">
          <a:off x="0" y="203200"/>
          <a:ext cx="610235" cy="2190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900"/>
            <a:t>（亿元）</a:t>
          </a:r>
          <a:endParaRPr lang="zh-CN" altLang="en-US" sz="900"/>
        </a:p>
      </cdr:txBody>
    </cdr:sp>
  </cdr:relSizeAnchor>
  <cdr:relSizeAnchor xmlns:cdr="http://schemas.openxmlformats.org/drawingml/2006/chartDrawing">
    <cdr:from>
      <cdr:x>0.889473684210526</cdr:x>
      <cdr:y>0.0844141069397042</cdr:y>
    </cdr:from>
    <cdr:to>
      <cdr:x>1</cdr:x>
      <cdr:y>0.171331058020478</cdr:y>
    </cdr:to>
    <cdr:sp>
      <cdr:nvSpPr>
        <cdr:cNvPr id="3" name="矩形 2"/>
        <cdr:cNvSpPr/>
      </cdr:nvSpPr>
      <cdr:spPr xmlns:a="http://schemas.openxmlformats.org/drawingml/2006/main">
        <a:xfrm xmlns:a="http://schemas.openxmlformats.org/drawingml/2006/main">
          <a:off x="4185285" y="235585"/>
          <a:ext cx="520065" cy="24257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900"/>
            <a:t>（%）</a:t>
          </a:r>
          <a:endParaRPr lang="zh-CN" altLang="en-US" sz="1000"/>
        </a:p>
        <a:p>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0.0259481037924152</cdr:x>
      <cdr:y>0.0344827586206897</cdr:y>
    </cdr:from>
    <cdr:to>
      <cdr:x>0.117498336660013</cdr:x>
      <cdr:y>0.117241379310345</cdr:y>
    </cdr:to>
    <cdr:sp>
      <cdr:nvSpPr>
        <cdr:cNvPr id="2" name="矩形 1"/>
        <cdr:cNvSpPr/>
      </cdr:nvSpPr>
      <cdr:spPr xmlns:a="http://schemas.openxmlformats.org/drawingml/2006/main">
        <a:xfrm xmlns:a="http://schemas.openxmlformats.org/drawingml/2006/main">
          <a:off x="123825" y="95250"/>
          <a:ext cx="436880" cy="2286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t>（个）</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0.0655172413793104</cdr:y>
    </cdr:from>
    <cdr:to>
      <cdr:x>0.117365269461078</cdr:x>
      <cdr:y>0.148275862068966</cdr:y>
    </cdr:to>
    <cdr:sp>
      <cdr:nvSpPr>
        <cdr:cNvPr id="2" name="矩形 1"/>
        <cdr:cNvSpPr/>
      </cdr:nvSpPr>
      <cdr:spPr xmlns:a="http://schemas.openxmlformats.org/drawingml/2006/main">
        <a:xfrm xmlns:a="http://schemas.openxmlformats.org/drawingml/2006/main">
          <a:off x="0" y="180975"/>
          <a:ext cx="560070" cy="2286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（万吨）</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0.0119047619047619</cdr:x>
      <cdr:y>0.0735632183908046</cdr:y>
    </cdr:from>
    <cdr:to>
      <cdr:x>0.150529100529101</cdr:x>
      <cdr:y>0.18735632183908</cdr:y>
    </cdr:to>
    <cdr:sp>
      <cdr:nvSpPr>
        <cdr:cNvPr id="2" name="矩形 1"/>
        <cdr:cNvSpPr/>
      </cdr:nvSpPr>
      <cdr:spPr xmlns:a="http://schemas.openxmlformats.org/drawingml/2006/main">
        <a:xfrm xmlns:a="http://schemas.openxmlformats.org/drawingml/2006/main">
          <a:off x="57150" y="203200"/>
          <a:ext cx="665480" cy="3143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1000"/>
            <a:t>（</a:t>
          </a:r>
          <a:r>
            <a:rPr lang="en-US" altLang="zh-CN" sz="1000"/>
            <a:t>%</a:t>
          </a:r>
          <a:r>
            <a:rPr lang="zh-CN" altLang="en-US" sz="1000"/>
            <a:t>）</a:t>
          </a:r>
          <a:endParaRPr lang="zh-CN" altLang="en-US" sz="1000"/>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0.0740740740740741</cdr:y>
    </cdr:from>
    <cdr:to>
      <cdr:x>0.133472222222222</cdr:x>
      <cdr:y>0.153935185185185</cdr:y>
    </cdr:to>
    <cdr:sp>
      <cdr:nvSpPr>
        <cdr:cNvPr id="2" name="矩形 1"/>
        <cdr:cNvSpPr/>
      </cdr:nvSpPr>
      <cdr:spPr xmlns:a="http://schemas.openxmlformats.org/drawingml/2006/main">
        <a:xfrm xmlns:a="http://schemas.openxmlformats.org/drawingml/2006/main">
          <a:off x="0" y="203200"/>
          <a:ext cx="610235" cy="2190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900"/>
            <a:t>（亿元）</a:t>
          </a:r>
          <a:endParaRPr lang="zh-CN" altLang="en-US" sz="900"/>
        </a:p>
      </cdr:txBody>
    </cdr:sp>
  </cdr:relSizeAnchor>
  <cdr:relSizeAnchor xmlns:cdr="http://schemas.openxmlformats.org/drawingml/2006/chartDrawing">
    <cdr:from>
      <cdr:x>0.889473684210526</cdr:x>
      <cdr:y>0.0844141069397042</cdr:y>
    </cdr:from>
    <cdr:to>
      <cdr:x>1</cdr:x>
      <cdr:y>0.171331058020478</cdr:y>
    </cdr:to>
    <cdr:sp>
      <cdr:nvSpPr>
        <cdr:cNvPr id="3" name="矩形 2"/>
        <cdr:cNvSpPr/>
      </cdr:nvSpPr>
      <cdr:spPr xmlns:a="http://schemas.openxmlformats.org/drawingml/2006/main">
        <a:xfrm xmlns:a="http://schemas.openxmlformats.org/drawingml/2006/main">
          <a:off x="4185285" y="235585"/>
          <a:ext cx="520065" cy="24257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900"/>
            <a:t>（%）</a:t>
          </a:r>
          <a:endParaRPr lang="zh-CN" altLang="en-US" sz="1000"/>
        </a:p>
        <a:p>
          <a:endParaRPr lang="zh-CN" altLang="en-US" sz="1000"/>
        </a:p>
      </cdr:txBody>
    </cdr:sp>
  </cdr:relSizeAnchor>
</c:userShapes>
</file>

<file path=word/drawings/drawing6.xml><?xml version="1.0" encoding="utf-8"?>
<c:userShapes xmlns:c="http://schemas.openxmlformats.org/drawingml/2006/chart">
  <cdr:relSizeAnchor xmlns:cdr="http://schemas.openxmlformats.org/drawingml/2006/chartDrawing">
    <cdr:from>
      <cdr:x>0.0119047619047619</cdr:x>
      <cdr:y>0.0735632183908046</cdr:y>
    </cdr:from>
    <cdr:to>
      <cdr:x>0.150529100529101</cdr:x>
      <cdr:y>0.18735632183908</cdr:y>
    </cdr:to>
    <cdr:sp>
      <cdr:nvSpPr>
        <cdr:cNvPr id="2" name="矩形 1"/>
        <cdr:cNvSpPr/>
      </cdr:nvSpPr>
      <cdr:spPr xmlns:a="http://schemas.openxmlformats.org/drawingml/2006/main">
        <a:xfrm xmlns:a="http://schemas.openxmlformats.org/drawingml/2006/main">
          <a:off x="57150" y="203200"/>
          <a:ext cx="665480" cy="31432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t>（亿元）</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13</Pages>
  <Words>4779</Words>
  <Characters>5881</Characters>
  <Lines>47</Lines>
  <Paragraphs>13</Paragraphs>
  <TotalTime>7</TotalTime>
  <ScaleCrop>false</ScaleCrop>
  <LinksUpToDate>false</LinksUpToDate>
  <CharactersWithSpaces>5896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2018-03-09T02:10:00Z</dcterms:created>
  <dc:creator>admin</dc:creator>
  <cp:lastModifiedBy>叶秋</cp:lastModifiedBy>
  <cp:lastPrinted>2023-03-31T08:43:00Z</cp:lastPrinted>
  <dcterms:modified xsi:type="dcterms:W3CDTF">2023-03-31T09:10:57Z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BC5938D2C696418E8AE643E23FE29927</vt:lpwstr>
  </property>
</Properties>
</file>