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294640</wp:posOffset>
            </wp:positionV>
            <wp:extent cx="1408430" cy="1418590"/>
            <wp:effectExtent l="0" t="0" r="1270" b="10160"/>
            <wp:wrapNone/>
            <wp:docPr id="1" name="图片 1" descr="c615a9771e4d67aeaef7e840023f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15a9771e4d67aeaef7e840023f6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剑阁县羊岭镇2023年度行政许可实施情况统计表</w:t>
      </w:r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制表单位（盖章）：剑阁县羊岭镇人民政府                         制表日期：2024 年 5 月 6 日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50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735"/>
        <w:gridCol w:w="1466"/>
        <w:gridCol w:w="1319"/>
        <w:gridCol w:w="1250"/>
        <w:gridCol w:w="1506"/>
        <w:gridCol w:w="2100"/>
        <w:gridCol w:w="20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346" w:type="pct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7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6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572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许可的数量</w:t>
            </w:r>
          </w:p>
        </w:tc>
        <w:tc>
          <w:tcPr>
            <w:tcW w:w="797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不予许可的数量</w:t>
            </w:r>
          </w:p>
        </w:tc>
        <w:tc>
          <w:tcPr>
            <w:tcW w:w="789" w:type="pct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115107217779149361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剑阁县羊岭镇人民政府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 “申请数量”的统计范围为统计年度1月1日至12月31日期间许可机关收到当事人许可申请的数量。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 准予变更、延续和不予变更、延续的数量，分别计入“许可的数量”、“不予许可的数量”。</w:t>
      </w:r>
    </w:p>
    <w:p/>
    <w:p/>
    <w:sectPr>
      <w:pgSz w:w="16838" w:h="11906" w:orient="landscape"/>
      <w:pgMar w:top="1587" w:right="2098" w:bottom="1474" w:left="1814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DA3NWE3MzIwYmIzZjBmOWRhNGNmZTQ1ZDE4M2IifQ=="/>
    <w:docVar w:name="KSO_WPS_MARK_KEY" w:val="8201df95-d9c8-41bc-a202-fc0b4c6b2b3b"/>
  </w:docVars>
  <w:rsids>
    <w:rsidRoot w:val="597F7DA5"/>
    <w:rsid w:val="597F7DA5"/>
    <w:rsid w:val="5DD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2024-05-10T08:25:00Z</dcterms:created>
  <dc:creator>心情驿站</dc:creator>
  <cp:lastModifiedBy>心情驿站</cp:lastModifiedBy>
  <dcterms:modified xsi:type="dcterms:W3CDTF">2024-05-10T08:25:51Z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EA50F6D78C66452A8C7B46513FE53EE9_11</vt:lpwstr>
  </property>
</Properties>
</file>