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剑阁县羊岭镇2023年度行政强制实施情况统计表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-102870</wp:posOffset>
            </wp:positionV>
            <wp:extent cx="1408430" cy="1418590"/>
            <wp:effectExtent l="0" t="0" r="1270" b="10160"/>
            <wp:wrapNone/>
            <wp:docPr id="3" name="图片 3" descr="c615a9771e4d67aeaef7e840023f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15a9771e4d67aeaef7e840023f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制表单位（盖章）：剑阁县羊岭镇人民政府                        制表日期：2024 年 5 月 6 日</w:t>
      </w:r>
    </w:p>
    <w:tbl>
      <w:tblPr>
        <w:tblStyle w:val="2"/>
        <w:tblW w:w="52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197"/>
        <w:gridCol w:w="1018"/>
        <w:gridCol w:w="832"/>
        <w:gridCol w:w="516"/>
        <w:gridCol w:w="832"/>
        <w:gridCol w:w="624"/>
        <w:gridCol w:w="754"/>
        <w:gridCol w:w="646"/>
        <w:gridCol w:w="1192"/>
        <w:gridCol w:w="832"/>
        <w:gridCol w:w="621"/>
        <w:gridCol w:w="754"/>
        <w:gridCol w:w="788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01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行政强制措施实施数量（件） </w:t>
            </w:r>
          </w:p>
        </w:tc>
        <w:tc>
          <w:tcPr>
            <w:tcW w:w="2015" w:type="pct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2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 行政机关强制执行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2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扣押财物 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2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4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3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2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代履行</w:t>
            </w:r>
          </w:p>
        </w:tc>
        <w:tc>
          <w:tcPr>
            <w:tcW w:w="2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2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115107217779149361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剑阁县羊岭镇人民政府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88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t>说明：</w:t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val="en-US" w:eastAsia="zh-CN" w:bidi="ar"/>
        </w:rPr>
        <w:t>4.申请法院强制执行数量的统计范围为统计年度1月1日至12月31日期间向法院申请强制执行的数量，时间以申请日期为准。</w:t>
      </w:r>
    </w:p>
    <w:p/>
    <w:sectPr>
      <w:pgSz w:w="16838" w:h="11906" w:orient="landscape"/>
      <w:pgMar w:top="1587" w:right="2098" w:bottom="1474" w:left="181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b169e22c-3378-4791-9b83-bd3408ad6ec0"/>
  </w:docVars>
  <w:rsids>
    <w:rsidRoot w:val="0A1D1439"/>
    <w:rsid w:val="0A1D1439"/>
    <w:rsid w:val="5DD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2024-05-10T08:26:00Z</dcterms:created>
  <dc:creator>心情驿站</dc:creator>
  <cp:lastModifiedBy>心情驿站</cp:lastModifiedBy>
  <dcterms:modified xsi:type="dcterms:W3CDTF">2024-05-10T08:27:03Z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D928D0179B44480C85286F5CA349DFE6_11</vt:lpwstr>
  </property>
</Properties>
</file>