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仿宋_GB2312" w:hAnsi="仿宋_GB2312" w:eastAsia="仿宋_GB2312" w:cs="仿宋_GB2312"/>
          <w:b w:val="0"/>
          <w:bCs w:val="0"/>
          <w:color w:val="auto"/>
          <w:sz w:val="72"/>
          <w:szCs w:val="72"/>
        </w:rPr>
      </w:pPr>
      <w:bookmarkStart w:id="0" w:name="_Toc15377193"/>
      <w:bookmarkStart w:id="1" w:name="_Toc15396597"/>
      <w:bookmarkStart w:id="2" w:name="_Toc15377425"/>
      <w:bookmarkStart w:id="3" w:name="_Toc15396475"/>
      <w:bookmarkStart w:id="4" w:name="_Toc15378441"/>
      <w:bookmarkStart w:id="5" w:name="_Toc15306267"/>
    </w:p>
    <w:p>
      <w:pPr>
        <w:spacing w:line="600" w:lineRule="exact"/>
        <w:jc w:val="center"/>
        <w:outlineLvl w:val="9"/>
        <w:rPr>
          <w:rFonts w:hint="eastAsia" w:ascii="仿宋_GB2312" w:hAnsi="仿宋_GB2312" w:eastAsia="仿宋_GB2312" w:cs="仿宋_GB2312"/>
          <w:b w:val="0"/>
          <w:bCs w:val="0"/>
          <w:color w:val="auto"/>
          <w:sz w:val="72"/>
          <w:szCs w:val="72"/>
        </w:rPr>
      </w:pPr>
    </w:p>
    <w:p>
      <w:pPr>
        <w:spacing w:line="600" w:lineRule="exact"/>
        <w:jc w:val="center"/>
        <w:outlineLvl w:val="9"/>
        <w:rPr>
          <w:rFonts w:hint="eastAsia" w:ascii="仿宋_GB2312" w:hAnsi="仿宋_GB2312" w:eastAsia="仿宋_GB2312" w:cs="仿宋_GB2312"/>
          <w:b w:val="0"/>
          <w:bCs w:val="0"/>
          <w:color w:val="auto"/>
          <w:sz w:val="72"/>
          <w:szCs w:val="72"/>
        </w:rPr>
      </w:pPr>
    </w:p>
    <w:p>
      <w:pPr>
        <w:spacing w:line="600" w:lineRule="exact"/>
        <w:jc w:val="center"/>
        <w:outlineLvl w:val="9"/>
        <w:rPr>
          <w:rFonts w:hint="eastAsia" w:ascii="仿宋_GB2312" w:hAnsi="仿宋_GB2312" w:eastAsia="仿宋_GB2312" w:cs="仿宋_GB2312"/>
          <w:b/>
          <w:bCs/>
          <w:color w:val="auto"/>
          <w:sz w:val="72"/>
          <w:szCs w:val="72"/>
        </w:rPr>
      </w:pPr>
    </w:p>
    <w:p>
      <w:pPr>
        <w:adjustRightInd w:val="0"/>
        <w:snapToGrid w:val="0"/>
        <w:spacing w:line="360" w:lineRule="auto"/>
        <w:jc w:val="center"/>
        <w:outlineLvl w:val="0"/>
        <w:rPr>
          <w:rFonts w:hint="eastAsia" w:ascii="华文中宋" w:hAnsi="华文中宋" w:eastAsia="华文中宋" w:cs="华文中宋"/>
          <w:b/>
          <w:bCs/>
          <w:color w:val="auto"/>
          <w:sz w:val="72"/>
          <w:szCs w:val="72"/>
        </w:rPr>
      </w:pPr>
      <w:bookmarkStart w:id="6" w:name="_Toc17045"/>
      <w:bookmarkStart w:id="7" w:name="_Toc218"/>
      <w:r>
        <w:rPr>
          <w:rFonts w:hint="eastAsia" w:ascii="Gulim" w:hAnsi="Gulim" w:eastAsia="Gulim" w:cs="Gulim"/>
          <w:b/>
          <w:bCs/>
          <w:color w:val="auto"/>
          <w:sz w:val="72"/>
          <w:szCs w:val="72"/>
        </w:rPr>
        <w:t>202</w:t>
      </w:r>
      <w:r>
        <w:rPr>
          <w:rFonts w:hint="eastAsia" w:ascii="Gulim" w:hAnsi="Gulim" w:eastAsia="宋体" w:cs="Gulim"/>
          <w:b/>
          <w:bCs/>
          <w:color w:val="auto"/>
          <w:sz w:val="72"/>
          <w:szCs w:val="72"/>
          <w:lang w:val="en-US" w:eastAsia="zh-CN"/>
        </w:rPr>
        <w:t>2</w:t>
      </w:r>
      <w:r>
        <w:rPr>
          <w:rFonts w:hint="eastAsia" w:ascii="华文中宋" w:hAnsi="华文中宋" w:eastAsia="华文中宋" w:cs="华文中宋"/>
          <w:b/>
          <w:bCs/>
          <w:color w:val="auto"/>
          <w:sz w:val="72"/>
          <w:szCs w:val="72"/>
        </w:rPr>
        <w:t>年度</w:t>
      </w:r>
      <w:bookmarkEnd w:id="0"/>
      <w:bookmarkEnd w:id="1"/>
      <w:bookmarkEnd w:id="2"/>
      <w:bookmarkEnd w:id="3"/>
      <w:bookmarkEnd w:id="4"/>
      <w:bookmarkEnd w:id="6"/>
      <w:bookmarkEnd w:id="7"/>
    </w:p>
    <w:bookmarkEnd w:id="5"/>
    <w:p>
      <w:pPr>
        <w:adjustRightInd w:val="0"/>
        <w:snapToGrid w:val="0"/>
        <w:spacing w:line="360" w:lineRule="auto"/>
        <w:jc w:val="center"/>
        <w:outlineLvl w:val="0"/>
        <w:rPr>
          <w:rFonts w:hint="eastAsia" w:ascii="华文中宋" w:hAnsi="华文中宋" w:eastAsia="华文中宋" w:cs="华文中宋"/>
          <w:b/>
          <w:bCs/>
          <w:color w:val="auto"/>
          <w:sz w:val="72"/>
          <w:szCs w:val="72"/>
        </w:rPr>
      </w:pPr>
      <w:bookmarkStart w:id="8" w:name="_Toc11658"/>
      <w:bookmarkStart w:id="9" w:name="_Toc4077"/>
      <w:bookmarkStart w:id="10" w:name="_Toc15377426"/>
      <w:bookmarkStart w:id="11" w:name="_Toc15377194"/>
      <w:bookmarkStart w:id="12" w:name="_Toc15396598"/>
      <w:bookmarkStart w:id="13" w:name="_Toc15378442"/>
      <w:bookmarkStart w:id="14" w:name="_Toc15396476"/>
      <w:bookmarkStart w:id="15" w:name="_Toc15306268"/>
      <w:r>
        <w:rPr>
          <w:rFonts w:hint="eastAsia" w:ascii="华文中宋" w:hAnsi="华文中宋" w:eastAsia="华文中宋" w:cs="华文中宋"/>
          <w:b/>
          <w:bCs/>
          <w:color w:val="auto"/>
          <w:sz w:val="72"/>
          <w:szCs w:val="72"/>
        </w:rPr>
        <w:t>剑阁县住房和城乡建设局</w:t>
      </w:r>
      <w:bookmarkEnd w:id="8"/>
      <w:bookmarkEnd w:id="9"/>
    </w:p>
    <w:p>
      <w:pPr>
        <w:keepNext w:val="0"/>
        <w:keepLines w:val="0"/>
        <w:widowControl/>
        <w:suppressLineNumbers w:val="0"/>
        <w:jc w:val="center"/>
        <w:rPr>
          <w:rFonts w:hint="eastAsia" w:ascii="仿宋_GB2312" w:hAnsi="仿宋_GB2312" w:eastAsia="仿宋_GB2312" w:cs="仿宋_GB2312"/>
          <w:b/>
          <w:bCs/>
          <w:color w:val="auto"/>
          <w:sz w:val="72"/>
          <w:szCs w:val="72"/>
        </w:rPr>
      </w:pPr>
      <w:r>
        <w:rPr>
          <w:rFonts w:hint="eastAsia" w:ascii="华文中宋" w:hAnsi="华文中宋" w:eastAsia="华文中宋" w:cs="华文中宋"/>
          <w:b/>
          <w:bCs/>
          <w:color w:val="auto"/>
          <w:sz w:val="72"/>
          <w:szCs w:val="72"/>
          <w:lang w:eastAsia="zh-CN"/>
        </w:rPr>
        <w:t>单位</w:t>
      </w:r>
      <w:r>
        <w:rPr>
          <w:rFonts w:hint="eastAsia" w:ascii="华文中宋" w:hAnsi="华文中宋" w:eastAsia="华文中宋" w:cs="华文中宋"/>
          <w:b/>
          <w:bCs/>
          <w:color w:val="auto"/>
          <w:sz w:val="72"/>
          <w:szCs w:val="72"/>
        </w:rPr>
        <w:t>决算</w:t>
      </w:r>
      <w:bookmarkEnd w:id="10"/>
      <w:bookmarkEnd w:id="11"/>
      <w:bookmarkEnd w:id="12"/>
      <w:bookmarkEnd w:id="13"/>
      <w:bookmarkEnd w:id="14"/>
      <w:bookmarkEnd w:id="15"/>
    </w:p>
    <w:p>
      <w:pPr>
        <w:adjustRightInd w:val="0"/>
        <w:snapToGrid w:val="0"/>
        <w:spacing w:line="360" w:lineRule="auto"/>
        <w:jc w:val="center"/>
        <w:outlineLvl w:val="9"/>
        <w:rPr>
          <w:rFonts w:hint="eastAsia" w:ascii="仿宋_GB2312" w:hAnsi="仿宋_GB2312" w:eastAsia="仿宋_GB2312" w:cs="仿宋_GB2312"/>
          <w:b w:val="0"/>
          <w:bCs w:val="0"/>
          <w:color w:val="auto"/>
          <w:sz w:val="72"/>
          <w:szCs w:val="72"/>
        </w:rPr>
      </w:pPr>
    </w:p>
    <w:p>
      <w:pPr>
        <w:widowControl/>
        <w:jc w:val="center"/>
        <w:rPr>
          <w:rFonts w:hint="eastAsia" w:ascii="仿宋_GB2312" w:hAnsi="仿宋_GB2312" w:eastAsia="仿宋_GB2312" w:cs="仿宋_GB2312"/>
          <w:b w:val="0"/>
          <w:bCs w:val="0"/>
          <w:color w:val="auto"/>
          <w:sz w:val="48"/>
          <w:szCs w:val="48"/>
        </w:rPr>
      </w:pPr>
      <w:r>
        <w:rPr>
          <w:rFonts w:hint="eastAsia" w:ascii="仿宋_GB2312" w:hAnsi="仿宋_GB2312" w:eastAsia="仿宋_GB2312" w:cs="仿宋_GB2312"/>
          <w:b w:val="0"/>
          <w:bCs w:val="0"/>
          <w:color w:val="auto"/>
          <w:sz w:val="36"/>
          <w:szCs w:val="36"/>
        </w:rPr>
        <w:br w:type="page"/>
      </w:r>
      <w:r>
        <w:rPr>
          <w:rFonts w:hint="eastAsia" w:ascii="黑体" w:hAnsi="黑体" w:eastAsia="黑体" w:cs="黑体"/>
          <w:b w:val="0"/>
          <w:bCs w:val="0"/>
          <w:color w:val="auto"/>
          <w:sz w:val="48"/>
          <w:szCs w:val="48"/>
        </w:rPr>
        <w:t>目</w:t>
      </w:r>
      <w:r>
        <w:rPr>
          <w:rFonts w:hint="eastAsia" w:ascii="黑体" w:hAnsi="黑体" w:eastAsia="黑体" w:cs="黑体"/>
          <w:b w:val="0"/>
          <w:bCs w:val="0"/>
          <w:color w:val="auto"/>
          <w:sz w:val="48"/>
          <w:szCs w:val="48"/>
          <w:lang w:val="en-US" w:eastAsia="zh-CN"/>
        </w:rPr>
        <w:t xml:space="preserve">   </w:t>
      </w:r>
      <w:r>
        <w:rPr>
          <w:rFonts w:hint="eastAsia" w:ascii="黑体" w:hAnsi="黑体" w:eastAsia="黑体" w:cs="黑体"/>
          <w:b w:val="0"/>
          <w:bCs w:val="0"/>
          <w:color w:val="auto"/>
          <w:sz w:val="48"/>
          <w:szCs w:val="48"/>
        </w:rPr>
        <w:t>录</w:t>
      </w:r>
    </w:p>
    <w:p>
      <w:pPr>
        <w:pStyle w:val="13"/>
      </w:pPr>
      <w:r>
        <w:rPr>
          <w:rFonts w:hint="eastAsia"/>
        </w:rPr>
        <w:t>公开时间：2023年10月1</w:t>
      </w:r>
      <w:r>
        <w:rPr>
          <w:rFonts w:hint="eastAsia"/>
          <w:lang w:val="en-US" w:eastAsia="zh-CN"/>
        </w:rPr>
        <w:t>6</w:t>
      </w:r>
      <w:r>
        <w:rPr>
          <w:rFonts w:hint="eastAsia"/>
        </w:rPr>
        <w:t>日</w:t>
      </w:r>
    </w:p>
    <w:p>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4"/>
        <w:adjustRightInd w:val="0"/>
        <w:snapToGrid w:val="0"/>
        <w:spacing w:line="440" w:lineRule="exact"/>
        <w:jc w:val="left"/>
        <w:rPr>
          <w:sz w:val="24"/>
        </w:rPr>
      </w:pPr>
      <w:r>
        <w:rPr>
          <w:rFonts w:hint="eastAsia"/>
          <w:sz w:val="24"/>
        </w:rPr>
        <w:t>一、主要职责及重点</w:t>
      </w:r>
      <w:r>
        <w:rPr>
          <w:sz w:val="24"/>
        </w:rPr>
        <w:t>工作</w:t>
      </w:r>
    </w:p>
    <w:p>
      <w:pPr>
        <w:pStyle w:val="14"/>
        <w:adjustRightInd w:val="0"/>
        <w:snapToGrid w:val="0"/>
        <w:spacing w:line="440" w:lineRule="exact"/>
        <w:jc w:val="left"/>
        <w:rPr>
          <w:sz w:val="24"/>
        </w:rPr>
      </w:pPr>
      <w:r>
        <w:rPr>
          <w:rFonts w:hint="eastAsia"/>
          <w:sz w:val="24"/>
        </w:rPr>
        <w:t>（一）单位</w:t>
      </w:r>
      <w:r>
        <w:rPr>
          <w:sz w:val="24"/>
        </w:rPr>
        <w:t>职责</w:t>
      </w:r>
    </w:p>
    <w:p>
      <w:pPr>
        <w:pStyle w:val="14"/>
        <w:adjustRightInd w:val="0"/>
        <w:snapToGrid w:val="0"/>
        <w:spacing w:line="440" w:lineRule="exact"/>
        <w:jc w:val="left"/>
        <w:rPr>
          <w:b/>
          <w:bCs/>
          <w:sz w:val="24"/>
        </w:rPr>
      </w:pPr>
      <w:r>
        <w:rPr>
          <w:rFonts w:hint="eastAsia"/>
          <w:sz w:val="24"/>
        </w:rPr>
        <w:t>（二）2022年重点工作完成情况</w:t>
      </w:r>
    </w:p>
    <w:p>
      <w:pPr>
        <w:pStyle w:val="14"/>
        <w:adjustRightInd w:val="0"/>
        <w:snapToGrid w:val="0"/>
        <w:spacing w:line="440" w:lineRule="exact"/>
        <w:jc w:val="left"/>
        <w:rPr>
          <w:sz w:val="24"/>
        </w:rPr>
      </w:pPr>
      <w:r>
        <w:rPr>
          <w:rFonts w:hint="eastAsia"/>
          <w:sz w:val="24"/>
        </w:rPr>
        <w:t>二、机构设置</w:t>
      </w:r>
    </w:p>
    <w:p>
      <w:pPr>
        <w:pStyle w:val="13"/>
        <w:adjustRightInd w:val="0"/>
        <w:snapToGrid w:val="0"/>
        <w:spacing w:before="0" w:line="440" w:lineRule="exact"/>
        <w:jc w:val="left"/>
        <w:rPr>
          <w:sz w:val="24"/>
          <w:szCs w:val="24"/>
        </w:rPr>
      </w:pPr>
      <w:r>
        <w:rPr>
          <w:rFonts w:hint="eastAsia"/>
          <w:sz w:val="24"/>
        </w:rPr>
        <w:t>第二部分 2022年度单位决算情况说明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4"/>
        <w:adjustRightInd w:val="0"/>
        <w:snapToGrid w:val="0"/>
        <w:spacing w:line="440" w:lineRule="exact"/>
        <w:jc w:val="left"/>
        <w:rPr>
          <w:sz w:val="24"/>
        </w:rPr>
      </w:pPr>
      <w:r>
        <w:rPr>
          <w:rFonts w:hint="eastAsia"/>
          <w:sz w:val="24"/>
        </w:rPr>
        <w:t>九、国有资本经营预算支出决算情况说明</w:t>
      </w:r>
    </w:p>
    <w:p>
      <w:pPr>
        <w:pStyle w:val="14"/>
        <w:adjustRightInd w:val="0"/>
        <w:snapToGrid w:val="0"/>
        <w:spacing w:line="440" w:lineRule="exact"/>
        <w:jc w:val="left"/>
        <w:rPr>
          <w:sz w:val="24"/>
        </w:rPr>
      </w:pPr>
      <w:r>
        <w:rPr>
          <w:rFonts w:hint="eastAsia"/>
          <w:sz w:val="24"/>
        </w:rPr>
        <w:t>十、其他重要事项的情况说明</w:t>
      </w:r>
    </w:p>
    <w:p>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4"/>
        <w:adjustRightInd w:val="0"/>
        <w:snapToGrid w:val="0"/>
        <w:spacing w:line="440" w:lineRule="exact"/>
        <w:jc w:val="left"/>
        <w:rPr>
          <w:sz w:val="24"/>
        </w:rPr>
      </w:pPr>
      <w:r>
        <w:rPr>
          <w:rFonts w:hint="eastAsia"/>
          <w:sz w:val="24"/>
        </w:rPr>
        <w:t>一、收入支出决算总表</w:t>
      </w:r>
    </w:p>
    <w:p>
      <w:pPr>
        <w:pStyle w:val="14"/>
        <w:adjustRightInd w:val="0"/>
        <w:snapToGrid w:val="0"/>
        <w:spacing w:line="440" w:lineRule="exact"/>
        <w:jc w:val="left"/>
        <w:rPr>
          <w:sz w:val="24"/>
        </w:rPr>
      </w:pPr>
      <w:r>
        <w:rPr>
          <w:rFonts w:hint="eastAsia"/>
          <w:sz w:val="24"/>
        </w:rPr>
        <w:t>二、收入决算表</w:t>
      </w:r>
    </w:p>
    <w:p>
      <w:pPr>
        <w:pStyle w:val="14"/>
        <w:adjustRightInd w:val="0"/>
        <w:snapToGrid w:val="0"/>
        <w:spacing w:line="440" w:lineRule="exact"/>
        <w:jc w:val="left"/>
        <w:rPr>
          <w:sz w:val="24"/>
        </w:rPr>
      </w:pPr>
      <w:r>
        <w:rPr>
          <w:rFonts w:hint="eastAsia"/>
          <w:sz w:val="24"/>
        </w:rPr>
        <w:t>三、支出决算表</w:t>
      </w:r>
    </w:p>
    <w:p>
      <w:pPr>
        <w:pStyle w:val="14"/>
        <w:adjustRightInd w:val="0"/>
        <w:snapToGrid w:val="0"/>
        <w:spacing w:line="440" w:lineRule="exact"/>
        <w:jc w:val="left"/>
        <w:rPr>
          <w:sz w:val="24"/>
        </w:rPr>
      </w:pPr>
      <w:r>
        <w:rPr>
          <w:rFonts w:hint="eastAsia"/>
          <w:sz w:val="24"/>
        </w:rPr>
        <w:t>四、财政拨款收入支出决算总表</w:t>
      </w:r>
    </w:p>
    <w:p>
      <w:pPr>
        <w:pStyle w:val="14"/>
        <w:adjustRightInd w:val="0"/>
        <w:snapToGrid w:val="0"/>
        <w:spacing w:line="440" w:lineRule="exact"/>
        <w:jc w:val="left"/>
        <w:rPr>
          <w:sz w:val="24"/>
        </w:rPr>
      </w:pPr>
      <w:r>
        <w:rPr>
          <w:rFonts w:hint="eastAsia"/>
          <w:sz w:val="24"/>
        </w:rPr>
        <w:t>五、财政拨款支出决算明细表</w:t>
      </w:r>
    </w:p>
    <w:p>
      <w:pPr>
        <w:pStyle w:val="14"/>
        <w:adjustRightInd w:val="0"/>
        <w:snapToGrid w:val="0"/>
        <w:spacing w:line="440" w:lineRule="exact"/>
        <w:jc w:val="left"/>
        <w:rPr>
          <w:sz w:val="24"/>
        </w:rPr>
      </w:pPr>
      <w:r>
        <w:rPr>
          <w:rFonts w:hint="eastAsia"/>
          <w:sz w:val="24"/>
        </w:rPr>
        <w:t>六、一般公共预算财政拨款支出决算表</w:t>
      </w:r>
    </w:p>
    <w:p>
      <w:pPr>
        <w:pStyle w:val="14"/>
        <w:adjustRightInd w:val="0"/>
        <w:snapToGrid w:val="0"/>
        <w:spacing w:line="440" w:lineRule="exact"/>
        <w:jc w:val="left"/>
        <w:rPr>
          <w:sz w:val="24"/>
        </w:rPr>
      </w:pPr>
      <w:r>
        <w:rPr>
          <w:rFonts w:hint="eastAsia"/>
          <w:sz w:val="24"/>
        </w:rPr>
        <w:t>七、一般公共预算财政拨款支出决算明细表</w:t>
      </w:r>
    </w:p>
    <w:p>
      <w:pPr>
        <w:pStyle w:val="14"/>
        <w:adjustRightInd w:val="0"/>
        <w:snapToGrid w:val="0"/>
        <w:spacing w:line="440" w:lineRule="exact"/>
        <w:jc w:val="left"/>
        <w:rPr>
          <w:sz w:val="24"/>
        </w:rPr>
      </w:pPr>
      <w:r>
        <w:rPr>
          <w:rFonts w:hint="eastAsia"/>
          <w:sz w:val="24"/>
        </w:rPr>
        <w:t>八、一般公共预算财政拨款基本支出决算明细表</w:t>
      </w:r>
    </w:p>
    <w:p>
      <w:pPr>
        <w:pStyle w:val="14"/>
        <w:adjustRightInd w:val="0"/>
        <w:snapToGrid w:val="0"/>
        <w:spacing w:line="440" w:lineRule="exact"/>
        <w:jc w:val="left"/>
        <w:rPr>
          <w:sz w:val="24"/>
        </w:rPr>
      </w:pPr>
      <w:r>
        <w:rPr>
          <w:rFonts w:hint="eastAsia"/>
          <w:sz w:val="24"/>
        </w:rPr>
        <w:t>九、一般公共预算财政拨款项目支出决算表</w:t>
      </w:r>
    </w:p>
    <w:p>
      <w:pPr>
        <w:pStyle w:val="14"/>
        <w:adjustRightInd w:val="0"/>
        <w:snapToGrid w:val="0"/>
        <w:spacing w:line="440" w:lineRule="exact"/>
        <w:jc w:val="left"/>
        <w:rPr>
          <w:sz w:val="24"/>
        </w:rPr>
      </w:pPr>
      <w:r>
        <w:rPr>
          <w:rFonts w:hint="eastAsia"/>
          <w:sz w:val="24"/>
        </w:rPr>
        <w:t>十、政府性基金预算财政拨款收入支出决算表</w:t>
      </w:r>
    </w:p>
    <w:p>
      <w:pPr>
        <w:pStyle w:val="14"/>
        <w:adjustRightInd w:val="0"/>
        <w:snapToGrid w:val="0"/>
        <w:spacing w:line="440" w:lineRule="exact"/>
        <w:jc w:val="left"/>
        <w:rPr>
          <w:sz w:val="24"/>
        </w:rPr>
      </w:pPr>
      <w:r>
        <w:rPr>
          <w:rFonts w:hint="eastAsia"/>
          <w:sz w:val="24"/>
        </w:rPr>
        <w:t>十一、国有资本经营预算财政拨款收入支出决算表</w:t>
      </w:r>
    </w:p>
    <w:p>
      <w:pPr>
        <w:pStyle w:val="14"/>
        <w:adjustRightInd w:val="0"/>
        <w:snapToGrid w:val="0"/>
        <w:spacing w:line="440" w:lineRule="exact"/>
        <w:jc w:val="left"/>
        <w:rPr>
          <w:sz w:val="24"/>
        </w:rPr>
      </w:pPr>
      <w:r>
        <w:rPr>
          <w:rFonts w:hint="eastAsia"/>
          <w:sz w:val="24"/>
        </w:rPr>
        <w:t>十二、国有资本经营预算财政拨款支出决算表</w:t>
      </w:r>
    </w:p>
    <w:p>
      <w:pPr>
        <w:pStyle w:val="14"/>
        <w:adjustRightInd w:val="0"/>
        <w:snapToGrid w:val="0"/>
        <w:spacing w:line="440" w:lineRule="exact"/>
        <w:jc w:val="left"/>
        <w:rPr>
          <w:sz w:val="24"/>
        </w:rPr>
      </w:pPr>
      <w:r>
        <w:rPr>
          <w:rFonts w:hint="eastAsia"/>
          <w:sz w:val="24"/>
        </w:rPr>
        <w:t>十三、财政拨款“三公”经费支出决算表</w:t>
      </w:r>
    </w:p>
    <w:p>
      <w:pPr>
        <w:widowControl/>
        <w:jc w:val="both"/>
        <w:rPr>
          <w:rFonts w:hint="eastAsia" w:ascii="仿宋_GB2312" w:hAnsi="仿宋_GB2312" w:eastAsia="仿宋_GB2312" w:cs="仿宋_GB2312"/>
          <w:b w:val="0"/>
          <w:bCs w:val="0"/>
          <w:color w:val="auto"/>
          <w:sz w:val="28"/>
          <w:szCs w:val="28"/>
        </w:rPr>
      </w:pPr>
    </w:p>
    <w:p>
      <w:pPr>
        <w:rPr>
          <w:rFonts w:hint="eastAsia" w:ascii="仿宋_GB2312" w:hAnsi="仿宋_GB2312" w:eastAsia="仿宋_GB2312" w:cs="仿宋_GB2312"/>
          <w:b w:val="0"/>
          <w:bCs w:val="0"/>
          <w:color w:val="auto"/>
        </w:rPr>
      </w:pPr>
    </w:p>
    <w:sdt>
      <w:sdtPr>
        <w:rPr>
          <w:rFonts w:ascii="宋体" w:hAnsi="宋体" w:eastAsia="宋体" w:cs="Times New Roman"/>
          <w:kern w:val="2"/>
          <w:sz w:val="21"/>
          <w:szCs w:val="24"/>
          <w:lang w:val="en-US" w:eastAsia="zh-CN" w:bidi="ar-SA"/>
        </w:rPr>
        <w:id w:val="147470669"/>
        <w15:color w:val="DBDBDB"/>
        <w:docPartObj>
          <w:docPartGallery w:val="Table of Contents"/>
          <w:docPartUnique/>
        </w:docPartObj>
      </w:sdtPr>
      <w:sdtEndPr>
        <w:rPr>
          <w:rFonts w:ascii="宋体" w:hAnsi="宋体" w:eastAsia="宋体" w:cs="Times New Roman"/>
          <w:b/>
          <w:kern w:val="2"/>
          <w:sz w:val="21"/>
          <w:szCs w:val="24"/>
          <w:lang w:val="en-US" w:eastAsia="zh-CN" w:bidi="ar-SA"/>
          <w14:textFill>
            <w14:gradFill>
              <w14:gsLst>
                <w14:gs w14:pos="0">
                  <w14:srgbClr w14:val="FE4444"/>
                </w14:gs>
                <w14:gs w14:pos="100000">
                  <w14:srgbClr w14:val="832B2B"/>
                </w14:gs>
              </w14:gsLst>
              <w14:lin w14:scaled="0"/>
            </w14:gradFill>
          </w14:textFill>
        </w:rPr>
      </w:sdtEndPr>
      <w:sdtContent>
        <w:p>
          <w:pPr>
            <w:spacing w:before="0" w:beforeLines="0" w:after="0" w:afterLines="0" w:line="240" w:lineRule="auto"/>
            <w:ind w:left="0" w:leftChars="0" w:right="0" w:rightChars="0" w:firstLine="0" w:firstLineChars="0"/>
            <w:jc w:val="center"/>
            <w:rPr>
              <w:b/>
              <w14:textFill>
                <w14:gradFill>
                  <w14:gsLst>
                    <w14:gs w14:pos="0">
                      <w14:srgbClr w14:val="FE4444"/>
                    </w14:gs>
                    <w14:gs w14:pos="100000">
                      <w14:srgbClr w14:val="832B2B"/>
                    </w14:gs>
                  </w14:gsLst>
                  <w14:lin w14:scaled="0"/>
                </w14:gradFill>
              </w14:textFill>
            </w:rPr>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sdtContent>
    </w:sdt>
    <w:p>
      <w:pPr>
        <w:pStyle w:val="4"/>
        <w:jc w:val="center"/>
        <w:rPr>
          <w:rStyle w:val="28"/>
          <w:rFonts w:hint="eastAsia" w:ascii="仿宋_GB2312" w:hAnsi="仿宋_GB2312" w:eastAsia="仿宋_GB2312" w:cs="仿宋_GB2312"/>
          <w:b w:val="0"/>
          <w:bCs w:val="0"/>
          <w:color w:val="auto"/>
          <w:sz w:val="40"/>
          <w:szCs w:val="40"/>
        </w:rPr>
      </w:pPr>
      <w:bookmarkStart w:id="16" w:name="_Toc15396599"/>
      <w:bookmarkStart w:id="17" w:name="_Toc13408"/>
      <w:bookmarkStart w:id="18" w:name="_Toc15377196"/>
      <w:r>
        <w:rPr>
          <w:rFonts w:hint="eastAsia" w:ascii="黑体" w:hAnsi="黑体" w:eastAsia="黑体" w:cs="黑体"/>
          <w:b w:val="0"/>
          <w:bCs w:val="0"/>
          <w:color w:val="auto"/>
          <w:sz w:val="40"/>
          <w:szCs w:val="40"/>
        </w:rPr>
        <w:t xml:space="preserve">第一部分 </w:t>
      </w:r>
      <w:r>
        <w:rPr>
          <w:rStyle w:val="28"/>
          <w:rFonts w:hint="eastAsia" w:ascii="黑体" w:hAnsi="黑体" w:eastAsia="黑体" w:cs="黑体"/>
          <w:b w:val="0"/>
          <w:bCs w:val="0"/>
          <w:color w:val="auto"/>
          <w:sz w:val="40"/>
          <w:szCs w:val="40"/>
        </w:rPr>
        <w:t>单位概况</w:t>
      </w:r>
      <w:bookmarkEnd w:id="16"/>
      <w:bookmarkEnd w:id="17"/>
      <w:bookmarkEnd w:id="18"/>
    </w:p>
    <w:p>
      <w:pPr>
        <w:widowControl/>
        <w:jc w:val="left"/>
        <w:rPr>
          <w:rFonts w:hint="eastAsia" w:ascii="仿宋_GB2312" w:hAnsi="仿宋_GB2312" w:eastAsia="仿宋_GB2312" w:cs="仿宋_GB2312"/>
          <w:b w:val="0"/>
          <w:bCs w:val="0"/>
          <w:color w:val="auto"/>
          <w:sz w:val="32"/>
          <w:szCs w:val="32"/>
        </w:rPr>
      </w:pPr>
    </w:p>
    <w:p>
      <w:pPr>
        <w:pStyle w:val="5"/>
        <w:numPr>
          <w:ilvl w:val="0"/>
          <w:numId w:val="1"/>
        </w:numPr>
        <w:rPr>
          <w:rStyle w:val="37"/>
          <w:rFonts w:ascii="黑体" w:hAnsi="黑体" w:eastAsia="黑体"/>
          <w:b w:val="0"/>
          <w:bCs w:val="0"/>
        </w:rPr>
      </w:pPr>
      <w:bookmarkStart w:id="19" w:name="_Toc15377198"/>
      <w:bookmarkStart w:id="20" w:name="_Toc15378445"/>
      <w:r>
        <w:rPr>
          <w:rStyle w:val="37"/>
          <w:rFonts w:hint="eastAsia" w:ascii="黑体" w:hAnsi="黑体" w:eastAsia="黑体"/>
          <w:b w:val="0"/>
          <w:bCs w:val="0"/>
        </w:rPr>
        <w:t>主要职责及重点工作</w:t>
      </w:r>
    </w:p>
    <w:p>
      <w:pPr>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auto"/>
          <w:sz w:val="32"/>
          <w:szCs w:val="32"/>
        </w:rPr>
        <w:t>（一）主要</w:t>
      </w:r>
      <w:bookmarkEnd w:id="19"/>
      <w:bookmarkEnd w:id="20"/>
      <w:bookmarkStart w:id="21" w:name="_Toc15377199"/>
      <w:bookmarkStart w:id="22" w:name="_Toc15378446"/>
      <w:r>
        <w:rPr>
          <w:rFonts w:hint="eastAsia" w:ascii="仿宋_GB2312" w:hAnsi="仿宋_GB2312" w:eastAsia="仿宋_GB2312" w:cs="仿宋_GB2312"/>
          <w:b/>
          <w:bCs/>
          <w:color w:val="auto"/>
          <w:sz w:val="32"/>
          <w:szCs w:val="32"/>
          <w:lang w:eastAsia="zh-CN"/>
        </w:rPr>
        <w:t>职责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贯彻执行国家住房和城乡建设的法律、法规和方针、政策。研究拟订全县住房保障、</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"http://baike.so.com/doc/6117178.html"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工程建设</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"http://baike.so.com/doc/5414331.html"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城市建设</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、村镇建设、建筑业、房屋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"http://baike.so.com/doc/5338327.html"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装饰装修</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业、住宅与房地产业、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"http://baike.so.com/doc/5350465.html"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勘察设计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咨询业、市政公用事业的政策措施，负责本系统、本部门依法行政工作，落实</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"http://baike.so.com/doc/359522.html"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行政执法</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责任制。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承担推进住房制度改革、保障城镇中低收入家庭住房的责任。拟订全</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住房及住房保障相关政策并指导实施，指导住房建设和住房制度改革。拟订廉租住房规划及政策，会同有关部门做好国家、省、市有关保障性安居工程资金安排并监督组织实施。编制住房保障发展规划和年度计划并监督实施。</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组织实施工程建设实施阶段国家和省标准、全国统一定额和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"http://baike.so.com/doc/1587706.html"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行业标准</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定额。指导监督各类工程建设标准定额的实施和工程造价计价，组织发布工程造价信息。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承担规范</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"http://baike.so.com/doc/6216633.html"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房地产市场</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秩序、监督管理房地产市场的责任。指导城镇</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"http://baike.so.com/doc/5397946.html"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土地使用权</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有偿转让和开发利用工作，拟订房地产业的行业发展规划和产业政策，制定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"http://baike.so.com/doc/2159303.html"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房地产开发</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、房屋权属管理、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"http://baike.so.com/doc/6224045.html"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房屋租赁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、房屋面积管理、危房鉴定、白蚁防治、房地产估价与经纪管理、物业管理、国有土地上房屋征收与补偿的制度规定并监督执行。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承担监督管理建筑市场、规范市场各方主体行为的责任。综合管理和指导全市建筑活动，拟订工程建设、建筑业及装饰装修业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"http://baike.so.com/doc/5570001.html"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发展战略</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、中长期规划、改革方案、产业政策、制度规定并监督执行。组织实施房屋和市政工程项目招标投标活动的监督执法，拟订</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"http://baike.so.com/doc/6757751.html"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建设工程</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施工、监理以及规范建筑市场各方主体行为的制度规定并监督执行。负责建筑工程质量安全的监督管理工作，拟订建筑工程质量、建筑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"http://baike.so.com/doc/4474135.html"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安全生产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"http://baike.so.com/doc/5429973.html"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竣工验收</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备案的政策、制度规定并监督执行，组织或参与工程重大质量、</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"http://baike.so.com/doc/668884.html"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安全事故</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的调查处理。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承担监督管理勘察设计咨询市场秩序和勘察设计咨询质量的责任。拟订工程勘察设计咨询业的发展战略、中长期规划、改革方案、产业和技术政策、制度规定并组织实施。指导建设工程抗震设防工作，组织编制并实施房屋建筑和市政设施抗震技术地方规范和标准图集，组织开展城市建筑物抗震性能普查、鉴定加固和改造工作，指导村镇和农村建设抗震工作，指导和组织灾后恢复重建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承担指导城镇建设管理的责任。拟订城镇建设的政策、规划并组织实施，指导城镇燃气和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"http://baike.so.com/doc/3368241.html"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垃圾处理</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等市政公用设施的建设管理，指导城镇市容环境综合整治、城建监察工作，指导城镇防汛排涝工作，指导城镇建设档案管理工作。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承担规范和指导村镇建设的责任。指导村镇规划编制、农村住房建设管理和危房改造，拟订村庄和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"http://baike.so.com/doc/5401769.html"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小城镇建设</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政策并指导实施，指导小城镇和村庄人居生态环境的改善工作，指导和组织各类村镇建设试点工作，指导受灾村镇及国家大型重点建设项目地区村镇迁建、重建的规划建设和管理工作。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组织指导城镇园林绿化工作。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承担推进</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"http://baike.so.com/doc/5406618.html"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建筑节能</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城镇减排的责任。会同有关部门拟订建筑节能政策、规划并监督实施，组织实施重大建筑节能项目，推进城镇减排。组织实施重点科技项目的研究开发及成果转化工作，承担推进墙体材料革新的责任。负责组织实施散装水泥的推广工作。</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承担贯彻执行县政府非经营性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"http://baike.so.com/doc/1263493.html"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投资项目</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“代建制”的</w:t>
      </w:r>
      <w:r>
        <w:rPr>
          <w:rFonts w:hint="eastAsia" w:ascii="仿宋_GB2312" w:hAnsi="仿宋_GB2312" w:eastAsia="仿宋_GB2312" w:cs="仿宋_GB2312"/>
          <w:sz w:val="28"/>
          <w:szCs w:val="28"/>
          <w:lang w:eastAsia="zh-CN"/>
        </w:rPr>
        <w:t>责任。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制定城乡规划建设和住房行业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"http://baike.so.com/doc/5023917.html"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人才培养</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、教育发展规划并组织实施，指导城乡规划建设和住房行业科技人才队伍建设、</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"http://baike.so.com/doc/198893.html"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专业技术职务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评审和执业资格管理工作。指导监督住房和城乡建设</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"http://baike.so.com/doc/6278619.html"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行业协会</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、学会工作。开展住房和城乡建设方面的国际交流与合作，制定城乡规划建设和住房行业的科技发展规划和技术经济政策。</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管理城乡规划建设住房行业的对外经济技术合作，指导企事业单位开拓县内外建筑市场和房地产市场，组织协调住房和建设企业开展对外</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"http://baike.so.com/doc/1139883.html" \t "http://baike.so.com/doc/_blank"</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工程承包</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、建筑劳务合作。</w:t>
      </w:r>
    </w:p>
    <w:p>
      <w:pPr>
        <w:pStyle w:val="8"/>
        <w:adjustRightInd w:val="0"/>
        <w:snapToGrid w:val="0"/>
        <w:spacing w:before="93" w:line="600" w:lineRule="exact"/>
        <w:ind w:firstLine="675" w:firstLineChars="21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（二）202</w:t>
      </w:r>
      <w:r>
        <w:rPr>
          <w:rFonts w:hint="eastAsia"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年重点工作完成情况</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lang w:eastAsia="zh-CN"/>
        </w:rPr>
      </w:pPr>
      <w:bookmarkStart w:id="23" w:name="_Toc15396601"/>
      <w:bookmarkStart w:id="24" w:name="_Toc15377200"/>
      <w:bookmarkStart w:id="25" w:name="_Toc22707"/>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行业</w:t>
      </w:r>
      <w:r>
        <w:rPr>
          <w:rFonts w:hint="eastAsia" w:asciiTheme="majorEastAsia" w:hAnsiTheme="majorEastAsia" w:eastAsiaTheme="majorEastAsia"/>
          <w:b/>
          <w:sz w:val="32"/>
          <w:szCs w:val="32"/>
          <w:lang w:eastAsia="zh-CN"/>
        </w:rPr>
        <w:t>主要经济</w:t>
      </w:r>
      <w:r>
        <w:rPr>
          <w:rFonts w:hint="eastAsia" w:asciiTheme="majorEastAsia" w:hAnsiTheme="majorEastAsia" w:eastAsiaTheme="majorEastAsia"/>
          <w:b/>
          <w:sz w:val="32"/>
          <w:szCs w:val="32"/>
        </w:rPr>
        <w:t>指标</w:t>
      </w:r>
      <w:r>
        <w:rPr>
          <w:rFonts w:hint="eastAsia" w:asciiTheme="majorEastAsia" w:hAnsiTheme="majorEastAsia" w:eastAsiaTheme="majorEastAsia"/>
          <w:b/>
          <w:sz w:val="32"/>
          <w:szCs w:val="32"/>
          <w:lang w:eastAsia="zh-CN"/>
        </w:rPr>
        <w:t>持续</w:t>
      </w:r>
      <w:r>
        <w:rPr>
          <w:rFonts w:hint="eastAsia" w:asciiTheme="majorEastAsia" w:hAnsiTheme="majorEastAsia" w:eastAsiaTheme="majorEastAsia"/>
          <w:b/>
          <w:sz w:val="32"/>
          <w:szCs w:val="32"/>
        </w:rPr>
        <w:t>向好。</w:t>
      </w:r>
      <w:r>
        <w:rPr>
          <w:rFonts w:hint="eastAsia" w:ascii="仿宋_GB2312" w:eastAsia="仿宋_GB2312"/>
          <w:sz w:val="32"/>
          <w:szCs w:val="32"/>
          <w:lang w:val="en-US" w:eastAsia="zh-CN"/>
        </w:rPr>
        <w:t>1-11月完成固定资产投资任务10.1亿元，现在库项目12个，年内可调度投资2.3亿元，全年可完成固定资产投资12.5亿元。</w:t>
      </w:r>
      <w:r>
        <w:rPr>
          <w:rFonts w:hint="eastAsia" w:ascii="仿宋_GB2312" w:eastAsia="仿宋_GB2312" w:cs="Times New Roman"/>
          <w:sz w:val="32"/>
          <w:szCs w:val="32"/>
          <w:lang w:val="en-US" w:eastAsia="zh-CN"/>
        </w:rPr>
        <w:t>前三季度累计完成建筑业产值15.67亿元，预计全年完成建筑业产值</w:t>
      </w:r>
      <w:r>
        <w:rPr>
          <w:rFonts w:hint="eastAsia" w:ascii="仿宋_GB2312" w:eastAsia="仿宋_GB2312"/>
          <w:sz w:val="32"/>
          <w:szCs w:val="32"/>
          <w:lang w:val="en-US" w:eastAsia="zh-CN"/>
        </w:rPr>
        <w:t>21亿元，实现增速11%，居全市第一位。</w:t>
      </w:r>
      <w:r>
        <w:rPr>
          <w:rFonts w:hint="eastAsia" w:ascii="仿宋" w:hAnsi="仿宋" w:eastAsia="仿宋" w:cs="仿宋"/>
          <w:b w:val="0"/>
          <w:bCs w:val="0"/>
          <w:sz w:val="32"/>
          <w:szCs w:val="32"/>
          <w:lang w:eastAsia="zh-CN"/>
        </w:rPr>
        <w:t>销售商品房面积</w:t>
      </w:r>
      <w:r>
        <w:rPr>
          <w:rFonts w:hint="eastAsia" w:ascii="仿宋" w:hAnsi="仿宋" w:eastAsia="仿宋" w:cs="仿宋"/>
          <w:b w:val="0"/>
          <w:bCs w:val="0"/>
          <w:sz w:val="32"/>
          <w:szCs w:val="32"/>
          <w:lang w:val="en-US" w:eastAsia="zh-CN"/>
        </w:rPr>
        <w:t>114948</w:t>
      </w:r>
      <w:r>
        <w:rPr>
          <w:rFonts w:hint="eastAsia" w:ascii="仿宋" w:hAnsi="仿宋" w:eastAsia="仿宋" w:cs="仿宋"/>
          <w:b w:val="0"/>
          <w:bCs w:val="0"/>
          <w:sz w:val="32"/>
          <w:szCs w:val="32"/>
          <w:lang w:eastAsia="zh-CN"/>
        </w:rPr>
        <w:t>平方米，同比增幅</w:t>
      </w:r>
      <w:r>
        <w:rPr>
          <w:rFonts w:hint="eastAsia" w:ascii="仿宋" w:hAnsi="仿宋" w:eastAsia="仿宋" w:cs="仿宋"/>
          <w:b w:val="0"/>
          <w:bCs w:val="0"/>
          <w:sz w:val="32"/>
          <w:szCs w:val="32"/>
          <w:lang w:val="en-US" w:eastAsia="zh-CN"/>
        </w:rPr>
        <w:t>-6.6.</w:t>
      </w:r>
      <w:r>
        <w:rPr>
          <w:rFonts w:hint="eastAsia" w:ascii="仿宋" w:hAnsi="仿宋" w:eastAsia="仿宋" w:cs="仿宋"/>
          <w:b w:val="0"/>
          <w:bCs w:val="0"/>
          <w:sz w:val="32"/>
          <w:szCs w:val="32"/>
          <w:lang w:eastAsia="zh-CN"/>
        </w:rPr>
        <w:t>%；房地产从业人员工资总额</w:t>
      </w:r>
      <w:r>
        <w:rPr>
          <w:rFonts w:hint="eastAsia" w:ascii="仿宋" w:hAnsi="仿宋" w:eastAsia="仿宋" w:cs="仿宋"/>
          <w:b w:val="0"/>
          <w:bCs w:val="0"/>
          <w:sz w:val="32"/>
          <w:szCs w:val="32"/>
          <w:lang w:val="en-US" w:eastAsia="zh-CN"/>
        </w:rPr>
        <w:t>1939.3</w:t>
      </w:r>
      <w:r>
        <w:rPr>
          <w:rFonts w:hint="eastAsia" w:ascii="仿宋" w:hAnsi="仿宋" w:eastAsia="仿宋" w:cs="仿宋"/>
          <w:b w:val="0"/>
          <w:bCs w:val="0"/>
          <w:sz w:val="32"/>
          <w:szCs w:val="32"/>
          <w:lang w:eastAsia="zh-CN"/>
        </w:rPr>
        <w:t>万元，同比增幅</w:t>
      </w:r>
      <w:r>
        <w:rPr>
          <w:rFonts w:hint="eastAsia" w:ascii="仿宋" w:hAnsi="仿宋" w:eastAsia="仿宋" w:cs="仿宋"/>
          <w:b w:val="0"/>
          <w:bCs w:val="0"/>
          <w:sz w:val="32"/>
          <w:szCs w:val="32"/>
          <w:lang w:val="en-US" w:eastAsia="zh-CN"/>
        </w:rPr>
        <w:t>34.3</w:t>
      </w:r>
      <w:r>
        <w:rPr>
          <w:rFonts w:hint="eastAsia" w:ascii="仿宋" w:hAnsi="仿宋" w:eastAsia="仿宋" w:cs="仿宋"/>
          <w:b w:val="0"/>
          <w:bCs w:val="0"/>
          <w:sz w:val="32"/>
          <w:szCs w:val="32"/>
          <w:lang w:eastAsia="zh-CN"/>
        </w:rPr>
        <w:t>%，超目标任务</w:t>
      </w:r>
      <w:r>
        <w:rPr>
          <w:rFonts w:hint="eastAsia" w:ascii="仿宋" w:hAnsi="仿宋" w:eastAsia="仿宋" w:cs="仿宋"/>
          <w:b w:val="0"/>
          <w:bCs w:val="0"/>
          <w:sz w:val="32"/>
          <w:szCs w:val="32"/>
          <w:lang w:val="en-US" w:eastAsia="zh-CN"/>
        </w:rPr>
        <w:t>9.3个百分点，居</w:t>
      </w:r>
      <w:r>
        <w:rPr>
          <w:rFonts w:hint="eastAsia" w:ascii="仿宋" w:hAnsi="仿宋" w:eastAsia="仿宋" w:cs="仿宋"/>
          <w:b w:val="0"/>
          <w:bCs w:val="0"/>
          <w:sz w:val="32"/>
          <w:szCs w:val="32"/>
          <w:lang w:eastAsia="zh-CN"/>
        </w:rPr>
        <w:t>全县服务业经济指标第一位。</w:t>
      </w:r>
      <w:r>
        <w:rPr>
          <w:rFonts w:hint="eastAsia" w:ascii="仿宋_GB2312" w:eastAsia="仿宋_GB2312"/>
          <w:sz w:val="32"/>
          <w:szCs w:val="32"/>
        </w:rPr>
        <w:t>全</w:t>
      </w:r>
      <w:r>
        <w:rPr>
          <w:rFonts w:hint="eastAsia" w:ascii="仿宋_GB2312" w:eastAsia="仿宋_GB2312"/>
          <w:sz w:val="32"/>
          <w:szCs w:val="32"/>
          <w:lang w:eastAsia="zh-CN"/>
        </w:rPr>
        <w:t>年</w:t>
      </w:r>
      <w:r>
        <w:rPr>
          <w:rFonts w:hint="eastAsia" w:ascii="仿宋_GB2312" w:eastAsia="仿宋_GB2312"/>
          <w:sz w:val="32"/>
          <w:szCs w:val="32"/>
        </w:rPr>
        <w:t>向上争取资金</w:t>
      </w:r>
      <w:r>
        <w:rPr>
          <w:rFonts w:hint="eastAsia" w:ascii="仿宋_GB2312" w:eastAsia="仿宋_GB2312"/>
          <w:sz w:val="32"/>
          <w:szCs w:val="32"/>
          <w:lang w:val="en-US" w:eastAsia="zh-CN"/>
        </w:rPr>
        <w:t>4.1</w:t>
      </w:r>
      <w:r>
        <w:rPr>
          <w:rFonts w:hint="eastAsia" w:ascii="仿宋_GB2312" w:eastAsia="仿宋_GB2312"/>
          <w:sz w:val="32"/>
          <w:szCs w:val="32"/>
        </w:rPr>
        <w:t>亿元</w:t>
      </w:r>
      <w:r>
        <w:rPr>
          <w:rFonts w:hint="eastAsia" w:ascii="仿宋_GB2312" w:eastAsia="仿宋_GB2312"/>
          <w:sz w:val="32"/>
          <w:szCs w:val="32"/>
          <w:lang w:eastAsia="zh-CN"/>
        </w:rPr>
        <w:t>，完成非税收入</w:t>
      </w:r>
      <w:r>
        <w:rPr>
          <w:rFonts w:hint="eastAsia" w:ascii="仿宋_GB2312" w:eastAsia="仿宋_GB2312"/>
          <w:sz w:val="32"/>
          <w:szCs w:val="32"/>
          <w:lang w:val="en-US" w:eastAsia="zh-CN"/>
        </w:rPr>
        <w:t>900万元</w:t>
      </w:r>
      <w:r>
        <w:rPr>
          <w:rFonts w:hint="eastAsia" w:ascii="仿宋_GB2312" w:eastAsia="仿宋_GB2312"/>
          <w:sz w:val="32"/>
          <w:szCs w:val="32"/>
        </w:rPr>
        <w:t>。</w:t>
      </w:r>
    </w:p>
    <w:p>
      <w:pPr>
        <w:pStyle w:val="8"/>
        <w:keepNext w:val="0"/>
        <w:keepLines w:val="0"/>
        <w:pageBreakBefore w:val="0"/>
        <w:widowControl w:val="0"/>
        <w:kinsoku/>
        <w:wordWrap/>
        <w:overflowPunct/>
        <w:topLinePunct w:val="0"/>
        <w:autoSpaceDE/>
        <w:autoSpaceDN/>
        <w:bidi w:val="0"/>
        <w:adjustRightInd/>
        <w:snapToGrid/>
        <w:spacing w:after="0" w:line="576" w:lineRule="exact"/>
        <w:ind w:right="0" w:firstLine="643" w:firstLineChars="200"/>
        <w:jc w:val="left"/>
        <w:textAlignment w:val="auto"/>
        <w:rPr>
          <w:rFonts w:hint="default" w:ascii="仿宋" w:hAnsi="仿宋" w:eastAsia="仿宋" w:cs="仿宋"/>
          <w:b/>
          <w:bCs/>
          <w:spacing w:val="0"/>
          <w:sz w:val="32"/>
          <w:szCs w:val="32"/>
          <w:lang w:val="en-US" w:eastAsia="zh-CN"/>
        </w:rPr>
      </w:pPr>
      <w:r>
        <w:rPr>
          <w:rFonts w:hint="eastAsia"/>
          <w:b/>
          <w:bCs/>
          <w:sz w:val="32"/>
          <w:szCs w:val="32"/>
          <w:lang w:val="en-US" w:eastAsia="zh-CN"/>
        </w:rPr>
        <w:t>2、</w:t>
      </w:r>
      <w:r>
        <w:rPr>
          <w:rFonts w:hint="eastAsia" w:ascii="仿宋_GB2312" w:eastAsia="仿宋_GB2312"/>
          <w:b/>
          <w:bCs/>
          <w:sz w:val="32"/>
          <w:szCs w:val="32"/>
          <w:lang w:val="en-US" w:eastAsia="zh-CN"/>
        </w:rPr>
        <w:t>重点项目建设取得新进展。</w:t>
      </w:r>
      <w:r>
        <w:rPr>
          <w:rFonts w:hint="eastAsia" w:ascii="仿宋_GB2312" w:eastAsia="仿宋_GB2312"/>
          <w:b w:val="0"/>
          <w:bCs w:val="0"/>
          <w:sz w:val="32"/>
          <w:szCs w:val="32"/>
          <w:lang w:val="en-US" w:eastAsia="zh-CN"/>
        </w:rPr>
        <w:t>坚持“项目为王”理念，全力推进住房和城乡重点项目建设。</w:t>
      </w:r>
      <w:r>
        <w:rPr>
          <w:rFonts w:hint="eastAsia" w:ascii="仿宋_GB2312" w:eastAsia="仿宋_GB2312"/>
          <w:b/>
          <w:bCs/>
          <w:sz w:val="32"/>
          <w:szCs w:val="32"/>
          <w:lang w:val="en-US" w:eastAsia="zh-CN"/>
        </w:rPr>
        <w:t>一是宝龙新区建设项目取得阶段性成效，</w:t>
      </w:r>
      <w:r>
        <w:rPr>
          <w:rFonts w:hint="eastAsia" w:ascii="仿宋_GB2312" w:eastAsia="仿宋_GB2312"/>
          <w:b w:val="0"/>
          <w:bCs w:val="0"/>
          <w:sz w:val="32"/>
          <w:szCs w:val="32"/>
          <w:lang w:val="en-US" w:eastAsia="zh-CN"/>
        </w:rPr>
        <w:t>奋战100天，打通宝龙山，概算投资2.1亿元、总长2.23公里的宝龙新区道路线型基本贯通，城市骨架进一步拉大。剑门大道改造项目、大蜀道博物馆项目、县法庭项目、县人民医院综合楼项目、职中扩建等项目开足马力，强力推进。概算投资1.4亿元、长270米的宝龙大桥已实现开工。剑门绿道、城市光亮工程前期加快准备，即将开工建设。</w:t>
      </w:r>
      <w:r>
        <w:rPr>
          <w:rFonts w:hint="eastAsia" w:ascii="仿宋_GB2312" w:eastAsia="仿宋_GB2312"/>
          <w:b/>
          <w:bCs/>
          <w:sz w:val="32"/>
          <w:szCs w:val="32"/>
          <w:lang w:val="en-US" w:eastAsia="zh-CN"/>
        </w:rPr>
        <w:t>二是实施</w:t>
      </w:r>
      <w:r>
        <w:rPr>
          <w:rFonts w:hint="eastAsia" w:ascii="仿宋" w:hAnsi="仿宋" w:eastAsia="仿宋" w:cs="仿宋"/>
          <w:b/>
          <w:bCs/>
          <w:spacing w:val="0"/>
          <w:sz w:val="32"/>
          <w:szCs w:val="32"/>
          <w:lang w:eastAsia="zh-CN"/>
        </w:rPr>
        <w:t>城乡污水处理项目</w:t>
      </w:r>
      <w:r>
        <w:rPr>
          <w:rFonts w:hint="eastAsia" w:ascii="仿宋" w:hAnsi="仿宋" w:eastAsia="仿宋" w:cs="仿宋"/>
          <w:b/>
          <w:bCs/>
          <w:spacing w:val="0"/>
          <w:sz w:val="32"/>
          <w:szCs w:val="32"/>
          <w:lang w:val="en-US" w:eastAsia="zh-CN"/>
        </w:rPr>
        <w:t>9个，</w:t>
      </w:r>
      <w:r>
        <w:rPr>
          <w:rFonts w:hint="eastAsia" w:ascii="仿宋" w:hAnsi="仿宋" w:eastAsia="仿宋" w:cs="仿宋"/>
          <w:spacing w:val="0"/>
          <w:sz w:val="32"/>
          <w:szCs w:val="32"/>
          <w:lang w:eastAsia="zh-CN"/>
        </w:rPr>
        <w:t>县城污水处理厂提标升级改造项目全面完成，</w:t>
      </w:r>
      <w:r>
        <w:rPr>
          <w:rFonts w:hint="eastAsia" w:ascii="仿宋_GB2312" w:hAnsi="仿宋_GB2312" w:eastAsia="仿宋_GB2312" w:cs="仿宋_GB2312"/>
          <w:color w:val="222222"/>
          <w:kern w:val="0"/>
          <w:sz w:val="32"/>
          <w:szCs w:val="32"/>
          <w:lang w:bidi="ar"/>
        </w:rPr>
        <w:t>新建</w:t>
      </w:r>
      <w:r>
        <w:rPr>
          <w:rFonts w:hint="eastAsia" w:ascii="仿宋_GB2312" w:hAnsi="仿宋_GB2312" w:eastAsia="仿宋_GB2312" w:cs="仿宋_GB2312"/>
          <w:color w:val="222222"/>
          <w:kern w:val="0"/>
          <w:sz w:val="32"/>
          <w:szCs w:val="32"/>
          <w:lang w:eastAsia="zh-CN" w:bidi="ar"/>
        </w:rPr>
        <w:t>管网</w:t>
      </w:r>
      <w:r>
        <w:rPr>
          <w:rFonts w:hint="eastAsia" w:ascii="仿宋_GB2312" w:hAnsi="仿宋_GB2312" w:eastAsia="仿宋_GB2312" w:cs="仿宋_GB2312"/>
          <w:color w:val="222222"/>
          <w:kern w:val="0"/>
          <w:sz w:val="32"/>
          <w:szCs w:val="32"/>
          <w:lang w:val="en-US" w:eastAsia="zh-CN" w:bidi="ar"/>
        </w:rPr>
        <w:t>400米，维修改造管网5处1000余米，</w:t>
      </w:r>
      <w:r>
        <w:rPr>
          <w:rFonts w:hint="eastAsia" w:ascii="仿宋_GB2312" w:hAnsi="仿宋_GB2312" w:eastAsia="仿宋_GB2312" w:cs="仿宋_GB2312"/>
          <w:color w:val="222222"/>
          <w:kern w:val="0"/>
          <w:sz w:val="32"/>
          <w:szCs w:val="32"/>
          <w:lang w:bidi="ar"/>
        </w:rPr>
        <w:t>县城区污水收集处理率</w:t>
      </w:r>
      <w:r>
        <w:rPr>
          <w:rFonts w:hint="eastAsia" w:ascii="仿宋_GB2312" w:hAnsi="仿宋_GB2312" w:eastAsia="仿宋_GB2312" w:cs="仿宋_GB2312"/>
          <w:color w:val="222222"/>
          <w:kern w:val="0"/>
          <w:sz w:val="32"/>
          <w:szCs w:val="32"/>
          <w:lang w:eastAsia="zh-CN" w:bidi="ar"/>
        </w:rPr>
        <w:t>达到</w:t>
      </w:r>
      <w:r>
        <w:rPr>
          <w:rFonts w:hint="eastAsia" w:ascii="仿宋_GB2312" w:hAnsi="仿宋_GB2312" w:eastAsia="仿宋_GB2312" w:cs="仿宋_GB2312"/>
          <w:color w:val="222222"/>
          <w:kern w:val="0"/>
          <w:sz w:val="32"/>
          <w:szCs w:val="32"/>
          <w:lang w:bidi="ar"/>
        </w:rPr>
        <w:t>90.72%</w:t>
      </w:r>
      <w:r>
        <w:rPr>
          <w:rFonts w:hint="eastAsia" w:ascii="仿宋_GB2312" w:hAnsi="仿宋" w:eastAsia="仿宋_GB2312"/>
          <w:sz w:val="32"/>
          <w:szCs w:val="32"/>
          <w:lang w:eastAsia="zh-CN"/>
        </w:rPr>
        <w:t>。</w:t>
      </w:r>
      <w:r>
        <w:rPr>
          <w:rFonts w:hint="eastAsia" w:ascii="仿宋_GB2312" w:eastAsia="仿宋_GB2312"/>
          <w:sz w:val="32"/>
          <w:szCs w:val="32"/>
        </w:rPr>
        <w:t>概算总投资6876万元</w:t>
      </w:r>
      <w:r>
        <w:rPr>
          <w:rFonts w:hint="eastAsia" w:ascii="仿宋_GB2312" w:eastAsia="仿宋_GB2312"/>
          <w:sz w:val="32"/>
          <w:szCs w:val="32"/>
          <w:lang w:eastAsia="zh-CN"/>
        </w:rPr>
        <w:t>的</w:t>
      </w:r>
      <w:r>
        <w:rPr>
          <w:rFonts w:hint="eastAsia" w:ascii="仿宋_GB2312" w:eastAsia="仿宋_GB2312"/>
          <w:b w:val="0"/>
          <w:bCs w:val="0"/>
          <w:sz w:val="32"/>
          <w:szCs w:val="32"/>
        </w:rPr>
        <w:t>木</w:t>
      </w:r>
      <w:r>
        <w:rPr>
          <w:rFonts w:hint="eastAsia" w:ascii="仿宋_GB2312" w:eastAsia="仿宋_GB2312"/>
          <w:sz w:val="32"/>
          <w:szCs w:val="32"/>
        </w:rPr>
        <w:t>马镇等7个建制镇污水处理厂及管网建设项目</w:t>
      </w:r>
      <w:r>
        <w:rPr>
          <w:rFonts w:hint="eastAsia" w:ascii="仿宋_GB2312" w:eastAsia="仿宋_GB2312"/>
          <w:sz w:val="32"/>
          <w:szCs w:val="32"/>
          <w:lang w:eastAsia="zh-CN"/>
        </w:rPr>
        <w:t>建成投运，</w:t>
      </w:r>
      <w:r>
        <w:rPr>
          <w:rFonts w:hint="eastAsia" w:ascii="仿宋" w:hAnsi="仿宋" w:eastAsia="仿宋" w:cs="仿宋"/>
          <w:spacing w:val="0"/>
          <w:sz w:val="32"/>
          <w:szCs w:val="32"/>
          <w:lang w:eastAsia="zh-CN"/>
        </w:rPr>
        <w:t>元山镇、普安镇污水处理厂扩建及管网配套项目有序推进。</w:t>
      </w:r>
      <w:r>
        <w:rPr>
          <w:rFonts w:hint="eastAsia" w:ascii="仿宋" w:hAnsi="仿宋" w:eastAsia="仿宋" w:cs="仿宋"/>
          <w:b/>
          <w:bCs/>
          <w:spacing w:val="0"/>
          <w:sz w:val="32"/>
          <w:szCs w:val="32"/>
          <w:lang w:eastAsia="zh-CN"/>
        </w:rPr>
        <w:t>三是民生工程项目加快推进，</w:t>
      </w:r>
      <w:r>
        <w:rPr>
          <w:rFonts w:hint="eastAsia" w:ascii="仿宋" w:hAnsi="仿宋" w:eastAsia="仿宋" w:cs="仿宋"/>
          <w:spacing w:val="0"/>
          <w:sz w:val="32"/>
          <w:szCs w:val="32"/>
          <w:lang w:eastAsia="zh-CN"/>
        </w:rPr>
        <w:t>实施老旧小区改造</w:t>
      </w:r>
      <w:r>
        <w:rPr>
          <w:rFonts w:hint="eastAsia" w:ascii="仿宋" w:hAnsi="仿宋" w:eastAsia="仿宋" w:cs="仿宋"/>
          <w:spacing w:val="0"/>
          <w:sz w:val="32"/>
          <w:szCs w:val="32"/>
          <w:lang w:val="en-US" w:eastAsia="zh-CN"/>
        </w:rPr>
        <w:t>22个，既有住宅增设电梯25部，大仓高铁棚改项目年内实现主体完工，</w:t>
      </w:r>
      <w:r>
        <w:rPr>
          <w:rFonts w:hint="eastAsia" w:ascii="仿宋_GB2312" w:hAnsi="仿宋_GB2312" w:eastAsia="仿宋_GB2312" w:cs="仿宋_GB2312"/>
          <w:sz w:val="32"/>
          <w:szCs w:val="32"/>
          <w:lang w:val="en-US" w:eastAsia="zh-CN"/>
        </w:rPr>
        <w:t>剑阁县老旧小区燃气管道更新改造项目加快推进</w:t>
      </w:r>
      <w:r>
        <w:rPr>
          <w:rFonts w:hint="eastAsia" w:ascii="仿宋" w:hAnsi="仿宋" w:eastAsia="仿宋" w:cs="仿宋"/>
          <w:spacing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3、城市建设品质不断提高。</w:t>
      </w:r>
      <w:r>
        <w:rPr>
          <w:rFonts w:hint="eastAsia" w:ascii="仿宋_GB2312" w:eastAsia="仿宋_GB2312"/>
          <w:b w:val="0"/>
          <w:bCs w:val="0"/>
          <w:sz w:val="32"/>
          <w:szCs w:val="32"/>
          <w:lang w:val="en-US" w:eastAsia="zh-CN"/>
        </w:rPr>
        <w:t>坚持“做强新县城、做美老县城、景城融合发展”思路不动摇，深入实施城市更新行动、海绵城市建设，城市品质不断提高。概算投资1.43亿元、总长2.7公里的剑门大道改造即将完工，城市形象得到较大提升；概算投资1500万元、总长1公里的东滨大道河堤整治项目完工，已成为城区居民休闲、健身的首选地；概算投资5300万元的天赐温泉、沙溪坝翠云大道、县中医院段等6个内涝整治项目完工，“城市看海”一去不返；投入510万元把剑溪河脏乱差地块打造成县城最漂亮的“口袋公园”；开</w:t>
      </w:r>
      <w:r>
        <w:rPr>
          <w:rFonts w:hint="eastAsia" w:ascii="仿宋_GB2312" w:eastAsia="仿宋_GB2312"/>
          <w:sz w:val="32"/>
          <w:szCs w:val="32"/>
          <w:lang w:val="en-US" w:eastAsia="zh-CN"/>
        </w:rPr>
        <w:t>展城市综合体检，完成普查市政道路40km、桥梁11座、窨井盖7282个、供水管网46km；实施城市绿化、美化、香化行动，完成全市项目大比武、天府旅游名县巩固提升、文明城市创建等重大活动绿化美化工作，</w:t>
      </w:r>
      <w:r>
        <w:rPr>
          <w:rStyle w:val="38"/>
          <w:rFonts w:hint="eastAsia" w:ascii="仿宋_GB2312" w:eastAsia="仿宋_GB2312"/>
          <w:sz w:val="32"/>
          <w:szCs w:val="32"/>
          <w:lang w:val="en-US" w:eastAsia="zh-CN"/>
        </w:rPr>
        <w:t>新建绿地1.5万平方米，</w:t>
      </w:r>
      <w:r>
        <w:rPr>
          <w:rStyle w:val="39"/>
          <w:rFonts w:hint="eastAsia" w:ascii="仿宋_GB2312" w:hAnsi="仿宋_GB2312" w:eastAsia="仿宋_GB2312" w:cs="仿宋_GB2312"/>
          <w:sz w:val="32"/>
          <w:szCs w:val="32"/>
          <w:lang w:val="en-US" w:eastAsia="zh-CN"/>
        </w:rPr>
        <w:t>施肥面积达50万平方米</w:t>
      </w:r>
      <w:r>
        <w:rPr>
          <w:rStyle w:val="39"/>
          <w:rFonts w:hint="eastAsia" w:ascii="仿宋_GB2312" w:hAnsi="仿宋_GB2312" w:eastAsia="仿宋_GB2312" w:cs="仿宋_GB2312"/>
          <w:sz w:val="32"/>
          <w:szCs w:val="32"/>
          <w:lang w:eastAsia="zh-CN"/>
        </w:rPr>
        <w:t>，</w:t>
      </w:r>
      <w:r>
        <w:rPr>
          <w:rStyle w:val="39"/>
          <w:rFonts w:hint="eastAsia" w:ascii="仿宋_GB2312" w:hAnsi="仿宋_GB2312" w:eastAsia="仿宋_GB2312" w:cs="仿宋_GB2312"/>
          <w:sz w:val="32"/>
          <w:szCs w:val="32"/>
        </w:rPr>
        <w:t>整形修剪</w:t>
      </w:r>
      <w:r>
        <w:rPr>
          <w:rStyle w:val="39"/>
          <w:rFonts w:hint="eastAsia" w:ascii="仿宋_GB2312" w:hAnsi="仿宋_GB2312" w:eastAsia="仿宋_GB2312" w:cs="仿宋_GB2312"/>
          <w:sz w:val="32"/>
          <w:szCs w:val="32"/>
          <w:lang w:eastAsia="zh-CN"/>
        </w:rPr>
        <w:t>绿化、整治绿地面积</w:t>
      </w:r>
      <w:r>
        <w:rPr>
          <w:rStyle w:val="39"/>
          <w:rFonts w:hint="eastAsia" w:ascii="仿宋_GB2312" w:hAnsi="仿宋_GB2312" w:eastAsia="仿宋_GB2312" w:cs="仿宋_GB2312"/>
          <w:sz w:val="32"/>
          <w:szCs w:val="32"/>
          <w:lang w:val="en-US" w:eastAsia="zh-CN"/>
        </w:rPr>
        <w:t>60万平方米。</w:t>
      </w:r>
    </w:p>
    <w:p>
      <w:pPr>
        <w:numPr>
          <w:ilvl w:val="0"/>
          <w:numId w:val="0"/>
        </w:numPr>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4、住有所居水平不断提升。</w:t>
      </w:r>
      <w:r>
        <w:rPr>
          <w:rFonts w:hint="eastAsia" w:ascii="仿宋_GB2312" w:hAnsi="仿宋" w:eastAsia="仿宋_GB2312" w:cs="仿宋"/>
          <w:color w:val="auto"/>
          <w:kern w:val="2"/>
          <w:sz w:val="32"/>
          <w:szCs w:val="32"/>
          <w:lang w:val="en-US" w:eastAsia="zh-CN" w:bidi="ar-SA"/>
        </w:rPr>
        <w:t>改造各类城镇危旧房棚户区423套，发放租赁补贴1800户，实施城镇老旧小区改造23个，近6000户城镇群众住房条件得到改善。</w:t>
      </w:r>
      <w:r>
        <w:rPr>
          <w:rFonts w:hint="eastAsia" w:ascii="华文仿宋" w:hAnsi="华文仿宋" w:eastAsia="华文仿宋" w:cs="华文仿宋"/>
          <w:b w:val="0"/>
          <w:bCs w:val="0"/>
          <w:sz w:val="32"/>
          <w:szCs w:val="32"/>
          <w:lang w:val="en-US" w:eastAsia="zh-CN"/>
        </w:rPr>
        <w:t>商住楼盘稳妥推进，</w:t>
      </w:r>
      <w:r>
        <w:rPr>
          <w:rFonts w:hint="eastAsia" w:ascii="仿宋" w:hAnsi="仿宋" w:eastAsia="仿宋" w:cs="仿宋"/>
          <w:sz w:val="32"/>
          <w:szCs w:val="32"/>
          <w:lang w:val="en-US" w:eastAsia="zh-CN"/>
        </w:rPr>
        <w:t>卓锦城·三期完工交付使用，普安镇三江水岸开发项目年底实现交房入住；天立学府开发项目、巴蜀广场、天赐·玺悦滨江项目2023年将陆续交付；普安镇城南九号5号楼、瑞山·金园、水岸豪庭、时代广运、一品居2#、3#正全力建设中；翰林苑右侧地块及清江龙湾二期正加紧完善项目前期手续。</w:t>
      </w:r>
      <w:r>
        <w:rPr>
          <w:rFonts w:hint="eastAsia" w:ascii="华文仿宋" w:hAnsi="华文仿宋" w:eastAsia="华文仿宋" w:cs="华文仿宋"/>
          <w:b w:val="0"/>
          <w:bCs w:val="0"/>
          <w:sz w:val="32"/>
          <w:szCs w:val="32"/>
          <w:lang w:val="en-US" w:eastAsia="zh-CN"/>
        </w:rPr>
        <w:t>问题楼盘有力处置化解，</w:t>
      </w:r>
      <w:r>
        <w:rPr>
          <w:rFonts w:hint="eastAsia" w:ascii="仿宋" w:hAnsi="仿宋" w:eastAsia="仿宋" w:cs="仿宋"/>
          <w:sz w:val="32"/>
          <w:szCs w:val="32"/>
        </w:rPr>
        <w:t>全县</w:t>
      </w:r>
      <w:r>
        <w:rPr>
          <w:rFonts w:hint="eastAsia" w:ascii="仿宋" w:hAnsi="仿宋" w:eastAsia="仿宋" w:cs="仿宋"/>
          <w:sz w:val="32"/>
          <w:szCs w:val="32"/>
          <w:lang w:val="en-US" w:eastAsia="zh-CN"/>
        </w:rPr>
        <w:t>31</w:t>
      </w:r>
      <w:r>
        <w:rPr>
          <w:rFonts w:hint="eastAsia" w:ascii="仿宋" w:hAnsi="仿宋" w:eastAsia="仿宋" w:cs="仿宋"/>
          <w:sz w:val="32"/>
          <w:szCs w:val="32"/>
        </w:rPr>
        <w:t>个遗留问题楼盘项目，已结案销号</w:t>
      </w:r>
      <w:r>
        <w:rPr>
          <w:rFonts w:hint="eastAsia" w:ascii="仿宋" w:hAnsi="仿宋" w:eastAsia="仿宋" w:cs="仿宋"/>
          <w:sz w:val="32"/>
          <w:szCs w:val="32"/>
          <w:lang w:val="en-US" w:eastAsia="zh-CN"/>
        </w:rPr>
        <w:t>22</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结案率</w:t>
      </w:r>
      <w:r>
        <w:rPr>
          <w:rFonts w:hint="eastAsia" w:ascii="仿宋" w:hAnsi="仿宋" w:eastAsia="仿宋" w:cs="仿宋"/>
          <w:sz w:val="32"/>
          <w:szCs w:val="32"/>
          <w:lang w:val="en-US" w:eastAsia="zh-CN"/>
        </w:rPr>
        <w:t>71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2135</w:t>
      </w:r>
      <w:r>
        <w:rPr>
          <w:rFonts w:hint="eastAsia" w:ascii="仿宋" w:hAnsi="仿宋" w:eastAsia="仿宋" w:cs="仿宋"/>
          <w:sz w:val="32"/>
          <w:szCs w:val="32"/>
        </w:rPr>
        <w:t>户将办结产权证。</w:t>
      </w:r>
      <w:r>
        <w:rPr>
          <w:rFonts w:hint="eastAsia" w:ascii="仿宋_GB2312" w:eastAsia="仿宋_GB2312"/>
          <w:b w:val="0"/>
          <w:bCs w:val="0"/>
          <w:sz w:val="32"/>
          <w:szCs w:val="32"/>
          <w:lang w:val="en-US" w:eastAsia="zh-CN"/>
        </w:rPr>
        <w:t>持续做好农村危旧房改造，</w:t>
      </w:r>
      <w:r>
        <w:rPr>
          <w:rFonts w:hint="eastAsia" w:ascii="仿宋" w:hAnsi="仿宋" w:eastAsia="仿宋" w:cs="仿宋"/>
          <w:sz w:val="32"/>
          <w:szCs w:val="32"/>
          <w:lang w:val="en-US" w:eastAsia="zh-CN"/>
        </w:rPr>
        <w:t>完成省下达2021年农村危房123户改造任务，2022实施农村危房改造931户。</w:t>
      </w:r>
      <w:r>
        <w:rPr>
          <w:rFonts w:hint="eastAsia" w:ascii="仿宋_GB2312" w:eastAsia="仿宋_GB2312"/>
          <w:sz w:val="32"/>
          <w:szCs w:val="32"/>
          <w:lang w:val="en-US" w:eastAsia="zh-CN"/>
        </w:rPr>
        <w:t>完成秀钟乡红色美丽村庄建设，</w:t>
      </w:r>
      <w:r>
        <w:rPr>
          <w:rFonts w:hint="eastAsia" w:ascii="仿宋" w:hAnsi="仿宋" w:eastAsia="仿宋" w:cs="仿宋"/>
          <w:sz w:val="32"/>
          <w:szCs w:val="32"/>
          <w:lang w:val="en-US" w:eastAsia="zh-CN"/>
        </w:rPr>
        <w:t>武连镇武五村</w:t>
      </w:r>
      <w:r>
        <w:rPr>
          <w:rStyle w:val="38"/>
          <w:rFonts w:hint="eastAsia" w:ascii="仿宋" w:hAnsi="仿宋" w:eastAsia="仿宋" w:cs="仿宋"/>
          <w:sz w:val="32"/>
          <w:szCs w:val="32"/>
          <w:lang w:val="en-US" w:eastAsia="zh-CN"/>
        </w:rPr>
        <w:t>成功</w:t>
      </w:r>
      <w:r>
        <w:rPr>
          <w:rFonts w:hint="eastAsia" w:ascii="仿宋" w:hAnsi="仿宋" w:eastAsia="仿宋" w:cs="仿宋"/>
          <w:sz w:val="32"/>
          <w:szCs w:val="32"/>
          <w:lang w:val="en-US" w:eastAsia="zh-CN"/>
        </w:rPr>
        <w:t>申报为省级园林村，</w:t>
      </w:r>
      <w:r>
        <w:rPr>
          <w:rFonts w:hint="eastAsia" w:ascii="仿宋_GB2312" w:eastAsia="仿宋_GB2312"/>
          <w:sz w:val="32"/>
          <w:szCs w:val="32"/>
          <w:lang w:val="en-US" w:eastAsia="zh-CN"/>
        </w:rPr>
        <w:t>普安镇成功命名首批“省级百强中心镇”。</w:t>
      </w:r>
    </w:p>
    <w:p>
      <w:pPr>
        <w:pStyle w:val="2"/>
        <w:ind w:left="0" w:leftChars="0" w:firstLine="643" w:firstLineChars="200"/>
        <w:rPr>
          <w:rFonts w:hint="eastAsia" w:ascii="仿宋" w:hAnsi="仿宋" w:eastAsia="仿宋" w:cs="仿宋"/>
          <w:kern w:val="2"/>
          <w:sz w:val="32"/>
          <w:szCs w:val="32"/>
          <w:lang w:val="en-US" w:eastAsia="zh-CN" w:bidi="ar-SA"/>
        </w:rPr>
      </w:pPr>
      <w:r>
        <w:rPr>
          <w:rFonts w:hint="eastAsia" w:ascii="仿宋_GB2312" w:eastAsia="仿宋_GB2312"/>
          <w:b/>
          <w:bCs/>
          <w:sz w:val="32"/>
          <w:szCs w:val="32"/>
          <w:lang w:val="en-US" w:eastAsia="zh-CN"/>
        </w:rPr>
        <w:t>5、建筑业高质量发展稳步推进。</w:t>
      </w:r>
      <w:r>
        <w:rPr>
          <w:rFonts w:hint="eastAsia" w:ascii="仿宋" w:hAnsi="仿宋" w:eastAsia="仿宋" w:cs="仿宋"/>
          <w:kern w:val="2"/>
          <w:sz w:val="32"/>
          <w:szCs w:val="32"/>
          <w:lang w:val="en-US" w:eastAsia="zh-CN" w:bidi="ar-SA"/>
        </w:rPr>
        <w:t>深入开展干部联系企业活动，支持建筑业企业做大做强，制定《剑阁县建筑业强县十条措施》。</w:t>
      </w:r>
      <w:r>
        <w:rPr>
          <w:rFonts w:hint="eastAsia" w:ascii="仿宋_GB2312" w:hAnsi="宋体" w:eastAsia="仿宋_GB2312" w:cs="宋体"/>
          <w:spacing w:val="-12"/>
          <w:kern w:val="0"/>
          <w:sz w:val="32"/>
          <w:szCs w:val="32"/>
          <w:lang w:val="en-US" w:eastAsia="zh-CN"/>
        </w:rPr>
        <w:t>新办施工许可工程建设项目共24个，</w:t>
      </w:r>
      <w:r>
        <w:rPr>
          <w:rFonts w:hint="eastAsia" w:ascii="仿宋_GB2312" w:hAnsi="仿宋_GB2312" w:eastAsia="仿宋_GB2312" w:cs="仿宋_GB2312"/>
          <w:sz w:val="32"/>
          <w:szCs w:val="32"/>
          <w:lang w:val="en-US" w:eastAsia="zh-CN"/>
        </w:rPr>
        <w:t>受理建设工程消防设计审验备案28件，</w:t>
      </w:r>
      <w:r>
        <w:rPr>
          <w:rFonts w:hint="eastAsia" w:ascii="仿宋" w:hAnsi="仿宋" w:eastAsia="仿宋" w:cs="仿宋"/>
          <w:kern w:val="2"/>
          <w:sz w:val="32"/>
          <w:szCs w:val="32"/>
          <w:lang w:val="en-US" w:eastAsia="zh-CN" w:bidi="ar-SA"/>
        </w:rPr>
        <w:t>培育资质建筑企业4家、房地产企业2家。成立建筑建材产业专班，新型建筑工业化加快推进，全年新开工装配式建筑面积11.41万平米，同比增长35%，新建绿色建筑11.89万平米。</w:t>
      </w:r>
    </w:p>
    <w:p>
      <w:pPr>
        <w:ind w:firstLine="803" w:firstLineChars="250"/>
        <w:rPr>
          <w:rFonts w:hint="eastAsia" w:ascii="仿宋_GB2312" w:hAnsi="仿宋" w:eastAsia="仿宋_GB2312" w:cs="仿宋"/>
          <w:bCs/>
          <w:color w:val="000000" w:themeColor="text1"/>
          <w:sz w:val="32"/>
          <w:szCs w:val="32"/>
          <w:lang w:val="en-US" w:eastAsia="zh-CN"/>
          <w14:textFill>
            <w14:solidFill>
              <w14:schemeClr w14:val="tx1"/>
            </w14:solidFill>
          </w14:textFill>
        </w:rPr>
      </w:pPr>
      <w:r>
        <w:rPr>
          <w:rFonts w:hint="eastAsia" w:ascii="仿宋_GB2312" w:eastAsia="仿宋_GB2312"/>
          <w:b/>
          <w:bCs/>
          <w:sz w:val="32"/>
          <w:szCs w:val="32"/>
          <w:lang w:val="en-US" w:eastAsia="zh-CN"/>
        </w:rPr>
        <w:t>6、行业监管有力有序。</w:t>
      </w:r>
      <w:r>
        <w:rPr>
          <w:rFonts w:hint="eastAsia" w:ascii="Times New Roman" w:hAnsi="Times New Roman" w:eastAsia="楷体" w:cs="Times New Roman"/>
          <w:b/>
          <w:bCs/>
          <w:kern w:val="2"/>
          <w:sz w:val="32"/>
          <w:szCs w:val="32"/>
          <w:lang w:val="en-US" w:eastAsia="zh-CN" w:bidi="ar-SA"/>
        </w:rPr>
        <w:t>一是</w:t>
      </w:r>
      <w:r>
        <w:rPr>
          <w:rFonts w:hint="eastAsia" w:ascii="Times New Roman" w:hAnsi="Times New Roman" w:eastAsia="仿宋_GB2312" w:cs="Times New Roman"/>
          <w:b/>
          <w:bCs/>
          <w:spacing w:val="0"/>
          <w:sz w:val="32"/>
          <w:szCs w:val="32"/>
          <w:lang w:val="en-US" w:eastAsia="zh-CN"/>
        </w:rPr>
        <w:t>全面推行工程项目审批制度改革</w:t>
      </w:r>
      <w:r>
        <w:rPr>
          <w:rFonts w:hint="eastAsia" w:ascii="Times New Roman" w:hAnsi="Times New Roman" w:eastAsia="仿宋_GB2312" w:cs="Times New Roman"/>
          <w:spacing w:val="0"/>
          <w:sz w:val="32"/>
          <w:szCs w:val="32"/>
          <w:lang w:val="en-US" w:eastAsia="zh-CN"/>
        </w:rPr>
        <w:t>，</w:t>
      </w:r>
      <w:r>
        <w:rPr>
          <w:rFonts w:hint="eastAsia" w:ascii="仿宋_GB2312" w:hAnsi="仿宋_GB2312" w:eastAsia="仿宋_GB2312" w:cs="仿宋_GB2312"/>
          <w:spacing w:val="0"/>
          <w:sz w:val="32"/>
          <w:szCs w:val="32"/>
          <w:lang w:val="en-US" w:eastAsia="zh-CN"/>
        </w:rPr>
        <w:t>成立县投资项目联合审批服务中心。</w:t>
      </w:r>
      <w:r>
        <w:rPr>
          <w:rFonts w:hint="default" w:ascii="Times New Roman" w:hAnsi="Times New Roman" w:eastAsia="仿宋_GB2312" w:cs="Times New Roman"/>
          <w:b w:val="0"/>
          <w:bCs w:val="0"/>
          <w:spacing w:val="0"/>
          <w:sz w:val="32"/>
          <w:szCs w:val="32"/>
          <w:lang w:val="en-US" w:eastAsia="zh-CN"/>
        </w:rPr>
        <w:t>组</w:t>
      </w:r>
      <w:r>
        <w:rPr>
          <w:rFonts w:hint="eastAsia" w:ascii="Times New Roman" w:hAnsi="Times New Roman" w:eastAsia="仿宋_GB2312" w:cs="Times New Roman"/>
          <w:b w:val="0"/>
          <w:bCs w:val="0"/>
          <w:spacing w:val="0"/>
          <w:sz w:val="32"/>
          <w:szCs w:val="32"/>
          <w:lang w:val="en-US" w:eastAsia="zh-CN"/>
        </w:rPr>
        <w:t>建</w:t>
      </w:r>
      <w:r>
        <w:rPr>
          <w:rFonts w:hint="default" w:ascii="Times New Roman" w:hAnsi="Times New Roman" w:eastAsia="仿宋_GB2312" w:cs="Times New Roman"/>
          <w:b w:val="0"/>
          <w:bCs w:val="0"/>
          <w:spacing w:val="0"/>
          <w:sz w:val="32"/>
          <w:szCs w:val="32"/>
          <w:lang w:val="en-US" w:eastAsia="zh-CN"/>
        </w:rPr>
        <w:t>水电气联合报装窗口</w:t>
      </w:r>
      <w:r>
        <w:rPr>
          <w:rFonts w:hint="eastAsia" w:ascii="Times New Roman" w:hAnsi="Times New Roman" w:cs="Times New Roman"/>
          <w:b w:val="0"/>
          <w:bCs w:val="0"/>
          <w:spacing w:val="0"/>
          <w:sz w:val="32"/>
          <w:szCs w:val="32"/>
          <w:lang w:val="en-US" w:eastAsia="zh-CN"/>
        </w:rPr>
        <w:t>办件788件</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spacing w:val="0"/>
          <w:sz w:val="32"/>
          <w:szCs w:val="32"/>
          <w:lang w:val="en-US" w:eastAsia="zh-CN"/>
        </w:rPr>
        <w:t>全面推行“一窗进出、全程在线、并联审批”</w:t>
      </w:r>
      <w:r>
        <w:rPr>
          <w:rFonts w:hint="eastAsia" w:ascii="Times New Roman" w:hAnsi="Times New Roman" w:eastAsia="仿宋_GB2312" w:cs="Times New Roman"/>
          <w:b w:val="0"/>
          <w:bCs w:val="0"/>
          <w:spacing w:val="0"/>
          <w:sz w:val="32"/>
          <w:szCs w:val="32"/>
          <w:lang w:val="en-US" w:eastAsia="zh-CN"/>
        </w:rPr>
        <w:t>，受理项目65个，审批服务办件281件，辅线办件948件。</w:t>
      </w:r>
      <w:r>
        <w:rPr>
          <w:rFonts w:hint="eastAsia" w:ascii="Times New Roman" w:hAnsi="Times New Roman" w:eastAsia="仿宋_GB2312" w:cs="Times New Roman"/>
          <w:b/>
          <w:bCs/>
          <w:spacing w:val="0"/>
          <w:sz w:val="32"/>
          <w:szCs w:val="32"/>
          <w:lang w:val="en-US" w:eastAsia="zh-CN"/>
        </w:rPr>
        <w:t>二是</w:t>
      </w:r>
      <w:r>
        <w:rPr>
          <w:rFonts w:hint="eastAsia" w:ascii="Times New Roman" w:hAnsi="Times New Roman" w:eastAsia="仿宋" w:cs="Times New Roman"/>
          <w:b/>
          <w:bCs/>
          <w:color w:val="000000"/>
          <w:kern w:val="0"/>
          <w:sz w:val="32"/>
          <w:szCs w:val="32"/>
          <w:lang w:eastAsia="zh-CN"/>
        </w:rPr>
        <w:t>深化系统治理。</w:t>
      </w:r>
      <w:r>
        <w:rPr>
          <w:rFonts w:hint="eastAsia" w:ascii="仿宋_GB2312" w:hAnsi="仿宋" w:eastAsia="仿宋_GB2312" w:cs="仿宋"/>
          <w:bCs/>
          <w:sz w:val="32"/>
          <w:szCs w:val="32"/>
          <w:lang w:val="en-US" w:eastAsia="zh-CN"/>
        </w:rPr>
        <w:t>开展2022</w:t>
      </w:r>
      <w:r>
        <w:rPr>
          <w:rFonts w:hint="eastAsia" w:ascii="仿宋_GB2312" w:hAnsi="仿宋" w:eastAsia="仿宋_GB2312" w:cs="仿宋"/>
          <w:sz w:val="32"/>
          <w:szCs w:val="32"/>
          <w:lang w:eastAsia="zh-CN"/>
        </w:rPr>
        <w:t>房屋</w:t>
      </w:r>
      <w:r>
        <w:rPr>
          <w:rFonts w:hint="eastAsia" w:ascii="仿宋_GB2312" w:hAnsi="仿宋" w:eastAsia="仿宋_GB2312" w:cs="仿宋"/>
          <w:sz w:val="32"/>
          <w:szCs w:val="32"/>
        </w:rPr>
        <w:t>建筑和市政工程招投标</w:t>
      </w:r>
      <w:r>
        <w:rPr>
          <w:rFonts w:hint="eastAsia" w:ascii="仿宋_GB2312" w:hAnsi="仿宋" w:eastAsia="仿宋_GB2312" w:cs="仿宋"/>
          <w:sz w:val="32"/>
          <w:szCs w:val="32"/>
          <w:lang w:eastAsia="zh-CN"/>
        </w:rPr>
        <w:t>活动监</w:t>
      </w:r>
      <w:r>
        <w:rPr>
          <w:rFonts w:hint="eastAsia" w:ascii="仿宋_GB2312" w:hAnsi="仿宋" w:eastAsia="仿宋_GB2312" w:cs="仿宋"/>
          <w:bCs/>
          <w:sz w:val="32"/>
          <w:szCs w:val="32"/>
          <w:lang w:val="en-US" w:eastAsia="zh-CN"/>
        </w:rPr>
        <w:t>管、</w:t>
      </w:r>
      <w:r>
        <w:rPr>
          <w:rFonts w:hint="eastAsia" w:ascii="Times New Roman" w:hAnsi="Times New Roman" w:eastAsia="仿宋" w:cs="Times New Roman"/>
          <w:b w:val="0"/>
          <w:bCs w:val="0"/>
          <w:color w:val="000000"/>
          <w:kern w:val="0"/>
          <w:sz w:val="32"/>
          <w:szCs w:val="32"/>
          <w:lang w:eastAsia="zh-CN"/>
        </w:rPr>
        <w:t>“双随机”检查</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rPr>
        <w:t>重点核查招标项目</w:t>
      </w:r>
      <w:r>
        <w:rPr>
          <w:rFonts w:hint="eastAsia" w:ascii="仿宋_GB2312" w:hAnsi="仿宋" w:eastAsia="仿宋_GB2312" w:cs="仿宋"/>
          <w:bCs/>
          <w:sz w:val="32"/>
          <w:szCs w:val="32"/>
          <w:lang w:val="en-US" w:eastAsia="zh-CN"/>
        </w:rPr>
        <w:t>27</w:t>
      </w:r>
      <w:r>
        <w:rPr>
          <w:rFonts w:hint="eastAsia" w:ascii="仿宋_GB2312" w:hAnsi="仿宋" w:eastAsia="仿宋_GB2312" w:cs="仿宋"/>
          <w:bCs/>
          <w:sz w:val="32"/>
          <w:szCs w:val="32"/>
        </w:rPr>
        <w:t>个，</w:t>
      </w:r>
      <w:r>
        <w:rPr>
          <w:rFonts w:hint="eastAsia" w:ascii="仿宋_GB2312" w:hAnsi="仿宋" w:eastAsia="仿宋_GB2312" w:cs="仿宋"/>
          <w:bCs/>
          <w:sz w:val="32"/>
          <w:szCs w:val="32"/>
          <w:lang w:eastAsia="zh-CN"/>
        </w:rPr>
        <w:t>发现整改问题</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lang w:eastAsia="zh-CN"/>
        </w:rPr>
        <w:t>个，</w:t>
      </w:r>
      <w:r>
        <w:rPr>
          <w:rFonts w:hint="eastAsia" w:ascii="Times New Roman" w:hAnsi="Times New Roman" w:eastAsia="仿宋" w:cs="Times New Roman"/>
          <w:b w:val="0"/>
          <w:bCs w:val="0"/>
          <w:color w:val="000000"/>
          <w:kern w:val="0"/>
          <w:sz w:val="32"/>
          <w:szCs w:val="32"/>
          <w:lang w:eastAsia="zh-CN"/>
        </w:rPr>
        <w:t>拆除无资质搅拌站3家。</w:t>
      </w:r>
      <w:r>
        <w:rPr>
          <w:rFonts w:hint="eastAsia" w:ascii="Times New Roman" w:hAnsi="Times New Roman" w:eastAsia="仿宋" w:cs="Times New Roman"/>
          <w:b/>
          <w:bCs/>
          <w:color w:val="000000"/>
          <w:kern w:val="0"/>
          <w:sz w:val="32"/>
          <w:szCs w:val="32"/>
          <w:lang w:eastAsia="zh-CN"/>
        </w:rPr>
        <w:t>三是强化物业行业监管，</w:t>
      </w:r>
      <w:r>
        <w:rPr>
          <w:rFonts w:hint="eastAsia" w:ascii="仿宋" w:hAnsi="仿宋" w:eastAsia="仿宋" w:cs="仿宋"/>
          <w:sz w:val="32"/>
          <w:szCs w:val="32"/>
          <w:lang w:eastAsia="zh-CN"/>
        </w:rPr>
        <w:t>全年对</w:t>
      </w:r>
      <w:r>
        <w:rPr>
          <w:rFonts w:hint="eastAsia" w:ascii="仿宋" w:hAnsi="仿宋" w:eastAsia="仿宋" w:cs="仿宋"/>
          <w:sz w:val="32"/>
          <w:szCs w:val="32"/>
        </w:rPr>
        <w:t>4家物业公司进行了约谈，通报物业公司</w:t>
      </w:r>
      <w:r>
        <w:rPr>
          <w:rFonts w:hint="eastAsia" w:ascii="仿宋" w:hAnsi="仿宋" w:eastAsia="仿宋" w:cs="仿宋"/>
          <w:sz w:val="32"/>
          <w:szCs w:val="32"/>
          <w:lang w:val="en-US" w:eastAsia="zh-CN"/>
        </w:rPr>
        <w:t>3</w:t>
      </w:r>
      <w:r>
        <w:rPr>
          <w:rFonts w:hint="eastAsia" w:ascii="仿宋" w:hAnsi="仿宋" w:eastAsia="仿宋" w:cs="仿宋"/>
          <w:sz w:val="32"/>
          <w:szCs w:val="32"/>
        </w:rPr>
        <w:t>家</w:t>
      </w:r>
      <w:r>
        <w:rPr>
          <w:rFonts w:hint="eastAsia" w:ascii="仿宋" w:hAnsi="仿宋" w:eastAsia="仿宋" w:cs="仿宋"/>
          <w:sz w:val="32"/>
          <w:szCs w:val="32"/>
          <w:lang w:eastAsia="zh-CN"/>
        </w:rPr>
        <w:t>，</w:t>
      </w:r>
      <w:r>
        <w:rPr>
          <w:rFonts w:hint="eastAsia" w:ascii="仿宋" w:hAnsi="仿宋" w:eastAsia="仿宋" w:cs="仿宋"/>
          <w:sz w:val="32"/>
          <w:szCs w:val="32"/>
        </w:rPr>
        <w:t>完成红色物业小区验收</w:t>
      </w:r>
      <w:r>
        <w:rPr>
          <w:rFonts w:hint="eastAsia" w:ascii="仿宋" w:hAnsi="仿宋" w:eastAsia="仿宋" w:cs="仿宋"/>
          <w:sz w:val="32"/>
          <w:szCs w:val="32"/>
          <w:lang w:val="en-US" w:eastAsia="zh-CN"/>
        </w:rPr>
        <w:t>1</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sz w:val="32"/>
          <w:szCs w:val="32"/>
        </w:rPr>
        <w:t>完成基础治理示范小区4个</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三是理顺污水治理体系，</w:t>
      </w:r>
      <w:r>
        <w:rPr>
          <w:rFonts w:hint="eastAsia" w:ascii="仿宋_GB2312" w:eastAsia="仿宋_GB2312"/>
          <w:sz w:val="32"/>
          <w:szCs w:val="32"/>
        </w:rPr>
        <w:t>牵头</w:t>
      </w:r>
      <w:r>
        <w:rPr>
          <w:rFonts w:hint="eastAsia" w:ascii="仿宋_GB2312" w:eastAsia="仿宋_GB2312"/>
          <w:sz w:val="32"/>
          <w:szCs w:val="32"/>
          <w:lang w:eastAsia="zh-CN"/>
        </w:rPr>
        <w:t>实施了</w:t>
      </w:r>
      <w:r>
        <w:rPr>
          <w:rFonts w:hint="eastAsia" w:ascii="仿宋_GB2312" w:eastAsia="仿宋_GB2312"/>
          <w:sz w:val="32"/>
          <w:szCs w:val="32"/>
        </w:rPr>
        <w:t>全县27处污水处理设施运行评估，完成24处污水处理设施的营运移交工作</w:t>
      </w:r>
      <w:r>
        <w:rPr>
          <w:rFonts w:hint="eastAsia" w:ascii="仿宋_GB2312" w:eastAsia="仿宋_GB2312"/>
          <w:sz w:val="32"/>
          <w:szCs w:val="32"/>
          <w:lang w:eastAsia="zh-CN"/>
        </w:rPr>
        <w:t>，</w:t>
      </w:r>
      <w:r>
        <w:rPr>
          <w:rFonts w:hint="eastAsia" w:ascii="仿宋_GB2312" w:eastAsia="仿宋_GB2312"/>
          <w:sz w:val="32"/>
          <w:szCs w:val="32"/>
        </w:rPr>
        <w:t>理顺</w:t>
      </w:r>
      <w:r>
        <w:rPr>
          <w:rFonts w:hint="eastAsia" w:ascii="仿宋_GB2312" w:eastAsia="仿宋_GB2312"/>
          <w:sz w:val="32"/>
          <w:szCs w:val="32"/>
          <w:lang w:eastAsia="zh-CN"/>
        </w:rPr>
        <w:t>全</w:t>
      </w:r>
      <w:r>
        <w:rPr>
          <w:rFonts w:hint="eastAsia" w:ascii="仿宋_GB2312" w:eastAsia="仿宋_GB2312"/>
          <w:sz w:val="32"/>
          <w:szCs w:val="32"/>
        </w:rPr>
        <w:t>县污水处理设施运营管理体制。</w:t>
      </w:r>
      <w:r>
        <w:rPr>
          <w:rFonts w:hint="eastAsia" w:ascii="仿宋_GB2312" w:eastAsia="仿宋_GB2312"/>
          <w:b/>
          <w:bCs/>
          <w:sz w:val="32"/>
          <w:szCs w:val="32"/>
          <w:lang w:eastAsia="zh-CN"/>
        </w:rPr>
        <w:t>四是</w:t>
      </w:r>
      <w:r>
        <w:rPr>
          <w:rFonts w:hint="eastAsia" w:ascii="Times New Roman" w:hAnsi="Times New Roman" w:eastAsia="仿宋" w:cs="Times New Roman"/>
          <w:b/>
          <w:bCs/>
          <w:color w:val="000000"/>
          <w:kern w:val="0"/>
          <w:sz w:val="32"/>
          <w:szCs w:val="32"/>
          <w:lang w:eastAsia="zh-CN"/>
        </w:rPr>
        <w:t>强化安全监管，</w:t>
      </w:r>
      <w:r>
        <w:rPr>
          <w:rFonts w:hint="eastAsia" w:ascii="Times New Roman" w:hAnsi="Times New Roman" w:eastAsia="仿宋" w:cs="Times New Roman"/>
          <w:b w:val="0"/>
          <w:bCs w:val="0"/>
          <w:color w:val="000000" w:themeColor="text1"/>
          <w:kern w:val="0"/>
          <w:sz w:val="32"/>
          <w:szCs w:val="32"/>
          <w:lang w:eastAsia="zh-CN"/>
          <w14:textFill>
            <w14:solidFill>
              <w14:schemeClr w14:val="tx1"/>
            </w14:solidFill>
          </w14:textFill>
        </w:rPr>
        <w:t>开展“护安</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2022</w:t>
      </w:r>
      <w:r>
        <w:rPr>
          <w:rFonts w:hint="eastAsia" w:ascii="Times New Roman" w:hAnsi="Times New Roman" w:eastAsia="仿宋" w:cs="Times New Roman"/>
          <w:b w:val="0"/>
          <w:bCs w:val="0"/>
          <w:color w:val="000000" w:themeColor="text1"/>
          <w:kern w:val="0"/>
          <w:sz w:val="32"/>
          <w:szCs w:val="32"/>
          <w:lang w:eastAsia="zh-CN"/>
          <w14:textFill>
            <w14:solidFill>
              <w14:schemeClr w14:val="tx1"/>
            </w14:solidFill>
          </w14:textFill>
        </w:rPr>
        <w:t>”、城镇燃气及自建房安全风险专项排查整治行动，排查整治建筑施工安全隐患</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278个，排查整治城镇燃气安全隐患210个，</w:t>
      </w:r>
      <w:r>
        <w:rPr>
          <w:rFonts w:hint="eastAsia" w:ascii="仿宋_GB2312" w:hAnsi="仿宋" w:eastAsia="仿宋_GB2312" w:cs="仿宋"/>
          <w:bCs/>
          <w:color w:val="000000" w:themeColor="text1"/>
          <w:sz w:val="32"/>
          <w:szCs w:val="32"/>
          <w:lang w:val="en-US" w:eastAsia="zh-CN"/>
          <w14:textFill>
            <w14:solidFill>
              <w14:schemeClr w14:val="tx1"/>
            </w14:solidFill>
          </w14:textFill>
        </w:rPr>
        <w:t>排查整治城市运行安全隐患36处，修复破损窨井盖92个。排查</w:t>
      </w:r>
      <w:r>
        <w:rPr>
          <w:rFonts w:hint="eastAsia" w:ascii="仿宋_GB2312" w:eastAsia="仿宋_GB2312" w:hAnsiTheme="minorEastAsia"/>
          <w:color w:val="000000" w:themeColor="text1"/>
          <w:sz w:val="32"/>
          <w:szCs w:val="32"/>
          <w14:textFill>
            <w14:solidFill>
              <w14:schemeClr w14:val="tx1"/>
            </w14:solidFill>
          </w14:textFill>
        </w:rPr>
        <w:t>燃气用户</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98231户，</w:t>
      </w:r>
      <w:r>
        <w:rPr>
          <w:rFonts w:hint="eastAsia" w:ascii="仿宋_GB2312" w:hAnsi="仿宋_GB2312" w:eastAsia="仿宋_GB2312" w:cs="仿宋_GB2312"/>
          <w:bCs/>
          <w:color w:val="000000" w:themeColor="text1"/>
          <w:sz w:val="32"/>
          <w:szCs w:val="32"/>
          <w14:textFill>
            <w14:solidFill>
              <w14:schemeClr w14:val="tx1"/>
            </w14:solidFill>
          </w14:textFill>
        </w:rPr>
        <w:t>发放用气安全责任书（明白卡）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98231</w:t>
      </w:r>
      <w:r>
        <w:rPr>
          <w:rFonts w:hint="eastAsia" w:ascii="仿宋_GB2312" w:hAnsi="仿宋_GB2312" w:eastAsia="仿宋_GB2312" w:cs="仿宋_GB2312"/>
          <w:bCs/>
          <w:color w:val="000000" w:themeColor="text1"/>
          <w:sz w:val="32"/>
          <w:szCs w:val="32"/>
          <w14:textFill>
            <w14:solidFill>
              <w14:schemeClr w14:val="tx1"/>
            </w14:solidFill>
          </w14:textFill>
        </w:rPr>
        <w:t>余份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w w:val="100"/>
          <w:kern w:val="2"/>
          <w:sz w:val="32"/>
          <w:szCs w:val="32"/>
          <w:lang w:val="en-US" w:eastAsia="zh-CN" w:bidi="ar-SA"/>
          <w14:textFill>
            <w14:solidFill>
              <w14:schemeClr w14:val="tx1"/>
            </w14:solidFill>
          </w14:textFill>
        </w:rPr>
        <w:t>发现问题27352户，可燃气体报警装置安装率100%</w:t>
      </w:r>
      <w:r>
        <w:rPr>
          <w:rFonts w:hint="eastAsia" w:ascii="仿宋_GB2312" w:hAnsi="仿宋" w:eastAsia="仿宋_GB2312" w:cs="仿宋"/>
          <w:bCs/>
          <w:color w:val="000000" w:themeColor="text1"/>
          <w:sz w:val="32"/>
          <w:szCs w:val="32"/>
          <w:lang w:val="en-US" w:eastAsia="zh-CN"/>
          <w14:textFill>
            <w14:solidFill>
              <w14:schemeClr w14:val="tx1"/>
            </w14:solidFill>
          </w14:textFill>
        </w:rPr>
        <w:t>。投资4312万元改造更新燃气管道335km，升级改造配气站3个。开展房屋建筑和市政基础设施自然灾害综合风险普查，共计调查房屋24.09万栋，排查经营性自建房9559栋。</w:t>
      </w:r>
    </w:p>
    <w:p>
      <w:pPr>
        <w:ind w:firstLine="800" w:firstLineChars="250"/>
        <w:rPr>
          <w:rStyle w:val="29"/>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二、机</w:t>
      </w:r>
      <w:r>
        <w:rPr>
          <w:rStyle w:val="29"/>
          <w:rFonts w:hint="eastAsia" w:ascii="黑体" w:hAnsi="黑体" w:eastAsia="黑体" w:cs="黑体"/>
          <w:b w:val="0"/>
          <w:bCs w:val="0"/>
          <w:color w:val="auto"/>
          <w:sz w:val="32"/>
          <w:szCs w:val="32"/>
        </w:rPr>
        <w:t>构设置</w:t>
      </w:r>
      <w:bookmarkEnd w:id="23"/>
      <w:bookmarkEnd w:id="24"/>
      <w:bookmarkEnd w:id="25"/>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剑阁县住房和城乡建设局为行政</w:t>
      </w:r>
      <w:r>
        <w:rPr>
          <w:rFonts w:hint="eastAsia" w:ascii="仿宋_GB2312" w:eastAsia="仿宋_GB2312" w:cs="仿宋"/>
          <w:kern w:val="0"/>
          <w:sz w:val="32"/>
          <w:szCs w:val="32"/>
          <w:lang w:val="zh-CN"/>
        </w:rPr>
        <w:t>单位，人员经费实行财政拨款的预算管理办法。</w:t>
      </w:r>
      <w:r>
        <w:rPr>
          <w:rFonts w:hint="eastAsia" w:ascii="仿宋_GB2312" w:hAnsi="仿宋_GB2312" w:eastAsia="仿宋_GB2312" w:cs="仿宋_GB2312"/>
          <w:b w:val="0"/>
          <w:bCs w:val="0"/>
          <w:color w:val="auto"/>
          <w:sz w:val="32"/>
          <w:szCs w:val="32"/>
          <w:lang w:eastAsia="zh-CN"/>
        </w:rPr>
        <w:t>剑阁县住房和城乡建设局</w:t>
      </w:r>
      <w:r>
        <w:rPr>
          <w:rFonts w:hint="eastAsia" w:ascii="仿宋_GB2312" w:hAnsi="仿宋_GB2312" w:eastAsia="仿宋_GB2312" w:cs="仿宋_GB2312"/>
          <w:b w:val="0"/>
          <w:bCs w:val="0"/>
          <w:color w:val="auto"/>
          <w:sz w:val="32"/>
          <w:szCs w:val="32"/>
        </w:rPr>
        <w:t>下属二级单位</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个，其中行政单位</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个，参照公务员法管理的事业单位</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个，其他事业单位</w:t>
      </w:r>
      <w:r>
        <w:rPr>
          <w:rFonts w:hint="eastAsia" w:ascii="仿宋_GB2312" w:hAnsi="仿宋_GB2312" w:eastAsia="仿宋_GB2312" w:cs="仿宋_GB2312"/>
          <w:b w:val="0"/>
          <w:bCs w:val="0"/>
          <w:color w:val="auto"/>
          <w:sz w:val="32"/>
          <w:szCs w:val="32"/>
          <w:lang w:val="en-US" w:eastAsia="zh-CN"/>
        </w:rPr>
        <w:t>5</w:t>
      </w:r>
      <w:bookmarkStart w:id="99" w:name="_GoBack"/>
      <w:bookmarkEnd w:id="99"/>
      <w:r>
        <w:rPr>
          <w:rFonts w:hint="eastAsia" w:ascii="仿宋_GB2312" w:hAnsi="仿宋_GB2312" w:eastAsia="仿宋_GB2312" w:cs="仿宋_GB2312"/>
          <w:b w:val="0"/>
          <w:bCs w:val="0"/>
          <w:color w:val="auto"/>
          <w:sz w:val="32"/>
          <w:szCs w:val="32"/>
        </w:rPr>
        <w:t>个。</w:t>
      </w:r>
    </w:p>
    <w:p>
      <w:pPr>
        <w:pStyle w:val="4"/>
        <w:ind w:right="440"/>
        <w:jc w:val="center"/>
        <w:rPr>
          <w:rStyle w:val="28"/>
          <w:rFonts w:hint="eastAsia" w:ascii="黑体" w:hAnsi="黑体" w:eastAsia="黑体" w:cs="黑体"/>
          <w:b w:val="0"/>
          <w:bCs w:val="0"/>
          <w:color w:val="auto"/>
          <w:sz w:val="40"/>
          <w:szCs w:val="40"/>
        </w:rPr>
      </w:pPr>
      <w:bookmarkStart w:id="26" w:name="_Toc30073"/>
      <w:bookmarkStart w:id="27" w:name="_Toc15396602"/>
      <w:bookmarkStart w:id="28" w:name="_Toc15377204"/>
      <w:r>
        <w:rPr>
          <w:rFonts w:hint="eastAsia" w:ascii="黑体" w:hAnsi="黑体" w:eastAsia="黑体" w:cs="黑体"/>
          <w:b w:val="0"/>
          <w:bCs w:val="0"/>
          <w:color w:val="auto"/>
          <w:sz w:val="40"/>
          <w:szCs w:val="40"/>
        </w:rPr>
        <w:t>第二部分 202</w:t>
      </w:r>
      <w:r>
        <w:rPr>
          <w:rFonts w:hint="eastAsia" w:ascii="黑体" w:hAnsi="黑体" w:eastAsia="黑体" w:cs="黑体"/>
          <w:b w:val="0"/>
          <w:bCs w:val="0"/>
          <w:color w:val="auto"/>
          <w:sz w:val="40"/>
          <w:szCs w:val="40"/>
          <w:lang w:val="en-US" w:eastAsia="zh-CN"/>
        </w:rPr>
        <w:t>2</w:t>
      </w:r>
      <w:r>
        <w:rPr>
          <w:rFonts w:hint="eastAsia" w:ascii="黑体" w:hAnsi="黑体" w:eastAsia="黑体" w:cs="黑体"/>
          <w:b w:val="0"/>
          <w:bCs w:val="0"/>
          <w:color w:val="auto"/>
          <w:sz w:val="40"/>
          <w:szCs w:val="40"/>
        </w:rPr>
        <w:t>年度</w:t>
      </w:r>
      <w:r>
        <w:rPr>
          <w:rStyle w:val="28"/>
          <w:rFonts w:hint="eastAsia" w:ascii="黑体" w:hAnsi="黑体" w:eastAsia="黑体" w:cs="黑体"/>
          <w:b w:val="0"/>
          <w:bCs w:val="0"/>
          <w:color w:val="auto"/>
          <w:sz w:val="40"/>
          <w:szCs w:val="40"/>
          <w:lang w:eastAsia="zh-CN"/>
        </w:rPr>
        <w:t>单位</w:t>
      </w:r>
      <w:r>
        <w:rPr>
          <w:rStyle w:val="28"/>
          <w:rFonts w:hint="eastAsia" w:ascii="黑体" w:hAnsi="黑体" w:eastAsia="黑体" w:cs="黑体"/>
          <w:b w:val="0"/>
          <w:bCs w:val="0"/>
          <w:color w:val="auto"/>
          <w:sz w:val="40"/>
          <w:szCs w:val="40"/>
        </w:rPr>
        <w:t>决算情况说明</w:t>
      </w:r>
      <w:bookmarkEnd w:id="26"/>
      <w:bookmarkEnd w:id="27"/>
      <w:bookmarkEnd w:id="28"/>
    </w:p>
    <w:p>
      <w:pPr>
        <w:rPr>
          <w:rFonts w:hint="eastAsia" w:ascii="仿宋_GB2312" w:hAnsi="仿宋_GB2312" w:eastAsia="仿宋_GB2312" w:cs="仿宋_GB2312"/>
          <w:b w:val="0"/>
          <w:bCs w:val="0"/>
          <w:color w:val="auto"/>
        </w:rPr>
      </w:pPr>
    </w:p>
    <w:p>
      <w:pPr>
        <w:pStyle w:val="27"/>
        <w:numPr>
          <w:ilvl w:val="0"/>
          <w:numId w:val="0"/>
        </w:numPr>
        <w:spacing w:line="600" w:lineRule="exact"/>
        <w:ind w:left="640" w:leftChars="0"/>
        <w:outlineLvl w:val="1"/>
        <w:rPr>
          <w:rStyle w:val="29"/>
          <w:rFonts w:hint="eastAsia" w:ascii="黑体" w:hAnsi="黑体" w:eastAsia="黑体" w:cs="黑体"/>
          <w:b w:val="0"/>
          <w:bCs w:val="0"/>
          <w:color w:val="auto"/>
        </w:rPr>
      </w:pPr>
      <w:bookmarkStart w:id="29" w:name="_Toc23991"/>
      <w:bookmarkStart w:id="30" w:name="_Toc15377205"/>
      <w:bookmarkStart w:id="31" w:name="_Toc15396603"/>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收</w:t>
      </w:r>
      <w:r>
        <w:rPr>
          <w:rStyle w:val="29"/>
          <w:rFonts w:hint="eastAsia" w:ascii="黑体" w:hAnsi="黑体" w:eastAsia="黑体" w:cs="黑体"/>
          <w:b w:val="0"/>
          <w:bCs w:val="0"/>
          <w:color w:val="auto"/>
        </w:rPr>
        <w:t>入支出决算总体情况说明</w:t>
      </w:r>
      <w:bookmarkEnd w:id="29"/>
      <w:bookmarkEnd w:id="30"/>
      <w:bookmarkEnd w:id="31"/>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年度收、支总计</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万元。与202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年相比，收、支总计各增加各增加</w:t>
      </w:r>
      <w:r>
        <w:rPr>
          <w:rFonts w:hint="eastAsia" w:ascii="仿宋_GB2312" w:hAnsi="仿宋_GB2312" w:eastAsia="仿宋_GB2312" w:cs="仿宋_GB2312"/>
          <w:b w:val="0"/>
          <w:bCs w:val="0"/>
          <w:color w:val="auto"/>
          <w:sz w:val="32"/>
          <w:szCs w:val="32"/>
          <w:lang w:val="en-US" w:eastAsia="zh-CN"/>
        </w:rPr>
        <w:t>23627.46</w:t>
      </w:r>
      <w:r>
        <w:rPr>
          <w:rFonts w:hint="eastAsia" w:ascii="仿宋_GB2312" w:hAnsi="仿宋_GB2312" w:eastAsia="仿宋_GB2312" w:cs="仿宋_GB2312"/>
          <w:b w:val="0"/>
          <w:bCs w:val="0"/>
          <w:color w:val="auto"/>
          <w:sz w:val="32"/>
          <w:szCs w:val="32"/>
        </w:rPr>
        <w:t>万元，增长</w:t>
      </w:r>
      <w:r>
        <w:rPr>
          <w:rFonts w:hint="eastAsia" w:ascii="仿宋_GB2312" w:hAnsi="仿宋_GB2312" w:eastAsia="仿宋_GB2312" w:cs="仿宋_GB2312"/>
          <w:b w:val="0"/>
          <w:bCs w:val="0"/>
          <w:color w:val="auto"/>
          <w:sz w:val="32"/>
          <w:szCs w:val="32"/>
          <w:lang w:val="en-US" w:eastAsia="zh-CN"/>
        </w:rPr>
        <w:t>96.36</w:t>
      </w:r>
      <w:r>
        <w:rPr>
          <w:rFonts w:hint="eastAsia" w:ascii="仿宋_GB2312" w:hAnsi="仿宋_GB2312" w:eastAsia="仿宋_GB2312" w:cs="仿宋_GB2312"/>
          <w:b w:val="0"/>
          <w:bCs w:val="0"/>
          <w:color w:val="auto"/>
          <w:sz w:val="32"/>
          <w:szCs w:val="32"/>
        </w:rPr>
        <w:t>%。主要变动原因是</w:t>
      </w:r>
      <w:r>
        <w:rPr>
          <w:rFonts w:hint="eastAsia" w:ascii="仿宋_GB2312" w:hAnsi="仿宋_GB2312" w:eastAsia="仿宋_GB2312" w:cs="仿宋_GB2312"/>
          <w:b w:val="0"/>
          <w:bCs w:val="0"/>
          <w:color w:val="auto"/>
          <w:sz w:val="32"/>
          <w:szCs w:val="32"/>
          <w:lang w:eastAsia="zh-CN"/>
        </w:rPr>
        <w:t>政府性基金</w:t>
      </w:r>
      <w:r>
        <w:rPr>
          <w:rFonts w:hint="eastAsia" w:ascii="仿宋_GB2312" w:hAnsi="仿宋_GB2312" w:eastAsia="仿宋_GB2312" w:cs="仿宋_GB2312"/>
          <w:b w:val="0"/>
          <w:bCs w:val="0"/>
          <w:color w:val="auto"/>
          <w:sz w:val="32"/>
          <w:szCs w:val="32"/>
        </w:rPr>
        <w:t>预算</w:t>
      </w:r>
      <w:r>
        <w:rPr>
          <w:rFonts w:hint="eastAsia" w:ascii="仿宋_GB2312" w:hAnsi="仿宋_GB2312" w:eastAsia="仿宋_GB2312" w:cs="仿宋_GB2312"/>
          <w:b w:val="0"/>
          <w:bCs w:val="0"/>
          <w:color w:val="auto"/>
          <w:sz w:val="32"/>
          <w:szCs w:val="32"/>
          <w:lang w:eastAsia="zh-CN"/>
        </w:rPr>
        <w:t>拨款</w:t>
      </w:r>
      <w:r>
        <w:rPr>
          <w:rFonts w:hint="eastAsia" w:ascii="仿宋_GB2312" w:hAnsi="仿宋_GB2312" w:eastAsia="仿宋_GB2312" w:cs="仿宋_GB2312"/>
          <w:b w:val="0"/>
          <w:bCs w:val="0"/>
          <w:color w:val="auto"/>
          <w:sz w:val="32"/>
          <w:szCs w:val="32"/>
        </w:rPr>
        <w:t>财政收入增加。</w:t>
      </w:r>
    </w:p>
    <w:p>
      <w:pPr>
        <w:pStyle w:val="8"/>
        <w:rPr>
          <w:rFonts w:hint="eastAsia" w:ascii="仿宋_GB2312" w:hAnsi="仿宋_GB2312" w:eastAsia="仿宋_GB2312" w:cs="仿宋_GB2312"/>
          <w:b w:val="0"/>
          <w:bCs w:val="0"/>
          <w:color w:val="auto"/>
          <w:sz w:val="32"/>
          <w:szCs w:val="32"/>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560" w:firstLineChars="200"/>
        <w:jc w:val="cente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图1：收、支决算总计变动情况图</w:t>
      </w:r>
      <w:r>
        <w:rPr>
          <w:rFonts w:hint="eastAsia" w:ascii="仿宋_GB2312" w:hAnsi="仿宋_GB2312" w:eastAsia="仿宋_GB2312" w:cs="仿宋_GB2312"/>
          <w:b w:val="0"/>
          <w:bCs w:val="0"/>
          <w:color w:val="auto"/>
          <w:sz w:val="28"/>
          <w:szCs w:val="28"/>
          <w:lang w:eastAsia="zh-CN"/>
        </w:rPr>
        <w:t>）</w:t>
      </w:r>
    </w:p>
    <w:p>
      <w:pPr>
        <w:pStyle w:val="27"/>
        <w:numPr>
          <w:ilvl w:val="0"/>
          <w:numId w:val="0"/>
        </w:numPr>
        <w:spacing w:line="600" w:lineRule="exact"/>
        <w:ind w:left="640" w:leftChars="0"/>
        <w:outlineLvl w:val="1"/>
        <w:rPr>
          <w:rStyle w:val="29"/>
          <w:rFonts w:hint="eastAsia" w:ascii="黑体" w:hAnsi="黑体" w:eastAsia="黑体" w:cs="黑体"/>
          <w:b w:val="0"/>
          <w:bCs w:val="0"/>
          <w:color w:val="auto"/>
        </w:rPr>
      </w:pPr>
      <w:bookmarkStart w:id="32" w:name="_Toc15377206"/>
      <w:bookmarkStart w:id="33" w:name="_Toc15396604"/>
      <w:bookmarkStart w:id="34" w:name="_Toc7229"/>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收</w:t>
      </w:r>
      <w:r>
        <w:rPr>
          <w:rStyle w:val="29"/>
          <w:rFonts w:hint="eastAsia" w:ascii="黑体" w:hAnsi="黑体" w:eastAsia="黑体" w:cs="黑体"/>
          <w:b w:val="0"/>
          <w:bCs w:val="0"/>
          <w:color w:val="auto"/>
        </w:rPr>
        <w:t>入决算情况说明</w:t>
      </w:r>
      <w:bookmarkEnd w:id="32"/>
      <w:bookmarkEnd w:id="33"/>
      <w:bookmarkEnd w:id="34"/>
    </w:p>
    <w:p>
      <w:pPr>
        <w:spacing w:line="600" w:lineRule="exact"/>
        <w:ind w:firstLine="640" w:firstLineChars="200"/>
        <w:outlineLvl w:val="1"/>
        <w:rPr>
          <w:rFonts w:hint="eastAsia" w:ascii="仿宋_GB2312" w:hAnsi="仿宋_GB2312" w:eastAsia="仿宋_GB2312" w:cs="仿宋_GB2312"/>
          <w:b w:val="0"/>
          <w:bCs w:val="0"/>
          <w:color w:val="auto"/>
          <w:sz w:val="32"/>
          <w:szCs w:val="32"/>
        </w:rPr>
      </w:pPr>
      <w:bookmarkStart w:id="35" w:name="_Toc19976"/>
      <w:bookmarkStart w:id="36" w:name="_Toc8730"/>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年本年收入合计</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万元，其中：一般公共预算财政拨款收入</w:t>
      </w:r>
      <w:r>
        <w:rPr>
          <w:rFonts w:hint="eastAsia" w:ascii="仿宋_GB2312" w:hAnsi="仿宋_GB2312" w:eastAsia="仿宋_GB2312" w:cs="仿宋_GB2312"/>
          <w:b w:val="0"/>
          <w:bCs w:val="0"/>
          <w:color w:val="auto"/>
          <w:sz w:val="32"/>
          <w:szCs w:val="32"/>
          <w:lang w:val="en-US" w:eastAsia="zh-CN"/>
        </w:rPr>
        <w:t>3167.79</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6.58</w:t>
      </w:r>
      <w:r>
        <w:rPr>
          <w:rFonts w:hint="eastAsia" w:ascii="仿宋_GB2312" w:hAnsi="仿宋_GB2312" w:eastAsia="仿宋_GB2312" w:cs="仿宋_GB2312"/>
          <w:b w:val="0"/>
          <w:bCs w:val="0"/>
          <w:color w:val="auto"/>
          <w:sz w:val="32"/>
          <w:szCs w:val="32"/>
        </w:rPr>
        <w:t>%；政府性基金预算财政拨款收入</w:t>
      </w:r>
      <w:r>
        <w:rPr>
          <w:rFonts w:hint="eastAsia" w:ascii="仿宋_GB2312" w:hAnsi="仿宋_GB2312" w:eastAsia="仿宋_GB2312" w:cs="仿宋_GB2312"/>
          <w:b w:val="0"/>
          <w:bCs w:val="0"/>
          <w:color w:val="auto"/>
          <w:sz w:val="32"/>
          <w:szCs w:val="32"/>
          <w:lang w:val="en-US" w:eastAsia="zh-CN"/>
        </w:rPr>
        <w:t>40114.36</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83.32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年初财政拨款结转和结余</w:t>
      </w:r>
      <w:r>
        <w:rPr>
          <w:rFonts w:hint="eastAsia" w:ascii="仿宋_GB2312" w:hAnsi="仿宋_GB2312" w:eastAsia="仿宋_GB2312" w:cs="仿宋_GB2312"/>
          <w:b w:val="0"/>
          <w:bCs w:val="0"/>
          <w:color w:val="auto"/>
          <w:sz w:val="32"/>
          <w:szCs w:val="32"/>
          <w:lang w:val="en-US" w:eastAsia="zh-CN"/>
        </w:rPr>
        <w:t>4865.12</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10.1</w:t>
      </w:r>
      <w:r>
        <w:rPr>
          <w:rFonts w:hint="eastAsia" w:ascii="仿宋_GB2312" w:hAnsi="仿宋_GB2312" w:eastAsia="仿宋_GB2312" w:cs="仿宋_GB2312"/>
          <w:b w:val="0"/>
          <w:bCs w:val="0"/>
          <w:color w:val="auto"/>
          <w:sz w:val="32"/>
          <w:szCs w:val="32"/>
        </w:rPr>
        <w:t>%。</w:t>
      </w:r>
      <w:bookmarkEnd w:id="35"/>
      <w:bookmarkEnd w:id="36"/>
    </w:p>
    <w:p>
      <w:pPr>
        <w:pStyle w:val="2"/>
        <w:rPr>
          <w:rFonts w:hint="eastAsia" w:ascii="仿宋_GB2312" w:hAnsi="仿宋_GB2312" w:eastAsia="仿宋_GB2312" w:cs="仿宋_GB2312"/>
          <w:b w:val="0"/>
          <w:bCs w:val="0"/>
          <w:color w:val="auto"/>
          <w:sz w:val="32"/>
          <w:szCs w:val="32"/>
        </w:rPr>
      </w:pPr>
      <w:r>
        <w:drawing>
          <wp:inline distT="0" distB="0" distL="114300" distR="114300">
            <wp:extent cx="4572000" cy="2743200"/>
            <wp:effectExtent l="4445" t="4445" r="14605" b="14605"/>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560" w:firstLineChars="200"/>
        <w:jc w:val="center"/>
        <w:outlineLvl w:val="1"/>
        <w:rPr>
          <w:rFonts w:hint="eastAsia" w:ascii="仿宋_GB2312" w:hAnsi="仿宋_GB2312" w:eastAsia="仿宋_GB2312" w:cs="仿宋_GB2312"/>
          <w:b w:val="0"/>
          <w:bCs w:val="0"/>
          <w:color w:val="auto"/>
          <w:sz w:val="28"/>
          <w:szCs w:val="28"/>
        </w:rPr>
      </w:pPr>
      <w:bookmarkStart w:id="37" w:name="_Toc2718"/>
      <w:bookmarkStart w:id="38" w:name="_Toc1874"/>
      <w:r>
        <w:rPr>
          <w:rFonts w:hint="eastAsia" w:ascii="仿宋_GB2312" w:hAnsi="仿宋_GB2312" w:eastAsia="仿宋_GB2312" w:cs="仿宋_GB2312"/>
          <w:b w:val="0"/>
          <w:bCs w:val="0"/>
          <w:color w:val="auto"/>
          <w:sz w:val="28"/>
          <w:szCs w:val="28"/>
        </w:rPr>
        <w:t>图2：收入决算结构图</w:t>
      </w:r>
      <w:bookmarkEnd w:id="37"/>
      <w:bookmarkEnd w:id="38"/>
    </w:p>
    <w:p>
      <w:pPr>
        <w:spacing w:line="600" w:lineRule="exact"/>
        <w:ind w:firstLine="640" w:firstLineChars="200"/>
        <w:rPr>
          <w:rFonts w:hint="eastAsia" w:ascii="仿宋_GB2312" w:hAnsi="仿宋_GB2312" w:eastAsia="仿宋_GB2312" w:cs="仿宋_GB2312"/>
          <w:b w:val="0"/>
          <w:bCs w:val="0"/>
          <w:color w:val="auto"/>
          <w:sz w:val="32"/>
          <w:szCs w:val="32"/>
        </w:rPr>
      </w:pPr>
    </w:p>
    <w:p>
      <w:pPr>
        <w:pStyle w:val="27"/>
        <w:numPr>
          <w:ilvl w:val="0"/>
          <w:numId w:val="0"/>
        </w:numPr>
        <w:spacing w:line="600" w:lineRule="exact"/>
        <w:ind w:left="640" w:leftChars="0"/>
        <w:outlineLvl w:val="1"/>
        <w:rPr>
          <w:rStyle w:val="29"/>
          <w:rFonts w:hint="eastAsia" w:ascii="黑体" w:hAnsi="黑体" w:eastAsia="黑体" w:cs="黑体"/>
          <w:b w:val="0"/>
          <w:bCs w:val="0"/>
          <w:color w:val="auto"/>
        </w:rPr>
      </w:pPr>
      <w:bookmarkStart w:id="39" w:name="_Toc15377207"/>
      <w:bookmarkStart w:id="40" w:name="_Toc15396605"/>
      <w:bookmarkStart w:id="41" w:name="_Toc26704"/>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支</w:t>
      </w:r>
      <w:r>
        <w:rPr>
          <w:rStyle w:val="29"/>
          <w:rFonts w:hint="eastAsia" w:ascii="黑体" w:hAnsi="黑体" w:eastAsia="黑体" w:cs="黑体"/>
          <w:b w:val="0"/>
          <w:bCs w:val="0"/>
          <w:color w:val="auto"/>
        </w:rPr>
        <w:t>出决算情况说明</w:t>
      </w:r>
      <w:bookmarkEnd w:id="39"/>
      <w:bookmarkEnd w:id="40"/>
      <w:bookmarkEnd w:id="41"/>
    </w:p>
    <w:p>
      <w:pPr>
        <w:spacing w:line="600" w:lineRule="exact"/>
        <w:ind w:firstLine="640" w:firstLineChars="200"/>
        <w:outlineLvl w:val="1"/>
        <w:rPr>
          <w:rFonts w:hint="eastAsia" w:ascii="仿宋_GB2312" w:hAnsi="仿宋_GB2312" w:eastAsia="仿宋_GB2312" w:cs="仿宋_GB2312"/>
          <w:b w:val="0"/>
          <w:bCs w:val="0"/>
          <w:color w:val="auto"/>
          <w:sz w:val="32"/>
          <w:szCs w:val="32"/>
          <w:lang w:eastAsia="zh-CN"/>
        </w:rPr>
      </w:pPr>
      <w:bookmarkStart w:id="42" w:name="_Toc4729"/>
      <w:bookmarkStart w:id="43" w:name="_Toc23729"/>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年本年支出合计</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万元，其中：基本支出</w:t>
      </w:r>
      <w:r>
        <w:rPr>
          <w:rFonts w:hint="eastAsia" w:ascii="仿宋_GB2312" w:hAnsi="仿宋_GB2312" w:eastAsia="仿宋_GB2312" w:cs="仿宋_GB2312"/>
          <w:b w:val="0"/>
          <w:bCs w:val="0"/>
          <w:color w:val="auto"/>
          <w:sz w:val="32"/>
          <w:szCs w:val="32"/>
          <w:lang w:val="en-US" w:eastAsia="zh-CN"/>
        </w:rPr>
        <w:t>398.43</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0.83%</w:t>
      </w:r>
      <w:r>
        <w:rPr>
          <w:rFonts w:hint="eastAsia" w:ascii="仿宋_GB2312" w:hAnsi="仿宋_GB2312" w:eastAsia="仿宋_GB2312" w:cs="仿宋_GB2312"/>
          <w:b w:val="0"/>
          <w:bCs w:val="0"/>
          <w:color w:val="auto"/>
          <w:sz w:val="32"/>
          <w:szCs w:val="32"/>
        </w:rPr>
        <w:t>；项目支出</w:t>
      </w:r>
      <w:r>
        <w:rPr>
          <w:rFonts w:hint="eastAsia" w:ascii="仿宋_GB2312" w:hAnsi="仿宋_GB2312" w:eastAsia="仿宋_GB2312" w:cs="仿宋_GB2312"/>
          <w:b w:val="0"/>
          <w:bCs w:val="0"/>
          <w:color w:val="auto"/>
          <w:sz w:val="32"/>
          <w:szCs w:val="32"/>
          <w:lang w:val="en-US" w:eastAsia="zh-CN"/>
        </w:rPr>
        <w:t>47748.84</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99.17</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一般公共预算财政拨款结转结余</w:t>
      </w:r>
      <w:r>
        <w:rPr>
          <w:rFonts w:hint="eastAsia" w:ascii="仿宋_GB2312" w:hAnsi="仿宋_GB2312" w:eastAsia="仿宋_GB2312" w:cs="仿宋_GB2312"/>
          <w:b w:val="0"/>
          <w:bCs w:val="0"/>
          <w:color w:val="auto"/>
          <w:sz w:val="32"/>
          <w:szCs w:val="32"/>
          <w:lang w:val="en-US" w:eastAsia="zh-CN"/>
        </w:rPr>
        <w:t>4674.33</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9.71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政府性基金预算财政拨款结转结余</w:t>
      </w:r>
      <w:r>
        <w:rPr>
          <w:rFonts w:hint="eastAsia" w:ascii="仿宋_GB2312" w:hAnsi="仿宋_GB2312" w:eastAsia="仿宋_GB2312" w:cs="仿宋_GB2312"/>
          <w:b w:val="0"/>
          <w:bCs w:val="0"/>
          <w:color w:val="auto"/>
          <w:sz w:val="32"/>
          <w:szCs w:val="32"/>
          <w:lang w:val="en-US" w:eastAsia="zh-CN"/>
        </w:rPr>
        <w:t>190.79</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0.40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bookmarkEnd w:id="42"/>
      <w:bookmarkEnd w:id="43"/>
    </w:p>
    <w:p>
      <w:pPr>
        <w:spacing w:line="600" w:lineRule="exact"/>
        <w:ind w:firstLine="560" w:firstLineChars="200"/>
        <w:jc w:val="center"/>
        <w:outlineLvl w:val="1"/>
        <w:rPr>
          <w:rFonts w:hint="eastAsia" w:ascii="仿宋_GB2312" w:hAnsi="仿宋_GB2312" w:eastAsia="仿宋_GB2312" w:cs="仿宋_GB2312"/>
          <w:b w:val="0"/>
          <w:bCs w:val="0"/>
          <w:color w:val="auto"/>
          <w:sz w:val="28"/>
          <w:szCs w:val="28"/>
        </w:rPr>
      </w:pPr>
      <w:bookmarkStart w:id="44" w:name="_Toc26903"/>
      <w:bookmarkStart w:id="45" w:name="_Toc13564"/>
    </w:p>
    <w:p>
      <w:pPr>
        <w:pStyle w:val="2"/>
        <w:rPr>
          <w:rFonts w:hint="eastAsia" w:ascii="仿宋_GB2312" w:hAnsi="仿宋_GB2312" w:eastAsia="仿宋_GB2312" w:cs="仿宋_GB2312"/>
          <w:b w:val="0"/>
          <w:bCs w:val="0"/>
          <w:color w:val="auto"/>
          <w:sz w:val="28"/>
          <w:szCs w:val="28"/>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560" w:firstLineChars="200"/>
        <w:jc w:val="center"/>
        <w:outlineLvl w:val="1"/>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图3：支出决算结构图</w:t>
      </w:r>
      <w:bookmarkEnd w:id="44"/>
      <w:bookmarkEnd w:id="45"/>
    </w:p>
    <w:p>
      <w:pPr>
        <w:spacing w:line="600" w:lineRule="exact"/>
        <w:ind w:firstLine="640" w:firstLineChars="200"/>
        <w:outlineLvl w:val="1"/>
        <w:rPr>
          <w:rStyle w:val="29"/>
          <w:rFonts w:hint="eastAsia" w:ascii="黑体" w:hAnsi="黑体" w:eastAsia="黑体" w:cs="黑体"/>
          <w:b w:val="0"/>
          <w:bCs w:val="0"/>
          <w:color w:val="auto"/>
        </w:rPr>
      </w:pPr>
      <w:bookmarkStart w:id="46" w:name="_Toc25540"/>
      <w:bookmarkStart w:id="47" w:name="_Toc15377208"/>
      <w:bookmarkStart w:id="48" w:name="_Toc15396606"/>
      <w:r>
        <w:rPr>
          <w:rFonts w:hint="eastAsia" w:ascii="黑体" w:hAnsi="黑体" w:eastAsia="黑体" w:cs="黑体"/>
          <w:b w:val="0"/>
          <w:bCs w:val="0"/>
          <w:color w:val="auto"/>
          <w:sz w:val="32"/>
          <w:szCs w:val="32"/>
        </w:rPr>
        <w:t>四、财</w:t>
      </w:r>
      <w:r>
        <w:rPr>
          <w:rStyle w:val="29"/>
          <w:rFonts w:hint="eastAsia" w:ascii="黑体" w:hAnsi="黑体" w:eastAsia="黑体" w:cs="黑体"/>
          <w:b w:val="0"/>
          <w:bCs w:val="0"/>
          <w:color w:val="auto"/>
        </w:rPr>
        <w:t>政拨款收入支出决算总体情况说明</w:t>
      </w:r>
      <w:bookmarkEnd w:id="46"/>
      <w:bookmarkEnd w:id="47"/>
      <w:bookmarkEnd w:id="48"/>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年度收、支总计</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万元。与202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年相比，收、支总计各增加各增加</w:t>
      </w:r>
      <w:r>
        <w:rPr>
          <w:rFonts w:hint="eastAsia" w:ascii="仿宋_GB2312" w:hAnsi="仿宋_GB2312" w:eastAsia="仿宋_GB2312" w:cs="仿宋_GB2312"/>
          <w:b w:val="0"/>
          <w:bCs w:val="0"/>
          <w:color w:val="auto"/>
          <w:sz w:val="32"/>
          <w:szCs w:val="32"/>
          <w:lang w:val="en-US" w:eastAsia="zh-CN"/>
        </w:rPr>
        <w:t>23627.46</w:t>
      </w:r>
      <w:r>
        <w:rPr>
          <w:rFonts w:hint="eastAsia" w:ascii="仿宋_GB2312" w:hAnsi="仿宋_GB2312" w:eastAsia="仿宋_GB2312" w:cs="仿宋_GB2312"/>
          <w:b w:val="0"/>
          <w:bCs w:val="0"/>
          <w:color w:val="auto"/>
          <w:sz w:val="32"/>
          <w:szCs w:val="32"/>
        </w:rPr>
        <w:t>万元，增长</w:t>
      </w:r>
      <w:r>
        <w:rPr>
          <w:rFonts w:hint="eastAsia" w:ascii="仿宋_GB2312" w:hAnsi="仿宋_GB2312" w:eastAsia="仿宋_GB2312" w:cs="仿宋_GB2312"/>
          <w:b w:val="0"/>
          <w:bCs w:val="0"/>
          <w:color w:val="auto"/>
          <w:sz w:val="32"/>
          <w:szCs w:val="32"/>
          <w:lang w:val="en-US" w:eastAsia="zh-CN"/>
        </w:rPr>
        <w:t>96.36</w:t>
      </w:r>
      <w:r>
        <w:rPr>
          <w:rFonts w:hint="eastAsia" w:ascii="仿宋_GB2312" w:hAnsi="仿宋_GB2312" w:eastAsia="仿宋_GB2312" w:cs="仿宋_GB2312"/>
          <w:b w:val="0"/>
          <w:bCs w:val="0"/>
          <w:color w:val="auto"/>
          <w:sz w:val="32"/>
          <w:szCs w:val="32"/>
        </w:rPr>
        <w:t>%。主要变动原因是</w:t>
      </w:r>
      <w:r>
        <w:rPr>
          <w:rFonts w:hint="eastAsia" w:ascii="仿宋_GB2312" w:hAnsi="仿宋_GB2312" w:eastAsia="仿宋_GB2312" w:cs="仿宋_GB2312"/>
          <w:b w:val="0"/>
          <w:bCs w:val="0"/>
          <w:color w:val="auto"/>
          <w:sz w:val="32"/>
          <w:szCs w:val="32"/>
          <w:lang w:eastAsia="zh-CN"/>
        </w:rPr>
        <w:t>政府性基金</w:t>
      </w:r>
      <w:r>
        <w:rPr>
          <w:rFonts w:hint="eastAsia" w:ascii="仿宋_GB2312" w:hAnsi="仿宋_GB2312" w:eastAsia="仿宋_GB2312" w:cs="仿宋_GB2312"/>
          <w:b w:val="0"/>
          <w:bCs w:val="0"/>
          <w:color w:val="auto"/>
          <w:sz w:val="32"/>
          <w:szCs w:val="32"/>
        </w:rPr>
        <w:t>预算</w:t>
      </w:r>
      <w:r>
        <w:rPr>
          <w:rFonts w:hint="eastAsia" w:ascii="仿宋_GB2312" w:hAnsi="仿宋_GB2312" w:eastAsia="仿宋_GB2312" w:cs="仿宋_GB2312"/>
          <w:b w:val="0"/>
          <w:bCs w:val="0"/>
          <w:color w:val="auto"/>
          <w:sz w:val="32"/>
          <w:szCs w:val="32"/>
          <w:lang w:eastAsia="zh-CN"/>
        </w:rPr>
        <w:t>拨款</w:t>
      </w:r>
      <w:r>
        <w:rPr>
          <w:rFonts w:hint="eastAsia" w:ascii="仿宋_GB2312" w:hAnsi="仿宋_GB2312" w:eastAsia="仿宋_GB2312" w:cs="仿宋_GB2312"/>
          <w:b w:val="0"/>
          <w:bCs w:val="0"/>
          <w:color w:val="auto"/>
          <w:sz w:val="32"/>
          <w:szCs w:val="32"/>
        </w:rPr>
        <w:t>财政收入增加。</w:t>
      </w:r>
    </w:p>
    <w:p>
      <w:pPr>
        <w:pStyle w:val="2"/>
        <w:rPr>
          <w:rFonts w:hint="eastAsia" w:ascii="仿宋_GB2312" w:hAnsi="仿宋_GB2312" w:eastAsia="仿宋_GB2312" w:cs="仿宋_GB2312"/>
          <w:b w:val="0"/>
          <w:bCs w:val="0"/>
          <w:color w:val="auto"/>
          <w:sz w:val="32"/>
          <w:szCs w:val="32"/>
        </w:rPr>
      </w:pPr>
      <w:r>
        <w:drawing>
          <wp:inline distT="0" distB="0" distL="114300" distR="114300">
            <wp:extent cx="4572000" cy="2743200"/>
            <wp:effectExtent l="4445" t="4445" r="14605"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left="0" w:leftChars="0" w:firstLine="0" w:firstLineChars="0"/>
        <w:jc w:val="center"/>
        <w:outlineLvl w:val="1"/>
        <w:rPr>
          <w:rFonts w:hint="eastAsia" w:ascii="仿宋_GB2312" w:hAnsi="仿宋_GB2312" w:eastAsia="仿宋_GB2312" w:cs="仿宋_GB2312"/>
          <w:b w:val="0"/>
          <w:bCs w:val="0"/>
          <w:color w:val="auto"/>
          <w:sz w:val="28"/>
          <w:szCs w:val="28"/>
        </w:rPr>
      </w:pPr>
      <w:bookmarkStart w:id="49" w:name="_Toc9444"/>
      <w:bookmarkStart w:id="50" w:name="_Toc12562"/>
      <w:r>
        <w:rPr>
          <w:rFonts w:hint="eastAsia" w:ascii="仿宋_GB2312" w:hAnsi="仿宋_GB2312" w:eastAsia="仿宋_GB2312" w:cs="仿宋_GB2312"/>
          <w:b w:val="0"/>
          <w:bCs w:val="0"/>
          <w:color w:val="auto"/>
          <w:sz w:val="28"/>
          <w:szCs w:val="28"/>
        </w:rPr>
        <w:t>图4：财政拨款收、支决算总计变动情况</w:t>
      </w:r>
      <w:bookmarkEnd w:id="49"/>
      <w:bookmarkEnd w:id="50"/>
    </w:p>
    <w:p>
      <w:pPr>
        <w:spacing w:line="600" w:lineRule="exact"/>
        <w:ind w:firstLine="640" w:firstLineChars="200"/>
        <w:outlineLvl w:val="1"/>
        <w:rPr>
          <w:rStyle w:val="29"/>
          <w:rFonts w:hint="eastAsia" w:ascii="黑体" w:hAnsi="黑体" w:eastAsia="黑体" w:cs="黑体"/>
          <w:b w:val="0"/>
          <w:bCs w:val="0"/>
          <w:color w:val="auto"/>
        </w:rPr>
      </w:pPr>
      <w:bookmarkStart w:id="51" w:name="_Toc15396607"/>
      <w:bookmarkStart w:id="52" w:name="_Toc15377209"/>
      <w:bookmarkStart w:id="53" w:name="_Toc20889"/>
      <w:r>
        <w:rPr>
          <w:rFonts w:hint="eastAsia" w:ascii="黑体" w:hAnsi="黑体" w:eastAsia="黑体" w:cs="黑体"/>
          <w:b w:val="0"/>
          <w:bCs w:val="0"/>
          <w:color w:val="auto"/>
          <w:sz w:val="32"/>
          <w:szCs w:val="32"/>
        </w:rPr>
        <w:t>五、一</w:t>
      </w:r>
      <w:r>
        <w:rPr>
          <w:rStyle w:val="29"/>
          <w:rFonts w:hint="eastAsia" w:ascii="黑体" w:hAnsi="黑体" w:eastAsia="黑体" w:cs="黑体"/>
          <w:b w:val="0"/>
          <w:bCs w:val="0"/>
          <w:color w:val="auto"/>
        </w:rPr>
        <w:t>般公共预算财政拨款支出决算情况说明</w:t>
      </w:r>
      <w:bookmarkEnd w:id="51"/>
      <w:bookmarkEnd w:id="52"/>
      <w:bookmarkEnd w:id="53"/>
    </w:p>
    <w:p>
      <w:pPr>
        <w:spacing w:line="600" w:lineRule="exact"/>
        <w:ind w:firstLine="643" w:firstLineChars="200"/>
        <w:outlineLvl w:val="2"/>
        <w:rPr>
          <w:rFonts w:hint="eastAsia" w:ascii="仿宋_GB2312" w:hAnsi="仿宋_GB2312" w:eastAsia="仿宋_GB2312" w:cs="仿宋_GB2312"/>
          <w:b/>
          <w:bCs/>
          <w:color w:val="auto"/>
          <w:sz w:val="32"/>
          <w:szCs w:val="32"/>
        </w:rPr>
      </w:pPr>
      <w:bookmarkStart w:id="54" w:name="_Toc15377210"/>
      <w:r>
        <w:rPr>
          <w:rFonts w:hint="eastAsia" w:ascii="仿宋_GB2312" w:hAnsi="仿宋_GB2312" w:eastAsia="仿宋_GB2312" w:cs="仿宋_GB2312"/>
          <w:b/>
          <w:bCs/>
          <w:color w:val="auto"/>
          <w:sz w:val="32"/>
          <w:szCs w:val="32"/>
        </w:rPr>
        <w:t>（一）一般公共预算财政拨款支出决算总体情况</w:t>
      </w:r>
      <w:bookmarkEnd w:id="54"/>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年一般公共预算财政拨款支出</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万元，占本年支出合计的100%。与20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年相比，一般公共预算财政拨款</w:t>
      </w:r>
      <w:r>
        <w:rPr>
          <w:rFonts w:hint="eastAsia" w:ascii="仿宋_GB2312" w:hAnsi="仿宋_GB2312" w:eastAsia="仿宋_GB2312" w:cs="仿宋_GB2312"/>
          <w:b w:val="0"/>
          <w:bCs w:val="0"/>
          <w:color w:val="auto"/>
          <w:sz w:val="32"/>
          <w:szCs w:val="32"/>
          <w:lang w:eastAsia="zh-CN"/>
        </w:rPr>
        <w:t>减少</w:t>
      </w:r>
      <w:r>
        <w:rPr>
          <w:rFonts w:hint="eastAsia" w:ascii="仿宋_GB2312" w:hAnsi="仿宋_GB2312" w:eastAsia="仿宋_GB2312" w:cs="仿宋_GB2312"/>
          <w:b w:val="0"/>
          <w:bCs w:val="0"/>
          <w:color w:val="auto"/>
          <w:sz w:val="32"/>
          <w:szCs w:val="32"/>
          <w:lang w:val="en-US" w:eastAsia="zh-CN"/>
        </w:rPr>
        <w:t>8357.24</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减少</w:t>
      </w:r>
      <w:r>
        <w:rPr>
          <w:rFonts w:hint="eastAsia" w:ascii="仿宋_GB2312" w:hAnsi="仿宋_GB2312" w:eastAsia="仿宋_GB2312" w:cs="仿宋_GB2312"/>
          <w:b w:val="0"/>
          <w:bCs w:val="0"/>
          <w:color w:val="auto"/>
          <w:sz w:val="32"/>
          <w:szCs w:val="32"/>
          <w:lang w:val="en-US" w:eastAsia="zh-CN"/>
        </w:rPr>
        <w:t>63.86</w:t>
      </w:r>
      <w:r>
        <w:rPr>
          <w:rFonts w:hint="eastAsia" w:ascii="仿宋_GB2312" w:hAnsi="仿宋_GB2312" w:eastAsia="仿宋_GB2312" w:cs="仿宋_GB2312"/>
          <w:b w:val="0"/>
          <w:bCs w:val="0"/>
          <w:color w:val="auto"/>
          <w:sz w:val="32"/>
          <w:szCs w:val="32"/>
        </w:rPr>
        <w:t>%。主要变动原因是</w:t>
      </w:r>
      <w:r>
        <w:rPr>
          <w:rFonts w:hint="eastAsia" w:ascii="仿宋_GB2312" w:hAnsi="仿宋_GB2312" w:eastAsia="仿宋_GB2312" w:cs="仿宋_GB2312"/>
          <w:b w:val="0"/>
          <w:bCs w:val="0"/>
          <w:color w:val="auto"/>
          <w:sz w:val="32"/>
          <w:szCs w:val="32"/>
          <w:lang w:eastAsia="zh-CN"/>
        </w:rPr>
        <w:t>加强内部管理减少非必要的支出</w:t>
      </w:r>
      <w:r>
        <w:rPr>
          <w:rFonts w:hint="eastAsia" w:ascii="仿宋_GB2312" w:hAnsi="仿宋_GB2312" w:eastAsia="仿宋_GB2312" w:cs="仿宋_GB2312"/>
          <w:b w:val="0"/>
          <w:bCs w:val="0"/>
          <w:color w:val="auto"/>
          <w:sz w:val="32"/>
          <w:szCs w:val="32"/>
        </w:rPr>
        <w:t>。</w:t>
      </w:r>
    </w:p>
    <w:p>
      <w:pPr>
        <w:pStyle w:val="2"/>
        <w:rPr>
          <w:rFonts w:hint="eastAsia" w:ascii="仿宋_GB2312" w:hAnsi="仿宋_GB2312" w:eastAsia="仿宋_GB2312" w:cs="仿宋_GB2312"/>
          <w:b w:val="0"/>
          <w:bCs w:val="0"/>
          <w:color w:val="auto"/>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left="0" w:leftChars="0" w:firstLine="0" w:firstLineChars="0"/>
        <w:jc w:val="center"/>
        <w:outlineLvl w:val="1"/>
        <w:rPr>
          <w:rFonts w:hint="eastAsia" w:ascii="仿宋_GB2312" w:hAnsi="仿宋_GB2312" w:eastAsia="仿宋_GB2312" w:cs="仿宋_GB2312"/>
          <w:b w:val="0"/>
          <w:bCs w:val="0"/>
          <w:color w:val="auto"/>
          <w:sz w:val="28"/>
          <w:szCs w:val="28"/>
        </w:rPr>
      </w:pPr>
      <w:bookmarkStart w:id="55" w:name="_Toc21860"/>
      <w:bookmarkStart w:id="56" w:name="_Toc22984"/>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图5：一般公共预算财政拨款支出决算变动情况</w:t>
      </w:r>
      <w:bookmarkEnd w:id="55"/>
      <w:bookmarkEnd w:id="56"/>
      <w:r>
        <w:rPr>
          <w:rFonts w:hint="eastAsia" w:ascii="仿宋_GB2312" w:hAnsi="仿宋_GB2312" w:eastAsia="仿宋_GB2312" w:cs="仿宋_GB2312"/>
          <w:b w:val="0"/>
          <w:bCs w:val="0"/>
          <w:color w:val="auto"/>
          <w:sz w:val="28"/>
          <w:szCs w:val="28"/>
          <w:lang w:eastAsia="zh-CN"/>
        </w:rPr>
        <w:t>）</w:t>
      </w:r>
    </w:p>
    <w:p>
      <w:pPr>
        <w:spacing w:line="600" w:lineRule="exact"/>
        <w:ind w:firstLine="643" w:firstLineChars="200"/>
        <w:outlineLvl w:val="2"/>
        <w:rPr>
          <w:rFonts w:hint="eastAsia" w:ascii="仿宋_GB2312" w:hAnsi="仿宋_GB2312" w:eastAsia="仿宋_GB2312" w:cs="仿宋_GB2312"/>
          <w:b/>
          <w:bCs/>
          <w:color w:val="auto"/>
          <w:sz w:val="32"/>
          <w:szCs w:val="32"/>
        </w:rPr>
      </w:pPr>
      <w:bookmarkStart w:id="57" w:name="_Toc15377211"/>
      <w:r>
        <w:rPr>
          <w:rFonts w:hint="eastAsia" w:ascii="仿宋_GB2312" w:hAnsi="仿宋_GB2312" w:eastAsia="仿宋_GB2312" w:cs="仿宋_GB2312"/>
          <w:b/>
          <w:bCs/>
          <w:color w:val="auto"/>
          <w:sz w:val="32"/>
          <w:szCs w:val="32"/>
        </w:rPr>
        <w:t>（二）一般公共预算财政拨款支出决算结构情况</w:t>
      </w:r>
      <w:bookmarkEnd w:id="57"/>
    </w:p>
    <w:p>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年一般公共预算财政拨款支出</w:t>
      </w:r>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rPr>
        <w:t>万元，主要用于以下方面:</w:t>
      </w:r>
      <w:r>
        <w:rPr>
          <w:rFonts w:hint="eastAsia" w:ascii="仿宋_GB2312" w:hAnsi="仿宋_GB2312" w:eastAsia="仿宋_GB2312" w:cs="仿宋_GB2312"/>
          <w:b w:val="0"/>
          <w:bCs w:val="0"/>
          <w:color w:val="auto"/>
          <w:sz w:val="32"/>
          <w:szCs w:val="32"/>
          <w:lang w:eastAsia="zh-CN"/>
        </w:rPr>
        <w:t>城乡社区</w:t>
      </w:r>
      <w:r>
        <w:rPr>
          <w:rFonts w:hint="eastAsia" w:ascii="仿宋_GB2312" w:hAnsi="仿宋_GB2312" w:eastAsia="仿宋_GB2312" w:cs="仿宋_GB2312"/>
          <w:b w:val="0"/>
          <w:bCs w:val="0"/>
          <w:color w:val="auto"/>
          <w:sz w:val="32"/>
          <w:szCs w:val="32"/>
        </w:rPr>
        <w:t>（类）支出</w:t>
      </w:r>
      <w:r>
        <w:rPr>
          <w:rFonts w:hint="eastAsia" w:ascii="仿宋_GB2312" w:hAnsi="仿宋_GB2312" w:eastAsia="仿宋_GB2312" w:cs="仿宋_GB2312"/>
          <w:b w:val="0"/>
          <w:bCs w:val="0"/>
          <w:color w:val="auto"/>
          <w:sz w:val="32"/>
          <w:szCs w:val="32"/>
          <w:lang w:val="en-US" w:eastAsia="zh-CN"/>
        </w:rPr>
        <w:t>8539.69</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17.74</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节能环保</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lang w:val="en-US" w:eastAsia="zh-CN"/>
        </w:rPr>
        <w:t>896.33</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1.86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农林水</w:t>
      </w:r>
      <w:r>
        <w:rPr>
          <w:rFonts w:hint="eastAsia" w:ascii="仿宋_GB2312" w:hAnsi="仿宋_GB2312" w:eastAsia="仿宋_GB2312" w:cs="仿宋_GB2312"/>
          <w:b w:val="0"/>
          <w:bCs w:val="0"/>
          <w:color w:val="auto"/>
          <w:sz w:val="32"/>
          <w:szCs w:val="32"/>
        </w:rPr>
        <w:t>（类）支出</w:t>
      </w:r>
      <w:r>
        <w:rPr>
          <w:rFonts w:hint="eastAsia" w:ascii="仿宋_GB2312" w:hAnsi="仿宋_GB2312" w:eastAsia="仿宋_GB2312" w:cs="仿宋_GB2312"/>
          <w:b w:val="0"/>
          <w:bCs w:val="0"/>
          <w:color w:val="auto"/>
          <w:sz w:val="32"/>
          <w:szCs w:val="32"/>
          <w:lang w:val="en-US" w:eastAsia="zh-CN"/>
        </w:rPr>
        <w:t>146.01</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0.3</w:t>
      </w:r>
      <w:r>
        <w:rPr>
          <w:rFonts w:hint="eastAsia" w:ascii="仿宋_GB2312" w:hAnsi="仿宋_GB2312" w:eastAsia="仿宋_GB2312" w:cs="仿宋_GB2312"/>
          <w:b w:val="0"/>
          <w:bCs w:val="0"/>
          <w:color w:val="auto"/>
          <w:sz w:val="32"/>
          <w:szCs w:val="32"/>
        </w:rPr>
        <w:t>%；社会保障和就业（类）支出</w:t>
      </w:r>
      <w:r>
        <w:rPr>
          <w:rFonts w:hint="eastAsia" w:ascii="仿宋_GB2312" w:hAnsi="仿宋_GB2312" w:eastAsia="仿宋_GB2312" w:cs="仿宋_GB2312"/>
          <w:b w:val="0"/>
          <w:bCs w:val="0"/>
          <w:color w:val="auto"/>
          <w:sz w:val="32"/>
          <w:szCs w:val="32"/>
          <w:lang w:val="en-US" w:eastAsia="zh-CN"/>
        </w:rPr>
        <w:t>49.48</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0.1</w:t>
      </w:r>
      <w:r>
        <w:rPr>
          <w:rFonts w:hint="eastAsia" w:ascii="仿宋_GB2312" w:hAnsi="仿宋_GB2312" w:eastAsia="仿宋_GB2312" w:cs="仿宋_GB2312"/>
          <w:b w:val="0"/>
          <w:bCs w:val="0"/>
          <w:color w:val="auto"/>
          <w:sz w:val="32"/>
          <w:szCs w:val="32"/>
        </w:rPr>
        <w:t>%；卫生健康支出</w:t>
      </w:r>
      <w:r>
        <w:rPr>
          <w:rFonts w:hint="eastAsia" w:ascii="仿宋_GB2312" w:hAnsi="仿宋_GB2312" w:eastAsia="仿宋_GB2312" w:cs="仿宋_GB2312"/>
          <w:b w:val="0"/>
          <w:bCs w:val="0"/>
          <w:color w:val="auto"/>
          <w:sz w:val="32"/>
          <w:szCs w:val="32"/>
          <w:lang w:val="en-US" w:eastAsia="zh-CN"/>
        </w:rPr>
        <w:t>24.74</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0.05</w:t>
      </w:r>
      <w:r>
        <w:rPr>
          <w:rFonts w:hint="eastAsia" w:ascii="仿宋_GB2312" w:hAnsi="仿宋_GB2312" w:eastAsia="仿宋_GB2312" w:cs="仿宋_GB2312"/>
          <w:b w:val="0"/>
          <w:bCs w:val="0"/>
          <w:color w:val="auto"/>
          <w:sz w:val="32"/>
          <w:szCs w:val="32"/>
        </w:rPr>
        <w:t>%；住房保障支出</w:t>
      </w:r>
      <w:r>
        <w:rPr>
          <w:rFonts w:hint="eastAsia" w:ascii="仿宋_GB2312" w:hAnsi="仿宋_GB2312" w:eastAsia="仿宋_GB2312" w:cs="仿宋_GB2312"/>
          <w:b w:val="0"/>
          <w:bCs w:val="0"/>
          <w:color w:val="auto"/>
          <w:sz w:val="32"/>
          <w:szCs w:val="32"/>
          <w:lang w:val="en-US" w:eastAsia="zh-CN"/>
        </w:rPr>
        <w:t>2388.02</w:t>
      </w:r>
      <w:r>
        <w:rPr>
          <w:rFonts w:hint="eastAsia" w:ascii="仿宋_GB2312" w:hAnsi="仿宋_GB2312" w:eastAsia="仿宋_GB2312" w:cs="仿宋_GB2312"/>
          <w:b w:val="0"/>
          <w:bCs w:val="0"/>
          <w:color w:val="auto"/>
          <w:sz w:val="32"/>
          <w:szCs w:val="32"/>
        </w:rPr>
        <w:t>万元，占</w:t>
      </w:r>
      <w:r>
        <w:rPr>
          <w:rFonts w:hint="eastAsia" w:ascii="仿宋_GB2312" w:hAnsi="仿宋_GB2312" w:eastAsia="仿宋_GB2312" w:cs="仿宋_GB2312"/>
          <w:b w:val="0"/>
          <w:bCs w:val="0"/>
          <w:color w:val="auto"/>
          <w:sz w:val="32"/>
          <w:szCs w:val="32"/>
          <w:lang w:val="en-US" w:eastAsia="zh-CN"/>
        </w:rPr>
        <w:t>0.496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highlight w:val="none"/>
          <w:lang w:eastAsia="zh-CN"/>
        </w:rPr>
        <w:t>年初结转结余</w:t>
      </w:r>
      <w:r>
        <w:rPr>
          <w:rFonts w:hint="eastAsia" w:ascii="仿宋_GB2312" w:hAnsi="仿宋_GB2312" w:eastAsia="仿宋_GB2312" w:cs="仿宋_GB2312"/>
          <w:b w:val="0"/>
          <w:bCs w:val="0"/>
          <w:color w:val="auto"/>
          <w:sz w:val="32"/>
          <w:szCs w:val="32"/>
          <w:highlight w:val="none"/>
          <w:lang w:val="en-US" w:eastAsia="zh-CN"/>
        </w:rPr>
        <w:t>4865.12万元。</w:t>
      </w:r>
    </w:p>
    <w:p>
      <w:pPr>
        <w:pStyle w:val="2"/>
        <w:rPr>
          <w:rFonts w:hint="eastAsia" w:ascii="仿宋_GB2312" w:hAnsi="仿宋_GB2312" w:eastAsia="仿宋_GB2312" w:cs="仿宋_GB2312"/>
          <w:b w:val="0"/>
          <w:bCs w:val="0"/>
          <w:color w:val="auto"/>
          <w:sz w:val="28"/>
          <w:szCs w:val="28"/>
        </w:rPr>
      </w:pPr>
      <w:r>
        <w:drawing>
          <wp:inline distT="0" distB="0" distL="114300" distR="114300">
            <wp:extent cx="4572000" cy="2743200"/>
            <wp:effectExtent l="4445" t="4445" r="14605" b="1460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仿宋_GB2312" w:hAnsi="仿宋_GB2312" w:eastAsia="仿宋_GB2312" w:cs="仿宋_GB2312"/>
          <w:b w:val="0"/>
          <w:bCs w:val="0"/>
          <w:color w:val="auto"/>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hint="eastAsia" w:ascii="仿宋_GB2312" w:hAnsi="仿宋_GB2312" w:eastAsia="仿宋_GB2312" w:cs="仿宋_GB2312"/>
          <w:b/>
          <w:bCs/>
          <w:color w:val="auto"/>
          <w:sz w:val="32"/>
          <w:szCs w:val="32"/>
          <w:highlight w:val="none"/>
        </w:rPr>
      </w:pPr>
      <w:bookmarkStart w:id="58" w:name="_Toc15377212"/>
      <w:r>
        <w:rPr>
          <w:rFonts w:hint="eastAsia" w:ascii="仿宋_GB2312" w:hAnsi="仿宋_GB2312" w:eastAsia="仿宋_GB2312" w:cs="仿宋_GB2312"/>
          <w:b/>
          <w:bCs/>
          <w:color w:val="auto"/>
          <w:sz w:val="32"/>
          <w:szCs w:val="32"/>
          <w:highlight w:val="none"/>
        </w:rPr>
        <w:t>（三）一般公共预算财政拨款支出决算具体情况</w:t>
      </w:r>
      <w:bookmarkEnd w:id="58"/>
    </w:p>
    <w:p>
      <w:pPr>
        <w:spacing w:line="600" w:lineRule="exact"/>
        <w:ind w:firstLine="640" w:firstLineChars="200"/>
        <w:outlineLvl w:val="1"/>
        <w:rPr>
          <w:rFonts w:hint="eastAsia" w:ascii="仿宋_GB2312" w:hAnsi="仿宋_GB2312" w:eastAsia="仿宋_GB2312" w:cs="仿宋_GB2312"/>
          <w:b w:val="0"/>
          <w:bCs w:val="0"/>
          <w:color w:val="auto"/>
          <w:sz w:val="32"/>
          <w:szCs w:val="32"/>
        </w:rPr>
      </w:pPr>
      <w:bookmarkStart w:id="59" w:name="_Toc9235"/>
      <w:bookmarkStart w:id="60" w:name="_Toc32075"/>
      <w:bookmarkStart w:id="61" w:name="_Toc15377213"/>
      <w:bookmarkStart w:id="62" w:name="_Toc15377444"/>
      <w:bookmarkStart w:id="63" w:name="_Toc15378460"/>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年一般公共预算支出决算数为</w:t>
      </w:r>
      <w:bookmarkEnd w:id="59"/>
      <w:bookmarkEnd w:id="60"/>
      <w:r>
        <w:rPr>
          <w:rFonts w:hint="eastAsia" w:ascii="仿宋_GB2312" w:hAnsi="仿宋_GB2312" w:eastAsia="仿宋_GB2312" w:cs="仿宋_GB2312"/>
          <w:b w:val="0"/>
          <w:bCs w:val="0"/>
          <w:color w:val="auto"/>
          <w:sz w:val="32"/>
          <w:szCs w:val="32"/>
          <w:lang w:val="en-US" w:eastAsia="zh-CN"/>
        </w:rPr>
        <w:t>48147.27</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b w:val="0"/>
          <w:bCs w:val="0"/>
          <w:color w:val="auto"/>
          <w:sz w:val="32"/>
          <w:szCs w:val="32"/>
          <w:highlight w:val="none"/>
        </w:rPr>
        <w:t>，</w:t>
      </w:r>
      <w:r>
        <w:rPr>
          <w:rStyle w:val="18"/>
          <w:rFonts w:hint="eastAsia" w:ascii="仿宋_GB2312" w:hAnsi="仿宋_GB2312" w:eastAsia="仿宋_GB2312" w:cs="仿宋_GB2312"/>
          <w:b w:val="0"/>
          <w:bCs w:val="0"/>
          <w:color w:val="auto"/>
          <w:sz w:val="32"/>
          <w:szCs w:val="32"/>
          <w:highlight w:val="none"/>
        </w:rPr>
        <w:t>完</w:t>
      </w:r>
      <w:r>
        <w:rPr>
          <w:rStyle w:val="18"/>
          <w:rFonts w:hint="eastAsia" w:ascii="仿宋_GB2312" w:hAnsi="仿宋_GB2312" w:eastAsia="仿宋_GB2312" w:cs="仿宋_GB2312"/>
          <w:b w:val="0"/>
          <w:bCs w:val="0"/>
          <w:color w:val="auto"/>
          <w:sz w:val="32"/>
          <w:szCs w:val="32"/>
        </w:rPr>
        <w:t>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%。其中：</w:t>
      </w:r>
      <w:bookmarkEnd w:id="61"/>
      <w:bookmarkEnd w:id="62"/>
      <w:bookmarkEnd w:id="63"/>
    </w:p>
    <w:p>
      <w:pPr>
        <w:spacing w:line="600" w:lineRule="exact"/>
        <w:ind w:firstLine="640" w:firstLineChars="200"/>
        <w:rPr>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1.</w:t>
      </w:r>
      <w:r>
        <w:rPr>
          <w:rStyle w:val="18"/>
          <w:rFonts w:hint="eastAsia" w:ascii="仿宋_GB2312" w:hAnsi="仿宋_GB2312" w:eastAsia="仿宋_GB2312" w:cs="仿宋_GB2312"/>
          <w:b w:val="0"/>
          <w:bCs w:val="0"/>
          <w:color w:val="auto"/>
          <w:sz w:val="32"/>
          <w:szCs w:val="32"/>
          <w:lang w:val="en-US" w:eastAsia="zh-CN"/>
        </w:rPr>
        <w:t>城乡社区支出</w:t>
      </w:r>
      <w:r>
        <w:rPr>
          <w:rStyle w:val="18"/>
          <w:rFonts w:hint="eastAsia" w:ascii="仿宋_GB2312" w:hAnsi="仿宋_GB2312" w:eastAsia="仿宋_GB2312" w:cs="仿宋_GB2312"/>
          <w:b w:val="0"/>
          <w:bCs w:val="0"/>
          <w:color w:val="auto"/>
          <w:sz w:val="32"/>
          <w:szCs w:val="32"/>
        </w:rPr>
        <w:t>（类）</w:t>
      </w:r>
      <w:r>
        <w:rPr>
          <w:rStyle w:val="18"/>
          <w:rFonts w:hint="eastAsia" w:ascii="仿宋_GB2312" w:hAnsi="仿宋_GB2312" w:eastAsia="仿宋_GB2312" w:cs="仿宋_GB2312"/>
          <w:b w:val="0"/>
          <w:bCs w:val="0"/>
          <w:color w:val="auto"/>
          <w:sz w:val="32"/>
          <w:szCs w:val="32"/>
          <w:lang w:eastAsia="zh-CN"/>
        </w:rPr>
        <w:t>城乡社区管理事务</w:t>
      </w:r>
      <w:r>
        <w:rPr>
          <w:rStyle w:val="18"/>
          <w:rFonts w:hint="eastAsia" w:ascii="仿宋_GB2312" w:hAnsi="仿宋_GB2312" w:eastAsia="仿宋_GB2312" w:cs="仿宋_GB2312"/>
          <w:b w:val="0"/>
          <w:bCs w:val="0"/>
          <w:color w:val="auto"/>
          <w:sz w:val="32"/>
          <w:szCs w:val="32"/>
        </w:rPr>
        <w:t>（款）</w:t>
      </w:r>
      <w:r>
        <w:rPr>
          <w:rStyle w:val="18"/>
          <w:rFonts w:hint="eastAsia" w:ascii="仿宋_GB2312" w:hAnsi="仿宋_GB2312" w:eastAsia="仿宋_GB2312" w:cs="仿宋_GB2312"/>
          <w:b w:val="0"/>
          <w:bCs w:val="0"/>
          <w:color w:val="auto"/>
          <w:sz w:val="32"/>
          <w:szCs w:val="32"/>
          <w:lang w:eastAsia="zh-CN"/>
        </w:rPr>
        <w:t>行政运行</w:t>
      </w:r>
      <w:r>
        <w:rPr>
          <w:rStyle w:val="18"/>
          <w:rFonts w:hint="eastAsia" w:ascii="仿宋_GB2312" w:hAnsi="仿宋_GB2312" w:eastAsia="仿宋_GB2312" w:cs="仿宋_GB2312"/>
          <w:b w:val="0"/>
          <w:bCs w:val="0"/>
          <w:color w:val="auto"/>
          <w:sz w:val="32"/>
          <w:szCs w:val="32"/>
        </w:rPr>
        <w:t>（项）: 支出决算为</w:t>
      </w:r>
      <w:r>
        <w:rPr>
          <w:rFonts w:hint="eastAsia" w:ascii="仿宋_GB2312" w:hAnsi="仿宋_GB2312" w:eastAsia="仿宋_GB2312" w:cs="仿宋_GB2312"/>
          <w:b w:val="0"/>
          <w:bCs w:val="0"/>
          <w:color w:val="auto"/>
          <w:sz w:val="32"/>
          <w:szCs w:val="32"/>
          <w:lang w:val="en-US" w:eastAsia="zh-CN"/>
        </w:rPr>
        <w:t>278.62</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spacing w:line="600" w:lineRule="exact"/>
        <w:ind w:firstLine="640" w:firstLineChars="200"/>
        <w:rPr>
          <w:rStyle w:val="18"/>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2.</w:t>
      </w:r>
      <w:r>
        <w:rPr>
          <w:rStyle w:val="18"/>
          <w:rFonts w:hint="eastAsia" w:ascii="仿宋_GB2312" w:hAnsi="仿宋_GB2312" w:eastAsia="仿宋_GB2312" w:cs="仿宋_GB2312"/>
          <w:b w:val="0"/>
          <w:bCs w:val="0"/>
          <w:color w:val="auto"/>
          <w:sz w:val="32"/>
          <w:szCs w:val="32"/>
          <w:lang w:eastAsia="zh-CN"/>
        </w:rPr>
        <w:t>住房保障</w:t>
      </w:r>
      <w:r>
        <w:rPr>
          <w:rStyle w:val="18"/>
          <w:rFonts w:hint="eastAsia" w:ascii="仿宋_GB2312" w:hAnsi="仿宋_GB2312" w:eastAsia="仿宋_GB2312" w:cs="仿宋_GB2312"/>
          <w:b w:val="0"/>
          <w:bCs w:val="0"/>
          <w:color w:val="auto"/>
          <w:sz w:val="32"/>
          <w:szCs w:val="32"/>
        </w:rPr>
        <w:t>（类）</w:t>
      </w:r>
      <w:r>
        <w:rPr>
          <w:rStyle w:val="18"/>
          <w:rFonts w:hint="eastAsia" w:ascii="仿宋_GB2312" w:hAnsi="仿宋_GB2312" w:eastAsia="仿宋_GB2312" w:cs="仿宋_GB2312"/>
          <w:b w:val="0"/>
          <w:bCs w:val="0"/>
          <w:color w:val="auto"/>
          <w:sz w:val="32"/>
          <w:szCs w:val="32"/>
          <w:lang w:eastAsia="zh-CN"/>
        </w:rPr>
        <w:t>住房改革支出</w:t>
      </w:r>
      <w:r>
        <w:rPr>
          <w:rStyle w:val="18"/>
          <w:rFonts w:hint="eastAsia" w:ascii="仿宋_GB2312" w:hAnsi="仿宋_GB2312" w:eastAsia="仿宋_GB2312" w:cs="仿宋_GB2312"/>
          <w:b w:val="0"/>
          <w:bCs w:val="0"/>
          <w:color w:val="auto"/>
          <w:sz w:val="32"/>
          <w:szCs w:val="32"/>
        </w:rPr>
        <w:t>（款）</w:t>
      </w:r>
      <w:r>
        <w:rPr>
          <w:rStyle w:val="18"/>
          <w:rFonts w:hint="eastAsia" w:ascii="仿宋_GB2312" w:hAnsi="仿宋_GB2312" w:eastAsia="仿宋_GB2312" w:cs="仿宋_GB2312"/>
          <w:b w:val="0"/>
          <w:bCs w:val="0"/>
          <w:color w:val="auto"/>
          <w:sz w:val="32"/>
          <w:szCs w:val="32"/>
          <w:lang w:eastAsia="zh-CN"/>
        </w:rPr>
        <w:t>住房公积金</w:t>
      </w:r>
      <w:r>
        <w:rPr>
          <w:rStyle w:val="18"/>
          <w:rFonts w:hint="eastAsia" w:ascii="仿宋_GB2312" w:hAnsi="仿宋_GB2312" w:eastAsia="仿宋_GB2312" w:cs="仿宋_GB2312"/>
          <w:b w:val="0"/>
          <w:bCs w:val="0"/>
          <w:color w:val="auto"/>
          <w:sz w:val="32"/>
          <w:szCs w:val="32"/>
        </w:rPr>
        <w:t>（项）: 支出决算为</w:t>
      </w:r>
      <w:r>
        <w:rPr>
          <w:rStyle w:val="18"/>
          <w:rFonts w:hint="eastAsia" w:ascii="仿宋_GB2312" w:hAnsi="仿宋_GB2312" w:eastAsia="仿宋_GB2312" w:cs="仿宋_GB2312"/>
          <w:b w:val="0"/>
          <w:bCs w:val="0"/>
          <w:color w:val="auto"/>
          <w:sz w:val="32"/>
          <w:szCs w:val="32"/>
          <w:lang w:val="en-US" w:eastAsia="zh-CN"/>
        </w:rPr>
        <w:t>18.52</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spacing w:line="600" w:lineRule="exact"/>
        <w:ind w:firstLine="640" w:firstLineChars="200"/>
        <w:rPr>
          <w:rStyle w:val="18"/>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3.</w:t>
      </w:r>
      <w:r>
        <w:rPr>
          <w:rStyle w:val="18"/>
          <w:rFonts w:hint="eastAsia" w:ascii="仿宋_GB2312" w:hAnsi="仿宋_GB2312" w:eastAsia="仿宋_GB2312" w:cs="仿宋_GB2312"/>
          <w:b w:val="0"/>
          <w:bCs w:val="0"/>
          <w:color w:val="auto"/>
          <w:sz w:val="32"/>
          <w:szCs w:val="32"/>
          <w:lang w:val="en-US" w:eastAsia="zh-CN"/>
        </w:rPr>
        <w:t>节能环保支出（类）污染防治（款）水体（项）</w:t>
      </w:r>
      <w:r>
        <w:rPr>
          <w:rStyle w:val="18"/>
          <w:rFonts w:hint="eastAsia" w:ascii="仿宋_GB2312" w:hAnsi="仿宋_GB2312" w:eastAsia="仿宋_GB2312" w:cs="仿宋_GB2312"/>
          <w:b w:val="0"/>
          <w:bCs w:val="0"/>
          <w:color w:val="auto"/>
          <w:sz w:val="32"/>
          <w:szCs w:val="32"/>
        </w:rPr>
        <w:t>: 支出决算为</w:t>
      </w:r>
      <w:r>
        <w:rPr>
          <w:rFonts w:hint="eastAsia" w:ascii="仿宋_GB2312" w:hAnsi="仿宋_GB2312" w:eastAsia="仿宋_GB2312" w:cs="仿宋_GB2312"/>
          <w:b w:val="0"/>
          <w:bCs w:val="0"/>
          <w:color w:val="auto"/>
          <w:sz w:val="32"/>
          <w:szCs w:val="32"/>
          <w:lang w:val="en-US" w:eastAsia="zh-CN"/>
        </w:rPr>
        <w:t>112.63</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spacing w:line="600" w:lineRule="exact"/>
        <w:ind w:firstLine="640" w:firstLineChars="200"/>
        <w:rPr>
          <w:rStyle w:val="18"/>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4.</w:t>
      </w:r>
      <w:r>
        <w:rPr>
          <w:rStyle w:val="18"/>
          <w:rFonts w:hint="eastAsia" w:ascii="仿宋_GB2312" w:hAnsi="仿宋_GB2312" w:eastAsia="仿宋_GB2312" w:cs="仿宋_GB2312"/>
          <w:b w:val="0"/>
          <w:bCs w:val="0"/>
          <w:color w:val="auto"/>
          <w:sz w:val="32"/>
          <w:szCs w:val="32"/>
          <w:lang w:eastAsia="zh-CN"/>
        </w:rPr>
        <w:t>农林水</w:t>
      </w:r>
      <w:r>
        <w:rPr>
          <w:rStyle w:val="18"/>
          <w:rFonts w:hint="eastAsia" w:ascii="仿宋_GB2312" w:hAnsi="仿宋_GB2312" w:eastAsia="仿宋_GB2312" w:cs="仿宋_GB2312"/>
          <w:b w:val="0"/>
          <w:bCs w:val="0"/>
          <w:color w:val="auto"/>
          <w:sz w:val="32"/>
          <w:szCs w:val="32"/>
        </w:rPr>
        <w:t>（类）</w:t>
      </w:r>
      <w:r>
        <w:rPr>
          <w:rStyle w:val="18"/>
          <w:rFonts w:hint="eastAsia" w:ascii="仿宋_GB2312" w:hAnsi="仿宋_GB2312" w:eastAsia="仿宋_GB2312" w:cs="仿宋_GB2312"/>
          <w:b w:val="0"/>
          <w:bCs w:val="0"/>
          <w:color w:val="auto"/>
          <w:sz w:val="32"/>
          <w:szCs w:val="32"/>
          <w:lang w:eastAsia="zh-CN"/>
        </w:rPr>
        <w:t>巩固脱贫衔接乡村振兴</w:t>
      </w:r>
      <w:r>
        <w:rPr>
          <w:rStyle w:val="18"/>
          <w:rFonts w:hint="eastAsia" w:ascii="仿宋_GB2312" w:hAnsi="仿宋_GB2312" w:eastAsia="仿宋_GB2312" w:cs="仿宋_GB2312"/>
          <w:b w:val="0"/>
          <w:bCs w:val="0"/>
          <w:color w:val="auto"/>
          <w:sz w:val="32"/>
          <w:szCs w:val="32"/>
        </w:rPr>
        <w:t>（款）其他</w:t>
      </w:r>
      <w:r>
        <w:rPr>
          <w:rStyle w:val="18"/>
          <w:rFonts w:hint="eastAsia" w:ascii="仿宋_GB2312" w:hAnsi="仿宋_GB2312" w:eastAsia="仿宋_GB2312" w:cs="仿宋_GB2312"/>
          <w:b w:val="0"/>
          <w:bCs w:val="0"/>
          <w:color w:val="auto"/>
          <w:sz w:val="32"/>
          <w:szCs w:val="32"/>
          <w:lang w:eastAsia="zh-CN"/>
        </w:rPr>
        <w:t>巩固脱贫衔接乡村振兴</w:t>
      </w:r>
      <w:r>
        <w:rPr>
          <w:rStyle w:val="18"/>
          <w:rFonts w:hint="eastAsia" w:ascii="仿宋_GB2312" w:hAnsi="仿宋_GB2312" w:eastAsia="仿宋_GB2312" w:cs="仿宋_GB2312"/>
          <w:b w:val="0"/>
          <w:bCs w:val="0"/>
          <w:color w:val="auto"/>
          <w:sz w:val="32"/>
          <w:szCs w:val="32"/>
        </w:rPr>
        <w:t>支出（项）: 支出决算为</w:t>
      </w:r>
      <w:r>
        <w:rPr>
          <w:rFonts w:hint="eastAsia" w:ascii="仿宋_GB2312" w:hAnsi="仿宋_GB2312" w:eastAsia="仿宋_GB2312" w:cs="仿宋_GB2312"/>
          <w:b w:val="0"/>
          <w:bCs w:val="0"/>
          <w:color w:val="auto"/>
          <w:sz w:val="32"/>
          <w:szCs w:val="32"/>
          <w:lang w:val="en-US" w:eastAsia="zh-CN"/>
        </w:rPr>
        <w:t>146.01</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spacing w:line="600" w:lineRule="exact"/>
        <w:ind w:firstLine="640" w:firstLineChars="200"/>
        <w:rPr>
          <w:rStyle w:val="18"/>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5.社会保障和就业（类）</w:t>
      </w:r>
      <w:r>
        <w:rPr>
          <w:rStyle w:val="18"/>
          <w:rFonts w:hint="eastAsia" w:ascii="仿宋_GB2312" w:hAnsi="仿宋_GB2312" w:eastAsia="仿宋_GB2312" w:cs="仿宋_GB2312"/>
          <w:b w:val="0"/>
          <w:bCs w:val="0"/>
          <w:color w:val="auto"/>
          <w:sz w:val="32"/>
          <w:szCs w:val="32"/>
          <w:lang w:eastAsia="zh-CN"/>
        </w:rPr>
        <w:t>行政事业单位养老支出</w:t>
      </w:r>
      <w:r>
        <w:rPr>
          <w:rStyle w:val="18"/>
          <w:rFonts w:hint="eastAsia" w:ascii="仿宋_GB2312" w:hAnsi="仿宋_GB2312" w:eastAsia="仿宋_GB2312" w:cs="仿宋_GB2312"/>
          <w:b w:val="0"/>
          <w:bCs w:val="0"/>
          <w:color w:val="auto"/>
          <w:sz w:val="32"/>
          <w:szCs w:val="32"/>
        </w:rPr>
        <w:t>（款）</w:t>
      </w:r>
      <w:r>
        <w:rPr>
          <w:rStyle w:val="18"/>
          <w:rFonts w:hint="eastAsia" w:ascii="仿宋_GB2312" w:hAnsi="仿宋_GB2312" w:eastAsia="仿宋_GB2312" w:cs="仿宋_GB2312"/>
          <w:b w:val="0"/>
          <w:bCs w:val="0"/>
          <w:color w:val="auto"/>
          <w:sz w:val="32"/>
          <w:szCs w:val="32"/>
          <w:lang w:eastAsia="zh-CN"/>
        </w:rPr>
        <w:t>机关事业单位基本养老保险缴费支出</w:t>
      </w:r>
      <w:r>
        <w:rPr>
          <w:rStyle w:val="18"/>
          <w:rFonts w:hint="eastAsia" w:ascii="仿宋_GB2312" w:hAnsi="仿宋_GB2312" w:eastAsia="仿宋_GB2312" w:cs="仿宋_GB2312"/>
          <w:b w:val="0"/>
          <w:bCs w:val="0"/>
          <w:color w:val="auto"/>
          <w:sz w:val="32"/>
          <w:szCs w:val="32"/>
        </w:rPr>
        <w:t>（项）: 支出决算为</w:t>
      </w:r>
      <w:r>
        <w:rPr>
          <w:rFonts w:hint="eastAsia" w:ascii="仿宋_GB2312" w:hAnsi="仿宋_GB2312" w:eastAsia="仿宋_GB2312" w:cs="仿宋_GB2312"/>
          <w:b w:val="0"/>
          <w:bCs w:val="0"/>
          <w:color w:val="auto"/>
          <w:sz w:val="32"/>
          <w:szCs w:val="32"/>
          <w:lang w:val="en-US" w:eastAsia="zh-CN"/>
        </w:rPr>
        <w:t>49.48</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spacing w:line="600" w:lineRule="exact"/>
        <w:ind w:firstLine="640" w:firstLineChars="200"/>
        <w:rPr>
          <w:rStyle w:val="18"/>
          <w:rFonts w:hint="eastAsia" w:ascii="仿宋_GB2312" w:hAnsi="仿宋_GB2312" w:eastAsia="仿宋_GB2312" w:cs="仿宋_GB2312"/>
          <w:b w:val="0"/>
          <w:bCs w:val="0"/>
          <w:color w:val="auto"/>
          <w:sz w:val="32"/>
          <w:szCs w:val="32"/>
        </w:rPr>
      </w:pPr>
      <w:r>
        <w:rPr>
          <w:rStyle w:val="18"/>
          <w:rFonts w:hint="eastAsia" w:ascii="仿宋_GB2312" w:hAnsi="仿宋_GB2312" w:eastAsia="仿宋_GB2312" w:cs="仿宋_GB2312"/>
          <w:b w:val="0"/>
          <w:bCs w:val="0"/>
          <w:color w:val="auto"/>
          <w:sz w:val="32"/>
          <w:szCs w:val="32"/>
        </w:rPr>
        <w:t>6.</w:t>
      </w:r>
      <w:r>
        <w:rPr>
          <w:rFonts w:hint="eastAsia" w:ascii="仿宋_GB2312" w:hAnsi="仿宋_GB2312" w:eastAsia="仿宋_GB2312" w:cs="仿宋_GB2312"/>
          <w:b w:val="0"/>
          <w:bCs w:val="0"/>
          <w:color w:val="auto"/>
          <w:sz w:val="32"/>
          <w:szCs w:val="32"/>
        </w:rPr>
        <w:t>卫生健康</w:t>
      </w:r>
      <w:r>
        <w:rPr>
          <w:rStyle w:val="18"/>
          <w:rFonts w:hint="eastAsia" w:ascii="仿宋_GB2312" w:hAnsi="仿宋_GB2312" w:eastAsia="仿宋_GB2312" w:cs="仿宋_GB2312"/>
          <w:b w:val="0"/>
          <w:bCs w:val="0"/>
          <w:color w:val="auto"/>
          <w:sz w:val="32"/>
          <w:szCs w:val="32"/>
        </w:rPr>
        <w:t>（类）行政事业单位医疗（款）行政单位医疗（项）:支出决算为</w:t>
      </w:r>
      <w:r>
        <w:rPr>
          <w:rFonts w:hint="eastAsia" w:ascii="仿宋_GB2312" w:hAnsi="仿宋_GB2312" w:eastAsia="仿宋_GB2312" w:cs="仿宋_GB2312"/>
          <w:b w:val="0"/>
          <w:bCs w:val="0"/>
          <w:color w:val="auto"/>
          <w:sz w:val="32"/>
          <w:szCs w:val="32"/>
          <w:lang w:val="en-US" w:eastAsia="zh-CN"/>
        </w:rPr>
        <w:t>24.74</w:t>
      </w:r>
      <w:r>
        <w:rPr>
          <w:rStyle w:val="18"/>
          <w:rFonts w:hint="eastAsia" w:ascii="仿宋_GB2312" w:hAnsi="仿宋_GB2312" w:eastAsia="仿宋_GB2312" w:cs="仿宋_GB2312"/>
          <w:b w:val="0"/>
          <w:bCs w:val="0"/>
          <w:color w:val="auto"/>
          <w:sz w:val="32"/>
          <w:szCs w:val="32"/>
        </w:rPr>
        <w:t>万元，完成预算</w:t>
      </w:r>
      <w:r>
        <w:rPr>
          <w:rStyle w:val="18"/>
          <w:rFonts w:hint="eastAsia" w:ascii="仿宋_GB2312" w:hAnsi="仿宋_GB2312" w:eastAsia="仿宋_GB2312" w:cs="仿宋_GB2312"/>
          <w:b w:val="0"/>
          <w:bCs w:val="0"/>
          <w:color w:val="auto"/>
          <w:sz w:val="32"/>
          <w:szCs w:val="32"/>
          <w:lang w:val="en-US" w:eastAsia="zh-CN"/>
        </w:rPr>
        <w:t>100</w:t>
      </w:r>
      <w:r>
        <w:rPr>
          <w:rStyle w:val="18"/>
          <w:rFonts w:hint="eastAsia" w:ascii="仿宋_GB2312" w:hAnsi="仿宋_GB2312" w:eastAsia="仿宋_GB2312" w:cs="仿宋_GB2312"/>
          <w:b w:val="0"/>
          <w:bCs w:val="0"/>
          <w:color w:val="auto"/>
          <w:sz w:val="32"/>
          <w:szCs w:val="32"/>
        </w:rPr>
        <w:t>%，决算数</w:t>
      </w:r>
      <w:r>
        <w:rPr>
          <w:rStyle w:val="18"/>
          <w:rFonts w:hint="eastAsia" w:ascii="仿宋_GB2312" w:hAnsi="仿宋_GB2312" w:eastAsia="仿宋_GB2312" w:cs="仿宋_GB2312"/>
          <w:b w:val="0"/>
          <w:bCs w:val="0"/>
          <w:color w:val="auto"/>
          <w:sz w:val="32"/>
          <w:szCs w:val="32"/>
          <w:lang w:eastAsia="zh-CN"/>
        </w:rPr>
        <w:t>与</w:t>
      </w:r>
      <w:r>
        <w:rPr>
          <w:rStyle w:val="18"/>
          <w:rFonts w:hint="eastAsia" w:ascii="仿宋_GB2312" w:hAnsi="仿宋_GB2312" w:eastAsia="仿宋_GB2312" w:cs="仿宋_GB2312"/>
          <w:b w:val="0"/>
          <w:bCs w:val="0"/>
          <w:color w:val="auto"/>
          <w:sz w:val="32"/>
          <w:szCs w:val="32"/>
        </w:rPr>
        <w:t>预算数</w:t>
      </w:r>
      <w:r>
        <w:rPr>
          <w:rStyle w:val="18"/>
          <w:rFonts w:hint="eastAsia" w:ascii="仿宋_GB2312" w:hAnsi="仿宋_GB2312" w:eastAsia="仿宋_GB2312" w:cs="仿宋_GB2312"/>
          <w:b w:val="0"/>
          <w:bCs w:val="0"/>
          <w:color w:val="auto"/>
          <w:sz w:val="32"/>
          <w:szCs w:val="32"/>
          <w:lang w:eastAsia="zh-CN"/>
        </w:rPr>
        <w:t>持平</w:t>
      </w:r>
      <w:r>
        <w:rPr>
          <w:rStyle w:val="18"/>
          <w:rFonts w:hint="eastAsia" w:ascii="仿宋_GB2312" w:hAnsi="仿宋_GB2312" w:eastAsia="仿宋_GB2312" w:cs="仿宋_GB2312"/>
          <w:b w:val="0"/>
          <w:bCs w:val="0"/>
          <w:color w:val="auto"/>
          <w:sz w:val="32"/>
          <w:szCs w:val="32"/>
        </w:rPr>
        <w:t>。</w:t>
      </w:r>
    </w:p>
    <w:p>
      <w:pPr>
        <w:tabs>
          <w:tab w:val="right" w:pos="8306"/>
        </w:tabs>
        <w:spacing w:line="600" w:lineRule="exact"/>
        <w:ind w:firstLine="640"/>
        <w:outlineLvl w:val="1"/>
        <w:rPr>
          <w:rStyle w:val="29"/>
          <w:rFonts w:hint="eastAsia" w:ascii="黑体" w:hAnsi="黑体" w:eastAsia="黑体" w:cs="黑体"/>
          <w:b w:val="0"/>
          <w:bCs w:val="0"/>
          <w:color w:val="auto"/>
        </w:rPr>
      </w:pPr>
      <w:bookmarkStart w:id="64" w:name="_Toc15377214"/>
      <w:bookmarkStart w:id="65" w:name="_Toc15396608"/>
      <w:bookmarkStart w:id="66" w:name="_Toc22537"/>
      <w:r>
        <w:rPr>
          <w:rFonts w:hint="eastAsia" w:ascii="黑体" w:hAnsi="黑体" w:eastAsia="黑体" w:cs="黑体"/>
          <w:b w:val="0"/>
          <w:bCs w:val="0"/>
          <w:color w:val="auto"/>
          <w:sz w:val="32"/>
          <w:szCs w:val="32"/>
        </w:rPr>
        <w:t>六、一</w:t>
      </w:r>
      <w:r>
        <w:rPr>
          <w:rStyle w:val="29"/>
          <w:rFonts w:hint="eastAsia" w:ascii="黑体" w:hAnsi="黑体" w:eastAsia="黑体" w:cs="黑体"/>
          <w:b w:val="0"/>
          <w:bCs w:val="0"/>
          <w:color w:val="auto"/>
        </w:rPr>
        <w:t>般公共预算财政拨款基本支出决算情况说明</w:t>
      </w:r>
      <w:bookmarkEnd w:id="64"/>
      <w:bookmarkEnd w:id="65"/>
      <w:bookmarkEnd w:id="66"/>
      <w:r>
        <w:rPr>
          <w:rStyle w:val="29"/>
          <w:rFonts w:hint="eastAsia" w:ascii="黑体" w:hAnsi="黑体" w:eastAsia="黑体" w:cs="黑体"/>
          <w:b w:val="0"/>
          <w:bCs w:val="0"/>
          <w:color w:val="auto"/>
        </w:rPr>
        <w:tab/>
      </w:r>
    </w:p>
    <w:p>
      <w:pPr>
        <w:spacing w:line="600" w:lineRule="exact"/>
        <w:ind w:firstLine="645"/>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年一般公共预算财政拨款基本支出</w:t>
      </w:r>
      <w:r>
        <w:rPr>
          <w:rFonts w:hint="eastAsia" w:ascii="仿宋_GB2312" w:hAnsi="仿宋_GB2312" w:eastAsia="仿宋_GB2312" w:cs="仿宋_GB2312"/>
          <w:b w:val="0"/>
          <w:bCs w:val="0"/>
          <w:color w:val="auto"/>
          <w:sz w:val="32"/>
          <w:szCs w:val="32"/>
          <w:lang w:val="en-US" w:eastAsia="zh-CN"/>
        </w:rPr>
        <w:t>398.43</w:t>
      </w:r>
      <w:r>
        <w:rPr>
          <w:rFonts w:hint="eastAsia" w:ascii="仿宋_GB2312" w:hAnsi="仿宋_GB2312" w:eastAsia="仿宋_GB2312" w:cs="仿宋_GB2312"/>
          <w:b w:val="0"/>
          <w:bCs w:val="0"/>
          <w:color w:val="auto"/>
          <w:sz w:val="32"/>
          <w:szCs w:val="32"/>
        </w:rPr>
        <w:t>万元，其中：</w:t>
      </w:r>
    </w:p>
    <w:p>
      <w:pPr>
        <w:spacing w:line="600" w:lineRule="exact"/>
        <w:ind w:firstLine="645"/>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人员经费</w:t>
      </w:r>
      <w:r>
        <w:rPr>
          <w:rFonts w:hint="eastAsia" w:ascii="仿宋_GB2312" w:hAnsi="仿宋_GB2312" w:eastAsia="仿宋_GB2312" w:cs="仿宋_GB2312"/>
          <w:b w:val="0"/>
          <w:bCs w:val="0"/>
          <w:color w:val="auto"/>
          <w:sz w:val="32"/>
          <w:szCs w:val="32"/>
          <w:lang w:val="en-US" w:eastAsia="zh-CN"/>
        </w:rPr>
        <w:t>342.40</w:t>
      </w:r>
      <w:r>
        <w:rPr>
          <w:rFonts w:hint="eastAsia" w:ascii="仿宋_GB2312" w:hAnsi="仿宋_GB2312" w:eastAsia="仿宋_GB2312" w:cs="仿宋_GB2312"/>
          <w:b w:val="0"/>
          <w:bCs w:val="0"/>
          <w:color w:val="auto"/>
          <w:sz w:val="32"/>
          <w:szCs w:val="32"/>
        </w:rPr>
        <w:t>万元，主要包括：基本工资、津贴补贴、奖金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机关事业单位基本养老保险缴费、职业</w:t>
      </w:r>
      <w:r>
        <w:rPr>
          <w:rFonts w:hint="eastAsia" w:ascii="仿宋_GB2312" w:hAnsi="仿宋_GB2312" w:eastAsia="仿宋_GB2312" w:cs="仿宋_GB2312"/>
          <w:b w:val="0"/>
          <w:bCs w:val="0"/>
          <w:color w:val="auto"/>
          <w:sz w:val="32"/>
          <w:szCs w:val="32"/>
          <w:lang w:eastAsia="zh-CN"/>
        </w:rPr>
        <w:t>基本医疗保险</w:t>
      </w:r>
      <w:r>
        <w:rPr>
          <w:rFonts w:hint="eastAsia" w:ascii="仿宋_GB2312" w:hAnsi="仿宋_GB2312" w:eastAsia="仿宋_GB2312" w:cs="仿宋_GB2312"/>
          <w:b w:val="0"/>
          <w:bCs w:val="0"/>
          <w:color w:val="auto"/>
          <w:sz w:val="32"/>
          <w:szCs w:val="32"/>
        </w:rPr>
        <w:t>缴费、其他社会保障缴费、住房公积金、</w:t>
      </w:r>
      <w:r>
        <w:rPr>
          <w:rFonts w:hint="eastAsia" w:ascii="仿宋_GB2312" w:hAnsi="仿宋_GB2312" w:eastAsia="仿宋_GB2312" w:cs="仿宋_GB2312"/>
          <w:b w:val="0"/>
          <w:bCs w:val="0"/>
          <w:color w:val="auto"/>
          <w:sz w:val="32"/>
          <w:szCs w:val="32"/>
          <w:lang w:eastAsia="zh-CN"/>
        </w:rPr>
        <w:t>其他工资福利支出、生活补助、</w:t>
      </w:r>
      <w:r>
        <w:rPr>
          <w:rFonts w:hint="eastAsia" w:ascii="仿宋_GB2312" w:hAnsi="仿宋_GB2312" w:eastAsia="仿宋_GB2312" w:cs="仿宋_GB2312"/>
          <w:b w:val="0"/>
          <w:bCs w:val="0"/>
          <w:color w:val="auto"/>
          <w:sz w:val="32"/>
          <w:szCs w:val="32"/>
        </w:rPr>
        <w:t>对个人和家庭的补助支出等。</w:t>
      </w:r>
    </w:p>
    <w:p>
      <w:pPr>
        <w:spacing w:line="600" w:lineRule="exact"/>
        <w:ind w:firstLine="645"/>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公用经费</w:t>
      </w:r>
      <w:r>
        <w:rPr>
          <w:rFonts w:hint="eastAsia" w:ascii="仿宋_GB2312" w:hAnsi="仿宋_GB2312" w:eastAsia="仿宋_GB2312" w:cs="仿宋_GB2312"/>
          <w:b w:val="0"/>
          <w:bCs w:val="0"/>
          <w:color w:val="auto"/>
          <w:sz w:val="32"/>
          <w:szCs w:val="32"/>
          <w:lang w:val="en-US" w:eastAsia="zh-CN"/>
        </w:rPr>
        <w:t>56.03</w:t>
      </w:r>
      <w:r>
        <w:rPr>
          <w:rFonts w:hint="eastAsia" w:ascii="仿宋_GB2312" w:hAnsi="仿宋_GB2312" w:eastAsia="仿宋_GB2312" w:cs="仿宋_GB2312"/>
          <w:b w:val="0"/>
          <w:bCs w:val="0"/>
          <w:color w:val="auto"/>
          <w:sz w:val="32"/>
          <w:szCs w:val="32"/>
        </w:rPr>
        <w:t>万元，主要包括：办公费、差旅费、会议费、福利费、其他交通费</w:t>
      </w:r>
      <w:r>
        <w:rPr>
          <w:rFonts w:hint="eastAsia" w:ascii="仿宋_GB2312" w:hAnsi="仿宋_GB2312" w:eastAsia="仿宋_GB2312" w:cs="仿宋_GB2312"/>
          <w:b w:val="0"/>
          <w:bCs w:val="0"/>
          <w:color w:val="auto"/>
          <w:sz w:val="32"/>
          <w:szCs w:val="32"/>
          <w:lang w:eastAsia="zh-CN"/>
        </w:rPr>
        <w:t>用</w:t>
      </w:r>
      <w:r>
        <w:rPr>
          <w:rFonts w:hint="eastAsia" w:ascii="仿宋_GB2312" w:hAnsi="仿宋_GB2312" w:eastAsia="仿宋_GB2312" w:cs="仿宋_GB2312"/>
          <w:b w:val="0"/>
          <w:bCs w:val="0"/>
          <w:color w:val="auto"/>
          <w:sz w:val="32"/>
          <w:szCs w:val="32"/>
        </w:rPr>
        <w:t>等。</w:t>
      </w:r>
    </w:p>
    <w:p>
      <w:pPr>
        <w:spacing w:line="600" w:lineRule="exact"/>
        <w:ind w:firstLine="640"/>
        <w:outlineLvl w:val="1"/>
        <w:rPr>
          <w:rStyle w:val="29"/>
          <w:rFonts w:hint="eastAsia" w:ascii="黑体" w:hAnsi="黑体" w:eastAsia="黑体" w:cs="黑体"/>
          <w:b w:val="0"/>
          <w:bCs w:val="0"/>
          <w:color w:val="auto"/>
        </w:rPr>
      </w:pPr>
      <w:bookmarkStart w:id="67" w:name="_Toc15377215"/>
      <w:bookmarkStart w:id="68" w:name="_Toc12800"/>
      <w:bookmarkStart w:id="69" w:name="_Toc15396609"/>
      <w:r>
        <w:rPr>
          <w:rFonts w:hint="eastAsia" w:ascii="黑体" w:hAnsi="黑体" w:eastAsia="黑体" w:cs="黑体"/>
          <w:b w:val="0"/>
          <w:bCs w:val="0"/>
          <w:color w:val="auto"/>
          <w:sz w:val="32"/>
          <w:szCs w:val="32"/>
        </w:rPr>
        <w:t>七、</w:t>
      </w:r>
      <w:r>
        <w:rPr>
          <w:rStyle w:val="29"/>
          <w:rFonts w:hint="eastAsia" w:ascii="黑体" w:hAnsi="黑体" w:eastAsia="黑体" w:cs="黑体"/>
          <w:b w:val="0"/>
          <w:bCs w:val="0"/>
          <w:color w:val="auto"/>
        </w:rPr>
        <w:t>财政拨款“三公”经费支出决算情况说明</w:t>
      </w:r>
      <w:bookmarkEnd w:id="67"/>
      <w:bookmarkEnd w:id="68"/>
      <w:bookmarkEnd w:id="69"/>
    </w:p>
    <w:p>
      <w:pPr>
        <w:spacing w:line="600" w:lineRule="exact"/>
        <w:ind w:firstLine="640"/>
        <w:outlineLvl w:val="2"/>
        <w:rPr>
          <w:rFonts w:hint="eastAsia" w:ascii="仿宋_GB2312" w:hAnsi="仿宋_GB2312" w:eastAsia="仿宋_GB2312" w:cs="仿宋_GB2312"/>
          <w:b/>
          <w:bCs/>
          <w:color w:val="auto"/>
          <w:sz w:val="32"/>
          <w:szCs w:val="32"/>
        </w:rPr>
      </w:pPr>
      <w:bookmarkStart w:id="70" w:name="_Toc15377216"/>
      <w:r>
        <w:rPr>
          <w:rFonts w:hint="eastAsia" w:ascii="仿宋_GB2312" w:hAnsi="仿宋_GB2312" w:eastAsia="仿宋_GB2312" w:cs="仿宋_GB2312"/>
          <w:b/>
          <w:bCs/>
          <w:color w:val="auto"/>
          <w:sz w:val="32"/>
          <w:szCs w:val="32"/>
        </w:rPr>
        <w:t>（一）“三公”经费财政拨款支出决算总体情况说明</w:t>
      </w:r>
      <w:bookmarkEnd w:id="70"/>
    </w:p>
    <w:p>
      <w:pPr>
        <w:spacing w:line="600" w:lineRule="exact"/>
        <w:ind w:firstLine="64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年“三公”经费财政拨款支出决算为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无公务接待费支出。</w:t>
      </w:r>
    </w:p>
    <w:p>
      <w:pPr>
        <w:spacing w:line="600" w:lineRule="exact"/>
        <w:ind w:firstLine="640"/>
        <w:outlineLvl w:val="2"/>
        <w:rPr>
          <w:rFonts w:hint="eastAsia" w:ascii="仿宋_GB2312" w:hAnsi="仿宋_GB2312" w:eastAsia="仿宋_GB2312" w:cs="仿宋_GB2312"/>
          <w:b/>
          <w:bCs/>
          <w:color w:val="auto"/>
          <w:sz w:val="32"/>
          <w:szCs w:val="32"/>
        </w:rPr>
      </w:pPr>
      <w:bookmarkStart w:id="71" w:name="_Toc15377217"/>
      <w:r>
        <w:rPr>
          <w:rFonts w:hint="eastAsia" w:ascii="仿宋_GB2312" w:hAnsi="仿宋_GB2312" w:eastAsia="仿宋_GB2312" w:cs="仿宋_GB2312"/>
          <w:b/>
          <w:bCs/>
          <w:color w:val="auto"/>
          <w:sz w:val="32"/>
          <w:szCs w:val="32"/>
        </w:rPr>
        <w:t>（二）“三公”经费财政拨款支出决算具体情况说明</w:t>
      </w:r>
      <w:bookmarkEnd w:id="71"/>
    </w:p>
    <w:p>
      <w:pPr>
        <w:spacing w:line="600" w:lineRule="exact"/>
        <w:ind w:firstLine="64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年“三公”经费财政拨款支出决算中，公务接待费支出决算</w:t>
      </w:r>
      <w:r>
        <w:rPr>
          <w:rFonts w:hint="eastAsia" w:ascii="仿宋_GB2312" w:hAnsi="仿宋_GB2312" w:eastAsia="仿宋_GB2312" w:cs="仿宋_GB2312"/>
          <w:b w:val="0"/>
          <w:bCs w:val="0"/>
          <w:color w:val="auto"/>
          <w:sz w:val="32"/>
          <w:szCs w:val="32"/>
          <w:lang w:val="en-US" w:eastAsia="zh-CN"/>
        </w:rPr>
        <w:t>0万</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，无公务接待费支出。</w:t>
      </w:r>
    </w:p>
    <w:p>
      <w:pPr>
        <w:pStyle w:val="8"/>
        <w:jc w:val="center"/>
        <w:rPr>
          <w:rFonts w:hint="eastAsia" w:ascii="仿宋_GB2312" w:hAnsi="仿宋_GB2312" w:eastAsia="仿宋_GB2312" w:cs="仿宋_GB2312"/>
          <w:b w:val="0"/>
          <w:bCs w:val="0"/>
          <w:color w:val="auto"/>
          <w:sz w:val="32"/>
          <w:szCs w:val="32"/>
          <w:lang w:eastAsia="zh-CN"/>
        </w:rPr>
      </w:pPr>
      <w:r>
        <w:drawing>
          <wp:inline distT="0" distB="0" distL="114300" distR="114300">
            <wp:extent cx="4847590" cy="2695575"/>
            <wp:effectExtent l="4445" t="5080" r="5715" b="444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ind w:firstLine="1280" w:firstLineChars="400"/>
      </w:pPr>
      <w:r>
        <w:rPr>
          <w:rFonts w:hint="eastAsia" w:ascii="仿宋" w:hAnsi="仿宋" w:eastAsia="仿宋"/>
          <w:sz w:val="32"/>
          <w:szCs w:val="32"/>
        </w:rPr>
        <w:t>（图7：“三公”经费财政拨款支出结构）</w:t>
      </w:r>
    </w:p>
    <w:p>
      <w:pPr>
        <w:spacing w:line="600" w:lineRule="exact"/>
        <w:ind w:firstLine="640"/>
        <w:outlineLvl w:val="1"/>
        <w:rPr>
          <w:rStyle w:val="29"/>
          <w:rFonts w:hint="eastAsia" w:ascii="黑体" w:hAnsi="黑体" w:eastAsia="黑体" w:cs="黑体"/>
          <w:b w:val="0"/>
          <w:bCs w:val="0"/>
          <w:color w:val="auto"/>
          <w:u w:val="none"/>
        </w:rPr>
      </w:pPr>
      <w:bookmarkStart w:id="72" w:name="_Toc25714"/>
      <w:bookmarkStart w:id="73" w:name="_Toc15396610"/>
      <w:bookmarkStart w:id="74" w:name="_Toc15377218"/>
      <w:r>
        <w:rPr>
          <w:rFonts w:hint="eastAsia" w:ascii="黑体" w:hAnsi="黑体" w:eastAsia="黑体" w:cs="黑体"/>
          <w:b w:val="0"/>
          <w:bCs w:val="0"/>
          <w:color w:val="auto"/>
          <w:sz w:val="32"/>
          <w:szCs w:val="32"/>
          <w:u w:val="none"/>
        </w:rPr>
        <w:t>八、</w:t>
      </w:r>
      <w:r>
        <w:rPr>
          <w:rStyle w:val="29"/>
          <w:rFonts w:hint="eastAsia" w:ascii="黑体" w:hAnsi="黑体" w:eastAsia="黑体" w:cs="黑体"/>
          <w:b w:val="0"/>
          <w:bCs w:val="0"/>
          <w:color w:val="auto"/>
          <w:u w:val="none"/>
        </w:rPr>
        <w:t>政府性基金预算支出决算情况说明</w:t>
      </w:r>
      <w:bookmarkEnd w:id="72"/>
      <w:bookmarkEnd w:id="73"/>
      <w:bookmarkEnd w:id="74"/>
    </w:p>
    <w:p>
      <w:pPr>
        <w:spacing w:line="600" w:lineRule="exac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年政府性基金预算财政拨款支出</w:t>
      </w:r>
      <w:r>
        <w:rPr>
          <w:rFonts w:hint="eastAsia" w:ascii="仿宋_GB2312" w:hAnsi="仿宋_GB2312" w:eastAsia="仿宋_GB2312" w:cs="仿宋_GB2312"/>
          <w:b w:val="0"/>
          <w:bCs w:val="0"/>
          <w:color w:val="auto"/>
          <w:sz w:val="32"/>
          <w:szCs w:val="32"/>
          <w:lang w:val="en-US" w:eastAsia="zh-CN"/>
        </w:rPr>
        <w:t>40305.15</w:t>
      </w:r>
      <w:r>
        <w:rPr>
          <w:rFonts w:hint="eastAsia" w:ascii="仿宋_GB2312" w:hAnsi="仿宋_GB2312" w:eastAsia="仿宋_GB2312" w:cs="仿宋_GB2312"/>
          <w:b w:val="0"/>
          <w:bCs w:val="0"/>
          <w:color w:val="auto"/>
          <w:sz w:val="32"/>
          <w:szCs w:val="32"/>
        </w:rPr>
        <w:t>万元。</w:t>
      </w:r>
    </w:p>
    <w:p>
      <w:pPr>
        <w:numPr>
          <w:ilvl w:val="0"/>
          <w:numId w:val="2"/>
        </w:numPr>
        <w:spacing w:line="600" w:lineRule="exact"/>
        <w:ind w:firstLine="640"/>
        <w:outlineLvl w:val="1"/>
        <w:rPr>
          <w:rStyle w:val="29"/>
          <w:rFonts w:hint="eastAsia" w:ascii="黑体" w:hAnsi="黑体" w:eastAsia="黑体" w:cs="黑体"/>
          <w:b w:val="0"/>
          <w:bCs w:val="0"/>
          <w:color w:val="auto"/>
        </w:rPr>
      </w:pPr>
      <w:bookmarkStart w:id="75" w:name="_Toc15396612"/>
      <w:bookmarkStart w:id="76" w:name="_Toc32436"/>
      <w:bookmarkStart w:id="77" w:name="_Toc15377221"/>
      <w:r>
        <w:rPr>
          <w:rStyle w:val="29"/>
          <w:rFonts w:hint="eastAsia" w:ascii="黑体" w:hAnsi="黑体" w:eastAsia="黑体" w:cs="黑体"/>
          <w:b w:val="0"/>
          <w:bCs w:val="0"/>
          <w:color w:val="auto"/>
        </w:rPr>
        <w:t>其他重要事项的情况说明</w:t>
      </w:r>
      <w:bookmarkEnd w:id="75"/>
      <w:bookmarkEnd w:id="76"/>
      <w:bookmarkEnd w:id="77"/>
    </w:p>
    <w:p>
      <w:pPr>
        <w:spacing w:line="600" w:lineRule="exact"/>
        <w:ind w:firstLine="643" w:firstLineChars="200"/>
        <w:outlineLvl w:val="2"/>
        <w:rPr>
          <w:rFonts w:hint="eastAsia" w:ascii="仿宋_GB2312" w:hAnsi="仿宋_GB2312" w:eastAsia="仿宋_GB2312" w:cs="仿宋_GB2312"/>
          <w:b/>
          <w:bCs/>
          <w:color w:val="auto"/>
          <w:sz w:val="32"/>
          <w:szCs w:val="32"/>
        </w:rPr>
      </w:pPr>
      <w:bookmarkStart w:id="78" w:name="_Toc15377222"/>
      <w:r>
        <w:rPr>
          <w:rFonts w:hint="eastAsia" w:ascii="仿宋_GB2312" w:hAnsi="仿宋_GB2312" w:eastAsia="仿宋_GB2312" w:cs="仿宋_GB2312"/>
          <w:b/>
          <w:bCs/>
          <w:color w:val="auto"/>
          <w:sz w:val="32"/>
          <w:szCs w:val="32"/>
        </w:rPr>
        <w:t>（一）机关运行经费支出情况</w:t>
      </w:r>
      <w:bookmarkEnd w:id="78"/>
    </w:p>
    <w:p>
      <w:pPr>
        <w:spacing w:line="60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剑阁县住房和城乡建设局</w:t>
      </w:r>
      <w:r>
        <w:rPr>
          <w:rFonts w:hint="eastAsia" w:ascii="仿宋_GB2312" w:hAnsi="仿宋_GB2312" w:eastAsia="仿宋_GB2312" w:cs="仿宋_GB2312"/>
          <w:b w:val="0"/>
          <w:bCs w:val="0"/>
          <w:color w:val="auto"/>
          <w:sz w:val="32"/>
          <w:szCs w:val="32"/>
        </w:rPr>
        <w:t>机关运行经费支出</w:t>
      </w:r>
      <w:r>
        <w:rPr>
          <w:rFonts w:hint="eastAsia" w:ascii="仿宋_GB2312" w:hAnsi="仿宋_GB2312" w:eastAsia="仿宋_GB2312" w:cs="仿宋_GB2312"/>
          <w:b w:val="0"/>
          <w:bCs w:val="0"/>
          <w:color w:val="auto"/>
          <w:sz w:val="32"/>
          <w:szCs w:val="32"/>
          <w:lang w:val="en-US" w:eastAsia="zh-CN"/>
        </w:rPr>
        <w:t>56.03</w:t>
      </w:r>
      <w:r>
        <w:rPr>
          <w:rFonts w:hint="eastAsia" w:ascii="仿宋_GB2312" w:hAnsi="仿宋_GB2312" w:eastAsia="仿宋_GB2312" w:cs="仿宋_GB2312"/>
          <w:b w:val="0"/>
          <w:bCs w:val="0"/>
          <w:color w:val="auto"/>
          <w:sz w:val="32"/>
          <w:szCs w:val="32"/>
        </w:rPr>
        <w:t>万元，比202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减少</w:t>
      </w:r>
      <w:r>
        <w:rPr>
          <w:rFonts w:hint="eastAsia" w:ascii="仿宋_GB2312" w:hAnsi="仿宋_GB2312" w:eastAsia="仿宋_GB2312" w:cs="仿宋_GB2312"/>
          <w:b w:val="0"/>
          <w:bCs w:val="0"/>
          <w:color w:val="auto"/>
          <w:sz w:val="32"/>
          <w:szCs w:val="32"/>
          <w:lang w:val="en-US" w:eastAsia="zh-CN"/>
        </w:rPr>
        <w:t>7.59</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减少</w:t>
      </w:r>
      <w:r>
        <w:rPr>
          <w:rFonts w:hint="eastAsia" w:ascii="仿宋_GB2312" w:hAnsi="仿宋_GB2312" w:eastAsia="仿宋_GB2312" w:cs="仿宋_GB2312"/>
          <w:b w:val="0"/>
          <w:bCs w:val="0"/>
          <w:color w:val="auto"/>
          <w:sz w:val="32"/>
          <w:szCs w:val="32"/>
          <w:lang w:val="en-US" w:eastAsia="zh-CN"/>
        </w:rPr>
        <w:t xml:space="preserve">11.93 </w:t>
      </w:r>
      <w:r>
        <w:rPr>
          <w:rFonts w:hint="eastAsia" w:ascii="仿宋_GB2312" w:hAnsi="仿宋_GB2312" w:eastAsia="仿宋_GB2312" w:cs="仿宋_GB2312"/>
          <w:b w:val="0"/>
          <w:bCs w:val="0"/>
          <w:color w:val="auto"/>
          <w:sz w:val="32"/>
          <w:szCs w:val="32"/>
        </w:rPr>
        <w:t>%。主要原因是</w:t>
      </w:r>
      <w:r>
        <w:rPr>
          <w:rFonts w:hint="eastAsia" w:ascii="仿宋_GB2312" w:hAnsi="仿宋_GB2312" w:eastAsia="仿宋_GB2312" w:cs="仿宋_GB2312"/>
          <w:b w:val="0"/>
          <w:bCs w:val="0"/>
          <w:color w:val="auto"/>
          <w:sz w:val="32"/>
          <w:szCs w:val="32"/>
          <w:lang w:eastAsia="zh-CN"/>
        </w:rPr>
        <w:t>单位加强内部管理厉行节约减少了经费开支。</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9" w:name="_Toc15377223"/>
      <w:r>
        <w:rPr>
          <w:rFonts w:hint="eastAsia" w:ascii="仿宋" w:hAnsi="仿宋" w:eastAsia="仿宋"/>
          <w:b/>
          <w:sz w:val="32"/>
          <w:szCs w:val="32"/>
        </w:rPr>
        <w:t>（二）政府采购支出情况</w:t>
      </w:r>
      <w:bookmarkEnd w:id="7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剑阁县住房和城乡建设局</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0" w:name="_Toc15377224"/>
      <w:r>
        <w:rPr>
          <w:rFonts w:hint="eastAsia" w:ascii="仿宋" w:hAnsi="仿宋" w:eastAsia="仿宋"/>
          <w:b/>
          <w:sz w:val="32"/>
          <w:szCs w:val="32"/>
        </w:rPr>
        <w:t>（三）国有资产占有使用情况</w:t>
      </w:r>
      <w:bookmarkEnd w:id="8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剑阁县住房和城乡建设局</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（四）预算绩效管理情况</w:t>
      </w:r>
    </w:p>
    <w:p>
      <w:pPr>
        <w:spacing w:line="58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根据预算绩效管理要求，本部门在202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年度预算编制阶段，组织对</w:t>
      </w:r>
      <w:r>
        <w:rPr>
          <w:rFonts w:hint="eastAsia" w:ascii="仿宋_GB2312" w:hAnsi="仿宋_GB2312" w:eastAsia="仿宋_GB2312" w:cs="仿宋_GB2312"/>
          <w:b w:val="0"/>
          <w:bCs w:val="0"/>
          <w:color w:val="auto"/>
          <w:sz w:val="32"/>
          <w:szCs w:val="32"/>
          <w:lang w:eastAsia="zh-CN"/>
        </w:rPr>
        <w:t>白龙镇等</w:t>
      </w:r>
      <w:r>
        <w:rPr>
          <w:rFonts w:hint="eastAsia" w:ascii="仿宋_GB2312" w:hAnsi="仿宋_GB2312" w:eastAsia="仿宋_GB2312" w:cs="仿宋_GB2312"/>
          <w:b w:val="0"/>
          <w:bCs w:val="0"/>
          <w:color w:val="auto"/>
          <w:sz w:val="32"/>
          <w:szCs w:val="32"/>
          <w:lang w:val="en-US" w:eastAsia="zh-CN"/>
        </w:rPr>
        <w:t>12个乡镇污水处理厂及管网项目建设费用</w:t>
      </w:r>
      <w:r>
        <w:rPr>
          <w:rFonts w:hint="eastAsia" w:ascii="仿宋_GB2312" w:hAnsi="仿宋_GB2312" w:eastAsia="仿宋_GB2312" w:cs="仿宋_GB2312"/>
          <w:b w:val="0"/>
          <w:bCs w:val="0"/>
          <w:color w:val="auto"/>
          <w:sz w:val="32"/>
          <w:szCs w:val="32"/>
        </w:rPr>
        <w:t>项目等</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个项目开展了预算事前绩效评估，对</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个项目编制了绩效目标，预算执行过程中，选取</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个项目开展绩效监控，年终执行完毕后，对</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个项目开展了绩效自评。同时，本部门对202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年部门整体开展绩效自评，《202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剑阁县住房和城乡建设局</w:t>
      </w:r>
      <w:r>
        <w:rPr>
          <w:rFonts w:hint="eastAsia" w:ascii="仿宋_GB2312" w:hAnsi="仿宋_GB2312" w:eastAsia="仿宋_GB2312" w:cs="仿宋_GB2312"/>
          <w:b w:val="0"/>
          <w:bCs w:val="0"/>
          <w:color w:val="auto"/>
          <w:sz w:val="32"/>
          <w:szCs w:val="32"/>
        </w:rPr>
        <w:t>部门整体绩效评价报告》见附件（第四部分）。</w:t>
      </w:r>
    </w:p>
    <w:p>
      <w:pPr>
        <w:widowControl/>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br w:type="page"/>
      </w:r>
    </w:p>
    <w:p>
      <w:pPr>
        <w:numPr>
          <w:ilvl w:val="0"/>
          <w:numId w:val="3"/>
        </w:numPr>
        <w:spacing w:line="600" w:lineRule="exact"/>
        <w:ind w:firstLine="660" w:firstLineChars="150"/>
        <w:jc w:val="center"/>
        <w:outlineLvl w:val="0"/>
        <w:rPr>
          <w:rStyle w:val="28"/>
          <w:rFonts w:hint="eastAsia" w:ascii="黑体" w:hAnsi="黑体" w:eastAsia="黑体" w:cs="黑体"/>
          <w:b w:val="0"/>
          <w:bCs w:val="0"/>
          <w:color w:val="auto"/>
        </w:rPr>
      </w:pPr>
      <w:bookmarkStart w:id="81" w:name="_Toc32082"/>
      <w:bookmarkStart w:id="82" w:name="_Toc15377225"/>
      <w:bookmarkStart w:id="83" w:name="_Toc15396613"/>
      <w:r>
        <w:rPr>
          <w:rFonts w:hint="eastAsia" w:ascii="黑体" w:hAnsi="黑体" w:eastAsia="黑体" w:cs="黑体"/>
          <w:b w:val="0"/>
          <w:bCs w:val="0"/>
          <w:color w:val="auto"/>
          <w:sz w:val="44"/>
          <w:szCs w:val="44"/>
        </w:rPr>
        <w:t>名</w:t>
      </w:r>
      <w:r>
        <w:rPr>
          <w:rStyle w:val="28"/>
          <w:rFonts w:hint="eastAsia" w:ascii="黑体" w:hAnsi="黑体" w:eastAsia="黑体" w:cs="黑体"/>
          <w:b w:val="0"/>
          <w:bCs w:val="0"/>
          <w:color w:val="auto"/>
        </w:rPr>
        <w:t>词解释</w:t>
      </w:r>
      <w:bookmarkEnd w:id="81"/>
      <w:bookmarkEnd w:id="82"/>
      <w:bookmarkEnd w:id="83"/>
    </w:p>
    <w:p>
      <w:pPr>
        <w:pStyle w:val="8"/>
        <w:rPr>
          <w:rFonts w:hint="eastAsia"/>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i w:val="0"/>
          <w:iCs w:val="0"/>
          <w:color w:val="auto"/>
          <w:sz w:val="32"/>
          <w:szCs w:val="32"/>
          <w:highlight w:val="none"/>
        </w:rPr>
      </w:pPr>
      <w:r>
        <w:rPr>
          <w:rFonts w:hint="eastAsia" w:ascii="仿宋_GB2312" w:eastAsia="仿宋_GB2312"/>
          <w:i w:val="0"/>
          <w:iCs w:val="0"/>
          <w:color w:val="auto"/>
          <w:sz w:val="32"/>
          <w:szCs w:val="32"/>
          <w:highlight w:val="none"/>
          <w:lang w:val="en-US" w:eastAsia="zh-CN"/>
        </w:rPr>
        <w:t>2</w:t>
      </w:r>
      <w:r>
        <w:rPr>
          <w:rFonts w:ascii="仿宋_GB2312" w:eastAsia="仿宋_GB2312"/>
          <w:i w:val="0"/>
          <w:iCs w:val="0"/>
          <w:color w:val="auto"/>
          <w:sz w:val="32"/>
          <w:szCs w:val="32"/>
          <w:highlight w:val="none"/>
        </w:rPr>
        <w:t>.</w:t>
      </w:r>
      <w:r>
        <w:rPr>
          <w:rFonts w:hint="eastAsia" w:ascii="仿宋_GB2312" w:eastAsia="仿宋_GB2312"/>
          <w:i w:val="0"/>
          <w:iCs w:val="0"/>
          <w:color w:val="auto"/>
          <w:sz w:val="32"/>
          <w:szCs w:val="32"/>
          <w:highlight w:val="none"/>
        </w:rPr>
        <w:t>其他收入：指单位取得的除上述收入以外的各项收入。主要是</w:t>
      </w:r>
      <w:r>
        <w:rPr>
          <w:rFonts w:hint="eastAsia" w:ascii="仿宋_GB2312" w:eastAsia="仿宋_GB2312"/>
          <w:i w:val="0"/>
          <w:iCs w:val="0"/>
          <w:color w:val="auto"/>
          <w:sz w:val="32"/>
          <w:szCs w:val="32"/>
          <w:highlight w:val="none"/>
          <w:lang w:eastAsia="zh-CN"/>
        </w:rPr>
        <w:t>利息收入等</w:t>
      </w:r>
      <w:r>
        <w:rPr>
          <w:rFonts w:hint="eastAsia" w:ascii="仿宋_GB2312" w:eastAsia="仿宋_GB2312"/>
          <w:i w:val="0"/>
          <w:iCs w:val="0"/>
          <w:color w:val="auto"/>
          <w:sz w:val="32"/>
          <w:szCs w:val="32"/>
          <w:highlight w:val="none"/>
        </w:rPr>
        <w:t>。</w:t>
      </w:r>
      <w:r>
        <w:rPr>
          <w:rFonts w:ascii="仿宋_GB2312" w:eastAsia="仿宋_GB2312"/>
          <w:i w:val="0"/>
          <w:iCs w:val="0"/>
          <w:color w:val="auto"/>
          <w:sz w:val="32"/>
          <w:szCs w:val="32"/>
          <w:highlight w:val="none"/>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6、城乡社区支出（类）城乡社区管理事务（款）行政运行（项）指行政单位的基本支出。</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7、农林水支出（类）巩固脱贫衔接乡村振兴（款）其他巩固脱贫衔接乡村振兴支出（项）：指其他用于巩固脱贫衔接乡村振兴方面的支出。</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8、节能环保支出（类）污染防治（款）水体（项）指政府在排水、污水处理、水污染防治等方面支出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i w:val="0"/>
          <w:iCs w:val="0"/>
          <w:sz w:val="32"/>
          <w:szCs w:val="32"/>
          <w:highlight w:val="none"/>
        </w:rPr>
      </w:pPr>
      <w:r>
        <w:rPr>
          <w:rFonts w:hint="eastAsia" w:ascii="仿宋_GB2312" w:hAnsi="Calibri" w:eastAsia="仿宋_GB2312" w:cs="仿宋"/>
          <w:color w:val="000000"/>
          <w:kern w:val="0"/>
          <w:sz w:val="32"/>
          <w:szCs w:val="32"/>
          <w:lang w:val="en-US" w:eastAsia="zh-CN" w:bidi="ar-SA"/>
        </w:rPr>
        <w:t>9、</w:t>
      </w:r>
      <w:r>
        <w:rPr>
          <w:rFonts w:hint="eastAsia" w:ascii="仿宋_GB2312" w:eastAsia="仿宋_GB2312"/>
          <w:i w:val="0"/>
          <w:iCs w:val="0"/>
          <w:sz w:val="32"/>
          <w:szCs w:val="32"/>
          <w:highlight w:val="none"/>
        </w:rPr>
        <w:t>社会保障和就业（类）</w:t>
      </w:r>
      <w:r>
        <w:rPr>
          <w:rFonts w:hint="eastAsia" w:ascii="仿宋_GB2312" w:eastAsia="仿宋_GB2312"/>
          <w:i w:val="0"/>
          <w:iCs w:val="0"/>
          <w:sz w:val="32"/>
          <w:szCs w:val="32"/>
          <w:highlight w:val="none"/>
          <w:lang w:eastAsia="zh-CN"/>
        </w:rPr>
        <w:t>行政事业单位养老支出</w:t>
      </w:r>
      <w:r>
        <w:rPr>
          <w:rFonts w:hint="eastAsia" w:ascii="仿宋_GB2312" w:eastAsia="仿宋_GB2312"/>
          <w:i w:val="0"/>
          <w:iCs w:val="0"/>
          <w:sz w:val="32"/>
          <w:szCs w:val="32"/>
          <w:highlight w:val="none"/>
        </w:rPr>
        <w:t>（款）</w:t>
      </w:r>
      <w:r>
        <w:rPr>
          <w:rFonts w:hint="eastAsia" w:ascii="仿宋_GB2312" w:eastAsia="仿宋_GB2312"/>
          <w:i w:val="0"/>
          <w:iCs w:val="0"/>
          <w:sz w:val="32"/>
          <w:szCs w:val="32"/>
          <w:highlight w:val="none"/>
          <w:lang w:eastAsia="zh-CN"/>
        </w:rPr>
        <w:t>机关事业单位基本养老保险缴费支出</w:t>
      </w:r>
      <w:r>
        <w:rPr>
          <w:rFonts w:hint="eastAsia" w:ascii="仿宋_GB2312" w:eastAsia="仿宋_GB2312"/>
          <w:i w:val="0"/>
          <w:iCs w:val="0"/>
          <w:sz w:val="32"/>
          <w:szCs w:val="32"/>
          <w:highlight w:val="none"/>
        </w:rPr>
        <w:t>（项）</w:t>
      </w:r>
      <w:r>
        <w:rPr>
          <w:rFonts w:hint="eastAsia" w:ascii="仿宋_GB2312" w:eastAsia="仿宋_GB2312"/>
          <w:i w:val="0"/>
          <w:iCs w:val="0"/>
          <w:sz w:val="32"/>
          <w:szCs w:val="32"/>
          <w:highlight w:val="none"/>
          <w:lang w:eastAsia="zh-CN"/>
        </w:rPr>
        <w:t>指行政机关人员保险支出。</w:t>
      </w:r>
    </w:p>
    <w:p>
      <w:pPr>
        <w:ind w:firstLine="640" w:firstLineChars="200"/>
        <w:rPr>
          <w:rFonts w:hint="eastAsia" w:ascii="仿宋_GB2312" w:hAnsi="Calibri" w:eastAsia="仿宋_GB2312" w:cs="仿宋"/>
          <w:color w:val="000000"/>
          <w:kern w:val="0"/>
          <w:sz w:val="32"/>
          <w:szCs w:val="32"/>
          <w:lang w:val="en-US" w:eastAsia="zh-CN" w:bidi="ar-SA"/>
        </w:rPr>
      </w:pPr>
    </w:p>
    <w:p>
      <w:pPr>
        <w:pStyle w:val="2"/>
        <w:rPr>
          <w:rFonts w:hint="eastAsia"/>
          <w:lang w:val="en-US" w:eastAsia="zh-CN"/>
        </w:rPr>
      </w:pPr>
    </w:p>
    <w:p>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10、卫生健康（类）行政事业单位医疗（款）行政单位医疗（项）：指行政事业单位用于缴纳单位基本医疗保险支出。</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11、住房保障（类）住房改革支出（款）住房公积金（项）：</w:t>
      </w:r>
      <w:r>
        <w:rPr>
          <w:rFonts w:hint="eastAsia" w:ascii="仿宋_GB2312" w:eastAsia="仿宋_GB2312"/>
          <w:i w:val="0"/>
          <w:iCs w:val="0"/>
          <w:sz w:val="32"/>
          <w:szCs w:val="32"/>
          <w:highlight w:val="none"/>
          <w:lang w:eastAsia="zh-CN"/>
        </w:rPr>
        <w:t>指行政机关人员住房公积金支出</w:t>
      </w:r>
      <w:r>
        <w:rPr>
          <w:rFonts w:hint="eastAsia" w:ascii="仿宋_GB2312" w:hAnsi="Calibri" w:eastAsia="仿宋_GB2312" w:cs="仿宋"/>
          <w:color w:val="000000"/>
          <w:kern w:val="0"/>
          <w:sz w:val="32"/>
          <w:szCs w:val="32"/>
          <w:lang w:val="en-US" w:eastAsia="zh-CN" w:bidi="ar-SA"/>
        </w:rPr>
        <w:t>。</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12、基本支出：指为保证机构正常运转，完成日常工作任务而发生的人员支出和公用支出。</w:t>
      </w:r>
    </w:p>
    <w:p>
      <w:pPr>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13、项目支出：指在基本支出之外为完成特定行政任务和事业发展目标所发生的支出。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8"/>
        <w:rPr>
          <w:rFonts w:hint="eastAsia" w:ascii="仿宋_GB2312" w:hAnsi="仿宋_GB2312" w:eastAsia="仿宋_GB2312" w:cs="仿宋_GB2312"/>
          <w:b w:val="0"/>
          <w:bCs w:val="0"/>
          <w:color w:val="auto"/>
          <w:sz w:val="44"/>
          <w:szCs w:val="44"/>
        </w:rPr>
      </w:pPr>
    </w:p>
    <w:p>
      <w:pPr>
        <w:numPr>
          <w:ilvl w:val="0"/>
          <w:numId w:val="3"/>
        </w:numPr>
        <w:spacing w:line="600" w:lineRule="exact"/>
        <w:ind w:left="0" w:leftChars="0" w:firstLine="660" w:firstLineChars="150"/>
        <w:jc w:val="center"/>
        <w:outlineLvl w:val="0"/>
        <w:rPr>
          <w:rStyle w:val="28"/>
          <w:rFonts w:hint="eastAsia" w:ascii="黑体" w:hAnsi="黑体" w:eastAsia="黑体"/>
          <w:b w:val="0"/>
        </w:rPr>
      </w:pPr>
      <w:bookmarkStart w:id="84" w:name="_Toc15396614"/>
      <w:bookmarkStart w:id="85" w:name="_Toc15377226"/>
      <w:bookmarkStart w:id="86" w:name="_Toc9919"/>
      <w:r>
        <w:rPr>
          <w:rStyle w:val="28"/>
          <w:rFonts w:hint="eastAsia" w:ascii="黑体" w:hAnsi="黑体" w:eastAsia="黑体"/>
          <w:b w:val="0"/>
        </w:rPr>
        <w:t>附件</w:t>
      </w:r>
    </w:p>
    <w:p>
      <w:pPr>
        <w:spacing w:line="600" w:lineRule="exact"/>
        <w:jc w:val="center"/>
        <w:outlineLvl w:val="0"/>
        <w:rPr>
          <w:rFonts w:hAnsi="Calibri" w:cs="仿宋"/>
          <w:sz w:val="32"/>
          <w:szCs w:val="32"/>
        </w:rPr>
      </w:pPr>
      <w:r>
        <w:rPr>
          <w:rFonts w:hint="eastAsia" w:ascii="宋体" w:hAnsi="宋体" w:cs="宋体"/>
          <w:kern w:val="0"/>
          <w:sz w:val="32"/>
          <w:szCs w:val="32"/>
        </w:rPr>
        <w:t>部门预算项目支出绩效自评表（2022年度）</w:t>
      </w:r>
    </w:p>
    <w:bookmarkEnd w:id="84"/>
    <w:bookmarkEnd w:id="85"/>
    <w:bookmarkEnd w:id="86"/>
    <w:p>
      <w:pPr>
        <w:numPr>
          <w:ilvl w:val="0"/>
          <w:numId w:val="3"/>
        </w:numPr>
        <w:spacing w:line="600" w:lineRule="exact"/>
        <w:ind w:left="0" w:leftChars="0" w:firstLine="660" w:firstLineChars="150"/>
        <w:jc w:val="center"/>
        <w:outlineLvl w:val="0"/>
        <w:rPr>
          <w:rStyle w:val="28"/>
          <w:rFonts w:hint="eastAsia" w:ascii="黑体" w:hAnsi="黑体" w:eastAsia="黑体"/>
          <w:b w:val="0"/>
        </w:rPr>
      </w:pPr>
      <w:r>
        <w:rPr>
          <w:rStyle w:val="28"/>
          <w:rFonts w:hint="eastAsia" w:ascii="黑体" w:hAnsi="黑体" w:eastAsia="黑体"/>
          <w:b w:val="0"/>
        </w:rPr>
        <w:t>附表</w:t>
      </w:r>
    </w:p>
    <w:p>
      <w:pPr>
        <w:pStyle w:val="5"/>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p>
    <w:p>
      <w:pPr>
        <w:pStyle w:val="5"/>
        <w:rPr>
          <w:rFonts w:ascii="仿宋" w:hAnsi="仿宋" w:eastAsia="仿宋"/>
        </w:rPr>
      </w:pPr>
      <w:bookmarkStart w:id="87" w:name="_Toc15396620"/>
      <w:r>
        <w:rPr>
          <w:rFonts w:hint="eastAsia" w:ascii="仿宋" w:hAnsi="仿宋" w:eastAsia="仿宋"/>
          <w:b w:val="0"/>
        </w:rPr>
        <w:t>二、收</w:t>
      </w:r>
      <w:r>
        <w:rPr>
          <w:rStyle w:val="29"/>
          <w:rFonts w:hint="eastAsia" w:ascii="仿宋" w:hAnsi="仿宋" w:eastAsia="仿宋"/>
          <w:b w:val="0"/>
          <w:bCs w:val="0"/>
        </w:rPr>
        <w:t>入决算表</w:t>
      </w:r>
      <w:bookmarkEnd w:id="87"/>
    </w:p>
    <w:p>
      <w:pPr>
        <w:pStyle w:val="5"/>
        <w:rPr>
          <w:rFonts w:ascii="仿宋" w:hAnsi="仿宋" w:eastAsia="仿宋"/>
        </w:rPr>
      </w:pPr>
      <w:bookmarkStart w:id="8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8"/>
    </w:p>
    <w:p>
      <w:pPr>
        <w:pStyle w:val="5"/>
        <w:rPr>
          <w:rFonts w:ascii="仿宋" w:hAnsi="仿宋" w:eastAsia="仿宋"/>
          <w:b w:val="0"/>
        </w:rPr>
      </w:pPr>
      <w:bookmarkStart w:id="8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9"/>
    </w:p>
    <w:p>
      <w:pPr>
        <w:pStyle w:val="5"/>
        <w:rPr>
          <w:rStyle w:val="29"/>
          <w:rFonts w:ascii="仿宋" w:hAnsi="仿宋" w:eastAsia="仿宋"/>
          <w:b w:val="0"/>
          <w:bCs w:val="0"/>
        </w:rPr>
      </w:pPr>
      <w:bookmarkStart w:id="9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90"/>
      <w:bookmarkStart w:id="91" w:name="_Toc15396624"/>
    </w:p>
    <w:p>
      <w:pPr>
        <w:pStyle w:val="5"/>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91"/>
    </w:p>
    <w:p>
      <w:pPr>
        <w:pStyle w:val="5"/>
        <w:rPr>
          <w:rFonts w:ascii="仿宋" w:hAnsi="仿宋" w:eastAsia="仿宋"/>
        </w:rPr>
      </w:pPr>
      <w:bookmarkStart w:id="9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92"/>
    </w:p>
    <w:p>
      <w:pPr>
        <w:pStyle w:val="5"/>
        <w:rPr>
          <w:rFonts w:ascii="仿宋" w:hAnsi="仿宋" w:eastAsia="仿宋"/>
        </w:rPr>
      </w:pPr>
      <w:bookmarkStart w:id="9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3"/>
    </w:p>
    <w:p>
      <w:pPr>
        <w:pStyle w:val="5"/>
        <w:rPr>
          <w:rFonts w:ascii="仿宋" w:hAnsi="仿宋" w:eastAsia="仿宋"/>
        </w:rPr>
      </w:pPr>
      <w:bookmarkStart w:id="9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4"/>
    </w:p>
    <w:p>
      <w:pPr>
        <w:pStyle w:val="5"/>
        <w:rPr>
          <w:rFonts w:ascii="仿宋" w:hAnsi="仿宋" w:eastAsia="仿宋"/>
        </w:rPr>
      </w:pPr>
      <w:bookmarkStart w:id="95" w:name="_Toc15396628"/>
      <w:r>
        <w:rPr>
          <w:rStyle w:val="37"/>
          <w:rFonts w:hint="eastAsia" w:ascii="仿宋" w:hAnsi="仿宋" w:eastAsia="仿宋"/>
          <w:b w:val="0"/>
          <w:bCs w:val="0"/>
        </w:rPr>
        <w:t>十、</w:t>
      </w:r>
      <w:bookmarkEnd w:id="95"/>
      <w:r>
        <w:rPr>
          <w:rFonts w:hint="eastAsia" w:ascii="仿宋" w:hAnsi="仿宋" w:eastAsia="仿宋"/>
          <w:b w:val="0"/>
        </w:rPr>
        <w:t>政</w:t>
      </w:r>
      <w:r>
        <w:rPr>
          <w:rStyle w:val="37"/>
          <w:rFonts w:hint="eastAsia" w:ascii="仿宋" w:hAnsi="仿宋" w:eastAsia="仿宋"/>
          <w:b w:val="0"/>
          <w:bCs w:val="0"/>
        </w:rPr>
        <w:t>府性基金预算财政拨款收入支出决算表</w:t>
      </w:r>
    </w:p>
    <w:p>
      <w:pPr>
        <w:pStyle w:val="5"/>
        <w:rPr>
          <w:rFonts w:ascii="仿宋" w:hAnsi="仿宋" w:eastAsia="仿宋"/>
        </w:rPr>
      </w:pPr>
      <w:bookmarkStart w:id="96" w:name="_Toc15396629"/>
      <w:r>
        <w:rPr>
          <w:rStyle w:val="37"/>
          <w:rFonts w:hint="eastAsia" w:ascii="仿宋" w:hAnsi="仿宋" w:eastAsia="仿宋"/>
          <w:b w:val="0"/>
          <w:bCs w:val="0"/>
        </w:rPr>
        <w:t>十一、</w:t>
      </w:r>
      <w:bookmarkEnd w:id="96"/>
      <w:r>
        <w:rPr>
          <w:rFonts w:hint="eastAsia" w:ascii="仿宋" w:hAnsi="仿宋" w:eastAsia="仿宋"/>
          <w:b w:val="0"/>
        </w:rPr>
        <w:t>国</w:t>
      </w:r>
      <w:r>
        <w:rPr>
          <w:rStyle w:val="37"/>
          <w:rFonts w:hint="eastAsia" w:ascii="仿宋" w:hAnsi="仿宋" w:eastAsia="仿宋"/>
          <w:b w:val="0"/>
          <w:bCs w:val="0"/>
        </w:rPr>
        <w:t>有资本经营预算财政拨款收入支出决算表</w:t>
      </w:r>
    </w:p>
    <w:p>
      <w:pPr>
        <w:pStyle w:val="5"/>
        <w:rPr>
          <w:rFonts w:ascii="仿宋" w:hAnsi="仿宋" w:eastAsia="仿宋"/>
        </w:rPr>
      </w:pPr>
      <w:bookmarkStart w:id="97" w:name="_Toc15396630"/>
      <w:r>
        <w:rPr>
          <w:rStyle w:val="37"/>
          <w:rFonts w:hint="eastAsia" w:ascii="仿宋" w:hAnsi="仿宋" w:eastAsia="仿宋"/>
          <w:b w:val="0"/>
          <w:bCs w:val="0"/>
        </w:rPr>
        <w:t>十二、</w:t>
      </w:r>
      <w:bookmarkEnd w:id="97"/>
      <w:r>
        <w:rPr>
          <w:rStyle w:val="37"/>
          <w:rFonts w:hint="eastAsia" w:ascii="仿宋" w:hAnsi="仿宋" w:eastAsia="仿宋"/>
          <w:b w:val="0"/>
          <w:bCs w:val="0"/>
        </w:rPr>
        <w:t>国有资本经营预算财政拨款支出决算表</w:t>
      </w:r>
    </w:p>
    <w:p>
      <w:pPr>
        <w:pStyle w:val="5"/>
        <w:rPr>
          <w:rFonts w:eastAsia="仿宋"/>
        </w:rPr>
      </w:pPr>
      <w:bookmarkStart w:id="98" w:name="_Toc15396631"/>
      <w:r>
        <w:rPr>
          <w:rStyle w:val="37"/>
          <w:rFonts w:hint="eastAsia" w:ascii="仿宋" w:hAnsi="仿宋" w:eastAsia="仿宋"/>
          <w:b w:val="0"/>
          <w:bCs w:val="0"/>
        </w:rPr>
        <w:t>十三、</w:t>
      </w:r>
      <w:bookmarkEnd w:id="98"/>
      <w:r>
        <w:rPr>
          <w:rStyle w:val="37"/>
          <w:rFonts w:hint="eastAsia" w:ascii="仿宋" w:hAnsi="仿宋" w:eastAsia="仿宋"/>
          <w:b w:val="0"/>
          <w:bCs w:val="0"/>
        </w:rPr>
        <w:t>财政拨款“三公”经费支出决算表</w:t>
      </w:r>
    </w:p>
    <w:p>
      <w:pPr>
        <w:pStyle w:val="8"/>
        <w:rPr>
          <w:rFonts w:hint="eastAsia" w:ascii="仿宋_GB2312" w:hAnsi="仿宋_GB2312" w:eastAsia="仿宋_GB2312" w:cs="仿宋_GB2312"/>
          <w:b w:val="0"/>
          <w:bCs w:val="0"/>
          <w:color w:val="auto"/>
        </w:rPr>
      </w:pPr>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8"/>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DM4MTQ0ZWY4MzhlYjA3MzAwOTVlNmI5ZTA1N2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96E9F"/>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4566E"/>
    <w:rsid w:val="01F01F8D"/>
    <w:rsid w:val="03CD484C"/>
    <w:rsid w:val="041F5699"/>
    <w:rsid w:val="05334536"/>
    <w:rsid w:val="066E0107"/>
    <w:rsid w:val="06D95D5C"/>
    <w:rsid w:val="07996F6E"/>
    <w:rsid w:val="094B41FD"/>
    <w:rsid w:val="099530EA"/>
    <w:rsid w:val="09DE6830"/>
    <w:rsid w:val="0A2032A3"/>
    <w:rsid w:val="0A417803"/>
    <w:rsid w:val="0AC72391"/>
    <w:rsid w:val="0B1D130C"/>
    <w:rsid w:val="0C1F175D"/>
    <w:rsid w:val="0C811DEC"/>
    <w:rsid w:val="0C890779"/>
    <w:rsid w:val="0CF27B29"/>
    <w:rsid w:val="0D1557C7"/>
    <w:rsid w:val="0DB57B3A"/>
    <w:rsid w:val="0E890267"/>
    <w:rsid w:val="0FF47E31"/>
    <w:rsid w:val="101860EC"/>
    <w:rsid w:val="10C055FF"/>
    <w:rsid w:val="118107EC"/>
    <w:rsid w:val="12681C41"/>
    <w:rsid w:val="13D50BC4"/>
    <w:rsid w:val="14C342C9"/>
    <w:rsid w:val="154A6192"/>
    <w:rsid w:val="1675059D"/>
    <w:rsid w:val="16850DCF"/>
    <w:rsid w:val="16BB723D"/>
    <w:rsid w:val="1808436B"/>
    <w:rsid w:val="18E26BB2"/>
    <w:rsid w:val="190B65F7"/>
    <w:rsid w:val="19DC491F"/>
    <w:rsid w:val="19DF6A36"/>
    <w:rsid w:val="1A621889"/>
    <w:rsid w:val="1A626AD9"/>
    <w:rsid w:val="1A9223BA"/>
    <w:rsid w:val="1B7E79D6"/>
    <w:rsid w:val="1B8317C8"/>
    <w:rsid w:val="1BE8440E"/>
    <w:rsid w:val="1C3E1B36"/>
    <w:rsid w:val="1D155CEE"/>
    <w:rsid w:val="1F5C052B"/>
    <w:rsid w:val="236E4CD8"/>
    <w:rsid w:val="23860B96"/>
    <w:rsid w:val="240371BF"/>
    <w:rsid w:val="2495344F"/>
    <w:rsid w:val="258E70E1"/>
    <w:rsid w:val="29FD04D3"/>
    <w:rsid w:val="2A4547FB"/>
    <w:rsid w:val="2A7F7D84"/>
    <w:rsid w:val="2A824904"/>
    <w:rsid w:val="2B521BA1"/>
    <w:rsid w:val="2C8A61B5"/>
    <w:rsid w:val="2DF04E50"/>
    <w:rsid w:val="2E3F45EA"/>
    <w:rsid w:val="2E5653B1"/>
    <w:rsid w:val="2F236009"/>
    <w:rsid w:val="2F880A0E"/>
    <w:rsid w:val="2FDA2DB1"/>
    <w:rsid w:val="309C0000"/>
    <w:rsid w:val="319F7F4E"/>
    <w:rsid w:val="369D544E"/>
    <w:rsid w:val="36AA5135"/>
    <w:rsid w:val="37116D42"/>
    <w:rsid w:val="37E16F03"/>
    <w:rsid w:val="396C6330"/>
    <w:rsid w:val="3ACD2D3F"/>
    <w:rsid w:val="3B4715A0"/>
    <w:rsid w:val="3D98207C"/>
    <w:rsid w:val="3DD33817"/>
    <w:rsid w:val="3F174E7C"/>
    <w:rsid w:val="435D65CE"/>
    <w:rsid w:val="439C614E"/>
    <w:rsid w:val="43BA18B3"/>
    <w:rsid w:val="44E268DA"/>
    <w:rsid w:val="45ED1759"/>
    <w:rsid w:val="46BA5CE0"/>
    <w:rsid w:val="49E4068D"/>
    <w:rsid w:val="4A627F82"/>
    <w:rsid w:val="4B4F25DA"/>
    <w:rsid w:val="4BE068DB"/>
    <w:rsid w:val="4C122366"/>
    <w:rsid w:val="4C842965"/>
    <w:rsid w:val="4CB43AE6"/>
    <w:rsid w:val="4D577224"/>
    <w:rsid w:val="4DCA5670"/>
    <w:rsid w:val="4EAB630A"/>
    <w:rsid w:val="4ECE2238"/>
    <w:rsid w:val="4FE145CA"/>
    <w:rsid w:val="517B21F2"/>
    <w:rsid w:val="529739C5"/>
    <w:rsid w:val="52DE75D4"/>
    <w:rsid w:val="53926919"/>
    <w:rsid w:val="54A330A4"/>
    <w:rsid w:val="568F354E"/>
    <w:rsid w:val="569212CF"/>
    <w:rsid w:val="590F5946"/>
    <w:rsid w:val="59213252"/>
    <w:rsid w:val="59821EFA"/>
    <w:rsid w:val="5AB1123A"/>
    <w:rsid w:val="5AF92295"/>
    <w:rsid w:val="5B00701C"/>
    <w:rsid w:val="5BAC7AC1"/>
    <w:rsid w:val="5C972B66"/>
    <w:rsid w:val="5CD71FC4"/>
    <w:rsid w:val="5ECC2F4B"/>
    <w:rsid w:val="5FAB292D"/>
    <w:rsid w:val="60853036"/>
    <w:rsid w:val="609A41C0"/>
    <w:rsid w:val="60BD679F"/>
    <w:rsid w:val="61CC0A96"/>
    <w:rsid w:val="64ED275C"/>
    <w:rsid w:val="673F6082"/>
    <w:rsid w:val="69E10001"/>
    <w:rsid w:val="69E21970"/>
    <w:rsid w:val="6BB9751C"/>
    <w:rsid w:val="6C1730F2"/>
    <w:rsid w:val="6C4A05C8"/>
    <w:rsid w:val="6CF51963"/>
    <w:rsid w:val="6E7E3605"/>
    <w:rsid w:val="6FF5CC65"/>
    <w:rsid w:val="70B87C90"/>
    <w:rsid w:val="715C0E4B"/>
    <w:rsid w:val="71FD47F5"/>
    <w:rsid w:val="72734D90"/>
    <w:rsid w:val="72C47EC6"/>
    <w:rsid w:val="72EF7CA5"/>
    <w:rsid w:val="731716EC"/>
    <w:rsid w:val="73AD73D5"/>
    <w:rsid w:val="73B6EB34"/>
    <w:rsid w:val="74CA24FE"/>
    <w:rsid w:val="7519750B"/>
    <w:rsid w:val="779E7D70"/>
    <w:rsid w:val="78393DA0"/>
    <w:rsid w:val="78FC1444"/>
    <w:rsid w:val="79EC5571"/>
    <w:rsid w:val="79EE5BA4"/>
    <w:rsid w:val="7A894339"/>
    <w:rsid w:val="7AD14F03"/>
    <w:rsid w:val="7BFA0808"/>
    <w:rsid w:val="7C333A9E"/>
    <w:rsid w:val="7C3C4185"/>
    <w:rsid w:val="7CF121F1"/>
    <w:rsid w:val="7D285559"/>
    <w:rsid w:val="7D3833E1"/>
    <w:rsid w:val="7E7941D8"/>
    <w:rsid w:val="7EEF11D3"/>
    <w:rsid w:val="7F3361BC"/>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7">
    <w:name w:val="Normal Indent"/>
    <w:basedOn w:val="1"/>
    <w:semiHidden/>
    <w:unhideWhenUsed/>
    <w:qFormat/>
    <w:uiPriority w:val="99"/>
    <w:pPr>
      <w:ind w:firstLine="420" w:firstLineChars="200"/>
    </w:p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四号正文"/>
    <w:basedOn w:val="1"/>
    <w:qFormat/>
    <w:uiPriority w:val="0"/>
    <w:pPr>
      <w:spacing w:line="360" w:lineRule="auto"/>
    </w:pPr>
    <w:rPr>
      <w:rFonts w:ascii="??" w:hAnsi="??"/>
      <w:color w:val="000000"/>
      <w:kern w:val="0"/>
      <w:szCs w:val="20"/>
    </w:rPr>
  </w:style>
  <w:style w:type="character" w:customStyle="1" w:styleId="37">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38">
    <w:name w:val="15"/>
    <w:basedOn w:val="17"/>
    <w:qFormat/>
    <w:uiPriority w:val="0"/>
    <w:rPr>
      <w:rFonts w:hint="default" w:ascii="Times New Roman" w:hAnsi="Times New Roman" w:eastAsia="楷体_GB2312" w:cs="Times New Roman"/>
      <w:sz w:val="32"/>
      <w:szCs w:val="32"/>
    </w:rPr>
  </w:style>
  <w:style w:type="character" w:customStyle="1" w:styleId="39">
    <w:name w:val="font61"/>
    <w:basedOn w:val="17"/>
    <w:qFormat/>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24519.81</c:v>
                </c:pt>
                <c:pt idx="1">
                  <c:v>48147.27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三、年初结转结余</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三、年初结转结余</c:v>
                </c:pt>
              </c:strCache>
            </c:strRef>
          </c:cat>
          <c:val>
            <c:numRef>
              <c:f>[决算公开插图制作示例.xlsx]图二!$C$1:$C$6</c:f>
              <c:numCache>
                <c:formatCode>0.00%</c:formatCode>
                <c:ptCount val="6"/>
                <c:pt idx="0">
                  <c:v>0.0658</c:v>
                </c:pt>
                <c:pt idx="1">
                  <c:v>0.8332</c:v>
                </c:pt>
                <c:pt idx="2">
                  <c:v>0.101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0.0083</c:v>
                </c:pt>
                <c:pt idx="1">
                  <c:v>0.9917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28504.41</c:v>
                </c:pt>
                <c:pt idx="1">
                  <c:v>48147.27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28504.41</c:v>
                </c:pt>
                <c:pt idx="1">
                  <c:v>48147.27</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图6!$A$2:$A$5</c:f>
              <c:strCache>
                <c:ptCount val="4"/>
                <c:pt idx="0">
                  <c:v>城乡社区支出（类）支出</c:v>
                </c:pt>
                <c:pt idx="1">
                  <c:v>社会保障和就业（类）支出</c:v>
                </c:pt>
                <c:pt idx="2">
                  <c:v>卫生健康(类)支出</c:v>
                </c:pt>
                <c:pt idx="3">
                  <c:v>住房保障（类）支出</c:v>
                </c:pt>
              </c:strCache>
            </c:strRef>
          </c:cat>
          <c:val>
            <c:numRef>
              <c:f>图6!$B$2:$B$5</c:f>
              <c:numCache>
                <c:formatCode>General</c:formatCode>
                <c:ptCount val="4"/>
                <c:pt idx="0">
                  <c:v>45685.03</c:v>
                </c:pt>
                <c:pt idx="1">
                  <c:v>49.48</c:v>
                </c:pt>
                <c:pt idx="2">
                  <c:v>24.74</c:v>
                </c:pt>
                <c:pt idx="3">
                  <c:v>2388.02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[决算公开插图制作示例.20231024093048902.xlsx]图7!$A$2:$A$4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1</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18313</Words>
  <Characters>19650</Characters>
  <Lines>57</Lines>
  <Paragraphs>16</Paragraphs>
  <TotalTime>2</TotalTime>
  <ScaleCrop>false</ScaleCrop>
  <LinksUpToDate>false</LinksUpToDate>
  <CharactersWithSpaces>20033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2023-10-27T02:29:25Z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634EE6811D8940549EAE43E1E71889E9_13</vt:lpwstr>
  </property>
</Properties>
</file>