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96597"/>
      <w:bookmarkStart w:id="1" w:name="_Toc15378441"/>
      <w:bookmarkStart w:id="2" w:name="_Toc15396475"/>
      <w:bookmarkStart w:id="3" w:name="_Toc1537742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val="en-US" w:eastAsia="zh-CN"/>
        </w:rPr>
        <w:t>下寺镇人民政府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pageBreakBefore w:val="0"/>
        <w:widowControl/>
        <w:kinsoku/>
        <w:wordWrap/>
        <w:overflowPunct/>
        <w:topLinePunct w:val="0"/>
        <w:bidi w:val="0"/>
        <w:spacing w:line="576" w:lineRule="exact"/>
        <w:ind w:left="0"/>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ageBreakBefore w:val="0"/>
        <w:widowControl/>
        <w:kinsoku/>
        <w:wordWrap/>
        <w:overflowPunct/>
        <w:topLinePunct w:val="0"/>
        <w:bidi w:val="0"/>
        <w:spacing w:line="576" w:lineRule="exact"/>
        <w:ind w:left="0"/>
        <w:jc w:val="center"/>
        <w:rPr>
          <w:rFonts w:ascii="黑体" w:hAnsi="黑体" w:eastAsia="黑体" w:cstheme="minorBidi"/>
          <w:sz w:val="28"/>
          <w:szCs w:val="28"/>
        </w:rPr>
      </w:pPr>
    </w:p>
    <w:p>
      <w:pPr>
        <w:pStyle w:val="13"/>
        <w:pageBreakBefore w:val="0"/>
        <w:kinsoku/>
        <w:wordWrap/>
        <w:overflowPunct/>
        <w:topLinePunct w:val="0"/>
        <w:bidi w:val="0"/>
        <w:spacing w:before="0" w:line="576"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pageBreakBefore w:val="0"/>
        <w:kinsoku/>
        <w:wordWrap/>
        <w:overflowPunct/>
        <w:topLinePunct w:val="0"/>
        <w:bidi w:val="0"/>
        <w:spacing w:line="576" w:lineRule="exact"/>
        <w:ind w:left="0"/>
        <w:rPr>
          <w:rFonts w:hint="eastAsia"/>
        </w:rPr>
      </w:pPr>
    </w:p>
    <w:p>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一、部门职责及重点工作</w:t>
      </w:r>
    </w:p>
    <w:p>
      <w:pPr>
        <w:pStyle w:val="4"/>
        <w:pageBreakBefore w:val="0"/>
        <w:widowControl w:val="0"/>
        <w:kinsoku/>
        <w:wordWrap/>
        <w:overflowPunct/>
        <w:topLinePunct w:val="0"/>
        <w:autoSpaceDE/>
        <w:autoSpaceDN/>
        <w:bidi w:val="0"/>
        <w:spacing w:before="0" w:after="0"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部门职责</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（二）2022年重点工作完成情况</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2022年度部门决算情况说明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3"/>
        <w:keepNext w:val="0"/>
        <w:keepLines w:val="0"/>
        <w:pageBreakBefore w:val="0"/>
        <w:widowControl w:val="0"/>
        <w:kinsoku/>
        <w:wordWrap/>
        <w:overflowPunct/>
        <w:topLinePunct w:val="0"/>
        <w:autoSpaceDE/>
        <w:autoSpaceDN/>
        <w:bidi w:val="0"/>
        <w:adjustRightInd w:val="0"/>
        <w:snapToGrid w:val="0"/>
        <w:spacing w:before="0" w:line="57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pStyle w:val="14"/>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pageBreakBefore w:val="0"/>
        <w:widowControl/>
        <w:kinsoku/>
        <w:wordWrap/>
        <w:overflowPunct/>
        <w:topLinePunct w:val="0"/>
        <w:bidi w:val="0"/>
        <w:spacing w:line="576" w:lineRule="exact"/>
        <w:ind w:left="0"/>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pageBreakBefore w:val="0"/>
        <w:numPr>
          <w:ilvl w:val="0"/>
          <w:numId w:val="0"/>
        </w:numPr>
        <w:kinsoku/>
        <w:wordWrap/>
        <w:overflowPunct/>
        <w:topLinePunct w:val="0"/>
        <w:bidi w:val="0"/>
        <w:spacing w:before="0" w:after="0" w:line="576" w:lineRule="exact"/>
        <w:ind w:left="0" w:leftChars="0"/>
        <w:jc w:val="center"/>
        <w:rPr>
          <w:rStyle w:val="30"/>
          <w:rFonts w:hint="eastAsia" w:ascii="黑体" w:hAnsi="黑体" w:eastAsia="黑体"/>
          <w:b w:val="0"/>
          <w:bCs w:val="0"/>
        </w:rPr>
      </w:pPr>
      <w:r>
        <w:rPr>
          <w:rFonts w:hint="eastAsia" w:ascii="黑体" w:hAnsi="黑体" w:eastAsia="黑体" w:cs="Times New Roman"/>
          <w:b w:val="0"/>
          <w:bCs w:val="0"/>
          <w:kern w:val="44"/>
          <w:sz w:val="44"/>
          <w:szCs w:val="44"/>
          <w:lang w:val="en-US" w:eastAsia="zh-CN" w:bidi="ar-SA"/>
        </w:rPr>
        <w:t>第一部分</w:t>
      </w:r>
      <w:r>
        <w:rPr>
          <w:rStyle w:val="30"/>
          <w:rFonts w:hint="eastAsia" w:ascii="黑体" w:hAnsi="黑体" w:eastAsia="黑体"/>
          <w:b w:val="0"/>
          <w:bCs w:val="0"/>
        </w:rPr>
        <w:t>部门概况</w:t>
      </w:r>
      <w:bookmarkEnd w:id="12"/>
      <w:bookmarkEnd w:id="13"/>
    </w:p>
    <w:p>
      <w:pPr>
        <w:numPr>
          <w:ilvl w:val="0"/>
          <w:numId w:val="0"/>
        </w:num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firstLine="640" w:firstLineChars="200"/>
        <w:textAlignment w:val="auto"/>
        <w:rPr>
          <w:rFonts w:hint="eastAsia" w:ascii="黑体" w:hAnsi="黑体" w:eastAsia="黑体"/>
          <w:b w:val="0"/>
          <w:lang w:val="en-US" w:eastAsia="zh-CN"/>
        </w:rPr>
      </w:pPr>
      <w:r>
        <w:rPr>
          <w:rFonts w:hint="eastAsia" w:ascii="黑体" w:hAnsi="黑体" w:eastAsia="黑体"/>
          <w:b w:val="0"/>
          <w:lang w:val="en-US" w:eastAsia="zh-CN"/>
        </w:rPr>
        <w:t>一、</w:t>
      </w:r>
      <w:r>
        <w:rPr>
          <w:rFonts w:hint="eastAsia" w:ascii="黑体" w:hAnsi="黑体" w:eastAsia="黑体"/>
          <w:b w:val="0"/>
        </w:rPr>
        <w:t>部门职责</w:t>
      </w:r>
      <w:r>
        <w:rPr>
          <w:rFonts w:hint="eastAsia" w:ascii="黑体" w:hAnsi="黑体" w:eastAsia="黑体"/>
          <w:b w:val="0"/>
          <w:lang w:val="en-US" w:eastAsia="zh-CN"/>
        </w:rPr>
        <w:t>及重点工作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sz w:val="32"/>
          <w:szCs w:val="32"/>
          <w:lang w:val="en-US" w:eastAsia="zh-CN"/>
        </w:rPr>
        <w:t>（一）部门职责</w:t>
      </w:r>
    </w:p>
    <w:p>
      <w:pPr>
        <w:pageBreakBefore w:val="0"/>
        <w:kinsoku/>
        <w:wordWrap/>
        <w:overflowPunct/>
        <w:topLinePunct w:val="0"/>
        <w:bidi w:val="0"/>
        <w:spacing w:line="576"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2.制定并组织实施村镇建设规划，部署重点工程建设，地方道路建设及公共设施，水利设施的管理，负责土地、林木、水等自然资源和生态环境的保护，做好护林防火工作。</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（二）2022年重点工作完成情况</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eastAsia" w:hAnsi="仿宋_GB2312" w:cs="仿宋_GB2312"/>
          <w:sz w:val="32"/>
          <w:szCs w:val="32"/>
          <w:lang w:eastAsia="zh-CN"/>
        </w:rPr>
      </w:pPr>
      <w:r>
        <w:rPr>
          <w:rFonts w:hint="eastAsia" w:ascii="Times New Roman" w:hAnsi="仿宋_GB2312" w:eastAsia="宋体" w:cs="仿宋_GB2312"/>
          <w:kern w:val="2"/>
          <w:sz w:val="32"/>
          <w:szCs w:val="32"/>
          <w:lang w:val="en-US" w:eastAsia="zh-CN" w:bidi="ar-SA"/>
        </w:rPr>
        <w:t>1.</w:t>
      </w:r>
      <w:r>
        <w:rPr>
          <w:rFonts w:hint="eastAsia" w:ascii="楷体" w:hAnsi="楷体" w:eastAsia="楷体" w:cs="楷体"/>
          <w:b/>
          <w:bCs/>
          <w:sz w:val="32"/>
          <w:szCs w:val="32"/>
        </w:rPr>
        <w:t>优作风、提效能，自身建设全面加强</w:t>
      </w:r>
      <w:r>
        <w:rPr>
          <w:rFonts w:hint="eastAsia" w:ascii="楷体" w:hAnsi="楷体" w:eastAsia="楷体" w:cs="楷体"/>
          <w:b/>
          <w:bCs/>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hAnsi="仿宋_GB2312" w:cs="仿宋_GB2312"/>
          <w:sz w:val="32"/>
          <w:szCs w:val="32"/>
          <w:lang w:eastAsia="zh-CN"/>
        </w:rPr>
      </w:pPr>
      <w:r>
        <w:rPr>
          <w:rFonts w:hint="eastAsia" w:ascii="仿宋_GB2312" w:hAnsi="仿宋_GB2312" w:eastAsia="仿宋_GB2312" w:cs="仿宋_GB2312"/>
          <w:b/>
          <w:bCs/>
          <w:sz w:val="32"/>
          <w:szCs w:val="32"/>
        </w:rPr>
        <w:t>政治建设不断深化。</w:t>
      </w:r>
      <w:r>
        <w:rPr>
          <w:rFonts w:hint="eastAsia" w:ascii="仿宋_GB2312" w:hAnsi="仿宋_GB2312" w:eastAsia="仿宋_GB2312" w:cs="仿宋_GB2312"/>
          <w:sz w:val="32"/>
          <w:szCs w:val="32"/>
        </w:rPr>
        <w:t>两个维护常态常新，深学透悟笃行习近平新时代中国特色社会主义思想，巩固党史学习教育成果，贯彻落实中央、省、市及县党代会精神，组织开展专题学习17次，理论中心组学习15次，知客坝坝会等多形式宣讲活动70余次。</w:t>
      </w:r>
    </w:p>
    <w:p>
      <w:pPr>
        <w:keepNext w:val="0"/>
        <w:keepLines w:val="0"/>
        <w:pageBreakBefore w:val="0"/>
        <w:numPr>
          <w:ilvl w:val="0"/>
          <w:numId w:val="0"/>
        </w:numPr>
        <w:kinsoku/>
        <w:wordWrap/>
        <w:overflowPunct/>
        <w:topLinePunct w:val="0"/>
        <w:autoSpaceDE/>
        <w:autoSpaceDN/>
        <w:bidi w:val="0"/>
        <w:spacing w:line="576" w:lineRule="exact"/>
        <w:ind w:left="0" w:leftChars="0" w:firstLine="642" w:firstLineChars="200"/>
        <w:textAlignment w:val="auto"/>
        <w:rPr>
          <w:rFonts w:hint="eastAsia" w:hAnsi="仿宋_GB2312" w:cs="仿宋_GB2312"/>
          <w:sz w:val="32"/>
          <w:szCs w:val="32"/>
          <w:lang w:eastAsia="zh-CN"/>
        </w:rPr>
      </w:pPr>
      <w:r>
        <w:rPr>
          <w:rFonts w:hint="eastAsia" w:ascii="仿宋_GB2312" w:hAnsi="仿宋_GB2312" w:eastAsia="仿宋_GB2312" w:cs="仿宋_GB2312"/>
          <w:b/>
          <w:bCs/>
          <w:sz w:val="32"/>
          <w:szCs w:val="32"/>
        </w:rPr>
        <w:t>党建引领更加有力。</w:t>
      </w:r>
      <w:r>
        <w:rPr>
          <w:rFonts w:hint="eastAsia" w:ascii="仿宋_GB2312" w:hAnsi="仿宋_GB2312" w:eastAsia="仿宋_GB2312" w:cs="仿宋_GB2312"/>
          <w:sz w:val="32"/>
          <w:szCs w:val="32"/>
        </w:rPr>
        <w:t>优化党群阵地服务，高质量完成了渡口社区、清江社区等6个村（社区）亲民化阵地打造。打造特色党建品牌，成立红色物业1个，小区党组织9个，两新党组织2个，发展党员8名</w:t>
      </w:r>
      <w:r>
        <w:rPr>
          <w:rFonts w:hint="eastAsia" w:hAnsi="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廉政建设持续推进。</w:t>
      </w:r>
      <w:r>
        <w:rPr>
          <w:rFonts w:hint="eastAsia" w:ascii="仿宋_GB2312" w:hAnsi="仿宋_GB2312" w:eastAsia="仿宋_GB2312" w:cs="仿宋_GB2312"/>
          <w:sz w:val="32"/>
          <w:szCs w:val="32"/>
        </w:rPr>
        <w:t>持续开展干部纪律作风整顿、“九大专项”整治、“股长经济”自查自纠行动，查摆问题126个、八类问题31条全部整改完成，未发现有借培训名义搞公款旅游行为。健全完善“三重一大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四不直接分管”等领导干部日常监督管理制度7个，推行“四制”管干部等新建制度6个，规范党委议事规则和领导班子运行机制，厘清干部职责和岗位行为，切实促进全镇干部作风大转变。</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楷体_GB2312" w:eastAsia="楷体_GB2312"/>
          <w:b/>
          <w:bCs/>
          <w:sz w:val="32"/>
          <w:szCs w:val="32"/>
          <w:lang w:eastAsia="zh-CN"/>
        </w:rPr>
      </w:pPr>
      <w:r>
        <w:rPr>
          <w:rFonts w:hint="eastAsia" w:ascii="楷体_GB2312" w:eastAsia="楷体_GB2312"/>
          <w:b/>
          <w:bCs/>
          <w:sz w:val="32"/>
          <w:szCs w:val="32"/>
          <w:lang w:val="en-US" w:eastAsia="zh-CN"/>
        </w:rPr>
        <w:t>2.</w:t>
      </w:r>
      <w:r>
        <w:rPr>
          <w:rFonts w:hint="eastAsia" w:ascii="楷体_GB2312" w:eastAsia="楷体_GB2312"/>
          <w:b/>
          <w:bCs/>
          <w:sz w:val="32"/>
          <w:szCs w:val="32"/>
        </w:rPr>
        <w:t>谋发展、提质效，城乡发展不断增强</w:t>
      </w:r>
      <w:r>
        <w:rPr>
          <w:rFonts w:hint="eastAsia" w:ascii="楷体_GB2312" w:eastAsia="楷体_GB2312"/>
          <w:b/>
          <w:bCs/>
          <w:sz w:val="32"/>
          <w:szCs w:val="32"/>
          <w:lang w:eastAsia="zh-CN"/>
        </w:rPr>
        <w:t>。</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b/>
          <w:bCs/>
          <w:sz w:val="32"/>
          <w:szCs w:val="32"/>
        </w:rPr>
        <w:t>项目投资显著提升。</w:t>
      </w:r>
      <w:r>
        <w:rPr>
          <w:rFonts w:hint="eastAsia" w:ascii="仿宋_GB2312" w:eastAsia="仿宋_GB2312"/>
          <w:sz w:val="32"/>
          <w:szCs w:val="32"/>
        </w:rPr>
        <w:t>全年成功申报投资项目7个，完成固定资产投资额1.14亿元，占全年入库目标任务的95%。</w:t>
      </w:r>
      <w:r>
        <w:rPr>
          <w:rFonts w:hint="eastAsia" w:ascii="仿宋_GB2312" w:hAnsi="仿宋_GB2312" w:eastAsia="仿宋_GB2312" w:cs="仿宋_GB2312"/>
          <w:color w:val="000000"/>
          <w:sz w:val="32"/>
          <w:szCs w:val="32"/>
        </w:rPr>
        <w:t>全年“一把手”外出招商12次，签约资金目标任务</w:t>
      </w:r>
      <w:r>
        <w:rPr>
          <w:rFonts w:hint="eastAsia" w:ascii="仿宋_GB2312" w:hAnsi="仿宋_GB2312" w:eastAsia="仿宋_GB2312" w:cs="仿宋_GB2312"/>
          <w:color w:val="000000" w:themeColor="text1"/>
          <w:sz w:val="32"/>
          <w:szCs w:val="32"/>
          <w14:textFill>
            <w14:solidFill>
              <w14:schemeClr w14:val="tx1"/>
            </w14:solidFill>
          </w14:textFill>
        </w:rPr>
        <w:t>1.6亿元，完成签约任务1.15亿元，到位资金0.1516亿元。</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仿宋_GB2312" w:eastAsia="仿宋_GB2312"/>
          <w:sz w:val="32"/>
          <w:szCs w:val="32"/>
        </w:rPr>
      </w:pPr>
      <w:r>
        <w:rPr>
          <w:rFonts w:hint="eastAsia" w:ascii="楷体_GB2312" w:eastAsia="楷体_GB2312"/>
          <w:b/>
          <w:bCs/>
          <w:sz w:val="32"/>
          <w:szCs w:val="32"/>
        </w:rPr>
        <w:t>征地拆迁全力推进。</w:t>
      </w:r>
      <w:r>
        <w:rPr>
          <w:rFonts w:hint="eastAsia" w:ascii="仿宋_GB2312" w:hAnsi="仿宋_GB2312" w:eastAsia="仿宋_GB2312" w:cs="仿宋_GB2312"/>
          <w:sz w:val="32"/>
          <w:szCs w:val="32"/>
        </w:rPr>
        <w:t>全镇2022年</w:t>
      </w:r>
      <w:r>
        <w:rPr>
          <w:rFonts w:hint="eastAsia" w:ascii="仿宋_GB2312" w:eastAsia="仿宋_GB2312"/>
          <w:sz w:val="32"/>
          <w:szCs w:val="32"/>
        </w:rPr>
        <w:t>已完成征地900亩，签订拆迁协议165户，倒房99户，搬坟528座。破解城市综合体、高铁片区2个片遗留多年的历史难题，成功签订拆迁安置协议，实现“片区清零”。</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仿宋_GB2312" w:hAnsi="仿宋_GB2312" w:eastAsia="仿宋_GB2312" w:cs="仿宋_GB2312"/>
          <w:sz w:val="32"/>
          <w:szCs w:val="32"/>
        </w:rPr>
      </w:pPr>
      <w:r>
        <w:rPr>
          <w:rFonts w:hint="eastAsia" w:ascii="楷体_GB2312" w:eastAsia="楷体_GB2312"/>
          <w:b/>
          <w:bCs/>
          <w:sz w:val="32"/>
          <w:szCs w:val="32"/>
        </w:rPr>
        <w:t>乡村振兴有效衔接</w:t>
      </w:r>
      <w:r>
        <w:rPr>
          <w:rFonts w:hint="eastAsia" w:ascii="仿宋_GB2312" w:hAnsi="仿宋_GB2312" w:eastAsia="仿宋_GB2312" w:cs="仿宋_GB2312"/>
          <w:sz w:val="32"/>
          <w:szCs w:val="32"/>
        </w:rPr>
        <w:t>。顺利完成17户掉边掉角户房屋建设，并全部入住。完成峰垭、冠京等10个村人居环境整治，新建垃圾房74个，集中污水处理池1个。项目建设</w:t>
      </w:r>
      <w:r>
        <w:rPr>
          <w:rFonts w:hint="eastAsia" w:ascii="仿宋_GB2312" w:hAnsi="仿宋_GB2312" w:eastAsia="仿宋_GB2312" w:cs="仿宋_GB2312"/>
          <w:color w:val="000000" w:themeColor="text1"/>
          <w:sz w:val="32"/>
          <w:szCs w:val="32"/>
          <w14:textFill>
            <w14:solidFill>
              <w14:schemeClr w14:val="tx1"/>
            </w14:solidFill>
          </w14:textFill>
        </w:rPr>
        <w:t>持续推进。</w:t>
      </w:r>
      <w:r>
        <w:rPr>
          <w:rFonts w:hint="eastAsia" w:ascii="仿宋_GB2312" w:hAnsi="仿宋_GB2312" w:eastAsia="仿宋_GB2312" w:cs="仿宋_GB2312"/>
          <w:sz w:val="32"/>
          <w:szCs w:val="32"/>
        </w:rPr>
        <w:t>全年共有项目42个</w:t>
      </w:r>
      <w:r>
        <w:rPr>
          <w:rFonts w:hint="eastAsia" w:ascii="仿宋_GB2312" w:hAnsi="仿宋_GB2312" w:eastAsia="仿宋_GB2312" w:cs="仿宋_GB2312"/>
          <w:sz w:val="32"/>
          <w:szCs w:val="32"/>
          <w:lang w:eastAsia="zh-CN"/>
        </w:rPr>
        <w:t>，</w:t>
      </w:r>
      <w:r>
        <w:rPr>
          <w:rFonts w:hint="eastAsia" w:ascii="仿宋_GB2312" w:eastAsia="仿宋_GB2312"/>
          <w:sz w:val="32"/>
          <w:szCs w:val="32"/>
        </w:rPr>
        <w:t>全部完工。全镇21个村（社区）集体经济全部达标，中心村</w:t>
      </w:r>
      <w:r>
        <w:rPr>
          <w:rFonts w:hint="eastAsia" w:ascii="仿宋_GB2312" w:hAnsi="仿宋_GB2312" w:eastAsia="仿宋_GB2312" w:cs="仿宋_GB2312"/>
          <w:sz w:val="32"/>
          <w:szCs w:val="32"/>
        </w:rPr>
        <w:t>从2017年2.5万元增至2022年17.7万元，实现“薄弱村”到“示范村”完美蜕变。</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仿宋_GB2312" w:eastAsia="仿宋_GB2312"/>
          <w:sz w:val="32"/>
          <w:szCs w:val="32"/>
        </w:rPr>
      </w:pPr>
      <w:r>
        <w:rPr>
          <w:rFonts w:hint="eastAsia" w:ascii="楷体_GB2312" w:eastAsia="楷体_GB2312"/>
          <w:b/>
          <w:bCs/>
          <w:sz w:val="32"/>
          <w:szCs w:val="32"/>
        </w:rPr>
        <w:t>产业发展格局创新。</w:t>
      </w:r>
      <w:r>
        <w:rPr>
          <w:rFonts w:hint="eastAsia" w:ascii="仿宋_GB2312" w:eastAsia="仿宋_GB2312"/>
          <w:sz w:val="32"/>
          <w:szCs w:val="32"/>
        </w:rPr>
        <w:t>完成小剑村、中心村、二龙村、双旗村2576亩大豆玉米带状复合种植任务。</w:t>
      </w:r>
      <w:r>
        <w:rPr>
          <w:rFonts w:hint="eastAsia" w:ascii="仿宋_GB2312" w:hAnsi="仿宋_GB2312" w:eastAsia="仿宋_GB2312" w:cs="仿宋_GB2312"/>
          <w:sz w:val="32"/>
          <w:szCs w:val="32"/>
        </w:rPr>
        <w:t>剑门关土鸡6户，出栏生猪</w:t>
      </w:r>
      <w:r>
        <w:rPr>
          <w:rFonts w:hint="eastAsia" w:ascii="仿宋_GB2312" w:eastAsia="仿宋_GB2312"/>
          <w:sz w:val="32"/>
          <w:szCs w:val="32"/>
        </w:rPr>
        <w:t>3.2万头、肉牛700头、肉羊6600只、剑门关土鸡59万只</w:t>
      </w:r>
      <w:r>
        <w:rPr>
          <w:rFonts w:hint="eastAsia" w:ascii="仿宋_GB2312" w:hAnsi="仿宋_GB2312" w:eastAsia="仿宋_GB2312" w:cs="仿宋_GB2312"/>
          <w:sz w:val="32"/>
          <w:szCs w:val="32"/>
        </w:rPr>
        <w:t>。</w:t>
      </w:r>
      <w:r>
        <w:rPr>
          <w:rFonts w:hint="eastAsia" w:ascii="仿宋_GB2312" w:eastAsia="仿宋_GB2312"/>
          <w:sz w:val="32"/>
          <w:szCs w:val="32"/>
        </w:rPr>
        <w:t>新建圈舍1400平方米，改扩建圈舍1500平方米，新建200吨高温库、100吨低温库各1个，增加种羊200只，肉羊100只。</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抓源头、防风险，社会治理能力显著提升</w:t>
      </w:r>
      <w:r>
        <w:rPr>
          <w:rFonts w:hint="eastAsia" w:ascii="楷体" w:hAnsi="楷体" w:eastAsia="楷体" w:cs="楷体"/>
          <w:b/>
          <w:bCs/>
          <w:sz w:val="32"/>
          <w:szCs w:val="32"/>
          <w:lang w:eastAsia="zh-CN"/>
        </w:rPr>
        <w:t>。</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hint="eastAsia" w:ascii="仿宋_GB2312" w:eastAsia="仿宋_GB2312"/>
          <w:sz w:val="32"/>
          <w:szCs w:val="32"/>
        </w:rPr>
      </w:pPr>
      <w:r>
        <w:rPr>
          <w:rFonts w:hint="eastAsia" w:ascii="楷体_GB2312" w:eastAsia="楷体_GB2312"/>
          <w:b/>
          <w:bCs/>
          <w:sz w:val="32"/>
          <w:szCs w:val="32"/>
        </w:rPr>
        <w:t>疫情防控慎终如始。</w:t>
      </w:r>
      <w:r>
        <w:rPr>
          <w:rFonts w:hint="eastAsia" w:ascii="仿宋_GB2312" w:eastAsia="仿宋_GB2312"/>
          <w:sz w:val="32"/>
          <w:szCs w:val="32"/>
        </w:rPr>
        <w:t>坚持“线上+线下”数据统筹，把牢“排查关”。坚持“提前+实时”报告制度，落实“报备关”。坚持“集中+分散”分类施策，严把“管控关”。</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hint="eastAsia" w:ascii="楷体_GB2312" w:eastAsia="楷体_GB2312"/>
          <w:b/>
          <w:bCs/>
          <w:sz w:val="32"/>
          <w:szCs w:val="32"/>
        </w:rPr>
        <w:t>综治信访矛盾。</w:t>
      </w:r>
      <w:r>
        <w:rPr>
          <w:rFonts w:hint="eastAsia" w:ascii="仿宋_GB2312" w:hAnsi="仿宋_GB2312" w:eastAsia="仿宋_GB2312" w:cs="仿宋_GB2312"/>
          <w:sz w:val="32"/>
          <w:szCs w:val="32"/>
        </w:rPr>
        <w:t>坚持“坐班接访”制度。全年共接待来访群众113人，反映问题142个，驳回无理诉求53个。坚持“包案化解”制度。全年共化解信访矛盾32件，解决积访、重访等疑难信访5件。坚持“网络处置”制度。2022年全年共收到群众网上信件343件，按时办结率达100% ，群众满意率为100%，实现“三升两降”目标。</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hint="eastAsia" w:ascii="楷体_GB2312" w:eastAsia="楷体_GB2312"/>
          <w:b/>
          <w:bCs/>
          <w:sz w:val="32"/>
          <w:szCs w:val="32"/>
        </w:rPr>
        <w:t>安全生产坚守底线。</w:t>
      </w:r>
      <w:r>
        <w:rPr>
          <w:rFonts w:hint="eastAsia" w:ascii="仿宋_GB2312" w:hAnsi="仿宋_GB2312" w:eastAsia="仿宋_GB2312" w:cs="仿宋_GB2312"/>
          <w:sz w:val="32"/>
          <w:szCs w:val="32"/>
        </w:rPr>
        <w:t>镇党委严格执行“党政同责、一岗双责、齐抓共管、失职追责”工作要求，与村（社）、部门签订安全生产责任书32份，全年共开展交通、食品药品、烟花爆竹等检查36次，发现问题320个，已整改310个，无法整改的问题已上报至县政府。</w:t>
      </w:r>
      <w:r>
        <w:rPr>
          <w:rFonts w:hint="eastAsia" w:ascii="仿宋_GB2312" w:hAnsi="仿宋_GB2312" w:eastAsia="仿宋_GB2312" w:cs="仿宋_GB2312"/>
          <w:bCs/>
          <w:sz w:val="32"/>
          <w:szCs w:val="32"/>
        </w:rPr>
        <w:t>营造“安全生产人人有责”的浓厚氛围。常态化开展安全生产宣传活动，</w:t>
      </w:r>
      <w:r>
        <w:rPr>
          <w:rFonts w:hint="eastAsia" w:ascii="仿宋_GB2312" w:hAnsi="仿宋_GB2312" w:eastAsia="仿宋_GB2312" w:cs="仿宋_GB2312"/>
          <w:sz w:val="32"/>
          <w:szCs w:val="32"/>
        </w:rPr>
        <w:t>全年共</w:t>
      </w:r>
      <w:r>
        <w:rPr>
          <w:rFonts w:ascii="仿宋_GB2312" w:hAnsi="仿宋_GB2312" w:eastAsia="仿宋_GB2312" w:cs="仿宋_GB2312"/>
          <w:sz w:val="32"/>
          <w:szCs w:val="32"/>
        </w:rPr>
        <w:t>发</w:t>
      </w:r>
      <w:r>
        <w:rPr>
          <w:rFonts w:hint="eastAsia" w:ascii="仿宋_GB2312" w:hAnsi="仿宋_GB2312" w:eastAsia="仿宋_GB2312" w:cs="仿宋_GB2312"/>
          <w:sz w:val="32"/>
          <w:szCs w:val="32"/>
          <w:lang w:eastAsia="zh-CN"/>
        </w:rPr>
        <w:t>放</w:t>
      </w:r>
      <w:r>
        <w:rPr>
          <w:rFonts w:ascii="仿宋_GB2312" w:hAnsi="仿宋_GB2312" w:eastAsia="仿宋_GB2312" w:cs="仿宋_GB2312"/>
          <w:sz w:val="32"/>
          <w:szCs w:val="32"/>
        </w:rPr>
        <w:t>防火令3.1万余份，燃气安全知识 2.4万余份，</w:t>
      </w:r>
      <w:r>
        <w:rPr>
          <w:rFonts w:hint="eastAsia" w:ascii="仿宋_GB2312" w:hAnsi="仿宋_GB2312" w:eastAsia="仿宋_GB2312" w:cs="仿宋_GB2312"/>
          <w:sz w:val="32"/>
          <w:szCs w:val="32"/>
        </w:rPr>
        <w:t>防汛减灾宣传画1.5万份，</w:t>
      </w:r>
      <w:r>
        <w:rPr>
          <w:rFonts w:ascii="仿宋_GB2312" w:hAnsi="仿宋_GB2312" w:eastAsia="仿宋_GB2312" w:cs="仿宋_GB2312"/>
          <w:sz w:val="32"/>
          <w:szCs w:val="32"/>
        </w:rPr>
        <w:t>制作宣传音频</w:t>
      </w:r>
      <w:r>
        <w:rPr>
          <w:rFonts w:hint="eastAsia" w:ascii="仿宋_GB2312" w:hAnsi="仿宋_GB2312" w:eastAsia="仿宋_GB2312" w:cs="仿宋_GB2312"/>
          <w:sz w:val="32"/>
          <w:szCs w:val="32"/>
        </w:rPr>
        <w:t>27</w:t>
      </w:r>
      <w:r>
        <w:rPr>
          <w:rFonts w:ascii="仿宋_GB2312" w:hAnsi="仿宋_GB2312" w:eastAsia="仿宋_GB2312" w:cs="仿宋_GB2312"/>
          <w:sz w:val="32"/>
          <w:szCs w:val="32"/>
        </w:rPr>
        <w:t>个，组织流动宣传车</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4台次</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确保安全生产观念深入人心</w:t>
      </w:r>
      <w:r>
        <w:rPr>
          <w:rFonts w:hint="eastAsia" w:ascii="仿宋_GB2312" w:hAnsi="仿宋_GB2312" w:eastAsia="仿宋_GB2312" w:cs="仿宋_GB2312"/>
          <w:sz w:val="32"/>
          <w:szCs w:val="32"/>
        </w:rPr>
        <w:t>。</w:t>
      </w:r>
    </w:p>
    <w:p>
      <w:pPr>
        <w:pStyle w:val="37"/>
        <w:keepNext w:val="0"/>
        <w:keepLines w:val="0"/>
        <w:pageBreakBefore w:val="0"/>
        <w:kinsoku/>
        <w:wordWrap/>
        <w:overflowPunct/>
        <w:topLinePunct w:val="0"/>
        <w:autoSpaceDE/>
        <w:autoSpaceDN/>
        <w:bidi w:val="0"/>
        <w:spacing w:after="0" w:line="576" w:lineRule="exact"/>
        <w:ind w:left="0"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（四）抓保障、惠民生，群众生活品质不断改善</w:t>
      </w:r>
    </w:p>
    <w:p>
      <w:pPr>
        <w:keepNext w:val="0"/>
        <w:keepLines w:val="0"/>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b/>
          <w:bCs/>
          <w:sz w:val="32"/>
          <w:szCs w:val="32"/>
        </w:rPr>
        <w:t>就业创业贴心服务。</w:t>
      </w:r>
      <w:r>
        <w:rPr>
          <w:rFonts w:hint="eastAsia" w:ascii="仿宋_GB2312" w:hAnsi="黑体" w:eastAsia="仿宋_GB2312" w:cs="Times New Roman"/>
          <w:kern w:val="0"/>
          <w:sz w:val="32"/>
          <w:szCs w:val="32"/>
        </w:rPr>
        <w:t>积极做好返乡农民工服务保障工作，组</w:t>
      </w:r>
      <w:r>
        <w:rPr>
          <w:rFonts w:hint="eastAsia" w:ascii="仿宋_GB2312" w:hAnsi="黑体" w:eastAsia="仿宋_GB2312" w:cs="Times New Roman"/>
          <w:sz w:val="32"/>
          <w:szCs w:val="32"/>
        </w:rPr>
        <w:t>织返乡农民工代表、返乡创业大学生、农民工代表，用工需求企业代表，经营性人力资源公司代表等共计70余人</w:t>
      </w:r>
      <w:r>
        <w:rPr>
          <w:rFonts w:hint="eastAsia" w:ascii="仿宋_GB2312" w:hAnsi="黑体" w:eastAsia="仿宋_GB2312"/>
          <w:sz w:val="32"/>
          <w:szCs w:val="32"/>
        </w:rPr>
        <w:t>召开座谈会3次，征集意见113条。举办“</w:t>
      </w:r>
      <w:r>
        <w:rPr>
          <w:rFonts w:hint="eastAsia" w:ascii="仿宋_GB2312" w:hAnsi="黑体" w:eastAsia="仿宋_GB2312" w:cs="Times New Roman"/>
          <w:sz w:val="32"/>
          <w:szCs w:val="32"/>
        </w:rPr>
        <w:t>春风行动暨东西部劳务协作</w:t>
      </w:r>
      <w:r>
        <w:rPr>
          <w:rFonts w:hint="eastAsia" w:ascii="仿宋_GB2312" w:hAnsi="黑体" w:eastAsia="仿宋_GB2312"/>
          <w:sz w:val="32"/>
          <w:szCs w:val="32"/>
        </w:rPr>
        <w:t>”</w:t>
      </w:r>
      <w:r>
        <w:rPr>
          <w:rFonts w:hint="eastAsia" w:ascii="仿宋_GB2312" w:hAnsi="黑体" w:eastAsia="仿宋_GB2312" w:cs="Times New Roman"/>
          <w:sz w:val="32"/>
          <w:szCs w:val="32"/>
        </w:rPr>
        <w:t>专场招聘会</w:t>
      </w:r>
      <w:r>
        <w:rPr>
          <w:rFonts w:hint="eastAsia" w:ascii="仿宋_GB2312" w:hAnsi="黑体" w:eastAsia="仿宋_GB2312"/>
          <w:sz w:val="32"/>
          <w:szCs w:val="32"/>
        </w:rPr>
        <w:t>3场</w:t>
      </w:r>
      <w:r>
        <w:rPr>
          <w:rFonts w:hint="eastAsia" w:ascii="仿宋_GB2312" w:hAnsi="黑体" w:eastAsia="仿宋_GB2312" w:cs="Times New Roman"/>
          <w:sz w:val="32"/>
          <w:szCs w:val="32"/>
        </w:rPr>
        <w:t>，提供岗位5000余个，成功签约</w:t>
      </w:r>
      <w:r>
        <w:rPr>
          <w:rFonts w:hint="eastAsia" w:ascii="仿宋_GB2312" w:hAnsi="黑体" w:eastAsia="仿宋_GB2312"/>
          <w:sz w:val="32"/>
          <w:szCs w:val="32"/>
        </w:rPr>
        <w:t>1</w:t>
      </w:r>
      <w:r>
        <w:rPr>
          <w:rFonts w:hint="eastAsia" w:ascii="仿宋_GB2312" w:hAnsi="黑体" w:eastAsia="仿宋_GB2312" w:cs="Times New Roman"/>
          <w:sz w:val="32"/>
          <w:szCs w:val="32"/>
        </w:rPr>
        <w:t>50</w:t>
      </w:r>
      <w:r>
        <w:rPr>
          <w:rFonts w:hint="eastAsia" w:ascii="仿宋_GB2312" w:hAnsi="黑体" w:eastAsia="仿宋_GB2312"/>
          <w:sz w:val="32"/>
          <w:szCs w:val="32"/>
        </w:rPr>
        <w:t>余</w:t>
      </w:r>
      <w:r>
        <w:rPr>
          <w:rFonts w:hint="eastAsia" w:ascii="仿宋_GB2312" w:hAnsi="黑体" w:eastAsia="仿宋_GB2312" w:cs="Times New Roman"/>
          <w:sz w:val="32"/>
          <w:szCs w:val="32"/>
        </w:rPr>
        <w:t>人。</w:t>
      </w:r>
      <w:r>
        <w:rPr>
          <w:rFonts w:hint="eastAsia" w:ascii="仿宋_GB2312" w:hAnsi="仿宋_GB2312" w:eastAsia="仿宋_GB2312" w:cs="仿宋_GB2312"/>
          <w:sz w:val="32"/>
          <w:szCs w:val="32"/>
        </w:rPr>
        <w:t>成功申报贫困户、</w:t>
      </w:r>
      <w:r>
        <w:rPr>
          <w:rFonts w:hint="eastAsia" w:ascii="仿宋_GB2312" w:hAnsi="仿宋_GB2312" w:eastAsia="仿宋_GB2312" w:cs="仿宋_GB2312"/>
          <w:color w:val="000000"/>
          <w:sz w:val="32"/>
          <w:szCs w:val="32"/>
        </w:rPr>
        <w:t>返乡农民工、全民创业及万众创新</w:t>
      </w:r>
      <w:r>
        <w:rPr>
          <w:rFonts w:hint="eastAsia" w:ascii="仿宋_GB2312" w:hAnsi="仿宋_GB2312" w:eastAsia="仿宋_GB2312" w:cs="仿宋_GB2312"/>
          <w:sz w:val="32"/>
          <w:szCs w:val="32"/>
        </w:rPr>
        <w:t>创业</w:t>
      </w:r>
      <w:r>
        <w:rPr>
          <w:rFonts w:hint="eastAsia" w:ascii="仿宋_GB2312" w:hAnsi="仿宋_GB2312" w:eastAsia="仿宋_GB2312" w:cs="仿宋_GB2312"/>
          <w:color w:val="000000"/>
          <w:sz w:val="32"/>
          <w:szCs w:val="32"/>
        </w:rPr>
        <w:t>补贴48人，带动就业135人。</w:t>
      </w:r>
    </w:p>
    <w:p>
      <w:pPr>
        <w:pStyle w:val="37"/>
        <w:keepNext w:val="0"/>
        <w:keepLines w:val="0"/>
        <w:pageBreakBefore w:val="0"/>
        <w:kinsoku/>
        <w:wordWrap/>
        <w:overflowPunct/>
        <w:topLinePunct w:val="0"/>
        <w:autoSpaceDE/>
        <w:autoSpaceDN/>
        <w:bidi w:val="0"/>
        <w:spacing w:after="0" w:line="576" w:lineRule="exact"/>
        <w:ind w:left="0" w:firstLine="642" w:firstLineChars="200"/>
        <w:textAlignment w:val="auto"/>
        <w:rPr>
          <w:rFonts w:ascii="仿宋_GB2312" w:hAnsi="仿宋_GB2312" w:eastAsia="仿宋_GB2312"/>
          <w:sz w:val="32"/>
          <w:szCs w:val="32"/>
        </w:rPr>
      </w:pPr>
      <w:r>
        <w:rPr>
          <w:rFonts w:hint="eastAsia" w:ascii="仿宋_GB2312" w:hAnsi="仿宋_GB2312" w:eastAsia="仿宋_GB2312" w:cs="仿宋_GB2312"/>
          <w:b/>
          <w:color w:val="000000"/>
          <w:sz w:val="32"/>
          <w:szCs w:val="32"/>
        </w:rPr>
        <w:t>社会保障兜牢底线。</w:t>
      </w:r>
      <w:r>
        <w:rPr>
          <w:rFonts w:hint="eastAsia" w:ascii="仿宋_GB2312" w:hAnsi="仿宋_GB2312" w:eastAsia="仿宋_GB2312" w:cs="仿宋_GB2312"/>
          <w:color w:val="000000"/>
          <w:sz w:val="32"/>
          <w:szCs w:val="32"/>
        </w:rPr>
        <w:t>严格</w:t>
      </w:r>
      <w:r>
        <w:rPr>
          <w:rFonts w:hint="eastAsia" w:ascii="仿宋_GB2312" w:hAnsi="仿宋_GB2312" w:eastAsia="仿宋_GB2312"/>
          <w:sz w:val="32"/>
          <w:szCs w:val="32"/>
        </w:rPr>
        <w:t>城乡低保清理。按照“公开、公平、公正”原则清理低保，经核实共取消城镇低保</w:t>
      </w:r>
      <w:r>
        <w:rPr>
          <w:rFonts w:hint="eastAsia" w:ascii="仿宋_GB2312" w:hAnsi="仿宋_GB2312" w:eastAsia="仿宋_GB2312" w:cs="Times New Roman"/>
          <w:sz w:val="32"/>
          <w:szCs w:val="28"/>
        </w:rPr>
        <w:t>20户</w:t>
      </w:r>
      <w:r>
        <w:rPr>
          <w:rFonts w:hint="eastAsia" w:ascii="仿宋_GB2312" w:hAnsi="仿宋_GB2312" w:eastAsia="仿宋_GB2312" w:cs="Times New Roman"/>
          <w:sz w:val="32"/>
          <w:szCs w:val="32"/>
        </w:rPr>
        <w:t xml:space="preserve"> 29人、新增</w:t>
      </w:r>
      <w:r>
        <w:rPr>
          <w:rFonts w:hint="eastAsia" w:ascii="仿宋_GB2312" w:hAnsi="仿宋_GB2312" w:eastAsia="仿宋_GB2312" w:cs="Times New Roman"/>
          <w:sz w:val="32"/>
          <w:szCs w:val="28"/>
        </w:rPr>
        <w:t>6户10</w:t>
      </w:r>
      <w:r>
        <w:rPr>
          <w:rFonts w:hint="eastAsia" w:ascii="仿宋_GB2312" w:hAnsi="仿宋_GB2312" w:eastAsia="仿宋_GB2312"/>
          <w:sz w:val="32"/>
          <w:szCs w:val="28"/>
        </w:rPr>
        <w:t>人，</w:t>
      </w:r>
      <w:r>
        <w:rPr>
          <w:rFonts w:hint="eastAsia" w:ascii="仿宋_GB2312" w:hAnsi="仿宋_GB2312" w:eastAsia="仿宋_GB2312" w:cs="Times New Roman"/>
          <w:sz w:val="32"/>
          <w:szCs w:val="32"/>
        </w:rPr>
        <w:t>取消农村低保</w:t>
      </w:r>
      <w:r>
        <w:rPr>
          <w:rFonts w:hint="eastAsia" w:ascii="仿宋_GB2312" w:hAnsi="仿宋_GB2312" w:eastAsia="仿宋_GB2312" w:cs="Times New Roman"/>
          <w:sz w:val="32"/>
          <w:szCs w:val="28"/>
        </w:rPr>
        <w:t>61户102人</w:t>
      </w:r>
      <w:r>
        <w:rPr>
          <w:rFonts w:hint="eastAsia" w:ascii="仿宋_GB2312" w:hAnsi="仿宋_GB2312" w:eastAsia="仿宋_GB2312" w:cs="Times New Roman"/>
          <w:sz w:val="32"/>
          <w:szCs w:val="32"/>
        </w:rPr>
        <w:t>，新增 26</w:t>
      </w:r>
      <w:r>
        <w:rPr>
          <w:rFonts w:hint="eastAsia" w:ascii="仿宋_GB2312" w:hAnsi="仿宋_GB2312" w:eastAsia="仿宋_GB2312" w:cs="Times New Roman"/>
          <w:sz w:val="32"/>
          <w:szCs w:val="28"/>
        </w:rPr>
        <w:t>户57人，</w:t>
      </w:r>
      <w:r>
        <w:rPr>
          <w:rFonts w:hint="eastAsia" w:ascii="仿宋_GB2312" w:hAnsi="仿宋_GB2312" w:eastAsia="仿宋_GB2312"/>
          <w:sz w:val="32"/>
          <w:szCs w:val="32"/>
        </w:rPr>
        <w:t>全年发放城镇低保补贴19.628万元，农村低保</w:t>
      </w:r>
      <w:r>
        <w:rPr>
          <w:rFonts w:hint="eastAsia" w:ascii="仿宋_GB2312" w:hAnsi="仿宋_GB2312" w:eastAsia="仿宋_GB2312"/>
          <w:sz w:val="32"/>
          <w:szCs w:val="28"/>
        </w:rPr>
        <w:t>补贴共计26.9590万元</w:t>
      </w:r>
      <w:r>
        <w:rPr>
          <w:rFonts w:hint="eastAsia" w:ascii="仿宋_GB2312" w:hAnsi="仿宋_GB2312" w:eastAsia="仿宋_GB2312"/>
          <w:sz w:val="32"/>
          <w:szCs w:val="32"/>
        </w:rPr>
        <w:t>。关爱困难特殊人群，及时足额兑付残疾人护理补贴、五保户供养金、高龄补贴等资金70余万元。</w:t>
      </w:r>
    </w:p>
    <w:p>
      <w:pPr>
        <w:pStyle w:val="37"/>
        <w:keepNext w:val="0"/>
        <w:keepLines w:val="0"/>
        <w:pageBreakBefore w:val="0"/>
        <w:kinsoku/>
        <w:wordWrap/>
        <w:overflowPunct/>
        <w:topLinePunct w:val="0"/>
        <w:autoSpaceDE/>
        <w:autoSpaceDN/>
        <w:bidi w:val="0"/>
        <w:spacing w:after="0" w:line="576"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b/>
          <w:bCs/>
          <w:sz w:val="32"/>
          <w:szCs w:val="32"/>
        </w:rPr>
        <w:t>公共服务提质扩面。</w:t>
      </w:r>
      <w:r>
        <w:rPr>
          <w:rFonts w:hint="eastAsia" w:ascii="仿宋_GB2312" w:hAnsi="仿宋_GB2312" w:eastAsia="仿宋_GB2312"/>
          <w:sz w:val="32"/>
          <w:szCs w:val="32"/>
        </w:rPr>
        <w:t>高标准建设新时代文明实践站示范点。常态化开展全民阅读、优质旅游等文明实践志愿服务64余次，举办各类公益文化（体育）活动23余次，极大满足群众需求。实施创文“七大专项行动”，扎实推进第六届四川省文明城市创建。魅力乡镇竞演进入全市前列，双旗村成功申报为全省乡村旅游重点村，中央、省、市、县各级领导多次莅临考察调研。全年</w:t>
      </w:r>
      <w:r>
        <w:rPr>
          <w:rFonts w:hint="eastAsia" w:ascii="仿宋_GB2312" w:hAnsi="仿宋_GB2312" w:eastAsia="仿宋_GB2312" w:cs="仿宋_GB2312"/>
          <w:sz w:val="32"/>
          <w:szCs w:val="32"/>
        </w:rPr>
        <w:t>外宣稿件被市级以上网络媒体采用78篇，《学习强国》平台采用2篇，《广元日报》刊载6篇。</w:t>
      </w:r>
    </w:p>
    <w:p>
      <w:pPr>
        <w:pStyle w:val="4"/>
        <w:keepNext/>
        <w:keepLines/>
        <w:pageBreakBefore w:val="0"/>
        <w:widowControl w:val="0"/>
        <w:kinsoku/>
        <w:wordWrap/>
        <w:overflowPunct/>
        <w:topLinePunct w:val="0"/>
        <w:autoSpaceDE/>
        <w:autoSpaceDN/>
        <w:bidi w:val="0"/>
        <w:adjustRightInd/>
        <w:snapToGrid/>
        <w:spacing w:before="0" w:after="0" w:line="576" w:lineRule="exact"/>
        <w:ind w:left="0" w:firstLine="640" w:firstLineChars="200"/>
        <w:textAlignment w:val="auto"/>
        <w:rPr>
          <w:rStyle w:val="31"/>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pageBreakBefore w:val="0"/>
        <w:kinsoku/>
        <w:wordWrap/>
        <w:overflowPunct/>
        <w:topLinePunct w:val="0"/>
        <w:bidi w:val="0"/>
        <w:spacing w:line="576" w:lineRule="exact"/>
        <w:ind w:left="0" w:firstLine="800" w:firstLineChars="250"/>
        <w:rPr>
          <w:rFonts w:ascii="仿宋" w:hAnsi="仿宋" w:eastAsia="仿宋"/>
          <w:sz w:val="32"/>
          <w:szCs w:val="32"/>
        </w:rPr>
      </w:pPr>
      <w:r>
        <w:rPr>
          <w:rFonts w:hint="eastAsia" w:ascii="仿宋" w:hAnsi="仿宋" w:eastAsia="仿宋"/>
          <w:sz w:val="32"/>
          <w:szCs w:val="32"/>
          <w:lang w:val="en-US" w:eastAsia="zh-CN"/>
        </w:rPr>
        <w:t>剑阁县下寺镇人民政府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无</w:t>
      </w:r>
      <w:r>
        <w:rPr>
          <w:rFonts w:hint="eastAsia" w:ascii="仿宋" w:hAnsi="仿宋" w:eastAsia="仿宋"/>
          <w:sz w:val="32"/>
          <w:szCs w:val="32"/>
        </w:rPr>
        <w:t>纳入</w:t>
      </w:r>
      <w:r>
        <w:rPr>
          <w:rFonts w:hint="eastAsia" w:ascii="仿宋" w:hAnsi="仿宋" w:eastAsia="仿宋"/>
          <w:sz w:val="32"/>
          <w:szCs w:val="32"/>
          <w:lang w:val="en-US" w:eastAsia="zh-CN"/>
        </w:rPr>
        <w:t>剑阁县下寺镇人民政府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2"/>
        <w:rPr>
          <w:rFonts w:hint="eastAsia"/>
          <w:lang w:eastAsia="zh-CN"/>
        </w:rPr>
      </w:pPr>
    </w:p>
    <w:p>
      <w:pPr>
        <w:pStyle w:val="2"/>
        <w:rPr>
          <w:rFonts w:hint="eastAsia"/>
          <w:lang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jc w:val="center"/>
        <w:textAlignment w:val="auto"/>
        <w:rPr>
          <w:rStyle w:val="30"/>
          <w:rFonts w:hint="eastAsia" w:ascii="方正小标宋简体" w:hAnsi="方正小标宋简体" w:eastAsia="方正小标宋简体" w:cs="方正小标宋简体"/>
          <w:b w:val="0"/>
          <w:bCs/>
          <w:sz w:val="44"/>
          <w:szCs w:val="44"/>
        </w:rPr>
      </w:pPr>
      <w:bookmarkStart w:id="16" w:name="_Toc15377204"/>
      <w:bookmarkStart w:id="17" w:name="_Toc15396602"/>
      <w:r>
        <w:rPr>
          <w:rFonts w:hint="eastAsia" w:ascii="方正小标宋简体" w:hAnsi="方正小标宋简体" w:eastAsia="方正小标宋简体" w:cs="方正小标宋简体"/>
          <w:b/>
          <w:bCs/>
          <w:kern w:val="44"/>
          <w:sz w:val="44"/>
          <w:szCs w:val="44"/>
          <w:lang w:val="en-US" w:eastAsia="zh-CN" w:bidi="ar-SA"/>
        </w:rPr>
        <w:t>第二部分</w:t>
      </w:r>
      <w:r>
        <w:rPr>
          <w:rFonts w:hint="eastAsia" w:ascii="方正小标宋简体" w:hAnsi="方正小标宋简体" w:eastAsia="方正小标宋简体" w:cs="方正小标宋简体"/>
          <w:b w:val="0"/>
          <w:sz w:val="44"/>
          <w:szCs w:val="44"/>
        </w:rPr>
        <w:t>2022年度</w:t>
      </w:r>
      <w:r>
        <w:rPr>
          <w:rStyle w:val="30"/>
          <w:rFonts w:hint="eastAsia" w:ascii="方正小标宋简体" w:hAnsi="方正小标宋简体" w:eastAsia="方正小标宋简体" w:cs="方正小标宋简体"/>
          <w:b w:val="0"/>
          <w:bCs/>
          <w:sz w:val="44"/>
          <w:szCs w:val="44"/>
        </w:rPr>
        <w:t>部门决算情况说明</w:t>
      </w:r>
      <w:bookmarkEnd w:id="16"/>
      <w:bookmarkEnd w:id="17"/>
    </w:p>
    <w:p>
      <w:pPr>
        <w:rPr>
          <w:rFonts w:hint="eastAsia"/>
        </w:rPr>
      </w:pPr>
    </w:p>
    <w:p>
      <w:pPr>
        <w:pStyle w:val="29"/>
        <w:pageBreakBefore w:val="0"/>
        <w:numPr>
          <w:ilvl w:val="0"/>
          <w:numId w:val="0"/>
        </w:numPr>
        <w:kinsoku/>
        <w:wordWrap/>
        <w:overflowPunct/>
        <w:topLinePunct w:val="0"/>
        <w:bidi w:val="0"/>
        <w:spacing w:line="240" w:lineRule="auto"/>
        <w:ind w:left="0" w:leftChars="0" w:firstLine="640" w:firstLineChars="200"/>
        <w:outlineLvl w:val="1"/>
        <w:rPr>
          <w:rStyle w:val="31"/>
          <w:rFonts w:ascii="黑体" w:hAnsi="黑体" w:eastAsia="黑体"/>
          <w:b w:val="0"/>
        </w:rPr>
      </w:pPr>
      <w:bookmarkStart w:id="18" w:name="_Toc15396603"/>
      <w:bookmarkStart w:id="19" w:name="_Toc15377205"/>
      <w:r>
        <w:rPr>
          <w:rFonts w:hint="default" w:ascii="黑体" w:hAnsi="黑体" w:eastAsia="黑体" w:cstheme="majorBidi"/>
          <w:b w:val="0"/>
          <w:bCs/>
          <w:kern w:val="2"/>
          <w:sz w:val="32"/>
          <w:szCs w:val="32"/>
          <w:lang w:val="en-US" w:eastAsia="zh-CN" w:bidi="ar-SA"/>
        </w:rPr>
        <w:t>一、</w:t>
      </w:r>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pageBreakBefore w:val="0"/>
        <w:kinsoku/>
        <w:wordWrap/>
        <w:overflowPunct/>
        <w:topLinePunct w:val="0"/>
        <w:bidi w:val="0"/>
        <w:spacing w:line="576" w:lineRule="exact"/>
        <w:ind w:left="0" w:firstLine="420" w:firstLineChars="200"/>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803275</wp:posOffset>
            </wp:positionH>
            <wp:positionV relativeFrom="paragraph">
              <wp:posOffset>1183005</wp:posOffset>
            </wp:positionV>
            <wp:extent cx="4178300" cy="2334260"/>
            <wp:effectExtent l="5080" t="4445" r="7620" b="23495"/>
            <wp:wrapTopAndBottom/>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2022年度收、支总计</w:t>
      </w:r>
      <w:r>
        <w:rPr>
          <w:rFonts w:hint="eastAsia" w:ascii="仿宋" w:hAnsi="仿宋" w:eastAsia="仿宋"/>
          <w:sz w:val="32"/>
          <w:szCs w:val="32"/>
          <w:lang w:val="en-US" w:eastAsia="zh-CN"/>
        </w:rPr>
        <w:t>3216.04</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448.95</w:t>
      </w:r>
      <w:r>
        <w:rPr>
          <w:rFonts w:hint="eastAsia" w:ascii="仿宋" w:hAnsi="仿宋" w:eastAsia="仿宋"/>
          <w:sz w:val="32"/>
          <w:szCs w:val="32"/>
        </w:rPr>
        <w:t>万元，增长</w:t>
      </w:r>
      <w:r>
        <w:rPr>
          <w:rFonts w:hint="eastAsia" w:ascii="仿宋" w:hAnsi="仿宋" w:eastAsia="仿宋"/>
          <w:sz w:val="32"/>
          <w:szCs w:val="32"/>
          <w:lang w:val="en-US" w:eastAsia="zh-CN"/>
        </w:rPr>
        <w:t>16.22</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val="en-US" w:eastAsia="zh-CN"/>
        </w:rPr>
        <w:t>是项目投资增加</w:t>
      </w:r>
      <w:r>
        <w:rPr>
          <w:rFonts w:hint="eastAsia" w:ascii="仿宋" w:hAnsi="仿宋" w:eastAsia="仿宋"/>
          <w:sz w:val="32"/>
          <w:szCs w:val="32"/>
        </w:rPr>
        <w:t>。</w:t>
      </w:r>
    </w:p>
    <w:p>
      <w:pPr>
        <w:pStyle w:val="2"/>
        <w:jc w:val="center"/>
        <w:rPr>
          <w:rFonts w:hint="eastAsia" w:eastAsia="仿宋"/>
          <w:lang w:eastAsia="zh-CN"/>
        </w:rPr>
      </w:pPr>
    </w:p>
    <w:p>
      <w:pPr>
        <w:pStyle w:val="29"/>
        <w:pageBreakBefore w:val="0"/>
        <w:numPr>
          <w:ilvl w:val="0"/>
          <w:numId w:val="0"/>
        </w:numPr>
        <w:kinsoku/>
        <w:wordWrap/>
        <w:overflowPunct/>
        <w:topLinePunct w:val="0"/>
        <w:bidi w:val="0"/>
        <w:spacing w:line="576" w:lineRule="exact"/>
        <w:ind w:left="1092" w:leftChars="304" w:hanging="454" w:hangingChars="142"/>
        <w:outlineLvl w:val="1"/>
        <w:rPr>
          <w:rStyle w:val="31"/>
          <w:rFonts w:ascii="黑体" w:hAnsi="黑体" w:eastAsia="黑体"/>
          <w:b w:val="0"/>
        </w:rPr>
      </w:pPr>
      <w:bookmarkStart w:id="20" w:name="_Toc15377206"/>
      <w:bookmarkStart w:id="21" w:name="_Toc15396604"/>
      <w:r>
        <w:rPr>
          <w:rFonts w:hint="eastAsia" w:ascii="黑体" w:hAnsi="黑体" w:eastAsia="黑体"/>
          <w:sz w:val="32"/>
          <w:szCs w:val="32"/>
          <w:lang w:val="en-US" w:eastAsia="zh-CN"/>
        </w:rPr>
        <w:t>二、</w:t>
      </w:r>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pageBreakBefore w:val="0"/>
        <w:kinsoku/>
        <w:wordWrap/>
        <w:overflowPunct/>
        <w:topLinePunct w:val="0"/>
        <w:bidi w:val="0"/>
        <w:spacing w:line="576" w:lineRule="exact"/>
        <w:ind w:left="0"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3216.04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3066.04</w:t>
      </w:r>
      <w:r>
        <w:rPr>
          <w:rFonts w:hint="eastAsia" w:ascii="仿宋" w:hAnsi="仿宋" w:eastAsia="仿宋"/>
          <w:sz w:val="32"/>
          <w:szCs w:val="32"/>
        </w:rPr>
        <w:t>万元，占</w:t>
      </w:r>
      <w:r>
        <w:rPr>
          <w:rFonts w:hint="eastAsia" w:ascii="仿宋" w:hAnsi="仿宋" w:eastAsia="仿宋"/>
          <w:sz w:val="32"/>
          <w:szCs w:val="32"/>
          <w:lang w:val="en-US" w:eastAsia="zh-CN"/>
        </w:rPr>
        <w:t>95.34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150</w:t>
      </w:r>
      <w:r>
        <w:rPr>
          <w:rFonts w:hint="eastAsia" w:ascii="仿宋" w:hAnsi="仿宋" w:eastAsia="仿宋"/>
          <w:sz w:val="32"/>
          <w:szCs w:val="32"/>
        </w:rPr>
        <w:t>万元，占</w:t>
      </w:r>
      <w:r>
        <w:rPr>
          <w:rFonts w:hint="eastAsia" w:ascii="仿宋" w:hAnsi="仿宋" w:eastAsia="仿宋"/>
          <w:sz w:val="32"/>
          <w:szCs w:val="32"/>
          <w:lang w:val="en-US" w:eastAsia="zh-CN"/>
        </w:rPr>
        <w:t>4.66</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576" w:lineRule="exact"/>
        <w:ind w:left="0" w:firstLine="420" w:firstLineChars="200"/>
        <w:outlineLvl w:val="1"/>
        <w:rPr>
          <w:rFonts w:ascii="仿宋_GB2312" w:eastAsia="仿宋_GB2312"/>
          <w:sz w:val="32"/>
          <w:szCs w:val="32"/>
        </w:rPr>
      </w:pPr>
      <w:r>
        <w:drawing>
          <wp:anchor distT="0" distB="0" distL="114300" distR="114300" simplePos="0" relativeHeight="251662336" behindDoc="0" locked="0" layoutInCell="1" allowOverlap="1">
            <wp:simplePos x="0" y="0"/>
            <wp:positionH relativeFrom="column">
              <wp:posOffset>528320</wp:posOffset>
            </wp:positionH>
            <wp:positionV relativeFrom="paragraph">
              <wp:posOffset>239395</wp:posOffset>
            </wp:positionV>
            <wp:extent cx="4105910" cy="2247265"/>
            <wp:effectExtent l="5080" t="4445" r="22860" b="15240"/>
            <wp:wrapTopAndBottom/>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31"/>
          <w:rFonts w:ascii="黑体" w:hAnsi="黑体" w:eastAsia="黑体"/>
          <w:b w:val="0"/>
        </w:rPr>
      </w:pPr>
      <w:bookmarkStart w:id="22" w:name="_Toc15396605"/>
      <w:bookmarkStart w:id="23" w:name="_Toc15377207"/>
      <w:r>
        <w:rPr>
          <w:rFonts w:hint="default" w:ascii="黑体" w:hAnsi="黑体" w:eastAsia="黑体" w:cstheme="majorBidi"/>
          <w:b w:val="0"/>
          <w:bCs/>
          <w:kern w:val="2"/>
          <w:sz w:val="32"/>
          <w:szCs w:val="32"/>
          <w:lang w:val="en-US" w:eastAsia="zh-CN" w:bidi="ar-SA"/>
        </w:rPr>
        <w:t>三、</w:t>
      </w:r>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pageBreakBefore w:val="0"/>
        <w:kinsoku/>
        <w:wordWrap/>
        <w:overflowPunct/>
        <w:topLinePunct w:val="0"/>
        <w:bidi w:val="0"/>
        <w:spacing w:line="576" w:lineRule="exact"/>
        <w:ind w:left="0" w:firstLine="420" w:firstLineChars="200"/>
        <w:outlineLvl w:val="1"/>
        <w:rPr>
          <w:rFonts w:ascii="仿宋_GB2312" w:eastAsia="仿宋_GB2312"/>
          <w:sz w:val="32"/>
          <w:szCs w:val="32"/>
        </w:rPr>
      </w:pPr>
      <w:r>
        <w:drawing>
          <wp:anchor distT="0" distB="0" distL="114300" distR="114300" simplePos="0" relativeHeight="251661312" behindDoc="0" locked="0" layoutInCell="1" allowOverlap="1">
            <wp:simplePos x="0" y="0"/>
            <wp:positionH relativeFrom="column">
              <wp:posOffset>575945</wp:posOffset>
            </wp:positionH>
            <wp:positionV relativeFrom="paragraph">
              <wp:posOffset>1544955</wp:posOffset>
            </wp:positionV>
            <wp:extent cx="4826000" cy="2743200"/>
            <wp:effectExtent l="4445" t="4445" r="8255" b="14605"/>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3216.04</w:t>
      </w:r>
      <w:r>
        <w:rPr>
          <w:rFonts w:hint="eastAsia" w:ascii="仿宋" w:hAnsi="仿宋" w:eastAsia="仿宋"/>
          <w:sz w:val="32"/>
          <w:szCs w:val="32"/>
        </w:rPr>
        <w:t>万元，其中：基本支出</w:t>
      </w:r>
      <w:r>
        <w:rPr>
          <w:rFonts w:hint="eastAsia" w:ascii="仿宋" w:hAnsi="仿宋" w:eastAsia="仿宋"/>
          <w:sz w:val="32"/>
          <w:szCs w:val="32"/>
          <w:lang w:val="en-US" w:eastAsia="zh-CN"/>
        </w:rPr>
        <w:t>2181.14</w:t>
      </w:r>
      <w:r>
        <w:rPr>
          <w:rFonts w:hint="eastAsia" w:ascii="仿宋" w:hAnsi="仿宋" w:eastAsia="仿宋"/>
          <w:sz w:val="32"/>
          <w:szCs w:val="32"/>
        </w:rPr>
        <w:t>万元，占</w:t>
      </w:r>
      <w:r>
        <w:rPr>
          <w:rFonts w:hint="eastAsia" w:ascii="仿宋" w:hAnsi="仿宋" w:eastAsia="仿宋"/>
          <w:sz w:val="32"/>
          <w:szCs w:val="32"/>
          <w:lang w:val="en-US" w:eastAsia="zh-CN"/>
        </w:rPr>
        <w:t>67.82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1034.9</w:t>
      </w:r>
      <w:r>
        <w:rPr>
          <w:rFonts w:hint="eastAsia" w:ascii="仿宋" w:hAnsi="仿宋" w:eastAsia="仿宋"/>
          <w:sz w:val="32"/>
          <w:szCs w:val="32"/>
        </w:rPr>
        <w:t>万元，占</w:t>
      </w:r>
      <w:r>
        <w:rPr>
          <w:rFonts w:hint="eastAsia" w:ascii="仿宋" w:hAnsi="仿宋" w:eastAsia="仿宋"/>
          <w:sz w:val="32"/>
          <w:szCs w:val="32"/>
          <w:lang w:val="en-US" w:eastAsia="zh-CN"/>
        </w:rPr>
        <w:t>32.18</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576" w:lineRule="exact"/>
        <w:ind w:left="0" w:firstLine="640" w:firstLineChars="200"/>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pageBreakBefore w:val="0"/>
        <w:kinsoku/>
        <w:wordWrap/>
        <w:overflowPunct/>
        <w:topLinePunct w:val="0"/>
        <w:bidi w:val="0"/>
        <w:spacing w:line="576" w:lineRule="exact"/>
        <w:ind w:left="0" w:firstLine="640"/>
        <w:rPr>
          <w:rFonts w:hint="eastAsia" w:ascii="仿宋" w:hAnsi="仿宋" w:eastAsia="仿宋"/>
          <w:sz w:val="32"/>
          <w:szCs w:val="32"/>
          <w:lang w:val="en-US" w:eastAsia="zh-CN"/>
        </w:rPr>
      </w:pPr>
      <w:r>
        <w:drawing>
          <wp:anchor distT="0" distB="0" distL="114300" distR="114300" simplePos="0" relativeHeight="251660288" behindDoc="0" locked="0" layoutInCell="1" allowOverlap="1">
            <wp:simplePos x="0" y="0"/>
            <wp:positionH relativeFrom="column">
              <wp:posOffset>785495</wp:posOffset>
            </wp:positionH>
            <wp:positionV relativeFrom="paragraph">
              <wp:posOffset>1137920</wp:posOffset>
            </wp:positionV>
            <wp:extent cx="4264660" cy="2162810"/>
            <wp:effectExtent l="4445" t="5080" r="17145" b="22860"/>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3216.04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448.95</w:t>
      </w:r>
      <w:r>
        <w:rPr>
          <w:rFonts w:hint="eastAsia" w:ascii="仿宋" w:hAnsi="仿宋" w:eastAsia="仿宋"/>
          <w:sz w:val="32"/>
          <w:szCs w:val="32"/>
        </w:rPr>
        <w:t>万元，增长</w:t>
      </w:r>
      <w:r>
        <w:rPr>
          <w:rFonts w:hint="eastAsia" w:ascii="仿宋" w:hAnsi="仿宋" w:eastAsia="仿宋"/>
          <w:sz w:val="32"/>
          <w:szCs w:val="32"/>
          <w:lang w:val="en-US" w:eastAsia="zh-CN"/>
        </w:rPr>
        <w:t>16.22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项目投资增加。</w:t>
      </w:r>
    </w:p>
    <w:p>
      <w:pPr>
        <w:pageBreakBefore w:val="0"/>
        <w:kinsoku/>
        <w:wordWrap/>
        <w:overflowPunct/>
        <w:topLinePunct w:val="0"/>
        <w:bidi w:val="0"/>
        <w:spacing w:line="576" w:lineRule="exact"/>
        <w:ind w:left="0"/>
        <w:rPr>
          <w:rFonts w:ascii="仿宋" w:hAnsi="仿宋" w:eastAsia="仿宋"/>
          <w:b/>
          <w:sz w:val="32"/>
          <w:szCs w:val="32"/>
        </w:rPr>
      </w:pPr>
    </w:p>
    <w:p>
      <w:pPr>
        <w:pageBreakBefore w:val="0"/>
        <w:kinsoku/>
        <w:wordWrap/>
        <w:overflowPunct/>
        <w:topLinePunct w:val="0"/>
        <w:bidi w:val="0"/>
        <w:spacing w:line="576" w:lineRule="exact"/>
        <w:ind w:left="0" w:firstLine="640" w:firstLineChars="200"/>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pageBreakBefore w:val="0"/>
        <w:kinsoku/>
        <w:wordWrap/>
        <w:overflowPunct/>
        <w:topLinePunct w:val="0"/>
        <w:bidi w:val="0"/>
        <w:spacing w:line="576" w:lineRule="exact"/>
        <w:ind w:left="0"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pageBreakBefore w:val="0"/>
        <w:kinsoku/>
        <w:wordWrap/>
        <w:overflowPunct/>
        <w:topLinePunct w:val="0"/>
        <w:bidi w:val="0"/>
        <w:spacing w:line="576" w:lineRule="exact"/>
        <w:ind w:left="0"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3066.04</w:t>
      </w:r>
      <w:r>
        <w:rPr>
          <w:rFonts w:hint="eastAsia" w:ascii="仿宋" w:hAnsi="仿宋" w:eastAsia="仿宋"/>
          <w:sz w:val="32"/>
          <w:szCs w:val="32"/>
        </w:rPr>
        <w:t>万元，占本年支出合计的</w:t>
      </w:r>
      <w:r>
        <w:rPr>
          <w:rFonts w:hint="eastAsia" w:ascii="仿宋" w:hAnsi="仿宋" w:eastAsia="仿宋"/>
          <w:sz w:val="32"/>
          <w:szCs w:val="32"/>
          <w:lang w:val="en-US" w:eastAsia="zh-CN"/>
        </w:rPr>
        <w:t>95.34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298.95</w:t>
      </w:r>
      <w:r>
        <w:rPr>
          <w:rFonts w:hint="eastAsia" w:ascii="仿宋" w:hAnsi="仿宋" w:eastAsia="仿宋"/>
          <w:sz w:val="32"/>
          <w:szCs w:val="32"/>
        </w:rPr>
        <w:t>万元，增长</w:t>
      </w:r>
      <w:r>
        <w:rPr>
          <w:rFonts w:hint="eastAsia" w:ascii="仿宋" w:hAnsi="仿宋" w:eastAsia="仿宋"/>
          <w:sz w:val="32"/>
          <w:szCs w:val="32"/>
          <w:lang w:val="en-US" w:eastAsia="zh-CN"/>
        </w:rPr>
        <w:t>10.8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项目投资增加。</w:t>
      </w:r>
    </w:p>
    <w:p>
      <w:pPr>
        <w:pStyle w:val="2"/>
        <w:rPr>
          <w:rFonts w:hint="eastAsia"/>
          <w:lang w:val="en-US" w:eastAsia="zh-CN"/>
        </w:rPr>
      </w:pPr>
    </w:p>
    <w:p>
      <w:pPr>
        <w:pStyle w:val="2"/>
        <w:jc w:val="center"/>
        <w:rPr>
          <w:rFonts w:hint="default"/>
          <w:lang w:val="en-US" w:eastAsia="zh-CN"/>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ind w:left="0" w:firstLine="640" w:firstLineChars="200"/>
        <w:rPr>
          <w:rFonts w:ascii="仿宋" w:hAnsi="仿宋" w:eastAsia="仿宋"/>
          <w:sz w:val="32"/>
          <w:szCs w:val="32"/>
        </w:rPr>
      </w:pPr>
    </w:p>
    <w:p>
      <w:pPr>
        <w:pageBreakBefore w:val="0"/>
        <w:kinsoku/>
        <w:wordWrap/>
        <w:overflowPunct/>
        <w:topLinePunct w:val="0"/>
        <w:bidi w:val="0"/>
        <w:spacing w:line="576" w:lineRule="exact"/>
        <w:ind w:left="0"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pageBreakBefore w:val="0"/>
        <w:kinsoku/>
        <w:wordWrap/>
        <w:overflowPunct/>
        <w:topLinePunct w:val="0"/>
        <w:bidi w:val="0"/>
        <w:spacing w:line="576" w:lineRule="exact"/>
        <w:ind w:left="0"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3066.04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val="0"/>
          <w:bCs w:val="0"/>
          <w:sz w:val="32"/>
          <w:szCs w:val="32"/>
          <w:lang w:val="en-US" w:eastAsia="zh-CN"/>
        </w:rPr>
        <w:t>994.31</w:t>
      </w:r>
      <w:r>
        <w:rPr>
          <w:rFonts w:hint="eastAsia" w:ascii="仿宋" w:hAnsi="仿宋" w:eastAsia="仿宋"/>
          <w:b w:val="0"/>
          <w:bCs w:val="0"/>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32.43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国防支出</w:t>
      </w:r>
      <w:r>
        <w:rPr>
          <w:rFonts w:hint="eastAsia" w:ascii="仿宋" w:hAnsi="仿宋" w:eastAsia="仿宋"/>
          <w:sz w:val="32"/>
          <w:szCs w:val="32"/>
          <w:lang w:val="en-US" w:eastAsia="zh-CN"/>
        </w:rPr>
        <w:t>占0.5万元，占0.02%；</w:t>
      </w:r>
      <w:r>
        <w:rPr>
          <w:rFonts w:hint="eastAsia" w:ascii="仿宋" w:hAnsi="仿宋" w:eastAsia="仿宋"/>
          <w:b/>
          <w:bCs/>
          <w:sz w:val="32"/>
          <w:szCs w:val="32"/>
        </w:rPr>
        <w:t>文化旅游体育与传媒支出</w:t>
      </w:r>
      <w:r>
        <w:rPr>
          <w:rFonts w:hint="eastAsia" w:ascii="仿宋" w:hAnsi="仿宋" w:eastAsia="仿宋"/>
          <w:b w:val="0"/>
          <w:bCs w:val="0"/>
          <w:sz w:val="32"/>
          <w:szCs w:val="32"/>
          <w:lang w:val="en-US" w:eastAsia="zh-CN"/>
        </w:rPr>
        <w:t>51.89</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1.69</w:t>
      </w:r>
      <w:r>
        <w:rPr>
          <w:rFonts w:ascii="仿宋" w:hAnsi="仿宋" w:eastAsia="仿宋"/>
          <w:b w:val="0"/>
          <w:bCs w:val="0"/>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val="0"/>
          <w:bCs w:val="0"/>
          <w:sz w:val="32"/>
          <w:szCs w:val="32"/>
          <w:lang w:val="en-US" w:eastAsia="zh-CN"/>
        </w:rPr>
        <w:t>427.98</w:t>
      </w:r>
      <w:r>
        <w:rPr>
          <w:rFonts w:hint="eastAsia" w:ascii="仿宋" w:hAnsi="仿宋" w:eastAsia="仿宋"/>
          <w:b w:val="0"/>
          <w:bCs w:val="0"/>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13.96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val="0"/>
          <w:bCs w:val="0"/>
          <w:sz w:val="32"/>
          <w:szCs w:val="32"/>
          <w:lang w:val="en-US" w:eastAsia="zh-CN"/>
        </w:rPr>
        <w:t>215.79</w:t>
      </w:r>
      <w:r>
        <w:rPr>
          <w:rFonts w:hint="eastAsia" w:ascii="仿宋" w:hAnsi="仿宋" w:eastAsia="仿宋"/>
          <w:b w:val="0"/>
          <w:bCs w:val="0"/>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7.04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城乡社区支出</w:t>
      </w:r>
      <w:r>
        <w:rPr>
          <w:rFonts w:hint="eastAsia" w:ascii="仿宋" w:hAnsi="仿宋" w:eastAsia="仿宋"/>
          <w:sz w:val="32"/>
          <w:szCs w:val="32"/>
          <w:lang w:val="en-US" w:eastAsia="zh-CN"/>
        </w:rPr>
        <w:t>11.01万元，</w:t>
      </w:r>
      <w:r>
        <w:rPr>
          <w:rFonts w:hint="eastAsia" w:ascii="仿宋" w:hAnsi="仿宋" w:eastAsia="仿宋"/>
          <w:color w:val="auto"/>
          <w:sz w:val="32"/>
          <w:szCs w:val="32"/>
          <w:lang w:val="en-US" w:eastAsia="zh-CN"/>
        </w:rPr>
        <w:t>占0.36%；</w:t>
      </w:r>
      <w:r>
        <w:rPr>
          <w:rFonts w:hint="eastAsia" w:ascii="仿宋" w:hAnsi="仿宋" w:eastAsia="仿宋"/>
          <w:b/>
          <w:bCs/>
          <w:sz w:val="32"/>
          <w:szCs w:val="32"/>
          <w:lang w:val="en-US" w:eastAsia="zh-CN"/>
        </w:rPr>
        <w:t>农林水支出</w:t>
      </w:r>
      <w:r>
        <w:rPr>
          <w:rFonts w:hint="eastAsia" w:ascii="仿宋" w:hAnsi="仿宋" w:eastAsia="仿宋"/>
          <w:sz w:val="32"/>
          <w:szCs w:val="32"/>
          <w:lang w:val="en-US" w:eastAsia="zh-CN"/>
        </w:rPr>
        <w:t>1243.92万元，占40.57%；</w:t>
      </w:r>
      <w:r>
        <w:rPr>
          <w:rFonts w:hint="eastAsia" w:ascii="仿宋" w:hAnsi="仿宋" w:eastAsia="仿宋"/>
          <w:b/>
          <w:bCs/>
          <w:sz w:val="32"/>
          <w:szCs w:val="32"/>
        </w:rPr>
        <w:t>住房保障支出</w:t>
      </w:r>
      <w:r>
        <w:rPr>
          <w:rFonts w:hint="eastAsia" w:ascii="仿宋" w:hAnsi="仿宋" w:eastAsia="仿宋"/>
          <w:b w:val="0"/>
          <w:bCs w:val="0"/>
          <w:sz w:val="32"/>
          <w:szCs w:val="32"/>
          <w:lang w:val="en-US" w:eastAsia="zh-CN"/>
        </w:rPr>
        <w:t>120.44</w:t>
      </w:r>
      <w:r>
        <w:rPr>
          <w:rFonts w:hint="eastAsia" w:ascii="仿宋" w:hAnsi="仿宋" w:eastAsia="仿宋"/>
          <w:b w:val="0"/>
          <w:bCs w:val="0"/>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3.93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灾害防治及应急管理支出</w:t>
      </w:r>
      <w:r>
        <w:rPr>
          <w:rFonts w:hint="eastAsia" w:ascii="仿宋" w:hAnsi="仿宋" w:eastAsia="仿宋"/>
          <w:sz w:val="32"/>
          <w:szCs w:val="32"/>
          <w:lang w:val="en-US" w:eastAsia="zh-CN"/>
        </w:rPr>
        <w:t>0.2万元，占0.01%</w:t>
      </w:r>
      <w:r>
        <w:rPr>
          <w:rFonts w:hint="eastAsia" w:ascii="仿宋" w:hAnsi="仿宋" w:eastAsia="仿宋"/>
          <w:sz w:val="32"/>
          <w:szCs w:val="32"/>
        </w:rPr>
        <w:t>。</w:t>
      </w:r>
    </w:p>
    <w:p>
      <w:pPr>
        <w:pageBreakBefore w:val="0"/>
        <w:kinsoku/>
        <w:wordWrap/>
        <w:overflowPunct/>
        <w:topLinePunct w:val="0"/>
        <w:bidi w:val="0"/>
        <w:spacing w:line="576" w:lineRule="exact"/>
        <w:ind w:left="0" w:firstLine="64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144780</wp:posOffset>
            </wp:positionH>
            <wp:positionV relativeFrom="paragraph">
              <wp:posOffset>287655</wp:posOffset>
            </wp:positionV>
            <wp:extent cx="5121275" cy="3428365"/>
            <wp:effectExtent l="4445" t="4445" r="17780" b="1524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76" w:lineRule="exact"/>
        <w:ind w:left="0"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pageBreakBefore w:val="0"/>
        <w:kinsoku/>
        <w:wordWrap/>
        <w:overflowPunct/>
        <w:topLinePunct w:val="0"/>
        <w:bidi w:val="0"/>
        <w:spacing w:line="576" w:lineRule="exact"/>
        <w:ind w:left="0" w:firstLine="642"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3066.04万元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pPr>
        <w:pageBreakBefore w:val="0"/>
        <w:numPr>
          <w:ilvl w:val="0"/>
          <w:numId w:val="0"/>
        </w:numPr>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Fonts w:hint="eastAsia" w:ascii="仿宋" w:hAnsi="仿宋" w:eastAsia="仿宋" w:cs="Times New Roman"/>
          <w:b/>
          <w:bCs w:val="0"/>
          <w:kern w:val="2"/>
          <w:sz w:val="32"/>
          <w:szCs w:val="32"/>
          <w:lang w:val="en-US" w:eastAsia="zh-CN" w:bidi="ar-SA"/>
        </w:rPr>
        <w:t>1.</w:t>
      </w:r>
      <w:r>
        <w:rPr>
          <w:rStyle w:val="20"/>
          <w:rFonts w:hint="eastAsia" w:ascii="仿宋" w:hAnsi="仿宋" w:eastAsia="仿宋"/>
          <w:b/>
          <w:bCs w:val="0"/>
          <w:sz w:val="32"/>
          <w:szCs w:val="32"/>
        </w:rPr>
        <w:t>一</w:t>
      </w:r>
      <w:r>
        <w:rPr>
          <w:rStyle w:val="20"/>
          <w:rFonts w:hint="eastAsia" w:ascii="仿宋" w:hAnsi="仿宋" w:eastAsia="仿宋"/>
          <w:bCs/>
          <w:sz w:val="32"/>
          <w:szCs w:val="32"/>
        </w:rPr>
        <w:t>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人大事务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代表工作</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2.25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numPr>
          <w:ilvl w:val="0"/>
          <w:numId w:val="0"/>
        </w:numPr>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Fonts w:hint="eastAsia" w:ascii="仿宋" w:hAnsi="仿宋" w:eastAsia="仿宋" w:cs="Times New Roman"/>
          <w:b/>
          <w:bCs w:val="0"/>
          <w:kern w:val="2"/>
          <w:sz w:val="32"/>
          <w:szCs w:val="32"/>
          <w:lang w:val="en-US" w:eastAsia="zh-CN" w:bidi="ar-SA"/>
        </w:rPr>
        <w:t>2.</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人大事务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其他人大事务支出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numPr>
          <w:ilvl w:val="0"/>
          <w:numId w:val="0"/>
        </w:numPr>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Style w:val="20"/>
          <w:rFonts w:hint="eastAsia" w:ascii="仿宋" w:hAnsi="仿宋" w:eastAsia="仿宋"/>
          <w:b/>
          <w:bCs w:val="0"/>
          <w:sz w:val="32"/>
          <w:szCs w:val="32"/>
          <w:lang w:val="en-US" w:eastAsia="zh-CN"/>
        </w:rPr>
        <w:t>3.</w:t>
      </w:r>
      <w:r>
        <w:rPr>
          <w:rStyle w:val="20"/>
          <w:rFonts w:hint="eastAsia" w:ascii="仿宋" w:hAnsi="仿宋" w:eastAsia="仿宋"/>
          <w:b/>
          <w:bCs w:val="0"/>
          <w:sz w:val="32"/>
          <w:szCs w:val="32"/>
        </w:rPr>
        <w:t>一</w:t>
      </w:r>
      <w:r>
        <w:rPr>
          <w:rStyle w:val="20"/>
          <w:rFonts w:hint="eastAsia" w:ascii="仿宋" w:hAnsi="仿宋" w:eastAsia="仿宋"/>
          <w:bCs/>
          <w:sz w:val="32"/>
          <w:szCs w:val="32"/>
        </w:rPr>
        <w:t>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政府办公厅（室）及相关机构事务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行政运行</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956.11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numPr>
          <w:ilvl w:val="0"/>
          <w:numId w:val="0"/>
        </w:numPr>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Style w:val="20"/>
          <w:rFonts w:hint="eastAsia" w:ascii="仿宋" w:hAnsi="仿宋" w:eastAsia="仿宋"/>
          <w:b/>
          <w:bCs w:val="0"/>
          <w:sz w:val="32"/>
          <w:szCs w:val="32"/>
          <w:lang w:val="en-US" w:eastAsia="zh-CN"/>
        </w:rPr>
        <w:t>4.</w:t>
      </w:r>
      <w:r>
        <w:rPr>
          <w:rStyle w:val="20"/>
          <w:rFonts w:hint="eastAsia" w:ascii="仿宋" w:hAnsi="仿宋" w:eastAsia="仿宋"/>
          <w:b/>
          <w:bCs w:val="0"/>
          <w:sz w:val="32"/>
          <w:szCs w:val="32"/>
        </w:rPr>
        <w:t>一</w:t>
      </w:r>
      <w:r>
        <w:rPr>
          <w:rStyle w:val="20"/>
          <w:rFonts w:hint="eastAsia" w:ascii="仿宋" w:hAnsi="仿宋" w:eastAsia="仿宋"/>
          <w:bCs/>
          <w:sz w:val="32"/>
          <w:szCs w:val="32"/>
        </w:rPr>
        <w:t>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政府办公厅（室）及相关机构事务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一般行政管理事务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17.79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5</w:t>
      </w:r>
      <w:r>
        <w:rPr>
          <w:rStyle w:val="20"/>
          <w:rFonts w:ascii="仿宋" w:hAnsi="仿宋" w:eastAsia="仿宋"/>
          <w:bCs/>
          <w:sz w:val="32"/>
          <w:szCs w:val="32"/>
        </w:rPr>
        <w:t>.</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政府办公厅（室）及相关机构事务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信访事务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6</w:t>
      </w:r>
      <w:r>
        <w:rPr>
          <w:rStyle w:val="20"/>
          <w:rFonts w:ascii="仿宋" w:hAnsi="仿宋" w:eastAsia="仿宋"/>
          <w:bCs/>
          <w:sz w:val="32"/>
          <w:szCs w:val="32"/>
        </w:rPr>
        <w:t>.</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政府办公厅（室）及相关机构事务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事业运行</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10.8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7</w:t>
      </w:r>
      <w:r>
        <w:rPr>
          <w:rStyle w:val="20"/>
          <w:rFonts w:ascii="仿宋" w:hAnsi="仿宋" w:eastAsia="仿宋"/>
          <w:bCs/>
          <w:sz w:val="32"/>
          <w:szCs w:val="32"/>
        </w:rPr>
        <w:t>.</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统计信息事务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其他统计信息事务支出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8</w:t>
      </w:r>
      <w:r>
        <w:rPr>
          <w:rStyle w:val="20"/>
          <w:rFonts w:ascii="仿宋" w:hAnsi="仿宋" w:eastAsia="仿宋"/>
          <w:bCs/>
          <w:sz w:val="32"/>
          <w:szCs w:val="32"/>
        </w:rPr>
        <w:t>.</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纪检监察事务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一般行政管理事务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9</w:t>
      </w:r>
      <w:r>
        <w:rPr>
          <w:rStyle w:val="20"/>
          <w:rFonts w:ascii="仿宋" w:hAnsi="仿宋" w:eastAsia="仿宋"/>
          <w:bCs/>
          <w:sz w:val="32"/>
          <w:szCs w:val="32"/>
        </w:rPr>
        <w:t>.</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纪检监察事务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派驻派出机构</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2.24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ascii="仿宋" w:hAnsi="仿宋" w:eastAsia="仿宋"/>
          <w:bCs/>
          <w:sz w:val="32"/>
          <w:szCs w:val="32"/>
        </w:rPr>
        <w:t>1</w:t>
      </w:r>
      <w:r>
        <w:rPr>
          <w:rStyle w:val="20"/>
          <w:rFonts w:hint="eastAsia" w:ascii="仿宋" w:hAnsi="仿宋" w:eastAsia="仿宋"/>
          <w:bCs/>
          <w:sz w:val="32"/>
          <w:szCs w:val="32"/>
          <w:lang w:val="en-US" w:eastAsia="zh-CN"/>
        </w:rPr>
        <w:t>0</w:t>
      </w:r>
      <w:r>
        <w:rPr>
          <w:rStyle w:val="20"/>
          <w:rFonts w:ascii="仿宋" w:hAnsi="仿宋" w:eastAsia="仿宋"/>
          <w:bCs/>
          <w:sz w:val="32"/>
          <w:szCs w:val="32"/>
        </w:rPr>
        <w:t>.</w:t>
      </w:r>
      <w:r>
        <w:rPr>
          <w:rStyle w:val="20"/>
          <w:rFonts w:hint="eastAsia" w:ascii="仿宋" w:hAnsi="仿宋" w:eastAsia="仿宋"/>
          <w:bCs/>
          <w:sz w:val="32"/>
          <w:szCs w:val="32"/>
        </w:rPr>
        <w:t>一般公共服务</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群众团体事务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其他群众团体事务支出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numPr>
          <w:ilvl w:val="0"/>
          <w:numId w:val="0"/>
        </w:numPr>
        <w:kinsoku/>
        <w:wordWrap/>
        <w:overflowPunct/>
        <w:topLinePunct w:val="0"/>
        <w:bidi w:val="0"/>
        <w:spacing w:line="576" w:lineRule="exact"/>
        <w:ind w:left="0" w:firstLine="64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1</w:t>
      </w:r>
      <w:r>
        <w:rPr>
          <w:rStyle w:val="20"/>
          <w:rFonts w:ascii="仿宋" w:hAnsi="仿宋" w:eastAsia="仿宋"/>
          <w:bCs/>
          <w:sz w:val="32"/>
          <w:szCs w:val="32"/>
        </w:rPr>
        <w:t>1.</w:t>
      </w:r>
      <w:r>
        <w:rPr>
          <w:rStyle w:val="20"/>
          <w:rFonts w:hint="eastAsia" w:ascii="仿宋" w:hAnsi="仿宋" w:eastAsia="仿宋"/>
          <w:bCs/>
          <w:sz w:val="32"/>
          <w:szCs w:val="32"/>
        </w:rPr>
        <w:t>一般公共服务（类）</w:t>
      </w:r>
      <w:r>
        <w:rPr>
          <w:rStyle w:val="20"/>
          <w:rFonts w:hint="eastAsia" w:ascii="仿宋" w:hAnsi="仿宋" w:eastAsia="仿宋"/>
          <w:bCs/>
          <w:sz w:val="32"/>
          <w:szCs w:val="32"/>
          <w:lang w:val="en-US" w:eastAsia="zh-CN"/>
        </w:rPr>
        <w:t>党委办公厅（室）及相关机构事务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一般行政管理事务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1.92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numPr>
          <w:ilvl w:val="0"/>
          <w:numId w:val="0"/>
        </w:numPr>
        <w:kinsoku/>
        <w:wordWrap/>
        <w:overflowPunct/>
        <w:topLinePunct w:val="0"/>
        <w:bidi w:val="0"/>
        <w:spacing w:line="576" w:lineRule="exact"/>
        <w:ind w:left="0" w:firstLine="640"/>
        <w:rPr>
          <w:rStyle w:val="20"/>
          <w:rFonts w:hint="default" w:ascii="仿宋" w:hAnsi="仿宋" w:eastAsia="仿宋"/>
          <w:b w:val="0"/>
          <w:bCs/>
          <w:sz w:val="32"/>
          <w:szCs w:val="32"/>
          <w:lang w:val="en-US" w:eastAsia="zh-CN"/>
        </w:rPr>
      </w:pPr>
      <w:r>
        <w:rPr>
          <w:rStyle w:val="20"/>
          <w:rFonts w:ascii="仿宋" w:hAnsi="仿宋" w:eastAsia="仿宋"/>
          <w:bCs/>
          <w:sz w:val="32"/>
          <w:szCs w:val="32"/>
        </w:rPr>
        <w:t>1</w:t>
      </w:r>
      <w:r>
        <w:rPr>
          <w:rStyle w:val="20"/>
          <w:rFonts w:hint="eastAsia" w:ascii="仿宋" w:hAnsi="仿宋" w:eastAsia="仿宋"/>
          <w:bCs/>
          <w:sz w:val="32"/>
          <w:szCs w:val="32"/>
          <w:lang w:val="en-US" w:eastAsia="zh-CN"/>
        </w:rPr>
        <w:t>2</w:t>
      </w:r>
      <w:r>
        <w:rPr>
          <w:rStyle w:val="20"/>
          <w:rFonts w:ascii="仿宋" w:hAnsi="仿宋" w:eastAsia="仿宋"/>
          <w:bCs/>
          <w:sz w:val="32"/>
          <w:szCs w:val="32"/>
        </w:rPr>
        <w:t>.</w:t>
      </w:r>
      <w:r>
        <w:rPr>
          <w:rStyle w:val="20"/>
          <w:rFonts w:hint="eastAsia" w:ascii="仿宋" w:hAnsi="仿宋" w:eastAsia="仿宋"/>
          <w:bCs/>
          <w:sz w:val="32"/>
          <w:szCs w:val="32"/>
        </w:rPr>
        <w:t>一般公共服务（类）</w:t>
      </w:r>
      <w:r>
        <w:rPr>
          <w:rStyle w:val="20"/>
          <w:rFonts w:hint="eastAsia" w:ascii="仿宋" w:hAnsi="仿宋" w:eastAsia="仿宋"/>
          <w:bCs/>
          <w:sz w:val="32"/>
          <w:szCs w:val="32"/>
          <w:lang w:val="en-US" w:eastAsia="zh-CN"/>
        </w:rPr>
        <w:t>宣传事务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其他宣传事务支出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ascii="仿宋" w:hAnsi="仿宋" w:eastAsia="仿宋"/>
          <w:bCs/>
          <w:sz w:val="32"/>
          <w:szCs w:val="32"/>
        </w:rPr>
      </w:pPr>
      <w:r>
        <w:rPr>
          <w:rStyle w:val="20"/>
          <w:rFonts w:hint="eastAsia" w:ascii="仿宋" w:hAnsi="仿宋" w:eastAsia="仿宋"/>
          <w:bCs/>
          <w:sz w:val="32"/>
          <w:szCs w:val="32"/>
          <w:lang w:val="en-US" w:eastAsia="zh-CN"/>
        </w:rPr>
        <w:t>13</w:t>
      </w:r>
      <w:r>
        <w:rPr>
          <w:rStyle w:val="20"/>
          <w:rFonts w:ascii="仿宋" w:hAnsi="仿宋" w:eastAsia="仿宋"/>
          <w:bCs/>
          <w:sz w:val="32"/>
          <w:szCs w:val="32"/>
        </w:rPr>
        <w:t>.</w:t>
      </w:r>
      <w:r>
        <w:rPr>
          <w:rStyle w:val="20"/>
          <w:rFonts w:hint="eastAsia" w:ascii="仿宋" w:hAnsi="仿宋" w:eastAsia="仿宋"/>
          <w:bCs/>
          <w:sz w:val="32"/>
          <w:szCs w:val="32"/>
          <w:lang w:val="en-US" w:eastAsia="zh-CN"/>
        </w:rPr>
        <w:t>国防支出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国防动员</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兵役征集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Style w:val="20"/>
          <w:rFonts w:hint="eastAsia" w:ascii="仿宋" w:hAnsi="仿宋" w:eastAsia="仿宋"/>
          <w:bCs/>
          <w:sz w:val="32"/>
          <w:szCs w:val="32"/>
          <w:lang w:val="en-US" w:eastAsia="zh-CN"/>
        </w:rPr>
        <w:t>14.文化旅游体育与传媒支出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文化和旅游</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群众文化</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1.26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Style w:val="20"/>
          <w:rFonts w:hint="eastAsia" w:ascii="仿宋" w:hAnsi="仿宋" w:eastAsia="仿宋"/>
          <w:b/>
          <w:bCs w:val="0"/>
          <w:sz w:val="32"/>
          <w:szCs w:val="32"/>
          <w:lang w:val="en-US" w:eastAsia="zh-CN"/>
        </w:rPr>
        <w:t>15.文</w:t>
      </w:r>
      <w:r>
        <w:rPr>
          <w:rStyle w:val="20"/>
          <w:rFonts w:hint="eastAsia" w:ascii="仿宋" w:hAnsi="仿宋" w:eastAsia="仿宋"/>
          <w:bCs/>
          <w:sz w:val="32"/>
          <w:szCs w:val="32"/>
          <w:lang w:val="en-US" w:eastAsia="zh-CN"/>
        </w:rPr>
        <w:t>化旅游体育与传媒支出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文化和旅游</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文化和旅游管理事务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50.63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val="en-US"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16.社会保障和就业支出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民政管理事务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基层政权建设和社区治理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247.4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Style w:val="20"/>
          <w:rFonts w:hint="eastAsia" w:ascii="仿宋" w:hAnsi="仿宋" w:eastAsia="仿宋"/>
          <w:bCs/>
          <w:sz w:val="32"/>
          <w:szCs w:val="32"/>
          <w:lang w:val="en-US" w:eastAsia="zh-CN"/>
        </w:rPr>
        <w:t>17.社会保障和就业支出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民政管理事务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其他民政管理事务支出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Style w:val="20"/>
          <w:rFonts w:hint="eastAsia" w:ascii="仿宋" w:hAnsi="仿宋" w:eastAsia="仿宋"/>
          <w:bCs/>
          <w:sz w:val="32"/>
          <w:szCs w:val="32"/>
          <w:lang w:val="en-US" w:eastAsia="zh-CN"/>
        </w:rPr>
        <w:t>18.社会保障和就业支出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行政事业单位养老支出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机关事业单位基本养老保险缴费支出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160.58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Fonts w:hint="eastAsia" w:ascii="仿宋" w:hAnsi="仿宋" w:eastAsia="仿宋"/>
          <w:b/>
          <w:bCs/>
          <w:sz w:val="32"/>
          <w:szCs w:val="32"/>
          <w:lang w:val="en-US" w:eastAsia="zh-CN"/>
        </w:rPr>
        <w:t>19.</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公共卫生</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重大公共卫生服务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135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Fonts w:hint="eastAsia" w:ascii="仿宋" w:hAnsi="仿宋" w:eastAsia="仿宋"/>
          <w:b/>
          <w:bCs/>
          <w:sz w:val="32"/>
          <w:szCs w:val="32"/>
          <w:lang w:val="en-US" w:eastAsia="zh-CN"/>
        </w:rPr>
        <w:t>20.</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行政事业单位医疗</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行政单位医疗</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33.1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Fonts w:hint="eastAsia" w:ascii="仿宋" w:hAnsi="仿宋" w:eastAsia="仿宋"/>
          <w:b/>
          <w:bCs/>
          <w:sz w:val="32"/>
          <w:szCs w:val="32"/>
          <w:lang w:val="en-US" w:eastAsia="zh-CN"/>
        </w:rPr>
        <w:t>21.</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行政事业单位医疗</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事业单位医疗</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47.2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Fonts w:hint="eastAsia" w:ascii="仿宋" w:hAnsi="仿宋" w:eastAsia="仿宋"/>
          <w:b/>
          <w:bCs/>
          <w:sz w:val="32"/>
          <w:szCs w:val="32"/>
          <w:lang w:val="en-US" w:eastAsia="zh-CN"/>
        </w:rPr>
        <w:t>22.</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其他卫生健康支出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其他卫生健康支出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2</w:t>
      </w:r>
      <w:r>
        <w:rPr>
          <w:rStyle w:val="20"/>
          <w:rFonts w:ascii="仿宋" w:hAnsi="仿宋" w:eastAsia="仿宋"/>
          <w:bCs/>
          <w:sz w:val="32"/>
          <w:szCs w:val="32"/>
        </w:rPr>
        <w:t>3.</w:t>
      </w:r>
      <w:r>
        <w:rPr>
          <w:rStyle w:val="20"/>
          <w:rFonts w:hint="eastAsia" w:ascii="仿宋" w:hAnsi="仿宋" w:eastAsia="仿宋"/>
          <w:bCs/>
          <w:sz w:val="32"/>
          <w:szCs w:val="32"/>
          <w:lang w:val="en-US" w:eastAsia="zh-CN"/>
        </w:rPr>
        <w:t>城乡社区支出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城乡社区规划与管理</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城乡社区规划与管理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Style w:val="20"/>
          <w:rFonts w:hint="eastAsia" w:ascii="仿宋" w:hAnsi="仿宋" w:eastAsia="仿宋"/>
          <w:bCs/>
          <w:sz w:val="32"/>
          <w:szCs w:val="32"/>
          <w:lang w:val="en-US" w:eastAsia="zh-CN"/>
        </w:rPr>
        <w:t>24.城乡社区支出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城乡社区环境卫生</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城乡社区环境卫生</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6.01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25</w:t>
      </w:r>
      <w:r>
        <w:rPr>
          <w:rStyle w:val="20"/>
          <w:rFonts w:ascii="仿宋" w:hAnsi="仿宋" w:eastAsia="仿宋"/>
          <w:bCs/>
          <w:sz w:val="32"/>
          <w:szCs w:val="32"/>
        </w:rPr>
        <w:t>.</w:t>
      </w:r>
      <w:r>
        <w:rPr>
          <w:rStyle w:val="20"/>
          <w:rFonts w:hint="eastAsia" w:ascii="仿宋" w:hAnsi="仿宋" w:eastAsia="仿宋"/>
          <w:bCs/>
          <w:sz w:val="32"/>
          <w:szCs w:val="32"/>
          <w:lang w:val="en-US" w:eastAsia="zh-CN"/>
        </w:rPr>
        <w:t>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农业农村</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事业运行</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554.88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26.农林水支出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农业农村</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防灾减灾</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25.5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27.农林水支出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林业和草原</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林业草原防灾减灾</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28.农林水支出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水利</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抗旱</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29.农林水支出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巩固脱贫衔接乡村振兴</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农村基础设施建设</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ascii="仿宋" w:hAnsi="仿宋" w:eastAsia="仿宋"/>
          <w:b w:val="0"/>
          <w:bCs/>
          <w:sz w:val="32"/>
          <w:szCs w:val="32"/>
        </w:rPr>
      </w:pPr>
      <w:r>
        <w:rPr>
          <w:rStyle w:val="20"/>
          <w:rFonts w:hint="eastAsia" w:ascii="仿宋" w:hAnsi="仿宋" w:eastAsia="仿宋"/>
          <w:bCs/>
          <w:sz w:val="32"/>
          <w:szCs w:val="32"/>
          <w:lang w:val="en-US" w:eastAsia="zh-CN"/>
        </w:rPr>
        <w:t>30.农林水支出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巩固脱贫衔接乡村振兴</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其他巩固脱贫衔接乡村振兴支出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17.23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val="en-US" w:eastAsia="zh-CN"/>
        </w:rPr>
      </w:pPr>
      <w:r>
        <w:rPr>
          <w:rStyle w:val="20"/>
          <w:rFonts w:hint="eastAsia" w:ascii="仿宋" w:hAnsi="仿宋" w:eastAsia="仿宋"/>
          <w:bCs/>
          <w:sz w:val="32"/>
          <w:szCs w:val="32"/>
          <w:lang w:val="en-US" w:eastAsia="zh-CN"/>
        </w:rPr>
        <w:t>31.农林水支出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农村综合改革支出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对村民委员会和村党支部的补助</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529.31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Style w:val="20"/>
          <w:rFonts w:hint="eastAsia" w:ascii="仿宋" w:hAnsi="仿宋" w:eastAsia="仿宋"/>
          <w:b w:val="0"/>
          <w:bCs/>
          <w:sz w:val="32"/>
          <w:szCs w:val="32"/>
          <w:lang w:eastAsia="zh-CN"/>
        </w:rPr>
      </w:pPr>
      <w:r>
        <w:rPr>
          <w:rStyle w:val="20"/>
          <w:rFonts w:hint="eastAsia" w:ascii="仿宋" w:hAnsi="仿宋" w:eastAsia="仿宋"/>
          <w:bCs/>
          <w:sz w:val="32"/>
          <w:szCs w:val="32"/>
          <w:lang w:val="en-US" w:eastAsia="zh-CN"/>
        </w:rPr>
        <w:t>32.农林水支出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农村综合改革支出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其他农村综合改革支出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pPr>
        <w:pageBreakBefore w:val="0"/>
        <w:kinsoku/>
        <w:wordWrap/>
        <w:overflowPunct/>
        <w:topLinePunct w:val="0"/>
        <w:bidi w:val="0"/>
        <w:spacing w:line="576" w:lineRule="exact"/>
        <w:ind w:left="0" w:firstLine="642" w:firstLineChars="200"/>
        <w:rPr>
          <w:rFonts w:ascii="仿宋" w:hAnsi="仿宋" w:eastAsia="仿宋"/>
          <w:b/>
          <w:sz w:val="32"/>
          <w:szCs w:val="32"/>
        </w:rPr>
      </w:pPr>
      <w:r>
        <w:rPr>
          <w:rStyle w:val="20"/>
          <w:rFonts w:hint="eastAsia" w:ascii="仿宋" w:hAnsi="仿宋" w:eastAsia="仿宋"/>
          <w:bCs/>
          <w:sz w:val="32"/>
          <w:szCs w:val="32"/>
          <w:lang w:val="en-US" w:eastAsia="zh-CN"/>
        </w:rPr>
        <w:t>33.住房保障支出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住房改革支出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住房公积金</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120.44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kinsoku/>
        <w:wordWrap/>
        <w:overflowPunct/>
        <w:topLinePunct w:val="0"/>
        <w:bidi w:val="0"/>
        <w:spacing w:line="576" w:lineRule="exact"/>
        <w:ind w:left="0" w:firstLine="642" w:firstLineChars="200"/>
        <w:rPr>
          <w:rFonts w:ascii="仿宋" w:hAnsi="仿宋" w:eastAsia="仿宋"/>
          <w:b/>
          <w:sz w:val="32"/>
          <w:szCs w:val="32"/>
        </w:rPr>
      </w:pPr>
      <w:r>
        <w:rPr>
          <w:rStyle w:val="20"/>
          <w:rFonts w:hint="eastAsia" w:ascii="仿宋" w:hAnsi="仿宋" w:eastAsia="仿宋"/>
          <w:bCs/>
          <w:sz w:val="32"/>
          <w:szCs w:val="32"/>
          <w:lang w:val="en-US" w:eastAsia="zh-CN"/>
        </w:rPr>
        <w:t>34</w:t>
      </w:r>
      <w:r>
        <w:rPr>
          <w:rStyle w:val="20"/>
          <w:rFonts w:ascii="仿宋" w:hAnsi="仿宋" w:eastAsia="仿宋"/>
          <w:bCs/>
          <w:sz w:val="32"/>
          <w:szCs w:val="32"/>
        </w:rPr>
        <w:t>.</w:t>
      </w:r>
      <w:r>
        <w:rPr>
          <w:rStyle w:val="20"/>
          <w:rFonts w:hint="eastAsia" w:ascii="仿宋" w:hAnsi="仿宋" w:eastAsia="仿宋"/>
          <w:bCs/>
          <w:sz w:val="32"/>
          <w:szCs w:val="32"/>
          <w:lang w:val="en-US" w:eastAsia="zh-CN"/>
        </w:rPr>
        <w:t>灾害防治及应急管理支出</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应急管理事务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应急管理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ageBreakBefore w:val="0"/>
        <w:tabs>
          <w:tab w:val="right" w:pos="8306"/>
        </w:tabs>
        <w:kinsoku/>
        <w:wordWrap/>
        <w:overflowPunct/>
        <w:topLinePunct w:val="0"/>
        <w:bidi w:val="0"/>
        <w:spacing w:line="576" w:lineRule="exact"/>
        <w:ind w:left="0"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pageBreakBefore w:val="0"/>
        <w:kinsoku/>
        <w:wordWrap/>
        <w:overflowPunct/>
        <w:topLinePunct w:val="0"/>
        <w:bidi w:val="0"/>
        <w:spacing w:line="576"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w:t>
      </w:r>
      <w:r>
        <w:rPr>
          <w:rFonts w:hint="eastAsia" w:ascii="仿宋_GB2312" w:hAnsi="仿宋_GB2312" w:eastAsia="仿宋_GB2312" w:cs="仿宋_GB2312"/>
          <w:sz w:val="32"/>
          <w:szCs w:val="32"/>
          <w:lang w:val="en-US" w:eastAsia="zh-CN"/>
        </w:rPr>
        <w:t>2181.14</w:t>
      </w:r>
      <w:r>
        <w:rPr>
          <w:rFonts w:hint="eastAsia" w:ascii="仿宋_GB2312" w:hAnsi="仿宋_GB2312" w:eastAsia="仿宋_GB2312" w:cs="仿宋_GB2312"/>
          <w:sz w:val="32"/>
          <w:szCs w:val="32"/>
        </w:rPr>
        <w:t>万元，其中：</w:t>
      </w:r>
    </w:p>
    <w:p>
      <w:pPr>
        <w:pageBreakBefore w:val="0"/>
        <w:kinsoku/>
        <w:wordWrap/>
        <w:overflowPunct/>
        <w:topLinePunct w:val="0"/>
        <w:bidi w:val="0"/>
        <w:spacing w:line="576" w:lineRule="exact"/>
        <w:ind w:left="0" w:firstLine="645"/>
        <w:rPr>
          <w:rFonts w:ascii="仿宋" w:hAnsi="仿宋" w:eastAsia="仿宋"/>
          <w:b/>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1977.83</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203.31</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left="0"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pageBreakBefore w:val="0"/>
        <w:kinsoku/>
        <w:wordWrap/>
        <w:overflowPunct/>
        <w:topLinePunct w:val="0"/>
        <w:bidi w:val="0"/>
        <w:spacing w:line="576" w:lineRule="exact"/>
        <w:ind w:left="0"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pageBreakBefore w:val="0"/>
        <w:kinsoku/>
        <w:wordWrap/>
        <w:overflowPunct/>
        <w:topLinePunct w:val="0"/>
        <w:bidi w:val="0"/>
        <w:spacing w:line="576" w:lineRule="exact"/>
        <w:ind w:left="0"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7.95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0.94</w:t>
      </w:r>
      <w:r>
        <w:rPr>
          <w:rFonts w:hint="eastAsia" w:ascii="仿宋" w:hAnsi="仿宋" w:eastAsia="仿宋"/>
          <w:sz w:val="32"/>
          <w:szCs w:val="32"/>
        </w:rPr>
        <w:t>万元，下降</w:t>
      </w:r>
      <w:r>
        <w:rPr>
          <w:rFonts w:hint="eastAsia" w:ascii="仿宋" w:hAnsi="仿宋" w:eastAsia="仿宋"/>
          <w:sz w:val="32"/>
          <w:szCs w:val="32"/>
          <w:lang w:val="en-US" w:eastAsia="zh-CN"/>
        </w:rPr>
        <w:t>10.57</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pageBreakBefore w:val="0"/>
        <w:kinsoku/>
        <w:wordWrap/>
        <w:overflowPunct/>
        <w:topLinePunct w:val="0"/>
        <w:bidi w:val="0"/>
        <w:spacing w:line="576" w:lineRule="exact"/>
        <w:ind w:left="0"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pageBreakBefore w:val="0"/>
        <w:kinsoku/>
        <w:wordWrap/>
        <w:overflowPunct/>
        <w:topLinePunct w:val="0"/>
        <w:bidi w:val="0"/>
        <w:spacing w:line="576" w:lineRule="exact"/>
        <w:ind w:left="0"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37.74</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4.95</w:t>
      </w:r>
      <w:r>
        <w:rPr>
          <w:rFonts w:hint="eastAsia" w:ascii="仿宋" w:hAnsi="仿宋" w:eastAsia="仿宋"/>
          <w:sz w:val="32"/>
          <w:szCs w:val="32"/>
        </w:rPr>
        <w:t>万元，占</w:t>
      </w:r>
      <w:r>
        <w:rPr>
          <w:rFonts w:hint="eastAsia" w:ascii="仿宋" w:hAnsi="仿宋" w:eastAsia="仿宋"/>
          <w:sz w:val="32"/>
          <w:szCs w:val="32"/>
          <w:lang w:val="en-US" w:eastAsia="zh-CN"/>
        </w:rPr>
        <w:t>62.26</w:t>
      </w:r>
      <w:r>
        <w:rPr>
          <w:rFonts w:ascii="仿宋" w:hAnsi="仿宋" w:eastAsia="仿宋"/>
          <w:sz w:val="32"/>
          <w:szCs w:val="32"/>
        </w:rPr>
        <w:t>%</w:t>
      </w:r>
      <w:r>
        <w:rPr>
          <w:rFonts w:hint="eastAsia" w:ascii="仿宋" w:hAnsi="仿宋" w:eastAsia="仿宋"/>
          <w:sz w:val="32"/>
          <w:szCs w:val="32"/>
        </w:rPr>
        <w:t>。具体情况如下：</w:t>
      </w:r>
    </w:p>
    <w:p>
      <w:pPr>
        <w:pStyle w:val="2"/>
        <w:jc w:val="cente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exact"/>
        <w:ind w:left="0"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b/>
          <w:bCs/>
          <w:sz w:val="32"/>
          <w:szCs w:val="32"/>
        </w:rPr>
        <w:t>万元</w:t>
      </w:r>
      <w:r>
        <w:rPr>
          <w:rFonts w:hint="eastAsia" w:ascii="仿宋_GB2312" w:eastAsia="仿宋_GB2312"/>
          <w:sz w:val="32"/>
          <w:szCs w:val="32"/>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pageBreakBefore w:val="0"/>
        <w:kinsoku/>
        <w:wordWrap/>
        <w:overflowPunct/>
        <w:topLinePunct w:val="0"/>
        <w:bidi w:val="0"/>
        <w:spacing w:line="576" w:lineRule="exact"/>
        <w:ind w:left="0"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w:t>
      </w:r>
      <w:r>
        <w:rPr>
          <w:rFonts w:hint="eastAsia" w:ascii="仿宋_GB2312" w:eastAsia="仿宋_GB2312"/>
          <w:b/>
          <w:bCs w:val="0"/>
          <w:sz w:val="32"/>
          <w:szCs w:val="32"/>
        </w:rPr>
        <w:t>出</w:t>
      </w:r>
      <w:r>
        <w:rPr>
          <w:rFonts w:hint="eastAsia" w:ascii="仿宋_GB2312" w:eastAsia="仿宋_GB2312"/>
          <w:b/>
          <w:bCs w:val="0"/>
          <w:sz w:val="32"/>
          <w:szCs w:val="32"/>
          <w:lang w:val="en-US" w:eastAsia="zh-CN"/>
        </w:rPr>
        <w:t>3</w:t>
      </w:r>
      <w:r>
        <w:rPr>
          <w:rFonts w:hint="eastAsia" w:ascii="仿宋_GB2312" w:eastAsia="仿宋_GB2312"/>
          <w:b/>
          <w:bCs w:val="0"/>
          <w:sz w:val="32"/>
          <w:szCs w:val="32"/>
        </w:rPr>
        <w:t>万元</w:t>
      </w:r>
      <w:r>
        <w:rPr>
          <w:rFonts w:hint="eastAsia" w:ascii="仿宋_GB2312" w:eastAsia="仿宋_GB2312"/>
          <w:b/>
          <w:bCs w:val="0"/>
          <w:sz w:val="32"/>
          <w:szCs w:val="32"/>
          <w:lang w:eastAsia="zh-CN"/>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3</w:t>
      </w:r>
      <w:r>
        <w:rPr>
          <w:rFonts w:hint="eastAsia" w:ascii="仿宋_GB2312" w:eastAsia="仿宋_GB2312"/>
          <w:sz w:val="32"/>
          <w:szCs w:val="32"/>
        </w:rPr>
        <w:t>万元。主要原因是</w:t>
      </w:r>
      <w:r>
        <w:rPr>
          <w:rFonts w:hint="eastAsia" w:ascii="仿宋_GB2312" w:eastAsia="仿宋_GB2312"/>
          <w:sz w:val="32"/>
          <w:szCs w:val="32"/>
          <w:lang w:val="en-US" w:eastAsia="zh-CN"/>
        </w:rPr>
        <w:t>增加了一辆公务用车</w:t>
      </w:r>
      <w:r>
        <w:rPr>
          <w:rFonts w:hint="eastAsia" w:ascii="仿宋_GB2312" w:eastAsia="仿宋_GB2312"/>
          <w:sz w:val="32"/>
          <w:szCs w:val="32"/>
        </w:rPr>
        <w:t>。</w:t>
      </w:r>
    </w:p>
    <w:p>
      <w:pPr>
        <w:pageBreakBefore w:val="0"/>
        <w:kinsoku/>
        <w:wordWrap/>
        <w:overflowPunct/>
        <w:topLinePunct w:val="0"/>
        <w:bidi w:val="0"/>
        <w:spacing w:line="576" w:lineRule="exact"/>
        <w:ind w:left="0"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b/>
          <w:bCs/>
          <w:sz w:val="32"/>
          <w:szCs w:val="32"/>
        </w:rPr>
        <w:t>万元</w:t>
      </w:r>
      <w:r>
        <w:rPr>
          <w:rFonts w:hint="eastAsia" w:ascii="仿宋_GB2312" w:eastAsia="仿宋_GB2312"/>
          <w:sz w:val="32"/>
          <w:szCs w:val="32"/>
        </w:rPr>
        <w:t>。全年按规定更新购置公务用车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pageBreakBefore w:val="0"/>
        <w:kinsoku/>
        <w:wordWrap/>
        <w:overflowPunct/>
        <w:topLinePunct w:val="0"/>
        <w:bidi w:val="0"/>
        <w:spacing w:line="576" w:lineRule="exact"/>
        <w:ind w:left="0"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bCs w:val="0"/>
          <w:sz w:val="32"/>
          <w:szCs w:val="32"/>
          <w:lang w:val="en-US" w:eastAsia="zh-CN"/>
        </w:rPr>
        <w:t>3</w:t>
      </w:r>
      <w:r>
        <w:rPr>
          <w:rFonts w:hint="eastAsia" w:ascii="仿宋_GB2312" w:eastAsia="仿宋_GB2312"/>
          <w:b/>
          <w:bCs w:val="0"/>
          <w:sz w:val="32"/>
          <w:szCs w:val="32"/>
        </w:rPr>
        <w:t>万元</w:t>
      </w:r>
      <w:r>
        <w:rPr>
          <w:rFonts w:hint="eastAsia" w:ascii="仿宋_GB2312" w:eastAsia="仿宋_GB2312"/>
          <w:sz w:val="32"/>
          <w:szCs w:val="32"/>
        </w:rPr>
        <w:t>。主要用于公务用车燃料费、维修费、过路过桥费、保险费等支出。</w:t>
      </w:r>
    </w:p>
    <w:p>
      <w:pPr>
        <w:pageBreakBefore w:val="0"/>
        <w:kinsoku/>
        <w:wordWrap/>
        <w:overflowPunct/>
        <w:topLinePunct w:val="0"/>
        <w:bidi w:val="0"/>
        <w:spacing w:line="576" w:lineRule="exact"/>
        <w:ind w:left="0"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4.94</w:t>
      </w:r>
      <w:r>
        <w:rPr>
          <w:rFonts w:hint="eastAsia" w:ascii="仿宋_GB2312" w:eastAsia="仿宋_GB2312"/>
          <w:b/>
          <w:bCs/>
          <w:sz w:val="32"/>
          <w:szCs w:val="32"/>
        </w:rPr>
        <w:t>万元</w:t>
      </w:r>
      <w:r>
        <w:rPr>
          <w:rFonts w:hint="eastAsia" w:ascii="仿宋_GB2312" w:eastAsia="仿宋_GB2312"/>
          <w:sz w:val="32"/>
          <w:szCs w:val="32"/>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3.95</w:t>
      </w:r>
      <w:r>
        <w:rPr>
          <w:rFonts w:hint="eastAsia" w:ascii="仿宋_GB2312" w:eastAsia="仿宋_GB2312"/>
          <w:sz w:val="32"/>
          <w:szCs w:val="32"/>
        </w:rPr>
        <w:t>万元，下降</w:t>
      </w:r>
      <w:r>
        <w:rPr>
          <w:rFonts w:hint="eastAsia" w:ascii="仿宋_GB2312" w:eastAsia="仿宋_GB2312"/>
          <w:sz w:val="32"/>
          <w:szCs w:val="32"/>
          <w:lang w:val="en-US" w:eastAsia="zh-CN"/>
        </w:rPr>
        <w:t>44.43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厉行节约，精简开支</w:t>
      </w:r>
      <w:r>
        <w:rPr>
          <w:rFonts w:hint="eastAsia" w:ascii="仿宋_GB2312" w:eastAsia="仿宋_GB2312"/>
          <w:sz w:val="32"/>
          <w:szCs w:val="32"/>
        </w:rPr>
        <w:t>。其中：</w:t>
      </w:r>
    </w:p>
    <w:p>
      <w:pPr>
        <w:pageBreakBefore w:val="0"/>
        <w:kinsoku/>
        <w:wordWrap/>
        <w:overflowPunct/>
        <w:topLinePunct w:val="0"/>
        <w:bidi w:val="0"/>
        <w:spacing w:line="576" w:lineRule="exact"/>
        <w:ind w:left="0"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4.94</w:t>
      </w:r>
      <w:r>
        <w:rPr>
          <w:rFonts w:hint="eastAsia" w:ascii="仿宋_GB2312" w:eastAsia="仿宋_GB2312"/>
          <w:b/>
          <w:bCs/>
          <w:sz w:val="32"/>
          <w:szCs w:val="32"/>
        </w:rPr>
        <w:t>万元</w:t>
      </w:r>
      <w:r>
        <w:rPr>
          <w:rFonts w:hint="eastAsia" w:ascii="仿宋_GB2312" w:eastAsia="仿宋_GB2312"/>
          <w:sz w:val="32"/>
          <w:szCs w:val="32"/>
        </w:rPr>
        <w:t>，主要用于执行公务、开展业务活动开支的交通费、住宿费、用餐费等。国内公务接待</w:t>
      </w:r>
      <w:r>
        <w:rPr>
          <w:rFonts w:hint="eastAsia" w:ascii="仿宋_GB2312" w:eastAsia="仿宋_GB2312"/>
          <w:sz w:val="32"/>
          <w:szCs w:val="32"/>
          <w:lang w:val="en-US" w:eastAsia="zh-CN"/>
        </w:rPr>
        <w:t>78</w:t>
      </w:r>
      <w:r>
        <w:rPr>
          <w:rFonts w:hint="eastAsia" w:ascii="仿宋_GB2312" w:eastAsia="仿宋_GB2312"/>
          <w:sz w:val="32"/>
          <w:szCs w:val="32"/>
        </w:rPr>
        <w:t>批次，</w:t>
      </w:r>
      <w:r>
        <w:rPr>
          <w:rFonts w:hint="eastAsia" w:ascii="仿宋_GB2312" w:eastAsia="仿宋_GB2312"/>
          <w:sz w:val="32"/>
          <w:szCs w:val="32"/>
          <w:lang w:val="en-US" w:eastAsia="zh-CN"/>
        </w:rPr>
        <w:t>450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4.94</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4.94万元。</w:t>
      </w:r>
    </w:p>
    <w:p>
      <w:pPr>
        <w:pageBreakBefore w:val="0"/>
        <w:kinsoku/>
        <w:wordWrap/>
        <w:overflowPunct/>
        <w:topLinePunct w:val="0"/>
        <w:bidi w:val="0"/>
        <w:spacing w:line="576" w:lineRule="exact"/>
        <w:ind w:left="0"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bCs w:val="0"/>
          <w:sz w:val="32"/>
          <w:szCs w:val="32"/>
          <w:lang w:val="en-US" w:eastAsia="zh-CN"/>
        </w:rPr>
        <w:t>0</w:t>
      </w:r>
      <w:r>
        <w:rPr>
          <w:rFonts w:hint="eastAsia" w:ascii="仿宋_GB2312" w:eastAsia="仿宋_GB2312"/>
          <w:b/>
          <w:bCs w:val="0"/>
          <w:sz w:val="32"/>
          <w:szCs w:val="32"/>
        </w:rPr>
        <w:t>万元</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77218"/>
      <w:bookmarkStart w:id="41" w:name="_Toc15396610"/>
    </w:p>
    <w:p>
      <w:pPr>
        <w:pageBreakBefore w:val="0"/>
        <w:kinsoku/>
        <w:wordWrap/>
        <w:overflowPunct/>
        <w:topLinePunct w:val="0"/>
        <w:bidi w:val="0"/>
        <w:spacing w:line="576" w:lineRule="exact"/>
        <w:ind w:left="0"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pPr>
        <w:pageBreakBefore w:val="0"/>
        <w:kinsoku/>
        <w:wordWrap/>
        <w:overflowPunct/>
        <w:topLinePunct w:val="0"/>
        <w:bidi w:val="0"/>
        <w:spacing w:line="576" w:lineRule="exact"/>
        <w:ind w:left="0"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150</w:t>
      </w:r>
      <w:r>
        <w:rPr>
          <w:rFonts w:hint="eastAsia" w:ascii="仿宋_GB2312" w:eastAsia="仿宋_GB2312"/>
          <w:sz w:val="32"/>
          <w:szCs w:val="32"/>
        </w:rPr>
        <w:t>万元。</w:t>
      </w:r>
    </w:p>
    <w:p>
      <w:pPr>
        <w:pageBreakBefore w:val="0"/>
        <w:numPr>
          <w:ilvl w:val="0"/>
          <w:numId w:val="1"/>
        </w:numPr>
        <w:kinsoku/>
        <w:wordWrap/>
        <w:overflowPunct/>
        <w:topLinePunct w:val="0"/>
        <w:bidi w:val="0"/>
        <w:spacing w:line="576" w:lineRule="exact"/>
        <w:ind w:left="0" w:firstLine="640"/>
        <w:outlineLvl w:val="1"/>
        <w:rPr>
          <w:rStyle w:val="31"/>
          <w:rFonts w:ascii="黑体" w:hAnsi="黑体" w:eastAsia="黑体"/>
          <w:b w:val="0"/>
        </w:rPr>
      </w:pPr>
      <w:bookmarkStart w:id="42" w:name="_Toc15396611"/>
      <w:bookmarkStart w:id="43" w:name="_Toc15377219"/>
      <w:r>
        <w:rPr>
          <w:rStyle w:val="31"/>
          <w:rFonts w:hint="eastAsia" w:ascii="黑体" w:hAnsi="黑体" w:eastAsia="黑体"/>
          <w:b w:val="0"/>
        </w:rPr>
        <w:t>国有资本经营预算支出决算情况说明</w:t>
      </w:r>
      <w:bookmarkEnd w:id="42"/>
      <w:bookmarkEnd w:id="43"/>
    </w:p>
    <w:p>
      <w:pPr>
        <w:pageBreakBefore w:val="0"/>
        <w:kinsoku/>
        <w:wordWrap/>
        <w:overflowPunct/>
        <w:topLinePunct w:val="0"/>
        <w:bidi w:val="0"/>
        <w:spacing w:line="576" w:lineRule="exact"/>
        <w:ind w:left="0"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1"/>
        </w:numPr>
        <w:kinsoku/>
        <w:wordWrap/>
        <w:overflowPunct/>
        <w:topLinePunct w:val="0"/>
        <w:bidi w:val="0"/>
        <w:spacing w:line="576" w:lineRule="exact"/>
        <w:ind w:left="0" w:firstLine="640"/>
        <w:outlineLvl w:val="1"/>
        <w:rPr>
          <w:rStyle w:val="31"/>
          <w:rFonts w:ascii="黑体" w:hAnsi="黑体" w:eastAsia="黑体"/>
          <w:b w:val="0"/>
        </w:rPr>
      </w:pPr>
      <w:bookmarkStart w:id="44" w:name="_Toc15396612"/>
      <w:bookmarkStart w:id="45" w:name="_Toc15377221"/>
      <w:r>
        <w:rPr>
          <w:rStyle w:val="31"/>
          <w:rFonts w:hint="eastAsia" w:ascii="黑体" w:hAnsi="黑体" w:eastAsia="黑体"/>
          <w:b w:val="0"/>
        </w:rPr>
        <w:t>其他重要事项的情况说明</w:t>
      </w:r>
      <w:bookmarkEnd w:id="44"/>
      <w:bookmarkEnd w:id="45"/>
    </w:p>
    <w:p>
      <w:pPr>
        <w:pageBreakBefore w:val="0"/>
        <w:kinsoku/>
        <w:wordWrap/>
        <w:overflowPunct/>
        <w:topLinePunct w:val="0"/>
        <w:bidi w:val="0"/>
        <w:spacing w:line="576" w:lineRule="exact"/>
        <w:ind w:left="0"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pageBreakBefore w:val="0"/>
        <w:kinsoku/>
        <w:wordWrap/>
        <w:overflowPunct/>
        <w:topLinePunct w:val="0"/>
        <w:bidi w:val="0"/>
        <w:spacing w:line="576" w:lineRule="exact"/>
        <w:ind w:left="0"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剑阁县下寺镇人民政府</w:t>
      </w:r>
      <w:r>
        <w:rPr>
          <w:rFonts w:hint="eastAsia" w:ascii="仿宋_GB2312" w:eastAsia="仿宋_GB2312"/>
          <w:sz w:val="32"/>
          <w:szCs w:val="32"/>
        </w:rPr>
        <w:t>机关运行经费支出</w:t>
      </w:r>
      <w:r>
        <w:rPr>
          <w:rFonts w:hint="eastAsia" w:ascii="仿宋" w:hAnsi="仿宋" w:eastAsia="仿宋"/>
          <w:sz w:val="32"/>
          <w:szCs w:val="32"/>
          <w:lang w:val="en-US" w:eastAsia="zh-CN"/>
        </w:rPr>
        <w:t>203.31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269.8</w:t>
      </w:r>
      <w:r>
        <w:rPr>
          <w:rFonts w:hint="eastAsia" w:ascii="仿宋_GB2312" w:eastAsia="仿宋_GB2312"/>
          <w:sz w:val="32"/>
          <w:szCs w:val="32"/>
        </w:rPr>
        <w:t>万元，下降</w:t>
      </w:r>
      <w:r>
        <w:rPr>
          <w:rFonts w:hint="eastAsia" w:ascii="仿宋_GB2312" w:eastAsia="仿宋_GB2312"/>
          <w:sz w:val="32"/>
          <w:szCs w:val="32"/>
          <w:lang w:val="en-US" w:eastAsia="zh-CN"/>
        </w:rPr>
        <w:t>57.03</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厉行节约，机关节能运转</w:t>
      </w:r>
      <w:r>
        <w:rPr>
          <w:rFonts w:hint="eastAsia" w:ascii="仿宋_GB2312" w:eastAsia="仿宋_GB2312"/>
          <w:sz w:val="32"/>
          <w:szCs w:val="32"/>
        </w:rPr>
        <w:t>。</w:t>
      </w:r>
    </w:p>
    <w:p>
      <w:pPr>
        <w:pageBreakBefore w:val="0"/>
        <w:kinsoku/>
        <w:wordWrap/>
        <w:overflowPunct/>
        <w:topLinePunct w:val="0"/>
        <w:autoSpaceDE w:val="0"/>
        <w:autoSpaceDN w:val="0"/>
        <w:bidi w:val="0"/>
        <w:adjustRightInd w:val="0"/>
        <w:spacing w:line="576" w:lineRule="exact"/>
        <w:ind w:left="0"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pageBreakBefore w:val="0"/>
        <w:kinsoku/>
        <w:wordWrap/>
        <w:overflowPunct/>
        <w:topLinePunct w:val="0"/>
        <w:bidi w:val="0"/>
        <w:spacing w:line="576" w:lineRule="exact"/>
        <w:ind w:left="0"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剑阁县下寺镇人民政府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autoSpaceDE w:val="0"/>
        <w:autoSpaceDN w:val="0"/>
        <w:bidi w:val="0"/>
        <w:adjustRightInd w:val="0"/>
        <w:spacing w:line="576" w:lineRule="exact"/>
        <w:ind w:left="0"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pageBreakBefore w:val="0"/>
        <w:kinsoku/>
        <w:wordWrap/>
        <w:overflowPunct/>
        <w:topLinePunct w:val="0"/>
        <w:autoSpaceDE w:val="0"/>
        <w:autoSpaceDN w:val="0"/>
        <w:bidi w:val="0"/>
        <w:adjustRightInd w:val="0"/>
        <w:spacing w:line="576" w:lineRule="exact"/>
        <w:ind w:left="0"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剑阁县下寺镇人民政府</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1</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垃圾清运车加油费、保险费用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pageBreakBefore w:val="0"/>
        <w:kinsoku/>
        <w:wordWrap/>
        <w:overflowPunct/>
        <w:topLinePunct w:val="0"/>
        <w:autoSpaceDE w:val="0"/>
        <w:autoSpaceDN w:val="0"/>
        <w:bidi w:val="0"/>
        <w:adjustRightInd w:val="0"/>
        <w:spacing w:line="576" w:lineRule="exact"/>
        <w:ind w:left="0"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ageBreakBefore w:val="0"/>
        <w:widowControl/>
        <w:kinsoku/>
        <w:wordWrap/>
        <w:overflowPunct/>
        <w:topLinePunct w:val="0"/>
        <w:bidi w:val="0"/>
        <w:spacing w:line="576"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农村综合改革转移支付资金（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剑财农〔2022〕13号</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w:t>
      </w:r>
    </w:p>
    <w:p>
      <w:pPr>
        <w:keepNext w:val="0"/>
        <w:keepLines w:val="0"/>
        <w:pageBreakBefore w:val="0"/>
        <w:widowControl w:val="0"/>
        <w:kinsoku/>
        <w:wordWrap/>
        <w:overflowPunct/>
        <w:topLinePunct w:val="0"/>
        <w:bidi w:val="0"/>
        <w:spacing w:line="576" w:lineRule="exact"/>
        <w:ind w:left="0"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剑阁县下寺镇人民政府</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农村综合改革转移支付资金</w:t>
      </w:r>
      <w:r>
        <w:rPr>
          <w:rFonts w:hint="eastAsia" w:ascii="仿宋_GB2312" w:hAnsi="仿宋_GB2312" w:eastAsia="仿宋_GB2312" w:cs="仿宋_GB2312"/>
          <w:b w:val="0"/>
          <w:bCs w:val="0"/>
          <w:sz w:val="32"/>
          <w:szCs w:val="32"/>
          <w:lang w:val="zh-CN"/>
        </w:rPr>
        <w:t>项目</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val="en-US" w:eastAsia="zh-CN"/>
        </w:rPr>
        <w:t>剑阁县下寺镇人民政府</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农村综合改革转移支付资金（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剑财农〔2022〕13号</w:t>
      </w:r>
      <w:r>
        <w:rPr>
          <w:rFonts w:hint="eastAsia" w:ascii="仿宋_GB2312" w:hAnsi="仿宋_GB2312" w:eastAsia="仿宋_GB2312" w:cs="仿宋_GB2312"/>
          <w:sz w:val="32"/>
          <w:szCs w:val="32"/>
          <w:lang w:val="en-US" w:eastAsia="zh-CN"/>
        </w:rPr>
        <w:t>）项目专项预算项目绩效自评得分为93.3分，绩效自评综述：通过预算执行全过程绩效监控，保障了茶园沟至青溪村道路修建的顺利实施。绩效自评报告详见附件。</w:t>
      </w:r>
      <w:r>
        <w:rPr>
          <w:rFonts w:ascii="仿宋_GB2312" w:eastAsia="仿宋_GB2312"/>
          <w:b/>
          <w:sz w:val="32"/>
          <w:szCs w:val="32"/>
        </w:rPr>
        <w:br w:type="page"/>
      </w:r>
    </w:p>
    <w:p>
      <w:pPr>
        <w:pageBreakBefore w:val="0"/>
        <w:numPr>
          <w:ilvl w:val="0"/>
          <w:numId w:val="2"/>
        </w:numPr>
        <w:kinsoku/>
        <w:wordWrap/>
        <w:overflowPunct/>
        <w:topLinePunct w:val="0"/>
        <w:bidi w:val="0"/>
        <w:spacing w:line="576" w:lineRule="exact"/>
        <w:ind w:left="0" w:firstLine="660" w:firstLineChars="150"/>
        <w:jc w:val="center"/>
        <w:outlineLvl w:val="0"/>
        <w:rPr>
          <w:rStyle w:val="30"/>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0"/>
          <w:rFonts w:hint="eastAsia" w:ascii="黑体" w:hAnsi="黑体" w:eastAsia="黑体"/>
          <w:b w:val="0"/>
        </w:rPr>
        <w:t>词解释</w:t>
      </w:r>
      <w:bookmarkEnd w:id="49"/>
      <w:bookmarkEnd w:id="50"/>
    </w:p>
    <w:p>
      <w:pPr>
        <w:pageBreakBefore w:val="0"/>
        <w:kinsoku/>
        <w:wordWrap/>
        <w:overflowPunct/>
        <w:topLinePunct w:val="0"/>
        <w:bidi w:val="0"/>
        <w:spacing w:line="576" w:lineRule="exact"/>
        <w:ind w:left="0"/>
        <w:jc w:val="left"/>
        <w:rPr>
          <w:rFonts w:ascii="宋体"/>
          <w:b/>
          <w:sz w:val="44"/>
          <w:szCs w:val="44"/>
        </w:rPr>
      </w:pPr>
    </w:p>
    <w:p>
      <w:pPr>
        <w:pStyle w:val="9"/>
        <w:pageBreakBefore w:val="0"/>
        <w:numPr>
          <w:ilvl w:val="0"/>
          <w:numId w:val="0"/>
        </w:numPr>
        <w:kinsoku/>
        <w:wordWrap/>
        <w:overflowPunct/>
        <w:topLinePunct w:val="0"/>
        <w:bidi w:val="0"/>
        <w:spacing w:line="576" w:lineRule="exact"/>
        <w:ind w:left="0" w:firstLine="640" w:firstLineChars="200"/>
        <w:rPr>
          <w:rFonts w:hint="eastAsia" w:ascii="仿宋_GB2312" w:hAnsi="仿宋_GB2312" w:eastAsia="仿宋_GB2312" w:cs="仿宋_GB2312"/>
          <w:b w:val="0"/>
          <w:bCs/>
          <w:szCs w:val="32"/>
        </w:rPr>
      </w:pPr>
      <w:r>
        <w:rPr>
          <w:rFonts w:hint="eastAsia" w:ascii="仿宋_GB2312" w:hAnsi="仿宋_GB2312" w:eastAsia="仿宋_GB2312" w:cs="仿宋_GB2312"/>
          <w:b w:val="0"/>
          <w:bCs/>
          <w:kern w:val="2"/>
          <w:sz w:val="32"/>
          <w:szCs w:val="32"/>
          <w:lang w:val="en-US" w:eastAsia="zh-CN" w:bidi="ar-SA"/>
        </w:rPr>
        <w:t>1.</w:t>
      </w:r>
      <w:r>
        <w:rPr>
          <w:rFonts w:hint="eastAsia" w:ascii="仿宋_GB2312" w:hAnsi="仿宋_GB2312" w:eastAsia="仿宋_GB2312" w:cs="仿宋_GB2312"/>
          <w:b w:val="0"/>
          <w:bCs/>
          <w:szCs w:val="32"/>
        </w:rPr>
        <w:t>一般公共预算拨款收入：指县级财政当年拨付的资金。</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2.</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人大事务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代表工作</w:t>
      </w:r>
      <w:r>
        <w:rPr>
          <w:rStyle w:val="20"/>
          <w:rFonts w:hint="eastAsia" w:ascii="仿宋_GB2312" w:hAnsi="仿宋_GB2312" w:eastAsia="仿宋_GB2312" w:cs="仿宋_GB2312"/>
          <w:b w:val="0"/>
          <w:bCs/>
          <w:sz w:val="32"/>
          <w:szCs w:val="32"/>
        </w:rPr>
        <w:t>（项）</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指反映人大代表开展各类视察等方面的支出。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lang w:eastAsia="zh-CN"/>
        </w:rPr>
      </w:pPr>
      <w:r>
        <w:rPr>
          <w:rStyle w:val="20"/>
          <w:rFonts w:hint="eastAsia" w:ascii="仿宋_GB2312" w:hAnsi="仿宋_GB2312" w:eastAsia="仿宋_GB2312" w:cs="仿宋_GB2312"/>
          <w:b w:val="0"/>
          <w:bCs/>
          <w:sz w:val="32"/>
          <w:szCs w:val="32"/>
          <w:lang w:val="en-US" w:eastAsia="zh-CN"/>
        </w:rPr>
        <w:t>3.</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人大事务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其他人大事务支出</w:t>
      </w:r>
      <w:r>
        <w:rPr>
          <w:rStyle w:val="20"/>
          <w:rFonts w:hint="eastAsia" w:ascii="仿宋_GB2312" w:hAnsi="仿宋_GB2312" w:eastAsia="仿宋_GB2312" w:cs="仿宋_GB2312"/>
          <w:b w:val="0"/>
          <w:bCs/>
          <w:sz w:val="32"/>
          <w:szCs w:val="32"/>
        </w:rPr>
        <w:t>（项）</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指除上述项目以外的其他人大事务支出。</w:t>
      </w:r>
    </w:p>
    <w:p>
      <w:pPr>
        <w:pStyle w:val="2"/>
        <w:pageBreakBefore w:val="0"/>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4.</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行政运行</w:t>
      </w:r>
      <w:r>
        <w:rPr>
          <w:rStyle w:val="20"/>
          <w:rFonts w:hint="eastAsia" w:ascii="仿宋_GB2312" w:hAnsi="仿宋_GB2312" w:eastAsia="仿宋_GB2312" w:cs="仿宋_GB2312"/>
          <w:b w:val="0"/>
          <w:bCs/>
          <w:sz w:val="32"/>
          <w:szCs w:val="32"/>
        </w:rPr>
        <w:t>（项）</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指反映行政单位（包括实行公务员管理的事业单位）的基本支出。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5.</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一般行政管理事务</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指反映行政单位（包括实行公务员管理的事业单位）未单独设置项级科目的其他项目支出。</w:t>
      </w:r>
    </w:p>
    <w:p>
      <w:pPr>
        <w:pStyle w:val="9"/>
        <w:pageBreakBefore w:val="0"/>
        <w:numPr>
          <w:ilvl w:val="0"/>
          <w:numId w:val="0"/>
        </w:numPr>
        <w:kinsoku/>
        <w:wordWrap/>
        <w:overflowPunct/>
        <w:topLinePunct w:val="0"/>
        <w:bidi w:val="0"/>
        <w:spacing w:line="576" w:lineRule="exact"/>
        <w:ind w:left="0" w:firstLine="640" w:firstLineChars="200"/>
        <w:rPr>
          <w:rFonts w:hint="eastAsia" w:ascii="仿宋_GB2312" w:hAnsi="仿宋_GB2312" w:eastAsia="仿宋_GB2312" w:cs="仿宋_GB2312"/>
          <w:b w:val="0"/>
          <w:bCs/>
          <w:sz w:val="32"/>
          <w:szCs w:val="32"/>
          <w:lang w:val="en-US" w:eastAsia="zh-CN"/>
        </w:rPr>
      </w:pPr>
      <w:r>
        <w:rPr>
          <w:rStyle w:val="20"/>
          <w:rFonts w:hint="eastAsia" w:ascii="仿宋_GB2312" w:hAnsi="仿宋_GB2312" w:eastAsia="仿宋_GB2312" w:cs="仿宋_GB2312"/>
          <w:b w:val="0"/>
          <w:bCs/>
          <w:sz w:val="32"/>
          <w:szCs w:val="32"/>
          <w:lang w:val="en-US" w:eastAsia="zh-CN"/>
        </w:rPr>
        <w:t>6.</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信访事务</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指反映各级政府用于接待群众来信来访方面的支出。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7.</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事业运行</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Style w:val="20"/>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8.</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统计信息事务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其他统计信息事务支出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Style w:val="20"/>
          <w:rFonts w:hint="eastAsia" w:ascii="仿宋_GB2312" w:hAnsi="仿宋_GB2312" w:eastAsia="仿宋_GB2312" w:cs="仿宋_GB2312"/>
          <w:b w:val="0"/>
          <w:bCs/>
          <w:sz w:val="32"/>
          <w:szCs w:val="32"/>
          <w:lang w:val="en-US" w:eastAsia="zh-CN"/>
        </w:rPr>
        <w:t>指</w:t>
      </w:r>
      <w:r>
        <w:rPr>
          <w:rFonts w:hint="eastAsia" w:ascii="仿宋_GB2312" w:hAnsi="仿宋_GB2312" w:eastAsia="仿宋_GB2312" w:cs="仿宋_GB2312"/>
          <w:b w:val="0"/>
          <w:bCs/>
          <w:sz w:val="32"/>
          <w:szCs w:val="32"/>
          <w:lang w:val="en-US" w:eastAsia="zh-CN"/>
        </w:rPr>
        <w:t>反映除上述项目以外的其他统计信息事务支出。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9.</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纪检监察事务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一般行政管理事务</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指反映行政单位（包括实行公务员管理的事业单位）未单独设置项级科目的其他项目支出。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color w:val="auto"/>
          <w:sz w:val="32"/>
          <w:szCs w:val="32"/>
          <w:lang w:val="en-US" w:eastAsia="zh-CN"/>
        </w:rPr>
      </w:pPr>
      <w:r>
        <w:rPr>
          <w:rStyle w:val="20"/>
          <w:rFonts w:hint="eastAsia" w:ascii="仿宋_GB2312" w:hAnsi="仿宋_GB2312" w:eastAsia="仿宋_GB2312" w:cs="仿宋_GB2312"/>
          <w:b w:val="0"/>
          <w:bCs/>
          <w:color w:val="auto"/>
          <w:sz w:val="32"/>
          <w:szCs w:val="32"/>
          <w:lang w:val="en-US" w:eastAsia="zh-CN"/>
        </w:rPr>
        <w:t>10.</w:t>
      </w:r>
      <w:r>
        <w:rPr>
          <w:rStyle w:val="20"/>
          <w:rFonts w:hint="eastAsia" w:ascii="仿宋_GB2312" w:hAnsi="仿宋_GB2312" w:eastAsia="仿宋_GB2312" w:cs="仿宋_GB2312"/>
          <w:b w:val="0"/>
          <w:bCs/>
          <w:color w:val="auto"/>
          <w:sz w:val="32"/>
          <w:szCs w:val="32"/>
        </w:rPr>
        <w:t>一般公共服务</w:t>
      </w:r>
      <w:r>
        <w:rPr>
          <w:rStyle w:val="20"/>
          <w:rFonts w:hint="eastAsia" w:ascii="仿宋_GB2312" w:hAnsi="仿宋_GB2312" w:eastAsia="仿宋_GB2312" w:cs="仿宋_GB2312"/>
          <w:b w:val="0"/>
          <w:bCs/>
          <w:color w:val="auto"/>
          <w:sz w:val="32"/>
          <w:szCs w:val="32"/>
          <w:lang w:val="en-US" w:eastAsia="zh-CN"/>
        </w:rPr>
        <w:t>支出</w:t>
      </w:r>
      <w:r>
        <w:rPr>
          <w:rStyle w:val="20"/>
          <w:rFonts w:hint="eastAsia" w:ascii="仿宋_GB2312" w:hAnsi="仿宋_GB2312" w:eastAsia="仿宋_GB2312" w:cs="仿宋_GB2312"/>
          <w:b w:val="0"/>
          <w:bCs/>
          <w:color w:val="auto"/>
          <w:sz w:val="32"/>
          <w:szCs w:val="32"/>
        </w:rPr>
        <w:t>（类）</w:t>
      </w:r>
      <w:r>
        <w:rPr>
          <w:rStyle w:val="20"/>
          <w:rFonts w:hint="eastAsia" w:ascii="仿宋_GB2312" w:hAnsi="仿宋_GB2312" w:eastAsia="仿宋_GB2312" w:cs="仿宋_GB2312"/>
          <w:b w:val="0"/>
          <w:bCs/>
          <w:color w:val="auto"/>
          <w:sz w:val="32"/>
          <w:szCs w:val="32"/>
          <w:lang w:val="en-US" w:eastAsia="zh-CN"/>
        </w:rPr>
        <w:t>纪检监察事务</w:t>
      </w:r>
      <w:r>
        <w:rPr>
          <w:rStyle w:val="20"/>
          <w:rFonts w:hint="eastAsia" w:ascii="仿宋_GB2312" w:hAnsi="仿宋_GB2312" w:eastAsia="仿宋_GB2312" w:cs="仿宋_GB2312"/>
          <w:b w:val="0"/>
          <w:bCs/>
          <w:color w:val="auto"/>
          <w:sz w:val="32"/>
          <w:szCs w:val="32"/>
        </w:rPr>
        <w:t>（款）</w:t>
      </w:r>
      <w:r>
        <w:rPr>
          <w:rStyle w:val="20"/>
          <w:rFonts w:hint="eastAsia" w:ascii="仿宋_GB2312" w:hAnsi="仿宋_GB2312" w:eastAsia="仿宋_GB2312" w:cs="仿宋_GB2312"/>
          <w:b w:val="0"/>
          <w:bCs/>
          <w:color w:val="auto"/>
          <w:sz w:val="32"/>
          <w:szCs w:val="32"/>
          <w:lang w:val="en-US" w:eastAsia="zh-CN"/>
        </w:rPr>
        <w:t>派驻派出机构</w:t>
      </w:r>
      <w:r>
        <w:rPr>
          <w:rStyle w:val="20"/>
          <w:rFonts w:hint="eastAsia" w:ascii="仿宋_GB2312" w:hAnsi="仿宋_GB2312" w:eastAsia="仿宋_GB2312" w:cs="仿宋_GB2312"/>
          <w:b w:val="0"/>
          <w:bCs/>
          <w:color w:val="auto"/>
          <w:sz w:val="32"/>
          <w:szCs w:val="32"/>
        </w:rPr>
        <w:t>（项）</w:t>
      </w:r>
      <w:r>
        <w:rPr>
          <w:rStyle w:val="20"/>
          <w:rFonts w:hint="eastAsia" w:ascii="仿宋_GB2312" w:hAnsi="仿宋_GB2312" w:cs="仿宋_GB2312"/>
          <w:b w:val="0"/>
          <w:bCs/>
          <w:color w:val="auto"/>
          <w:sz w:val="32"/>
          <w:szCs w:val="32"/>
          <w:lang w:eastAsia="zh-CN"/>
        </w:rPr>
        <w:t>：</w:t>
      </w:r>
      <w:r>
        <w:rPr>
          <w:rStyle w:val="20"/>
          <w:rFonts w:hint="eastAsia" w:ascii="仿宋_GB2312" w:hAnsi="仿宋_GB2312" w:eastAsia="仿宋_GB2312" w:cs="仿宋_GB2312"/>
          <w:b w:val="0"/>
          <w:bCs/>
          <w:color w:val="auto"/>
          <w:sz w:val="32"/>
          <w:szCs w:val="32"/>
          <w:lang w:val="en-US" w:eastAsia="zh-CN"/>
        </w:rPr>
        <w:t>反映由纪检监察部门负担的派驻各部门和单位的纪检监察人员的专项业务支出。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11.</w:t>
      </w:r>
      <w:r>
        <w:rPr>
          <w:rStyle w:val="20"/>
          <w:rFonts w:hint="eastAsia" w:ascii="仿宋_GB2312" w:hAnsi="仿宋_GB2312" w:eastAsia="仿宋_GB2312" w:cs="仿宋_GB2312"/>
          <w:b w:val="0"/>
          <w:bCs/>
          <w:sz w:val="32"/>
          <w:szCs w:val="32"/>
        </w:rPr>
        <w:t>一般公共服务</w:t>
      </w:r>
      <w:r>
        <w:rPr>
          <w:rStyle w:val="20"/>
          <w:rFonts w:hint="eastAsia" w:ascii="仿宋_GB2312" w:hAnsi="仿宋_GB2312" w:eastAsia="仿宋_GB2312" w:cs="仿宋_GB2312"/>
          <w:b w:val="0"/>
          <w:bCs/>
          <w:sz w:val="32"/>
          <w:szCs w:val="32"/>
          <w:lang w:val="en-US" w:eastAsia="zh-CN"/>
        </w:rPr>
        <w:t>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群众团体事务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其他群众团体事务支出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指反映除上述项目以外其他用于群众团体事务方面的支出。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12.</w:t>
      </w:r>
      <w:r>
        <w:rPr>
          <w:rStyle w:val="20"/>
          <w:rFonts w:hint="eastAsia" w:ascii="仿宋_GB2312" w:hAnsi="仿宋_GB2312" w:eastAsia="仿宋_GB2312" w:cs="仿宋_GB2312"/>
          <w:b w:val="0"/>
          <w:bCs/>
          <w:sz w:val="32"/>
          <w:szCs w:val="32"/>
        </w:rPr>
        <w:t>一般公共服务（类）</w:t>
      </w:r>
      <w:r>
        <w:rPr>
          <w:rStyle w:val="20"/>
          <w:rFonts w:hint="eastAsia" w:ascii="仿宋_GB2312" w:hAnsi="仿宋_GB2312" w:eastAsia="仿宋_GB2312" w:cs="仿宋_GB2312"/>
          <w:b w:val="0"/>
          <w:bCs/>
          <w:sz w:val="32"/>
          <w:szCs w:val="32"/>
          <w:lang w:val="en-US" w:eastAsia="zh-CN"/>
        </w:rPr>
        <w:t>党委办公厅（室）及相关机构事务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一般行政管理事务</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指反映行政单位（包括实行公务员管理的事业单位）未单独设置项级科目的其他项目支出。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13.</w:t>
      </w:r>
      <w:r>
        <w:rPr>
          <w:rStyle w:val="20"/>
          <w:rFonts w:hint="eastAsia" w:ascii="仿宋_GB2312" w:hAnsi="仿宋_GB2312" w:eastAsia="仿宋_GB2312" w:cs="仿宋_GB2312"/>
          <w:b w:val="0"/>
          <w:bCs/>
          <w:sz w:val="32"/>
          <w:szCs w:val="32"/>
        </w:rPr>
        <w:t>一般公共服务（类）</w:t>
      </w:r>
      <w:r>
        <w:rPr>
          <w:rStyle w:val="20"/>
          <w:rFonts w:hint="eastAsia" w:ascii="仿宋_GB2312" w:hAnsi="仿宋_GB2312" w:eastAsia="仿宋_GB2312" w:cs="仿宋_GB2312"/>
          <w:b w:val="0"/>
          <w:bCs/>
          <w:sz w:val="32"/>
          <w:szCs w:val="32"/>
          <w:lang w:val="en-US" w:eastAsia="zh-CN"/>
        </w:rPr>
        <w:t>宣传事务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其他宣传事务支出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指反映除上述项目以外其他用于中国共产党宣传部门的事务支出。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14.国防支出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国防动员</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兵役征集</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Style w:val="20"/>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指反映用于兵役征集等方面的支出。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15.文化旅游体育与传媒支出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文化和旅游</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群众文化</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指反映群众文化方面的支出，包括基层文化馆（站）、群众艺术馆支出等。</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16.文化旅游体育与传媒支出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文化和旅游</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文化和旅游管理事务</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指反映文化和旅游管理事务支出。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17.社会保障和就业支出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民政管理事务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基层政权建设和社区治理</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color w:val="auto"/>
          <w:sz w:val="32"/>
          <w:szCs w:val="32"/>
          <w:lang w:val="en-US" w:eastAsia="zh-CN"/>
        </w:rPr>
      </w:pPr>
      <w:r>
        <w:rPr>
          <w:rStyle w:val="20"/>
          <w:rFonts w:hint="eastAsia" w:ascii="仿宋_GB2312" w:hAnsi="仿宋_GB2312" w:eastAsia="仿宋_GB2312" w:cs="仿宋_GB2312"/>
          <w:b w:val="0"/>
          <w:bCs/>
          <w:color w:val="auto"/>
          <w:sz w:val="32"/>
          <w:szCs w:val="32"/>
          <w:lang w:val="en-US" w:eastAsia="zh-CN"/>
        </w:rPr>
        <w:t>18.社会保障和就业支出</w:t>
      </w:r>
      <w:r>
        <w:rPr>
          <w:rStyle w:val="20"/>
          <w:rFonts w:hint="eastAsia" w:ascii="仿宋_GB2312" w:hAnsi="仿宋_GB2312" w:eastAsia="仿宋_GB2312" w:cs="仿宋_GB2312"/>
          <w:b w:val="0"/>
          <w:bCs/>
          <w:color w:val="auto"/>
          <w:sz w:val="32"/>
          <w:szCs w:val="32"/>
        </w:rPr>
        <w:t>（类）</w:t>
      </w:r>
      <w:r>
        <w:rPr>
          <w:rStyle w:val="20"/>
          <w:rFonts w:hint="eastAsia" w:ascii="仿宋_GB2312" w:hAnsi="仿宋_GB2312" w:eastAsia="仿宋_GB2312" w:cs="仿宋_GB2312"/>
          <w:b w:val="0"/>
          <w:bCs/>
          <w:color w:val="auto"/>
          <w:sz w:val="32"/>
          <w:szCs w:val="32"/>
          <w:lang w:val="en-US" w:eastAsia="zh-CN"/>
        </w:rPr>
        <w:t>民政管理事务</w:t>
      </w:r>
      <w:r>
        <w:rPr>
          <w:rStyle w:val="20"/>
          <w:rFonts w:hint="eastAsia" w:ascii="仿宋_GB2312" w:hAnsi="仿宋_GB2312" w:eastAsia="仿宋_GB2312" w:cs="仿宋_GB2312"/>
          <w:b w:val="0"/>
          <w:bCs/>
          <w:color w:val="auto"/>
          <w:sz w:val="32"/>
          <w:szCs w:val="32"/>
        </w:rPr>
        <w:t>（款）</w:t>
      </w:r>
      <w:r>
        <w:rPr>
          <w:rStyle w:val="20"/>
          <w:rFonts w:hint="eastAsia" w:ascii="仿宋_GB2312" w:hAnsi="仿宋_GB2312" w:eastAsia="仿宋_GB2312" w:cs="仿宋_GB2312"/>
          <w:b w:val="0"/>
          <w:bCs/>
          <w:color w:val="auto"/>
          <w:sz w:val="32"/>
          <w:szCs w:val="32"/>
          <w:lang w:val="en-US" w:eastAsia="zh-CN"/>
        </w:rPr>
        <w:t>其他民政管理事务支出</w:t>
      </w:r>
      <w:r>
        <w:rPr>
          <w:rStyle w:val="20"/>
          <w:rFonts w:hint="eastAsia" w:ascii="仿宋_GB2312" w:hAnsi="仿宋_GB2312" w:eastAsia="仿宋_GB2312" w:cs="仿宋_GB2312"/>
          <w:b w:val="0"/>
          <w:bCs/>
          <w:color w:val="auto"/>
          <w:sz w:val="32"/>
          <w:szCs w:val="32"/>
        </w:rPr>
        <w:t>（项）</w:t>
      </w:r>
      <w:r>
        <w:rPr>
          <w:rStyle w:val="20"/>
          <w:rFonts w:hint="eastAsia" w:ascii="仿宋_GB2312" w:hAnsi="仿宋_GB2312" w:cs="仿宋_GB2312"/>
          <w:b w:val="0"/>
          <w:bCs/>
          <w:color w:val="auto"/>
          <w:sz w:val="32"/>
          <w:szCs w:val="32"/>
          <w:lang w:eastAsia="zh-CN"/>
        </w:rPr>
        <w:t>：</w:t>
      </w:r>
      <w:r>
        <w:rPr>
          <w:rStyle w:val="20"/>
          <w:rFonts w:hint="eastAsia" w:ascii="仿宋_GB2312" w:hAnsi="仿宋_GB2312" w:eastAsia="仿宋_GB2312" w:cs="仿宋_GB2312"/>
          <w:b w:val="0"/>
          <w:bCs/>
          <w:color w:val="auto"/>
          <w:sz w:val="32"/>
          <w:szCs w:val="32"/>
          <w:lang w:val="en-US" w:eastAsia="zh-CN"/>
        </w:rPr>
        <w:t>反映上述项目以外其他用于民政管理事务的支出。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19.社会保障和就业支出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行政事业单位养老支出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机关事业单位基本养老保险缴费支出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指部门实施养老保险制度由单位缴纳的养老保险费的支出。</w:t>
      </w:r>
      <w:r>
        <w:rPr>
          <w:rStyle w:val="20"/>
          <w:rFonts w:hint="eastAsia" w:ascii="仿宋_GB2312" w:hAnsi="仿宋_GB2312" w:eastAsia="仿宋_GB2312" w:cs="仿宋_GB2312"/>
          <w:b w:val="0"/>
          <w:bCs/>
          <w:sz w:val="32"/>
          <w:szCs w:val="32"/>
        </w:rPr>
        <w:t xml:space="preserve"> </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w:t>
      </w:r>
      <w:r>
        <w:rPr>
          <w:rFonts w:hint="eastAsia" w:ascii="仿宋_GB2312" w:hAnsi="仿宋_GB2312" w:eastAsia="仿宋_GB2312" w:cs="仿宋_GB2312"/>
          <w:b w:val="0"/>
          <w:bCs/>
          <w:color w:val="auto"/>
          <w:sz w:val="32"/>
          <w:szCs w:val="32"/>
        </w:rPr>
        <w:t>卫生健康</w:t>
      </w:r>
      <w:r>
        <w:rPr>
          <w:rStyle w:val="20"/>
          <w:rFonts w:hint="eastAsia" w:ascii="仿宋_GB2312" w:hAnsi="仿宋_GB2312" w:eastAsia="仿宋_GB2312" w:cs="仿宋_GB2312"/>
          <w:b w:val="0"/>
          <w:bCs/>
          <w:color w:val="auto"/>
          <w:sz w:val="32"/>
          <w:szCs w:val="32"/>
        </w:rPr>
        <w:t>（类）</w:t>
      </w:r>
      <w:r>
        <w:rPr>
          <w:rStyle w:val="20"/>
          <w:rFonts w:hint="eastAsia" w:ascii="仿宋_GB2312" w:hAnsi="仿宋_GB2312" w:eastAsia="仿宋_GB2312" w:cs="仿宋_GB2312"/>
          <w:b w:val="0"/>
          <w:bCs/>
          <w:color w:val="auto"/>
          <w:sz w:val="32"/>
          <w:szCs w:val="32"/>
          <w:lang w:val="en-US" w:eastAsia="zh-CN"/>
        </w:rPr>
        <w:t>公共卫生</w:t>
      </w:r>
      <w:r>
        <w:rPr>
          <w:rStyle w:val="20"/>
          <w:rFonts w:hint="eastAsia" w:ascii="仿宋_GB2312" w:hAnsi="仿宋_GB2312" w:eastAsia="仿宋_GB2312" w:cs="仿宋_GB2312"/>
          <w:b w:val="0"/>
          <w:bCs/>
          <w:color w:val="auto"/>
          <w:sz w:val="32"/>
          <w:szCs w:val="32"/>
        </w:rPr>
        <w:t>（款）</w:t>
      </w:r>
      <w:r>
        <w:rPr>
          <w:rStyle w:val="20"/>
          <w:rFonts w:hint="eastAsia" w:ascii="仿宋_GB2312" w:hAnsi="仿宋_GB2312" w:eastAsia="仿宋_GB2312" w:cs="仿宋_GB2312"/>
          <w:b w:val="0"/>
          <w:bCs/>
          <w:color w:val="auto"/>
          <w:sz w:val="32"/>
          <w:szCs w:val="32"/>
          <w:lang w:val="en-US" w:eastAsia="zh-CN"/>
        </w:rPr>
        <w:t>重大公共卫生服务</w:t>
      </w:r>
      <w:r>
        <w:rPr>
          <w:rStyle w:val="20"/>
          <w:rFonts w:hint="eastAsia" w:ascii="仿宋_GB2312" w:hAnsi="仿宋_GB2312" w:eastAsia="仿宋_GB2312" w:cs="仿宋_GB2312"/>
          <w:b w:val="0"/>
          <w:bCs/>
          <w:color w:val="auto"/>
          <w:sz w:val="32"/>
          <w:szCs w:val="32"/>
        </w:rPr>
        <w:t>（项）</w:t>
      </w:r>
      <w:r>
        <w:rPr>
          <w:rStyle w:val="20"/>
          <w:rFonts w:hint="eastAsia" w:ascii="仿宋_GB2312" w:hAnsi="仿宋_GB2312" w:cs="仿宋_GB2312"/>
          <w:b w:val="0"/>
          <w:bCs/>
          <w:color w:val="auto"/>
          <w:sz w:val="32"/>
          <w:szCs w:val="32"/>
          <w:lang w:eastAsia="zh-CN"/>
        </w:rPr>
        <w:t>：</w:t>
      </w:r>
      <w:r>
        <w:rPr>
          <w:rStyle w:val="20"/>
          <w:rFonts w:hint="eastAsia" w:ascii="仿宋_GB2312" w:hAnsi="仿宋_GB2312" w:eastAsia="仿宋_GB2312" w:cs="仿宋_GB2312"/>
          <w:b w:val="0"/>
          <w:bCs/>
          <w:color w:val="auto"/>
          <w:sz w:val="32"/>
          <w:szCs w:val="32"/>
          <w:lang w:val="en-US" w:eastAsia="zh-CN"/>
        </w:rPr>
        <w:t>反映重大疾病、重大传染病预防控制等重大公共卫生服务项目支出。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卫生健康</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行政事业单位医疗</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行政单位医疗</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指局机关及参公管理事业单位用于缴纳单位基本医疗保险支出。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卫生健康</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行政事业单位医疗</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事业单位医疗</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指事业单位用于缴纳单位基本医疗保险支出。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卫生健康</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其他卫生健康支出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其他卫生健康支出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color w:val="auto"/>
          <w:sz w:val="32"/>
          <w:szCs w:val="32"/>
          <w:lang w:val="en-US" w:eastAsia="zh-CN"/>
        </w:rPr>
        <w:t>反映除上述项目以外其他用于卫生健康方面的支出。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color w:val="auto"/>
          <w:sz w:val="32"/>
          <w:szCs w:val="32"/>
          <w:lang w:val="en-US" w:eastAsia="zh-CN"/>
        </w:rPr>
      </w:pPr>
      <w:r>
        <w:rPr>
          <w:rStyle w:val="20"/>
          <w:rFonts w:hint="eastAsia" w:ascii="仿宋_GB2312" w:hAnsi="仿宋_GB2312" w:eastAsia="仿宋_GB2312" w:cs="仿宋_GB2312"/>
          <w:b w:val="0"/>
          <w:bCs/>
          <w:color w:val="auto"/>
          <w:sz w:val="32"/>
          <w:szCs w:val="32"/>
          <w:lang w:val="en-US" w:eastAsia="zh-CN"/>
        </w:rPr>
        <w:t>24.城乡社区支出</w:t>
      </w:r>
      <w:r>
        <w:rPr>
          <w:rStyle w:val="20"/>
          <w:rFonts w:hint="eastAsia" w:ascii="仿宋_GB2312" w:hAnsi="仿宋_GB2312" w:eastAsia="仿宋_GB2312" w:cs="仿宋_GB2312"/>
          <w:b w:val="0"/>
          <w:bCs/>
          <w:color w:val="auto"/>
          <w:sz w:val="32"/>
          <w:szCs w:val="32"/>
        </w:rPr>
        <w:t>（类）</w:t>
      </w:r>
      <w:r>
        <w:rPr>
          <w:rStyle w:val="20"/>
          <w:rFonts w:hint="eastAsia" w:ascii="仿宋_GB2312" w:hAnsi="仿宋_GB2312" w:eastAsia="仿宋_GB2312" w:cs="仿宋_GB2312"/>
          <w:b w:val="0"/>
          <w:bCs/>
          <w:color w:val="auto"/>
          <w:sz w:val="32"/>
          <w:szCs w:val="32"/>
          <w:lang w:val="en-US" w:eastAsia="zh-CN"/>
        </w:rPr>
        <w:t>城乡社区规划与管理</w:t>
      </w:r>
      <w:r>
        <w:rPr>
          <w:rStyle w:val="20"/>
          <w:rFonts w:hint="eastAsia" w:ascii="仿宋_GB2312" w:hAnsi="仿宋_GB2312" w:eastAsia="仿宋_GB2312" w:cs="仿宋_GB2312"/>
          <w:b w:val="0"/>
          <w:bCs/>
          <w:color w:val="auto"/>
          <w:sz w:val="32"/>
          <w:szCs w:val="32"/>
        </w:rPr>
        <w:t>（款）</w:t>
      </w:r>
      <w:r>
        <w:rPr>
          <w:rStyle w:val="20"/>
          <w:rFonts w:hint="eastAsia" w:ascii="仿宋_GB2312" w:hAnsi="仿宋_GB2312" w:eastAsia="仿宋_GB2312" w:cs="仿宋_GB2312"/>
          <w:b w:val="0"/>
          <w:bCs/>
          <w:color w:val="auto"/>
          <w:sz w:val="32"/>
          <w:szCs w:val="32"/>
          <w:lang w:val="en-US" w:eastAsia="zh-CN"/>
        </w:rPr>
        <w:t>城乡社区规划与管理</w:t>
      </w:r>
      <w:r>
        <w:rPr>
          <w:rStyle w:val="20"/>
          <w:rFonts w:hint="eastAsia" w:ascii="仿宋_GB2312" w:hAnsi="仿宋_GB2312" w:eastAsia="仿宋_GB2312" w:cs="仿宋_GB2312"/>
          <w:b w:val="0"/>
          <w:bCs/>
          <w:color w:val="auto"/>
          <w:sz w:val="32"/>
          <w:szCs w:val="32"/>
        </w:rPr>
        <w:t>（项）</w:t>
      </w:r>
      <w:r>
        <w:rPr>
          <w:rStyle w:val="20"/>
          <w:rFonts w:hint="eastAsia" w:ascii="仿宋_GB2312" w:hAnsi="仿宋_GB2312" w:cs="仿宋_GB2312"/>
          <w:b w:val="0"/>
          <w:bCs/>
          <w:color w:val="auto"/>
          <w:sz w:val="32"/>
          <w:szCs w:val="32"/>
          <w:lang w:eastAsia="zh-CN"/>
        </w:rPr>
        <w:t>：</w:t>
      </w:r>
      <w:r>
        <w:rPr>
          <w:rStyle w:val="20"/>
          <w:rFonts w:hint="eastAsia" w:ascii="仿宋_GB2312" w:hAnsi="仿宋_GB2312" w:eastAsia="仿宋_GB2312" w:cs="仿宋_GB2312"/>
          <w:b w:val="0"/>
          <w:bCs/>
          <w:color w:val="auto"/>
          <w:sz w:val="32"/>
          <w:szCs w:val="32"/>
          <w:lang w:val="en-US" w:eastAsia="zh-CN"/>
        </w:rPr>
        <w:t>反映城乡社区、防灾减灾、历史名城规划制定与管理等方面的支出。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25.城乡社区支出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城乡社区环境卫生</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城乡社区环境卫生</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Style w:val="20"/>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反映城乡社区道路清扫、垃圾清运与处理、公厕建设与维护、园林绿化等方面的支出。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26.农林水支出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农业农村</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事业运行</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Style w:val="20"/>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反映用于农业事业单位基本支出，事业单位设施、系统运行与资产维护等方面的支出。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27.农林水支出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农业农村</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防灾减灾</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反映对农业生产因遭受自然、生物灾害损失给予的补助，促进农业防灾增产措施补助，海难救助补助，因其他灾害导致农牧渔业生产者损失给予的补贴。</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lang w:eastAsia="zh-CN"/>
        </w:rPr>
      </w:pPr>
      <w:r>
        <w:rPr>
          <w:rStyle w:val="20"/>
          <w:rFonts w:hint="eastAsia" w:ascii="仿宋_GB2312" w:hAnsi="仿宋_GB2312" w:eastAsia="仿宋_GB2312" w:cs="仿宋_GB2312"/>
          <w:b w:val="0"/>
          <w:bCs/>
          <w:sz w:val="32"/>
          <w:szCs w:val="32"/>
          <w:lang w:val="en-US" w:eastAsia="zh-CN"/>
        </w:rPr>
        <w:t>28.农林水支出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林业和草原</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林业草原防灾减灾</w:t>
      </w:r>
      <w:r>
        <w:rPr>
          <w:rStyle w:val="20"/>
          <w:rFonts w:hint="eastAsia" w:ascii="仿宋_GB2312" w:hAnsi="仿宋_GB2312" w:eastAsia="仿宋_GB2312" w:cs="仿宋_GB2312"/>
          <w:b w:val="0"/>
          <w:bCs/>
          <w:sz w:val="32"/>
          <w:szCs w:val="32"/>
        </w:rPr>
        <w:t>（项）</w:t>
      </w:r>
      <w:r>
        <w:rPr>
          <w:rStyle w:val="20"/>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反映用于病虫害等有害生物灾害、森林草原防火、野生动物疫病灾害等方面的支出。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color w:val="0000FF"/>
          <w:sz w:val="32"/>
          <w:szCs w:val="32"/>
          <w:lang w:val="en-US" w:eastAsia="zh-CN"/>
        </w:rPr>
      </w:pPr>
      <w:r>
        <w:rPr>
          <w:rStyle w:val="20"/>
          <w:rFonts w:hint="eastAsia" w:ascii="仿宋_GB2312" w:hAnsi="仿宋_GB2312" w:eastAsia="仿宋_GB2312" w:cs="仿宋_GB2312"/>
          <w:b w:val="0"/>
          <w:bCs/>
          <w:color w:val="auto"/>
          <w:sz w:val="32"/>
          <w:szCs w:val="32"/>
          <w:lang w:val="en-US" w:eastAsia="zh-CN"/>
        </w:rPr>
        <w:t>29.农林水支出</w:t>
      </w:r>
      <w:r>
        <w:rPr>
          <w:rStyle w:val="20"/>
          <w:rFonts w:hint="eastAsia" w:ascii="仿宋_GB2312" w:hAnsi="仿宋_GB2312" w:eastAsia="仿宋_GB2312" w:cs="仿宋_GB2312"/>
          <w:b w:val="0"/>
          <w:bCs/>
          <w:color w:val="auto"/>
          <w:sz w:val="32"/>
          <w:szCs w:val="32"/>
        </w:rPr>
        <w:t>（类）</w:t>
      </w:r>
      <w:r>
        <w:rPr>
          <w:rStyle w:val="20"/>
          <w:rFonts w:hint="eastAsia" w:ascii="仿宋_GB2312" w:hAnsi="仿宋_GB2312" w:eastAsia="仿宋_GB2312" w:cs="仿宋_GB2312"/>
          <w:b w:val="0"/>
          <w:bCs/>
          <w:color w:val="auto"/>
          <w:sz w:val="32"/>
          <w:szCs w:val="32"/>
          <w:lang w:val="en-US" w:eastAsia="zh-CN"/>
        </w:rPr>
        <w:t>水利</w:t>
      </w:r>
      <w:r>
        <w:rPr>
          <w:rStyle w:val="20"/>
          <w:rFonts w:hint="eastAsia" w:ascii="仿宋_GB2312" w:hAnsi="仿宋_GB2312" w:eastAsia="仿宋_GB2312" w:cs="仿宋_GB2312"/>
          <w:b w:val="0"/>
          <w:bCs/>
          <w:color w:val="auto"/>
          <w:sz w:val="32"/>
          <w:szCs w:val="32"/>
        </w:rPr>
        <w:t>（款）</w:t>
      </w:r>
      <w:r>
        <w:rPr>
          <w:rStyle w:val="20"/>
          <w:rFonts w:hint="eastAsia" w:ascii="仿宋_GB2312" w:hAnsi="仿宋_GB2312" w:eastAsia="仿宋_GB2312" w:cs="仿宋_GB2312"/>
          <w:b w:val="0"/>
          <w:bCs/>
          <w:color w:val="auto"/>
          <w:sz w:val="32"/>
          <w:szCs w:val="32"/>
          <w:lang w:val="en-US" w:eastAsia="zh-CN"/>
        </w:rPr>
        <w:t>抗旱</w:t>
      </w:r>
      <w:r>
        <w:rPr>
          <w:rStyle w:val="20"/>
          <w:rFonts w:hint="eastAsia" w:ascii="仿宋_GB2312" w:hAnsi="仿宋_GB2312" w:eastAsia="仿宋_GB2312" w:cs="仿宋_GB2312"/>
          <w:b w:val="0"/>
          <w:bCs/>
          <w:color w:val="auto"/>
          <w:sz w:val="32"/>
          <w:szCs w:val="32"/>
        </w:rPr>
        <w:t>（项）</w:t>
      </w:r>
      <w:r>
        <w:rPr>
          <w:rStyle w:val="20"/>
          <w:rFonts w:hint="eastAsia" w:ascii="仿宋_GB2312" w:hAnsi="仿宋_GB2312" w:cs="仿宋_GB2312"/>
          <w:b w:val="0"/>
          <w:bCs/>
          <w:color w:val="auto"/>
          <w:sz w:val="32"/>
          <w:szCs w:val="32"/>
          <w:lang w:eastAsia="zh-CN"/>
        </w:rPr>
        <w:t>：</w:t>
      </w:r>
      <w:r>
        <w:rPr>
          <w:rStyle w:val="20"/>
          <w:rFonts w:hint="eastAsia" w:ascii="仿宋_GB2312" w:hAnsi="仿宋_GB2312" w:eastAsia="仿宋_GB2312" w:cs="仿宋_GB2312"/>
          <w:b w:val="0"/>
          <w:bCs/>
          <w:color w:val="auto"/>
          <w:sz w:val="32"/>
          <w:szCs w:val="32"/>
        </w:rPr>
        <w:t xml:space="preserve"> </w:t>
      </w:r>
      <w:r>
        <w:rPr>
          <w:rStyle w:val="20"/>
          <w:rFonts w:hint="eastAsia" w:ascii="仿宋_GB2312" w:hAnsi="仿宋_GB2312" w:eastAsia="仿宋_GB2312" w:cs="仿宋_GB2312"/>
          <w:b w:val="0"/>
          <w:bCs/>
          <w:color w:val="auto"/>
          <w:sz w:val="32"/>
          <w:szCs w:val="32"/>
          <w:lang w:val="en-US" w:eastAsia="zh-CN"/>
        </w:rPr>
        <w:t>反映抗旱业务支出。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color w:val="auto"/>
          <w:sz w:val="32"/>
          <w:szCs w:val="32"/>
          <w:lang w:val="en-US" w:eastAsia="zh-CN"/>
        </w:rPr>
      </w:pPr>
      <w:r>
        <w:rPr>
          <w:rStyle w:val="20"/>
          <w:rFonts w:hint="eastAsia" w:ascii="仿宋_GB2312" w:hAnsi="仿宋_GB2312" w:eastAsia="仿宋_GB2312" w:cs="仿宋_GB2312"/>
          <w:b w:val="0"/>
          <w:bCs/>
          <w:color w:val="auto"/>
          <w:sz w:val="32"/>
          <w:szCs w:val="32"/>
          <w:lang w:val="en-US" w:eastAsia="zh-CN"/>
        </w:rPr>
        <w:t>30.农林水支出</w:t>
      </w:r>
      <w:r>
        <w:rPr>
          <w:rStyle w:val="20"/>
          <w:rFonts w:hint="eastAsia" w:ascii="仿宋_GB2312" w:hAnsi="仿宋_GB2312" w:eastAsia="仿宋_GB2312" w:cs="仿宋_GB2312"/>
          <w:b w:val="0"/>
          <w:bCs/>
          <w:color w:val="auto"/>
          <w:sz w:val="32"/>
          <w:szCs w:val="32"/>
        </w:rPr>
        <w:t>（类）</w:t>
      </w:r>
      <w:r>
        <w:rPr>
          <w:rStyle w:val="20"/>
          <w:rFonts w:hint="eastAsia" w:ascii="仿宋_GB2312" w:hAnsi="仿宋_GB2312" w:eastAsia="仿宋_GB2312" w:cs="仿宋_GB2312"/>
          <w:b w:val="0"/>
          <w:bCs/>
          <w:color w:val="auto"/>
          <w:sz w:val="32"/>
          <w:szCs w:val="32"/>
          <w:lang w:val="en-US" w:eastAsia="zh-CN"/>
        </w:rPr>
        <w:t>巩固脱贫衔接乡村振兴</w:t>
      </w:r>
      <w:r>
        <w:rPr>
          <w:rStyle w:val="20"/>
          <w:rFonts w:hint="eastAsia" w:ascii="仿宋_GB2312" w:hAnsi="仿宋_GB2312" w:eastAsia="仿宋_GB2312" w:cs="仿宋_GB2312"/>
          <w:b w:val="0"/>
          <w:bCs/>
          <w:color w:val="auto"/>
          <w:sz w:val="32"/>
          <w:szCs w:val="32"/>
        </w:rPr>
        <w:t>（款）</w:t>
      </w:r>
      <w:r>
        <w:rPr>
          <w:rStyle w:val="20"/>
          <w:rFonts w:hint="eastAsia" w:ascii="仿宋_GB2312" w:hAnsi="仿宋_GB2312" w:eastAsia="仿宋_GB2312" w:cs="仿宋_GB2312"/>
          <w:b w:val="0"/>
          <w:bCs/>
          <w:color w:val="auto"/>
          <w:sz w:val="32"/>
          <w:szCs w:val="32"/>
          <w:lang w:val="en-US" w:eastAsia="zh-CN"/>
        </w:rPr>
        <w:t>农村基础设施建设</w:t>
      </w:r>
      <w:r>
        <w:rPr>
          <w:rStyle w:val="20"/>
          <w:rFonts w:hint="eastAsia" w:ascii="仿宋_GB2312" w:hAnsi="仿宋_GB2312" w:eastAsia="仿宋_GB2312" w:cs="仿宋_GB2312"/>
          <w:b w:val="0"/>
          <w:bCs/>
          <w:color w:val="auto"/>
          <w:sz w:val="32"/>
          <w:szCs w:val="32"/>
        </w:rPr>
        <w:t>（项）</w:t>
      </w:r>
      <w:r>
        <w:rPr>
          <w:rStyle w:val="20"/>
          <w:rFonts w:hint="eastAsia" w:ascii="仿宋_GB2312" w:hAnsi="仿宋_GB2312" w:cs="仿宋_GB2312"/>
          <w:b w:val="0"/>
          <w:bCs/>
          <w:color w:val="auto"/>
          <w:sz w:val="32"/>
          <w:szCs w:val="32"/>
          <w:lang w:eastAsia="zh-CN"/>
        </w:rPr>
        <w:t>：</w:t>
      </w:r>
      <w:r>
        <w:rPr>
          <w:rStyle w:val="20"/>
          <w:rFonts w:hint="eastAsia" w:ascii="仿宋_GB2312" w:hAnsi="仿宋_GB2312" w:eastAsia="仿宋_GB2312" w:cs="仿宋_GB2312"/>
          <w:b w:val="0"/>
          <w:bCs/>
          <w:color w:val="auto"/>
          <w:sz w:val="32"/>
          <w:szCs w:val="32"/>
          <w:lang w:val="en-US" w:eastAsia="zh-CN"/>
        </w:rPr>
        <w:t>反映用于农村欠发达地区乡村道路、住房、基本农田、水利设施、人畜饮水、生态环境保护等生产生活条件改善方面的支出。</w:t>
      </w:r>
    </w:p>
    <w:p>
      <w:pPr>
        <w:pStyle w:val="9"/>
        <w:pageBreakBefore w:val="0"/>
        <w:numPr>
          <w:ilvl w:val="0"/>
          <w:numId w:val="0"/>
        </w:numPr>
        <w:kinsoku/>
        <w:wordWrap/>
        <w:overflowPunct/>
        <w:topLinePunct w:val="0"/>
        <w:bidi w:val="0"/>
        <w:spacing w:line="576" w:lineRule="exact"/>
        <w:ind w:left="0" w:leftChars="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31.农林水支出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巩固脱贫衔接乡村振兴</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其他巩固脱贫衔接乡村振兴支出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反映除上述项目以外其他用于</w:t>
      </w:r>
      <w:r>
        <w:rPr>
          <w:rFonts w:hint="eastAsia" w:ascii="仿宋_GB2312" w:hAnsi="仿宋_GB2312" w:cs="仿宋_GB2312"/>
          <w:b w:val="0"/>
          <w:bCs/>
          <w:sz w:val="32"/>
          <w:szCs w:val="32"/>
          <w:lang w:val="en-US" w:eastAsia="zh-CN"/>
        </w:rPr>
        <w:t>巩固拓展脱贫攻坚成果同乡村振兴有效衔接</w:t>
      </w:r>
      <w:r>
        <w:rPr>
          <w:rFonts w:hint="eastAsia" w:ascii="仿宋_GB2312" w:hAnsi="仿宋_GB2312" w:eastAsia="仿宋_GB2312" w:cs="仿宋_GB2312"/>
          <w:b w:val="0"/>
          <w:bCs/>
          <w:sz w:val="32"/>
          <w:szCs w:val="32"/>
          <w:lang w:val="en-US" w:eastAsia="zh-CN"/>
        </w:rPr>
        <w:t>方面的支出。</w:t>
      </w:r>
      <w:r>
        <w:rPr>
          <w:rStyle w:val="20"/>
          <w:rFonts w:hint="eastAsia" w:ascii="仿宋_GB2312" w:hAnsi="仿宋_GB2312" w:eastAsia="仿宋_GB2312" w:cs="仿宋_GB2312"/>
          <w:b w:val="0"/>
          <w:bCs/>
          <w:sz w:val="32"/>
          <w:szCs w:val="32"/>
        </w:rPr>
        <w:t xml:space="preserve"> </w:t>
      </w:r>
    </w:p>
    <w:p>
      <w:pPr>
        <w:pStyle w:val="9"/>
        <w:pageBreakBefore w:val="0"/>
        <w:numPr>
          <w:ilvl w:val="0"/>
          <w:numId w:val="0"/>
        </w:numPr>
        <w:kinsoku/>
        <w:wordWrap/>
        <w:overflowPunct/>
        <w:topLinePunct w:val="0"/>
        <w:bidi w:val="0"/>
        <w:spacing w:line="576" w:lineRule="exact"/>
        <w:ind w:left="0" w:firstLine="640" w:firstLineChars="200"/>
        <w:rPr>
          <w:rFonts w:hint="eastAsia" w:ascii="仿宋_GB2312" w:hAnsi="仿宋_GB2312" w:eastAsia="仿宋_GB2312" w:cs="仿宋_GB2312"/>
          <w:b w:val="0"/>
          <w:bCs/>
          <w:sz w:val="32"/>
          <w:szCs w:val="32"/>
          <w:lang w:val="en-US" w:eastAsia="zh-CN"/>
        </w:rPr>
      </w:pPr>
      <w:r>
        <w:rPr>
          <w:rStyle w:val="20"/>
          <w:rFonts w:hint="eastAsia" w:ascii="仿宋_GB2312" w:hAnsi="仿宋_GB2312" w:eastAsia="仿宋_GB2312" w:cs="仿宋_GB2312"/>
          <w:b w:val="0"/>
          <w:bCs/>
          <w:sz w:val="32"/>
          <w:szCs w:val="32"/>
          <w:lang w:val="en-US" w:eastAsia="zh-CN"/>
        </w:rPr>
        <w:t>32.农林水支出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农村综合改革支出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对村民委员会和村党支部的补助</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33.农林水支出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农村综合改革支出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其他农村综合改革支出</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Style w:val="20"/>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反映除上述项目以外其他用于农村综合改革方面的支出。</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34.住房保障支出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住房改革支出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住房公积金</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指按照《住房公积金管理条例》的规定，由单位及其在职职工缴存的长期住房储金。</w:t>
      </w:r>
    </w:p>
    <w:p>
      <w:pPr>
        <w:pStyle w:val="9"/>
        <w:pageBreakBefore w:val="0"/>
        <w:numPr>
          <w:ilvl w:val="0"/>
          <w:numId w:val="0"/>
        </w:numPr>
        <w:kinsoku/>
        <w:wordWrap/>
        <w:overflowPunct/>
        <w:topLinePunct w:val="0"/>
        <w:bidi w:val="0"/>
        <w:spacing w:line="576" w:lineRule="exact"/>
        <w:ind w:left="0" w:firstLine="640" w:firstLineChars="200"/>
        <w:rPr>
          <w:rStyle w:val="20"/>
          <w:rFonts w:hint="eastAsia" w:ascii="仿宋_GB2312" w:hAnsi="仿宋_GB2312" w:eastAsia="仿宋_GB2312" w:cs="仿宋_GB2312"/>
          <w:b w:val="0"/>
          <w:bCs/>
          <w:sz w:val="32"/>
          <w:szCs w:val="32"/>
          <w:lang w:val="en-US" w:eastAsia="zh-CN"/>
        </w:rPr>
      </w:pPr>
      <w:r>
        <w:rPr>
          <w:rStyle w:val="20"/>
          <w:rFonts w:hint="eastAsia" w:ascii="仿宋_GB2312" w:hAnsi="仿宋_GB2312" w:eastAsia="仿宋_GB2312" w:cs="仿宋_GB2312"/>
          <w:b w:val="0"/>
          <w:bCs/>
          <w:sz w:val="32"/>
          <w:szCs w:val="32"/>
          <w:lang w:val="en-US" w:eastAsia="zh-CN"/>
        </w:rPr>
        <w:t>35.灾害防治及应急管理支出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val="en-US" w:eastAsia="zh-CN"/>
        </w:rPr>
        <w:t>应急管理事务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val="en-US" w:eastAsia="zh-CN"/>
        </w:rPr>
        <w:t>应急管理</w:t>
      </w:r>
      <w:r>
        <w:rPr>
          <w:rStyle w:val="20"/>
          <w:rFonts w:hint="eastAsia" w:ascii="仿宋_GB2312" w:hAnsi="仿宋_GB2312" w:eastAsia="仿宋_GB2312" w:cs="仿宋_GB2312"/>
          <w:b w:val="0"/>
          <w:bCs/>
          <w:sz w:val="32"/>
          <w:szCs w:val="32"/>
        </w:rPr>
        <w:t>（项）</w:t>
      </w:r>
      <w:r>
        <w:rPr>
          <w:rStyle w:val="20"/>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反映用于应急管理的法律法规修订制定，应急预案演练、协调保障等</w:t>
      </w:r>
      <w:r>
        <w:rPr>
          <w:rFonts w:hint="eastAsia" w:ascii="仿宋_GB2312" w:hAnsi="仿宋_GB2312" w:cs="仿宋_GB2312"/>
          <w:b w:val="0"/>
          <w:bCs/>
          <w:sz w:val="32"/>
          <w:szCs w:val="32"/>
          <w:lang w:val="en-US" w:eastAsia="zh-CN"/>
        </w:rPr>
        <w:t>方面</w:t>
      </w:r>
      <w:r>
        <w:rPr>
          <w:rFonts w:hint="eastAsia" w:ascii="仿宋_GB2312" w:hAnsi="仿宋_GB2312" w:eastAsia="仿宋_GB2312" w:cs="仿宋_GB2312"/>
          <w:b w:val="0"/>
          <w:bCs/>
          <w:sz w:val="32"/>
          <w:szCs w:val="32"/>
          <w:lang w:val="en-US" w:eastAsia="zh-CN"/>
        </w:rPr>
        <w:t>的支出。</w:t>
      </w:r>
    </w:p>
    <w:p>
      <w:pPr>
        <w:pageBreakBefore w:val="0"/>
        <w:kinsoku/>
        <w:wordWrap/>
        <w:overflowPunct/>
        <w:topLinePunct w:val="0"/>
        <w:bidi w:val="0"/>
        <w:spacing w:line="576" w:lineRule="exact"/>
        <w:ind w:left="0"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36</w:t>
      </w:r>
      <w:r>
        <w:rPr>
          <w:rFonts w:hint="eastAsia" w:ascii="仿宋_GB2312" w:hAnsi="仿宋_GB2312" w:eastAsia="仿宋_GB2312" w:cs="仿宋_GB2312"/>
          <w:b w:val="0"/>
          <w:bCs/>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left="0"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37</w:t>
      </w:r>
      <w:r>
        <w:rPr>
          <w:rFonts w:hint="eastAsia" w:ascii="仿宋_GB2312" w:hAnsi="仿宋_GB2312" w:eastAsia="仿宋_GB2312" w:cs="仿宋_GB2312"/>
          <w:b w:val="0"/>
          <w:bCs/>
          <w:sz w:val="32"/>
          <w:szCs w:val="32"/>
        </w:rPr>
        <w:t xml:space="preserve">.项目支出：指在基本支出之外为完成特定行政任务和事业发展目标所发生的支出。 </w:t>
      </w:r>
    </w:p>
    <w:p>
      <w:pPr>
        <w:pStyle w:val="2"/>
        <w:pageBreakBefore w:val="0"/>
        <w:kinsoku/>
        <w:wordWrap/>
        <w:overflowPunct/>
        <w:topLinePunct w:val="0"/>
        <w:bidi w:val="0"/>
        <w:spacing w:line="576" w:lineRule="exact"/>
        <w:ind w:left="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pageBreakBefore w:val="0"/>
        <w:kinsoku/>
        <w:wordWrap/>
        <w:overflowPunct/>
        <w:topLinePunct w:val="0"/>
        <w:bidi w:val="0"/>
        <w:spacing w:line="576" w:lineRule="exact"/>
        <w:ind w:left="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pageBreakBefore w:val="0"/>
        <w:kinsoku/>
        <w:wordWrap/>
        <w:overflowPunct/>
        <w:topLinePunct w:val="0"/>
        <w:bidi w:val="0"/>
        <w:spacing w:line="576" w:lineRule="exact"/>
        <w:ind w:left="0" w:firstLine="640" w:firstLineChars="200"/>
        <w:rPr>
          <w:rFonts w:hint="eastAsia" w:ascii="仿宋_GB2312" w:hAnsi="仿宋_GB2312" w:eastAsia="仿宋_GB2312" w:cs="仿宋_GB2312"/>
          <w:b w:val="0"/>
          <w:bCs/>
          <w:color w:val="auto"/>
          <w:sz w:val="32"/>
          <w:szCs w:val="32"/>
        </w:rPr>
      </w:pPr>
    </w:p>
    <w:p>
      <w:pPr>
        <w:pageBreakBefore w:val="0"/>
        <w:kinsoku/>
        <w:wordWrap/>
        <w:overflowPunct/>
        <w:topLinePunct w:val="0"/>
        <w:bidi w:val="0"/>
        <w:spacing w:line="576" w:lineRule="exact"/>
        <w:ind w:left="0"/>
        <w:jc w:val="center"/>
        <w:outlineLvl w:val="0"/>
        <w:rPr>
          <w:rStyle w:val="30"/>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30"/>
          <w:rFonts w:hint="eastAsia" w:ascii="黑体" w:hAnsi="黑体" w:eastAsia="黑体"/>
          <w:b w:val="0"/>
        </w:rPr>
        <w:t>四部分 附件</w:t>
      </w:r>
      <w:bookmarkEnd w:id="52"/>
    </w:p>
    <w:p>
      <w:pPr>
        <w:pageBreakBefore w:val="0"/>
        <w:kinsoku/>
        <w:wordWrap/>
        <w:overflowPunct/>
        <w:topLinePunct w:val="0"/>
        <w:bidi w:val="0"/>
        <w:spacing w:line="576" w:lineRule="exact"/>
        <w:ind w:left="0"/>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剑阁县</w:t>
      </w:r>
      <w:r>
        <w:rPr>
          <w:rFonts w:hint="eastAsia" w:ascii="方正小标宋简体" w:hAnsi="方正小标宋简体" w:eastAsia="方正小标宋简体" w:cs="方正小标宋简体"/>
          <w:sz w:val="44"/>
          <w:szCs w:val="44"/>
          <w:lang w:val="en-US" w:eastAsia="zh-CN"/>
        </w:rPr>
        <w:t>下寺</w:t>
      </w:r>
      <w:r>
        <w:rPr>
          <w:rFonts w:hint="eastAsia" w:ascii="方正小标宋简体" w:hAnsi="方正小标宋简体" w:eastAsia="方正小标宋简体" w:cs="方正小标宋简体"/>
          <w:sz w:val="44"/>
          <w:szCs w:val="44"/>
        </w:rPr>
        <w:t>镇人民政府</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2022年部门整体支出绩效评价报告</w:t>
      </w:r>
    </w:p>
    <w:p>
      <w:pPr>
        <w:pageBreakBefore w:val="0"/>
        <w:widowControl/>
        <w:kinsoku/>
        <w:wordWrap/>
        <w:overflowPunct/>
        <w:topLinePunct w:val="0"/>
        <w:bidi w:val="0"/>
        <w:adjustRightInd w:val="0"/>
        <w:snapToGrid w:val="0"/>
        <w:spacing w:line="576" w:lineRule="exact"/>
        <w:ind w:left="0" w:firstLine="640" w:firstLineChars="200"/>
        <w:contextualSpacing/>
        <w:jc w:val="left"/>
        <w:rPr>
          <w:rFonts w:ascii="黑体" w:hAnsi="宋体" w:eastAsia="黑体"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一、部门（单位）概况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下寺</w:t>
      </w:r>
      <w:r>
        <w:rPr>
          <w:rFonts w:hint="eastAsia" w:ascii="仿宋_GB2312" w:hAnsi="仿宋_GB2312" w:eastAsia="仿宋_GB2312" w:cs="仿宋_GB2312"/>
          <w:sz w:val="32"/>
          <w:szCs w:val="32"/>
        </w:rPr>
        <w:t>镇内设机构：党政综合</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便民服务中心（社会中心）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经济发展中心、社会治理中心、应急管理中心、镇综合行政执法队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（二）机构职能。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制定并组织实施乡村建设规划，部署重点工程建设，地方道路建设及公共设施，水利设施的管理，负责土地、林木、水等自然资源和生态环境的保护，做好护林防火工作。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   </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完成上级政府交办</w:t>
      </w:r>
      <w:r>
        <w:rPr>
          <w:rFonts w:hint="eastAsia" w:ascii="仿宋_GB2312" w:hAnsi="仿宋_GB2312" w:eastAsia="仿宋_GB2312" w:cs="仿宋_GB2312"/>
          <w:sz w:val="32"/>
          <w:szCs w:val="32"/>
          <w:lang w:eastAsia="zh-CN"/>
        </w:rPr>
        <w:t>的其他事项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（三）人员概况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2022年我镇总编制</w:t>
      </w: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名，机关工勤编制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名。年末在职人员总数</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人，机关工勤人员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下寺</w:t>
      </w:r>
      <w:r>
        <w:rPr>
          <w:rFonts w:hint="eastAsia" w:ascii="仿宋_GB2312" w:hAnsi="仿宋_GB2312" w:eastAsia="仿宋_GB2312" w:cs="仿宋_GB2312"/>
          <w:sz w:val="32"/>
          <w:szCs w:val="32"/>
        </w:rPr>
        <w:t>镇人民政府收入总额为3216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04万元，其中：一般公共预算财政拨款收入</w:t>
      </w:r>
      <w:r>
        <w:rPr>
          <w:rFonts w:hint="eastAsia" w:ascii="仿宋_GB2312" w:hAnsi="仿宋_GB2312" w:eastAsia="仿宋_GB2312" w:cs="仿宋_GB2312"/>
          <w:sz w:val="32"/>
          <w:szCs w:val="32"/>
          <w:lang w:val="en-US" w:eastAsia="zh-CN"/>
        </w:rPr>
        <w:t>3066.04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lang w:val="en-US" w:eastAsia="zh-CN"/>
        </w:rPr>
        <w:t>150万元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（二）部门财政资金支出情况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2022年度</w:t>
      </w:r>
      <w:r>
        <w:rPr>
          <w:rFonts w:hint="eastAsia" w:ascii="仿宋_GB2312" w:hAnsi="仿宋_GB2312" w:eastAsia="仿宋_GB2312" w:cs="仿宋_GB2312"/>
          <w:sz w:val="32"/>
          <w:szCs w:val="32"/>
          <w:lang w:val="en-US" w:eastAsia="zh-CN"/>
        </w:rPr>
        <w:t>下寺</w:t>
      </w:r>
      <w:r>
        <w:rPr>
          <w:rFonts w:hint="eastAsia" w:ascii="仿宋_GB2312" w:hAnsi="仿宋_GB2312" w:eastAsia="仿宋_GB2312" w:cs="仿宋_GB2312"/>
          <w:sz w:val="32"/>
          <w:szCs w:val="32"/>
        </w:rPr>
        <w:t>镇人民政府支出总额为3216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04万元，一般公共服务支出</w:t>
      </w:r>
      <w:r>
        <w:rPr>
          <w:rFonts w:hint="eastAsia" w:ascii="仿宋_GB2312" w:hAnsi="仿宋_GB2312" w:eastAsia="仿宋_GB2312" w:cs="仿宋_GB2312"/>
          <w:sz w:val="32"/>
          <w:szCs w:val="32"/>
          <w:lang w:val="en-US" w:eastAsia="zh-CN"/>
        </w:rPr>
        <w:t>994.31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30.72</w:t>
      </w:r>
      <w:r>
        <w:rPr>
          <w:rFonts w:hint="eastAsia" w:ascii="仿宋_GB2312" w:hAnsi="仿宋_GB2312" w:eastAsia="仿宋_GB2312" w:cs="仿宋_GB2312"/>
          <w:sz w:val="32"/>
          <w:szCs w:val="32"/>
        </w:rPr>
        <w:t>％；国防支出</w:t>
      </w:r>
      <w:r>
        <w:rPr>
          <w:rFonts w:hint="eastAsia" w:ascii="仿宋_GB2312" w:hAnsi="仿宋_GB2312" w:eastAsia="仿宋_GB2312" w:cs="仿宋_GB2312"/>
          <w:sz w:val="32"/>
          <w:szCs w:val="32"/>
          <w:lang w:val="en-US" w:eastAsia="zh-CN"/>
        </w:rPr>
        <w:t>0.5万元；文化旅游体育与传媒支出51.89万元，占1.61%；社会保障和就业支出427.98万元，占13.31%；卫生健康支出215.79万元，占6.71%；城乡社区支出161.01万元，占5%；农林水支出1243.92万元，38.68占%；住房保障支出120.44万元，占3.74%；灾害防治及应急管理支出0.2万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（一）部门预算项目绩效管理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1.人员类项目绩效分析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人员类项目保障职工工资待遇及五险一金正常发放，促进机关职能运转。我单位2022年人员类项目预算</w:t>
      </w:r>
      <w:r>
        <w:rPr>
          <w:rFonts w:hint="eastAsia" w:ascii="仿宋_GB2312" w:hAnsi="仿宋_GB2312" w:eastAsia="仿宋_GB2312" w:cs="仿宋_GB2312"/>
          <w:sz w:val="32"/>
          <w:szCs w:val="32"/>
          <w:lang w:val="en-US" w:eastAsia="zh-CN"/>
        </w:rPr>
        <w:t>2126.07</w:t>
      </w:r>
      <w:r>
        <w:rPr>
          <w:rFonts w:hint="eastAsia" w:ascii="仿宋_GB2312" w:hAnsi="仿宋_GB2312" w:eastAsia="仿宋_GB2312" w:cs="仿宋_GB2312"/>
          <w:sz w:val="32"/>
          <w:szCs w:val="32"/>
        </w:rPr>
        <w:t>万元，实际支付</w:t>
      </w:r>
      <w:r>
        <w:rPr>
          <w:rFonts w:hint="eastAsia" w:ascii="仿宋_GB2312" w:hAnsi="仿宋_GB2312" w:eastAsia="仿宋_GB2312" w:cs="仿宋_GB2312"/>
          <w:sz w:val="32"/>
          <w:szCs w:val="32"/>
          <w:lang w:val="en-US" w:eastAsia="zh-CN"/>
        </w:rPr>
        <w:t>2099.38</w:t>
      </w:r>
      <w:r>
        <w:rPr>
          <w:rFonts w:hint="eastAsia" w:ascii="仿宋_GB2312" w:hAnsi="仿宋_GB2312" w:eastAsia="仿宋_GB2312" w:cs="仿宋_GB2312"/>
          <w:sz w:val="32"/>
          <w:szCs w:val="32"/>
        </w:rPr>
        <w:t>万元，资金执行率</w:t>
      </w:r>
      <w:r>
        <w:rPr>
          <w:rFonts w:hint="eastAsia" w:ascii="仿宋_GB2312" w:hAnsi="仿宋_GB2312" w:eastAsia="仿宋_GB2312" w:cs="仿宋_GB2312"/>
          <w:sz w:val="32"/>
          <w:szCs w:val="32"/>
          <w:lang w:val="en-US" w:eastAsia="zh-CN"/>
        </w:rPr>
        <w:t>98.74</w:t>
      </w:r>
      <w:r>
        <w:rPr>
          <w:rFonts w:hint="eastAsia" w:ascii="仿宋_GB2312" w:hAnsi="仿宋_GB2312" w:eastAsia="仿宋_GB2312" w:cs="仿宋_GB2312"/>
          <w:sz w:val="32"/>
          <w:szCs w:val="32"/>
        </w:rPr>
        <w:t>%，执行情况较好，未使用部分资金系国库未及时审核支付部分保险，将结转至下年使用。存在问题：资金到位不及时，影响职工五险一金按时缴纳。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2.运转类项目绩效分析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运转类项目保障机关运转，日常水电气、办公费、差旅费等开销。我单位2022年运转类项目预算</w:t>
      </w:r>
      <w:r>
        <w:rPr>
          <w:rFonts w:hint="eastAsia" w:ascii="仿宋_GB2312" w:hAnsi="仿宋_GB2312" w:eastAsia="仿宋_GB2312" w:cs="仿宋_GB2312"/>
          <w:sz w:val="32"/>
          <w:szCs w:val="32"/>
          <w:lang w:val="en-US" w:eastAsia="zh-CN"/>
        </w:rPr>
        <w:t>545.69</w:t>
      </w:r>
      <w:r>
        <w:rPr>
          <w:rFonts w:hint="eastAsia" w:ascii="仿宋_GB2312" w:hAnsi="仿宋_GB2312" w:eastAsia="仿宋_GB2312" w:cs="仿宋_GB2312"/>
          <w:sz w:val="32"/>
          <w:szCs w:val="32"/>
        </w:rPr>
        <w:t>万元，实际支付</w:t>
      </w:r>
      <w:r>
        <w:rPr>
          <w:rFonts w:hint="eastAsia" w:ascii="仿宋_GB2312" w:hAnsi="仿宋_GB2312" w:eastAsia="仿宋_GB2312" w:cs="仿宋_GB2312"/>
          <w:sz w:val="32"/>
          <w:szCs w:val="32"/>
          <w:lang w:val="en-US" w:eastAsia="zh-CN"/>
        </w:rPr>
        <w:t>457.09</w:t>
      </w:r>
      <w:r>
        <w:rPr>
          <w:rFonts w:hint="eastAsia" w:ascii="仿宋_GB2312" w:hAnsi="仿宋_GB2312" w:eastAsia="仿宋_GB2312" w:cs="仿宋_GB2312"/>
          <w:sz w:val="32"/>
          <w:szCs w:val="32"/>
        </w:rPr>
        <w:t>万元，资金执行率</w:t>
      </w:r>
      <w:r>
        <w:rPr>
          <w:rFonts w:hint="eastAsia" w:ascii="仿宋_GB2312" w:hAnsi="仿宋_GB2312" w:eastAsia="仿宋_GB2312" w:cs="仿宋_GB2312"/>
          <w:sz w:val="32"/>
          <w:szCs w:val="32"/>
          <w:lang w:val="en-US" w:eastAsia="zh-CN"/>
        </w:rPr>
        <w:t>84.76</w:t>
      </w:r>
      <w:r>
        <w:rPr>
          <w:rFonts w:hint="eastAsia" w:ascii="仿宋_GB2312" w:hAnsi="仿宋_GB2312" w:eastAsia="仿宋_GB2312" w:cs="仿宋_GB2312"/>
          <w:sz w:val="32"/>
          <w:szCs w:val="32"/>
        </w:rPr>
        <w:t>%，机关日常事务运转得到充分保障，预算执行情况较好。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3.特定目标类项目绩效分析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特定目标类项目用于保障村级支出，及其他项目支出。我单位2022年特定目标类项目预算</w:t>
      </w:r>
      <w:r>
        <w:rPr>
          <w:rFonts w:hint="eastAsia" w:ascii="仿宋_GB2312" w:hAnsi="仿宋_GB2312" w:eastAsia="仿宋_GB2312" w:cs="仿宋_GB2312"/>
          <w:sz w:val="32"/>
          <w:szCs w:val="32"/>
          <w:lang w:val="en-US" w:eastAsia="zh-CN"/>
        </w:rPr>
        <w:t>1891.98</w:t>
      </w:r>
      <w:r>
        <w:rPr>
          <w:rFonts w:hint="eastAsia" w:ascii="仿宋_GB2312" w:hAnsi="仿宋_GB2312" w:eastAsia="仿宋_GB2312" w:cs="仿宋_GB2312"/>
          <w:sz w:val="32"/>
          <w:szCs w:val="32"/>
        </w:rPr>
        <w:t>万元，实际支付</w:t>
      </w:r>
      <w:r>
        <w:rPr>
          <w:rFonts w:hint="eastAsia" w:ascii="仿宋_GB2312" w:hAnsi="仿宋_GB2312" w:eastAsia="仿宋_GB2312" w:cs="仿宋_GB2312"/>
          <w:sz w:val="32"/>
          <w:szCs w:val="32"/>
          <w:lang w:val="en-US" w:eastAsia="zh-CN"/>
        </w:rPr>
        <w:t>1693.96</w:t>
      </w:r>
      <w:r>
        <w:rPr>
          <w:rFonts w:hint="eastAsia" w:ascii="仿宋_GB2312" w:hAnsi="仿宋_GB2312" w:eastAsia="仿宋_GB2312" w:cs="仿宋_GB2312"/>
          <w:sz w:val="32"/>
          <w:szCs w:val="32"/>
        </w:rPr>
        <w:t>万元，资金执行率</w:t>
      </w:r>
      <w:r>
        <w:rPr>
          <w:rFonts w:hint="eastAsia" w:ascii="仿宋_GB2312" w:hAnsi="仿宋_GB2312" w:eastAsia="仿宋_GB2312" w:cs="仿宋_GB2312"/>
          <w:sz w:val="32"/>
          <w:szCs w:val="32"/>
          <w:lang w:val="en-US" w:eastAsia="zh-CN"/>
        </w:rPr>
        <w:t>89.53</w:t>
      </w:r>
      <w:r>
        <w:rPr>
          <w:rFonts w:hint="eastAsia" w:ascii="仿宋_GB2312" w:hAnsi="仿宋_GB2312" w:eastAsia="仿宋_GB2312" w:cs="仿宋_GB2312"/>
          <w:sz w:val="32"/>
          <w:szCs w:val="32"/>
        </w:rPr>
        <w:t>%，执行情况较好，未使用部分资金系国库未及时审核支付村组干部报酬、村运行费、维护费等，将结转至下年使用。存在问题：资金到位不及时，导致部分项目推进缓慢，无法最大限度实现预期目标。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包括内部应用、自评公开、问题整改和应用反馈等情况。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根据部门整体支出绩效评价指标体系的自评结果，我镇2022年度部门整体支出绩效自评得分为100分。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本年我镇预算配置控制较好。财政供养人员控制在预算编制以内，编制内在职人员控制率小于100%。</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2.预算执行方面。支出总额控制在预算总额以内，预算管理方面，制度执行总体较为有效，仍需进一步强化；资金使用管理需进一步加强。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资产管理方面，建立了资产管理制度，指定了专人对资产进行管理，定期对资产进行盘点和清理，总体执行较好。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（二）存在问题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加强项目开展进度的跟踪，开展项目绩效评价，确保项目绩效目标的完成。</w:t>
      </w:r>
    </w:p>
    <w:p>
      <w:pPr>
        <w:pStyle w:val="17"/>
        <w:pageBreakBefore w:val="0"/>
        <w:kinsoku/>
        <w:wordWrap/>
        <w:overflowPunct/>
        <w:topLinePunct w:val="0"/>
        <w:bidi w:val="0"/>
        <w:spacing w:after="0" w:line="576" w:lineRule="exact"/>
        <w:ind w:left="0" w:leftChars="0" w:firstLine="0" w:firstLineChars="0"/>
        <w:rPr>
          <w:sz w:val="32"/>
          <w:lang w:val="zh-CN"/>
        </w:rPr>
      </w:pPr>
    </w:p>
    <w:p>
      <w:pPr>
        <w:pStyle w:val="17"/>
        <w:pageBreakBefore w:val="0"/>
        <w:kinsoku/>
        <w:wordWrap/>
        <w:overflowPunct/>
        <w:topLinePunct w:val="0"/>
        <w:bidi w:val="0"/>
        <w:spacing w:after="0" w:line="576" w:lineRule="exact"/>
        <w:ind w:left="0" w:leftChars="0" w:firstLine="0" w:firstLineChars="0"/>
        <w:rPr>
          <w:sz w:val="32"/>
          <w:lang w:val="zh-CN"/>
        </w:rPr>
      </w:pPr>
    </w:p>
    <w:p>
      <w:pPr>
        <w:pStyle w:val="17"/>
        <w:pageBreakBefore w:val="0"/>
        <w:kinsoku/>
        <w:wordWrap/>
        <w:overflowPunct/>
        <w:topLinePunct w:val="0"/>
        <w:bidi w:val="0"/>
        <w:spacing w:after="0" w:line="576" w:lineRule="exact"/>
        <w:ind w:left="0" w:leftChars="0" w:firstLine="0" w:firstLineChars="0"/>
        <w:rPr>
          <w:sz w:val="32"/>
          <w:lang w:val="zh-CN"/>
        </w:rPr>
      </w:pPr>
    </w:p>
    <w:p>
      <w:pPr>
        <w:pStyle w:val="17"/>
        <w:pageBreakBefore w:val="0"/>
        <w:kinsoku/>
        <w:wordWrap/>
        <w:overflowPunct/>
        <w:topLinePunct w:val="0"/>
        <w:bidi w:val="0"/>
        <w:spacing w:after="0" w:line="576" w:lineRule="exact"/>
        <w:ind w:left="0" w:leftChars="0" w:firstLine="0" w:firstLineChars="0"/>
        <w:rPr>
          <w:sz w:val="32"/>
          <w:lang w:val="zh-CN"/>
        </w:rPr>
      </w:pPr>
    </w:p>
    <w:p>
      <w:pPr>
        <w:pStyle w:val="17"/>
        <w:pageBreakBefore w:val="0"/>
        <w:kinsoku/>
        <w:wordWrap/>
        <w:overflowPunct/>
        <w:topLinePunct w:val="0"/>
        <w:bidi w:val="0"/>
        <w:spacing w:after="0" w:line="576" w:lineRule="exact"/>
        <w:ind w:left="0" w:leftChars="0" w:firstLine="0" w:firstLineChars="0"/>
        <w:jc w:val="both"/>
        <w:rPr>
          <w:rFonts w:hint="eastAsia" w:ascii="黑体" w:hAnsi="黑体" w:eastAsia="黑体" w:cs="黑体"/>
          <w:sz w:val="32"/>
          <w:lang w:val="en-US" w:eastAsia="zh-CN"/>
        </w:rPr>
      </w:pPr>
    </w:p>
    <w:tbl>
      <w:tblPr>
        <w:tblStyle w:val="18"/>
        <w:tblW w:w="8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067"/>
        <w:gridCol w:w="10"/>
        <w:gridCol w:w="1206"/>
        <w:gridCol w:w="1244"/>
        <w:gridCol w:w="388"/>
        <w:gridCol w:w="388"/>
        <w:gridCol w:w="1731"/>
        <w:gridCol w:w="621"/>
        <w:gridCol w:w="823"/>
        <w:gridCol w:w="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8929" w:type="dxa"/>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76"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76"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剑阁县下寺镇人民政府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3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c>
          <w:tcPr>
            <w:tcW w:w="43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3066.04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3066.04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其中：财政拨款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3066.04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3066.04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保障机关运转，完成全年预算支出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在职职工工资保险保障率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44" w:type="dxa"/>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村社干部报酬支付率</w:t>
            </w:r>
          </w:p>
        </w:tc>
        <w:tc>
          <w:tcPr>
            <w:tcW w:w="77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73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44" w:type="dxa"/>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全镇运转经费保障</w:t>
            </w:r>
          </w:p>
        </w:tc>
        <w:tc>
          <w:tcPr>
            <w:tcW w:w="77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73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2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44" w:type="dxa"/>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77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173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62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4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经费成本</w:t>
            </w:r>
          </w:p>
        </w:tc>
        <w:tc>
          <w:tcPr>
            <w:tcW w:w="77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≤3066.04万元</w:t>
            </w:r>
          </w:p>
        </w:tc>
        <w:tc>
          <w:tcPr>
            <w:tcW w:w="173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≤3066.04万元</w:t>
            </w:r>
          </w:p>
        </w:tc>
        <w:tc>
          <w:tcPr>
            <w:tcW w:w="621"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2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保障政府正常运转和辖区安全稳定</w:t>
            </w:r>
          </w:p>
        </w:tc>
        <w:tc>
          <w:tcPr>
            <w:tcW w:w="77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73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2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24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改善辖区内人居环境</w:t>
            </w:r>
          </w:p>
        </w:tc>
        <w:tc>
          <w:tcPr>
            <w:tcW w:w="77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73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2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216" w:type="dxa"/>
            <w:gridSpan w:val="2"/>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p>
        </w:tc>
        <w:tc>
          <w:tcPr>
            <w:tcW w:w="124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重点工作实施效果可持续影响</w:t>
            </w:r>
          </w:p>
        </w:tc>
        <w:tc>
          <w:tcPr>
            <w:tcW w:w="77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73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2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4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77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73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2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rPr>
                <w:rFonts w:hint="eastAsia" w:ascii="宋体" w:hAnsi="宋体" w:eastAsia="宋体" w:cs="宋体"/>
                <w:i w:val="0"/>
                <w:iCs w:val="0"/>
                <w:color w:val="000000"/>
                <w:sz w:val="22"/>
                <w:szCs w:val="22"/>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0"/>
              <w:jc w:val="both"/>
              <w:rPr>
                <w:rFonts w:hint="eastAsia" w:ascii="宋体" w:hAnsi="宋体" w:eastAsia="宋体" w:cs="宋体"/>
                <w:i w:val="0"/>
                <w:iCs w:val="0"/>
                <w:color w:val="000000"/>
                <w:sz w:val="20"/>
                <w:szCs w:val="20"/>
                <w:u w:val="none"/>
              </w:rPr>
            </w:pPr>
          </w:p>
        </w:tc>
      </w:tr>
    </w:tbl>
    <w:p>
      <w:pPr>
        <w:pStyle w:val="6"/>
        <w:pageBreakBefore w:val="0"/>
        <w:kinsoku/>
        <w:wordWrap/>
        <w:overflowPunct/>
        <w:topLinePunct w:val="0"/>
        <w:bidi w:val="0"/>
        <w:spacing w:beforeLines="0" w:line="576" w:lineRule="exact"/>
        <w:ind w:left="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p>
    <w:p>
      <w:pPr>
        <w:pStyle w:val="6"/>
        <w:pageBreakBefore w:val="0"/>
        <w:kinsoku/>
        <w:wordWrap/>
        <w:overflowPunct/>
        <w:topLinePunct w:val="0"/>
        <w:bidi w:val="0"/>
        <w:spacing w:beforeLines="0" w:line="576" w:lineRule="exact"/>
        <w:ind w:left="0"/>
        <w:rPr>
          <w:rFonts w:hint="eastAsia" w:ascii="黑体" w:hAnsi="黑体" w:eastAsia="黑体" w:cs="黑体"/>
          <w:sz w:val="32"/>
          <w:szCs w:val="32"/>
          <w:shd w:val="clear" w:color="auto" w:fill="FFFFFF"/>
        </w:rPr>
      </w:pPr>
    </w:p>
    <w:p>
      <w:pPr>
        <w:keepNext w:val="0"/>
        <w:keepLines w:val="0"/>
        <w:pageBreakBefore w:val="0"/>
        <w:widowControl w:val="0"/>
        <w:kinsoku/>
        <w:wordWrap/>
        <w:overflowPunct/>
        <w:topLinePunct w:val="0"/>
        <w:bidi w:val="0"/>
        <w:spacing w:line="576" w:lineRule="exact"/>
        <w:ind w:left="0"/>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剑阁县下寺镇人民政府</w:t>
      </w:r>
    </w:p>
    <w:p>
      <w:pPr>
        <w:pStyle w:val="36"/>
        <w:pageBreakBefore w:val="0"/>
        <w:kinsoku/>
        <w:wordWrap/>
        <w:overflowPunct/>
        <w:topLinePunct w:val="0"/>
        <w:bidi w:val="0"/>
        <w:spacing w:line="576" w:lineRule="exact"/>
        <w:ind w:left="0" w:firstLine="640"/>
        <w:jc w:val="center"/>
        <w:rPr>
          <w:rFonts w:hint="eastAsia" w:ascii="方正小标宋简体" w:hAnsi="方正小标宋简体" w:eastAsia="方正小标宋简体" w:cs="方正小标宋简体"/>
          <w:b/>
          <w:bCs/>
          <w:sz w:val="40"/>
          <w:szCs w:val="40"/>
          <w:lang w:val="zh-CN"/>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2</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农村综合改革转移支付资金（</w:t>
      </w:r>
      <w:r>
        <w:rPr>
          <w:rFonts w:hint="eastAsia" w:ascii="方正小标宋简体" w:hAnsi="方正小标宋简体" w:eastAsia="方正小标宋简体" w:cs="方正小标宋简体"/>
          <w:b/>
          <w:bCs/>
          <w:i w:val="0"/>
          <w:iCs w:val="0"/>
          <w:caps w:val="0"/>
          <w:color w:val="333333"/>
          <w:spacing w:val="0"/>
          <w:sz w:val="44"/>
          <w:szCs w:val="44"/>
          <w:shd w:val="clear" w:color="auto" w:fill="FFFFFF"/>
          <w:lang w:val="en-US" w:eastAsia="zh-CN"/>
        </w:rPr>
        <w:t>剑财农〔2022〕13号</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b/>
          <w:bCs/>
          <w:sz w:val="40"/>
          <w:szCs w:val="40"/>
          <w:lang w:val="zh-CN"/>
        </w:rPr>
        <w:t>项目支出绩效自评报告</w:t>
      </w:r>
    </w:p>
    <w:p>
      <w:pPr>
        <w:pStyle w:val="36"/>
        <w:pageBreakBefore w:val="0"/>
        <w:kinsoku/>
        <w:wordWrap/>
        <w:overflowPunct/>
        <w:topLinePunct w:val="0"/>
        <w:bidi w:val="0"/>
        <w:spacing w:line="576" w:lineRule="exact"/>
        <w:ind w:left="0" w:firstLine="640"/>
        <w:jc w:val="center"/>
        <w:rPr>
          <w:rFonts w:hint="eastAsia" w:ascii="方正小标宋简体" w:hAnsi="方正小标宋简体" w:eastAsia="方正小标宋简体" w:cs="方正小标宋简体"/>
          <w:b/>
          <w:bCs/>
          <w:sz w:val="40"/>
          <w:szCs w:val="40"/>
          <w:lang w:val="zh-CN"/>
        </w:rPr>
      </w:pP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ascii="黑体" w:hAnsi="黑体" w:eastAsia="黑体" w:cs="黑体"/>
          <w:sz w:val="32"/>
          <w:szCs w:val="32"/>
          <w:lang w:val="zh-CN"/>
        </w:rPr>
      </w:pPr>
      <w:bookmarkStart w:id="53" w:name="_Toc7489"/>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53"/>
    </w:p>
    <w:p>
      <w:pPr>
        <w:keepNext w:val="0"/>
        <w:keepLines w:val="0"/>
        <w:pageBreakBefore w:val="0"/>
        <w:widowControl w:val="0"/>
        <w:kinsoku/>
        <w:wordWrap/>
        <w:overflowPunct/>
        <w:topLinePunct w:val="0"/>
        <w:bidi w:val="0"/>
        <w:adjustRightInd w:val="0"/>
        <w:snapToGrid w:val="0"/>
        <w:spacing w:line="576" w:lineRule="exact"/>
        <w:ind w:left="0" w:firstLine="720"/>
        <w:textAlignment w:val="auto"/>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下寺镇茶园沟、普广、青溪、小剑四个村的林区面积近3.8万余亩，主要以马尾松、青杠林为主，山高坡陡，林农交错，林下可燃物载量较大，林区生产生活活动频繁，缺少森林防灭火基础设施，是易发不易扑救的一级森林火险防火区，森林防灭火形势十分严峻。根据四川省林业和草原局《关于大力支持森林防火设施建设的通知》(川林函</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〔2020〕</w:t>
      </w:r>
      <w:r>
        <w:rPr>
          <w:rFonts w:hint="eastAsia" w:ascii="仿宋_GB2312" w:hAnsi="仿宋_GB2312" w:eastAsia="仿宋_GB2312" w:cs="仿宋_GB2312"/>
          <w:sz w:val="32"/>
          <w:szCs w:val="32"/>
        </w:rPr>
        <w:t>240号)文件要求，为提升全镇森林管护和森林防灭火综合防控能力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开展林区管理</w:t>
      </w:r>
      <w:r>
        <w:rPr>
          <w:rFonts w:hint="eastAsia" w:ascii="仿宋_GB2312" w:hAnsi="仿宋_GB2312" w:eastAsia="仿宋_GB2312" w:cs="仿宋_GB2312"/>
          <w:sz w:val="32"/>
          <w:szCs w:val="32"/>
          <w:lang w:val="en-US" w:eastAsia="zh-CN"/>
        </w:rPr>
        <w:t>和防灭火工作，下寺镇经过请示、立项修建茶园沟至青溪村森林防灭火通道。</w:t>
      </w:r>
    </w:p>
    <w:p>
      <w:pPr>
        <w:keepNext w:val="0"/>
        <w:keepLines w:val="0"/>
        <w:pageBreakBefore w:val="0"/>
        <w:widowControl w:val="0"/>
        <w:numPr>
          <w:ilvl w:val="0"/>
          <w:numId w:val="3"/>
        </w:numPr>
        <w:kinsoku/>
        <w:wordWrap/>
        <w:overflowPunct/>
        <w:topLinePunct w:val="0"/>
        <w:bidi w:val="0"/>
        <w:adjustRightInd w:val="0"/>
        <w:snapToGrid w:val="0"/>
        <w:spacing w:line="576" w:lineRule="exact"/>
        <w:ind w:left="0"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项目绩效目标</w:t>
      </w:r>
    </w:p>
    <w:p>
      <w:pPr>
        <w:pStyle w:val="2"/>
        <w:keepNext w:val="0"/>
        <w:keepLines w:val="0"/>
        <w:pageBreakBefore w:val="0"/>
        <w:widowControl w:val="0"/>
        <w:numPr>
          <w:ilvl w:val="0"/>
          <w:numId w:val="0"/>
        </w:numPr>
        <w:kinsoku/>
        <w:wordWrap/>
        <w:overflowPunct/>
        <w:topLinePunct w:val="0"/>
        <w:bidi w:val="0"/>
        <w:spacing w:line="576" w:lineRule="exact"/>
        <w:ind w:left="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完成下寺镇茶园沟村至青溪村主任5公里，路面宽5米、护坡水沟宽4米，森林防火通道泥碎路建设；2022年农村综合改革转移支付资金拨付完成率≥100%，群众满意度≥90%。</w:t>
      </w:r>
    </w:p>
    <w:p>
      <w:pPr>
        <w:keepNext w:val="0"/>
        <w:keepLines w:val="0"/>
        <w:pageBreakBefore w:val="0"/>
        <w:widowControl w:val="0"/>
        <w:numPr>
          <w:ilvl w:val="0"/>
          <w:numId w:val="0"/>
        </w:numPr>
        <w:kinsoku/>
        <w:wordWrap/>
        <w:overflowPunct/>
        <w:topLinePunct w:val="0"/>
        <w:bidi w:val="0"/>
        <w:adjustRightInd w:val="0"/>
        <w:snapToGrid w:val="0"/>
        <w:spacing w:line="576" w:lineRule="exact"/>
        <w:ind w:left="0" w:firstLine="640" w:firstLineChars="200"/>
        <w:textAlignment w:val="auto"/>
        <w:outlineLvl w:val="1"/>
        <w:rPr>
          <w:rFonts w:hint="default" w:eastAsia="仿宋"/>
          <w:lang w:val="en-US" w:eastAsia="zh-CN"/>
        </w:rPr>
      </w:pPr>
      <w:bookmarkStart w:id="54" w:name="_Toc1902"/>
      <w:r>
        <w:rPr>
          <w:rFonts w:hint="eastAsia" w:ascii="黑体" w:hAnsi="黑体" w:eastAsia="黑体" w:cs="黑体"/>
          <w:sz w:val="32"/>
          <w:szCs w:val="32"/>
          <w:lang w:val="en-US" w:eastAsia="zh-CN"/>
        </w:rPr>
        <w:t>二、</w:t>
      </w:r>
      <w:r>
        <w:rPr>
          <w:rFonts w:hint="eastAsia" w:ascii="黑体" w:hAnsi="黑体" w:eastAsia="黑体" w:cs="黑体"/>
          <w:sz w:val="32"/>
          <w:szCs w:val="32"/>
        </w:rPr>
        <w:t>项目资金申报及使用情况</w:t>
      </w:r>
      <w:bookmarkEnd w:id="54"/>
    </w:p>
    <w:p>
      <w:pPr>
        <w:keepNext w:val="0"/>
        <w:keepLines w:val="0"/>
        <w:pageBreakBefore w:val="0"/>
        <w:widowControl w:val="0"/>
        <w:numPr>
          <w:ilvl w:val="0"/>
          <w:numId w:val="0"/>
        </w:numPr>
        <w:kinsoku/>
        <w:wordWrap/>
        <w:overflowPunct/>
        <w:topLinePunct w:val="0"/>
        <w:bidi w:val="0"/>
        <w:adjustRightInd w:val="0"/>
        <w:snapToGrid w:val="0"/>
        <w:spacing w:line="576" w:lineRule="exact"/>
        <w:ind w:left="0" w:firstLine="642"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（一）项目资金投入情况</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left="0"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经</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剑阁县发展和改革局关于下寺镇茶园沟至青溪村森林防灭火通道设施建设项目建议书的批复</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剑发改委〔2022〕198号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文件批复，</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下寺镇</w:t>
      </w:r>
      <w:r>
        <w:rPr>
          <w:rFonts w:hint="eastAsia" w:ascii="仿宋_GB2312" w:hAnsi="仿宋_GB2312" w:eastAsia="仿宋_GB2312" w:cs="仿宋_GB2312"/>
          <w:sz w:val="32"/>
          <w:szCs w:val="32"/>
          <w:lang w:val="en-US" w:eastAsia="zh-CN"/>
        </w:rPr>
        <w:t>茶园沟村至青溪村森林防灭火通道</w:t>
      </w:r>
      <w:r>
        <w:rPr>
          <w:rFonts w:hint="eastAsia" w:ascii="仿宋_GB2312" w:hAnsi="仿宋_GB2312" w:eastAsia="仿宋_GB2312" w:cs="仿宋_GB2312"/>
          <w:i w:val="0"/>
          <w:iCs w:val="0"/>
          <w:caps w:val="0"/>
          <w:color w:val="333333"/>
          <w:spacing w:val="0"/>
          <w:sz w:val="32"/>
          <w:szCs w:val="32"/>
          <w:shd w:val="clear" w:color="auto" w:fill="FFFFFF"/>
        </w:rPr>
        <w:t>建设项目概算总投资为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80</w:t>
      </w:r>
      <w:r>
        <w:rPr>
          <w:rFonts w:hint="eastAsia" w:ascii="仿宋_GB2312" w:hAnsi="仿宋_GB2312" w:eastAsia="仿宋_GB2312" w:cs="仿宋_GB2312"/>
          <w:i w:val="0"/>
          <w:iCs w:val="0"/>
          <w:caps w:val="0"/>
          <w:color w:val="333333"/>
          <w:spacing w:val="0"/>
          <w:sz w:val="32"/>
          <w:szCs w:val="32"/>
          <w:shd w:val="clear" w:color="auto" w:fill="FFFFFF"/>
        </w:rPr>
        <w:t>万元。资金来源为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2022年农村综合改革转移支付资金30</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剑财农〔2022〕13号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2022年农村综合改革转移支付资金50</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剑财农〔2022〕56号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sz w:val="32"/>
          <w:szCs w:val="32"/>
          <w:lang w:val="zh-CN"/>
        </w:rPr>
        <w:t>在规定时间内，由部门进行申报，财政局统一批复。</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42" w:firstLineChars="200"/>
        <w:textAlignment w:val="auto"/>
        <w:rPr>
          <w:rFonts w:hint="eastAsia" w:ascii="楷体_GB2312" w:hAnsi="楷体_GB2312" w:eastAsia="楷体_GB2312" w:cs="楷体_GB2312"/>
          <w:b/>
          <w:bCs/>
          <w:i w:val="0"/>
          <w:iCs w:val="0"/>
          <w:caps w:val="0"/>
          <w:color w:val="333333"/>
          <w:spacing w:val="0"/>
          <w:sz w:val="32"/>
          <w:szCs w:val="32"/>
          <w:shd w:val="clear" w:color="auto" w:fill="FFFFFF"/>
          <w:lang w:val="en-US" w:eastAsia="zh-CN"/>
        </w:rPr>
      </w:pP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（二）项目资金实际使用情况</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截至评价时间点底，项目实际到位资金50万元，其中2022年农村综合改革转移支付资金</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剑财农〔2022〕13号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30万元，完成支付100%，2022年农村综合改革转移支付资金</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剑财农〔2022〕56号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支付20万元。</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楷体_GB2312" w:hAnsi="楷体_GB2312" w:eastAsia="楷体_GB2312" w:cs="楷体_GB2312"/>
          <w:b/>
          <w:bCs/>
          <w:sz w:val="32"/>
          <w:szCs w:val="32"/>
        </w:rPr>
      </w:pPr>
      <w:bookmarkStart w:id="55" w:name="_Toc7030"/>
      <w:r>
        <w:rPr>
          <w:rFonts w:hint="eastAsia" w:ascii="楷体_GB2312" w:hAnsi="楷体_GB2312" w:eastAsia="楷体_GB2312" w:cs="楷体_GB2312"/>
          <w:b/>
          <w:bCs/>
          <w:sz w:val="32"/>
          <w:szCs w:val="32"/>
        </w:rPr>
        <w:t>（三）项目资金管理情况</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剑阁县下寺镇人民政府</w:t>
      </w:r>
      <w:r>
        <w:rPr>
          <w:rFonts w:hint="eastAsia" w:ascii="仿宋_GB2312" w:hAnsi="仿宋_GB2312" w:eastAsia="仿宋_GB2312" w:cs="仿宋_GB2312"/>
          <w:sz w:val="32"/>
          <w:szCs w:val="32"/>
        </w:rPr>
        <w:t>不断加强财务管理，规范会计核算，工程资金实行专款专用。任何单位不得挤占、截留、挪用、强行划转或抵扣债务。项目资金实行项目法定代表人责任制和工程主管负责人审计制度，对违规使用资金者依法严惩，从而提高资金使用效益。</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黑体" w:hAnsi="黑体" w:eastAsia="黑体" w:cs="黑体"/>
          <w:sz w:val="32"/>
          <w:szCs w:val="32"/>
        </w:rPr>
      </w:pPr>
      <w:r>
        <w:rPr>
          <w:rFonts w:hint="eastAsia" w:ascii="黑体" w:hAnsi="黑体" w:eastAsia="黑体" w:cs="黑体"/>
          <w:sz w:val="32"/>
          <w:szCs w:val="32"/>
        </w:rPr>
        <w:t>三、项目组织实施情况</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黑体" w:hAnsi="黑体" w:eastAsia="黑体" w:cs="黑体"/>
          <w:sz w:val="32"/>
          <w:szCs w:val="32"/>
        </w:rPr>
      </w:pPr>
      <w:r>
        <w:rPr>
          <w:rFonts w:hint="eastAsia" w:ascii="黑体" w:hAnsi="黑体" w:eastAsia="黑体" w:cs="黑体"/>
          <w:sz w:val="32"/>
          <w:szCs w:val="32"/>
        </w:rPr>
        <w:t>（一）项目组织情况</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下寺镇</w:t>
      </w:r>
      <w:r>
        <w:rPr>
          <w:rFonts w:hint="eastAsia" w:ascii="仿宋_GB2312" w:hAnsi="仿宋_GB2312" w:eastAsia="仿宋_GB2312" w:cs="仿宋_GB2312"/>
          <w:sz w:val="32"/>
          <w:szCs w:val="32"/>
          <w:lang w:val="en-US" w:eastAsia="zh-CN"/>
        </w:rPr>
        <w:t>茶园沟村至青溪村森林防灭火通道</w:t>
      </w:r>
      <w:r>
        <w:rPr>
          <w:rFonts w:hint="eastAsia" w:ascii="仿宋_GB2312" w:hAnsi="仿宋_GB2312" w:eastAsia="仿宋_GB2312" w:cs="仿宋_GB2312"/>
          <w:i w:val="0"/>
          <w:iCs w:val="0"/>
          <w:caps w:val="0"/>
          <w:color w:val="333333"/>
          <w:spacing w:val="0"/>
          <w:sz w:val="32"/>
          <w:szCs w:val="32"/>
          <w:shd w:val="clear" w:color="auto" w:fill="FFFFFF"/>
        </w:rPr>
        <w:t>建设项目</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sz w:val="32"/>
          <w:szCs w:val="32"/>
        </w:rPr>
        <w:t xml:space="preserve">结合作业区立地条件，科学划分立地类型，合理施工，路基宽度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lang w:val="en-US" w:eastAsia="zh-CN"/>
        </w:rPr>
        <w:t>护坡水沟宽2m（部分4m）。路基夯实，8cm碎石路面碾压，路边类型为土坯路面。</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森林</w:t>
      </w:r>
      <w:r>
        <w:rPr>
          <w:rFonts w:hint="eastAsia" w:ascii="仿宋_GB2312" w:hAnsi="仿宋_GB2312" w:eastAsia="仿宋_GB2312" w:cs="仿宋_GB2312"/>
          <w:sz w:val="32"/>
          <w:szCs w:val="32"/>
        </w:rPr>
        <w:t>防火道路</w:t>
      </w:r>
      <w:r>
        <w:rPr>
          <w:rFonts w:hint="eastAsia" w:ascii="仿宋_GB2312" w:hAnsi="仿宋_GB2312" w:eastAsia="仿宋_GB2312" w:cs="仿宋_GB2312"/>
          <w:sz w:val="32"/>
          <w:szCs w:val="32"/>
          <w:lang w:val="en-US" w:eastAsia="zh-CN"/>
        </w:rPr>
        <w:t>建设5</w:t>
      </w:r>
      <w:r>
        <w:rPr>
          <w:rFonts w:hint="eastAsia" w:ascii="仿宋_GB2312" w:hAnsi="仿宋_GB2312" w:eastAsia="仿宋_GB2312" w:cs="仿宋_GB2312"/>
          <w:sz w:val="32"/>
          <w:szCs w:val="32"/>
        </w:rPr>
        <w:t>公里。</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工程实施过程中，加强质量监督管理，严把各技术环节质量关，并把质量管理延伸到规划设计等各个工序，对路面、路基等质量及施工过程等建设各个环节实行全过程的监督、检查管理，确保了工程实施的质量。</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黑体" w:hAnsi="黑体" w:eastAsia="黑体" w:cs="黑体"/>
          <w:sz w:val="32"/>
          <w:szCs w:val="32"/>
        </w:rPr>
      </w:pPr>
      <w:r>
        <w:rPr>
          <w:rFonts w:hint="eastAsia" w:ascii="黑体" w:hAnsi="黑体" w:eastAsia="黑体" w:cs="黑体"/>
          <w:sz w:val="32"/>
          <w:szCs w:val="32"/>
        </w:rPr>
        <w:t>（二）项目管理情况</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下寺镇</w:t>
      </w:r>
      <w:r>
        <w:rPr>
          <w:rFonts w:hint="eastAsia" w:ascii="仿宋_GB2312" w:hAnsi="仿宋_GB2312" w:eastAsia="仿宋_GB2312" w:cs="仿宋_GB2312"/>
          <w:sz w:val="32"/>
          <w:szCs w:val="32"/>
          <w:lang w:val="en-US" w:eastAsia="zh-CN"/>
        </w:rPr>
        <w:t>茶园沟村至青溪村森林防灭火通道</w:t>
      </w:r>
      <w:r>
        <w:rPr>
          <w:rFonts w:hint="eastAsia" w:ascii="仿宋_GB2312" w:hAnsi="仿宋_GB2312" w:eastAsia="仿宋_GB2312" w:cs="仿宋_GB2312"/>
          <w:i w:val="0"/>
          <w:iCs w:val="0"/>
          <w:caps w:val="0"/>
          <w:color w:val="333333"/>
          <w:spacing w:val="0"/>
          <w:sz w:val="32"/>
          <w:szCs w:val="32"/>
          <w:shd w:val="clear" w:color="auto" w:fill="FFFFFF"/>
        </w:rPr>
        <w:t>建设项目</w:t>
      </w:r>
      <w:r>
        <w:rPr>
          <w:rFonts w:hint="eastAsia" w:ascii="仿宋_GB2312" w:hAnsi="仿宋_GB2312" w:eastAsia="仿宋_GB2312" w:cs="仿宋_GB2312"/>
          <w:sz w:val="32"/>
          <w:szCs w:val="32"/>
        </w:rPr>
        <w:t>建设目标明确、重点突出。工程建设严格按计划管理，不断强化组织管理措施，规范资金管理，建立健全工程管理档案。项目建设严格实行</w:t>
      </w:r>
      <w:r>
        <w:rPr>
          <w:rFonts w:hint="eastAsia" w:ascii="仿宋_GB2312" w:hAnsi="仿宋_GB2312" w:eastAsia="仿宋_GB2312" w:cs="仿宋_GB2312"/>
          <w:sz w:val="32"/>
          <w:szCs w:val="32"/>
          <w:lang w:eastAsia="zh-CN"/>
        </w:rPr>
        <w:t>项目法人责任制</w:t>
      </w:r>
      <w:r>
        <w:rPr>
          <w:rFonts w:hint="eastAsia" w:ascii="仿宋_GB2312" w:hAnsi="仿宋_GB2312" w:eastAsia="仿宋_GB2312" w:cs="仿宋_GB2312"/>
          <w:sz w:val="32"/>
          <w:szCs w:val="32"/>
        </w:rPr>
        <w:t>、招投标制、监理制及合同管理制，使工程管理工作步入了标准化、规范化管理的轨道。依据工程施工合同约定内容，严把工程建设期限，工程资金兑现严格按照实施进度和完成质量进行，确保工程建设成效。</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黑体" w:hAnsi="黑体" w:eastAsia="黑体" w:cs="黑体"/>
          <w:sz w:val="32"/>
          <w:szCs w:val="32"/>
        </w:rPr>
      </w:pPr>
      <w:r>
        <w:rPr>
          <w:rFonts w:hint="eastAsia" w:ascii="黑体" w:hAnsi="黑体" w:eastAsia="黑体" w:cs="黑体"/>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2"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（一）项目绩效目标完成情况分析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年12月底，</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下寺镇</w:t>
      </w:r>
      <w:r>
        <w:rPr>
          <w:rFonts w:hint="eastAsia" w:ascii="仿宋_GB2312" w:hAnsi="仿宋_GB2312" w:eastAsia="仿宋_GB2312" w:cs="仿宋_GB2312"/>
          <w:sz w:val="32"/>
          <w:szCs w:val="32"/>
          <w:lang w:val="en-US" w:eastAsia="zh-CN"/>
        </w:rPr>
        <w:t>茶园沟村至青溪村森林防灭火通道</w:t>
      </w:r>
      <w:r>
        <w:rPr>
          <w:rFonts w:hint="eastAsia" w:ascii="仿宋_GB2312" w:hAnsi="仿宋_GB2312" w:eastAsia="仿宋_GB2312" w:cs="仿宋_GB2312"/>
          <w:i w:val="0"/>
          <w:iCs w:val="0"/>
          <w:caps w:val="0"/>
          <w:color w:val="333333"/>
          <w:spacing w:val="0"/>
          <w:sz w:val="32"/>
          <w:szCs w:val="32"/>
          <w:shd w:val="clear" w:color="auto" w:fill="FFFFFF"/>
        </w:rPr>
        <w:t>建设项目</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泥碎路</w:t>
      </w:r>
      <w:r>
        <w:rPr>
          <w:rFonts w:hint="eastAsia" w:ascii="仿宋_GB2312" w:hAnsi="仿宋_GB2312" w:eastAsia="仿宋_GB2312" w:cs="仿宋_GB2312"/>
          <w:sz w:val="32"/>
          <w:szCs w:val="32"/>
        </w:rPr>
        <w:t>修建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公里，占计划任务的100%。</w:t>
      </w:r>
    </w:p>
    <w:p>
      <w:pPr>
        <w:keepNext w:val="0"/>
        <w:keepLines w:val="0"/>
        <w:pageBreakBefore w:val="0"/>
        <w:widowControl w:val="0"/>
        <w:kinsoku/>
        <w:wordWrap/>
        <w:overflowPunct/>
        <w:topLinePunct w:val="0"/>
        <w:bidi w:val="0"/>
        <w:adjustRightInd w:val="0"/>
        <w:snapToGrid w:val="0"/>
        <w:spacing w:line="576" w:lineRule="exact"/>
        <w:ind w:left="0" w:firstLine="642"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（二）产出指标完成情况分析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数量指标</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完成林区防火道路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公里，占计划任务的100%。</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质量指标</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路基宽度：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m；路面宽度：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m；路面结构：</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厚</w:t>
      </w:r>
      <w:r>
        <w:rPr>
          <w:rFonts w:hint="eastAsia" w:ascii="仿宋_GB2312" w:hAnsi="仿宋_GB2312" w:eastAsia="仿宋_GB2312" w:cs="仿宋_GB2312"/>
          <w:sz w:val="32"/>
          <w:szCs w:val="32"/>
          <w:lang w:val="en-US" w:eastAsia="zh-CN"/>
        </w:rPr>
        <w:t>碎石</w:t>
      </w:r>
      <w:r>
        <w:rPr>
          <w:rFonts w:hint="eastAsia" w:ascii="仿宋_GB2312" w:hAnsi="仿宋_GB2312" w:eastAsia="仿宋_GB2312" w:cs="仿宋_GB2312"/>
          <w:sz w:val="32"/>
          <w:szCs w:val="32"/>
        </w:rPr>
        <w:t>面层；工程质量达到合格，保证了工程建设质量。</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时效指标</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本项目初步计划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rPr>
        <w:t>开工建设，202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sz w:val="32"/>
          <w:szCs w:val="32"/>
        </w:rPr>
        <w:t>竣工，工期</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成本指标</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sz w:val="32"/>
          <w:szCs w:val="32"/>
        </w:rPr>
        <w:t>该项目概算总投资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i w:val="0"/>
          <w:iCs w:val="0"/>
          <w:caps w:val="0"/>
          <w:color w:val="333333"/>
          <w:spacing w:val="0"/>
          <w:sz w:val="32"/>
          <w:szCs w:val="32"/>
          <w:shd w:val="clear" w:color="auto" w:fill="FFFFFF"/>
        </w:rPr>
        <w:t>资金来源为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2022年农村综合改革转移支付资金30</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剑财农〔2022〕13号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2022年农村综合改革转移支付资金50</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剑财农〔2022〕56号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2"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（三）效益指标完成情况分析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w:t>
      </w:r>
      <w:r>
        <w:rPr>
          <w:rFonts w:hint="eastAsia" w:ascii="仿宋_GB2312" w:hAnsi="仿宋_GB2312" w:eastAsia="仿宋_GB2312" w:cs="仿宋_GB2312"/>
          <w:b/>
          <w:bCs/>
          <w:sz w:val="32"/>
          <w:szCs w:val="32"/>
          <w:lang w:eastAsia="zh-CN"/>
        </w:rPr>
        <w:t>地</w:t>
      </w:r>
      <w:r>
        <w:rPr>
          <w:rFonts w:hint="eastAsia" w:ascii="仿宋_GB2312" w:hAnsi="仿宋_GB2312" w:eastAsia="仿宋_GB2312" w:cs="仿宋_GB2312"/>
          <w:b/>
          <w:bCs/>
          <w:sz w:val="32"/>
          <w:szCs w:val="32"/>
        </w:rPr>
        <w:t>经济效益分析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本项目的建设</w:t>
      </w:r>
      <w:r>
        <w:rPr>
          <w:rFonts w:hint="eastAsia" w:ascii="仿宋_GB2312" w:hAnsi="仿宋_GB2312" w:eastAsia="仿宋_GB2312" w:cs="仿宋_GB2312"/>
          <w:sz w:val="32"/>
          <w:szCs w:val="32"/>
        </w:rPr>
        <w:t>的提高缩短了城市间的时距，密切了各地区之间经济、政治、文化、技术的联系，加速了商品流通和资金周转。本项目的建设为沿线经济产业带的形成与发展提供了现代化的交通条件，对沿线工农业发展、旅游及资源开发商品流通、交易市场的形成都将产生积极的影响，从而促进沿线国民经济的迅速发展。</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项目实施的社会效益分析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本项目的建设不仅可提高路网的服务水平，加快综合运输业的发展，还将促进沿线产业结构的优化调整，改善沿线地区的区位优势和投资环境，加快规模经济的形成。同时还</w:t>
      </w:r>
      <w:r>
        <w:rPr>
          <w:rFonts w:hint="eastAsia" w:ascii="仿宋_GB2312" w:hAnsi="仿宋_GB2312" w:eastAsia="仿宋_GB2312" w:cs="仿宋_GB2312"/>
          <w:sz w:val="32"/>
          <w:szCs w:val="32"/>
          <w:lang w:val="en-US" w:eastAsia="zh-CN"/>
        </w:rPr>
        <w:t>加速合并村社的融合</w:t>
      </w:r>
      <w:r>
        <w:rPr>
          <w:rFonts w:hint="eastAsia" w:ascii="仿宋_GB2312" w:hAnsi="仿宋_GB2312" w:eastAsia="仿宋_GB2312" w:cs="仿宋_GB2312"/>
          <w:sz w:val="32"/>
          <w:szCs w:val="32"/>
        </w:rPr>
        <w:t>，使人们的思想观念得到进一步解放，从而推动城乡一体化的进程，为沿线的开发与建设打下坚实的基础。</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w:t>
      </w:r>
      <w:r>
        <w:rPr>
          <w:rFonts w:hint="eastAsia" w:ascii="仿宋_GB2312" w:hAnsi="仿宋_GB2312" w:eastAsia="仿宋_GB2312" w:cs="仿宋_GB2312"/>
          <w:b/>
          <w:bCs/>
          <w:sz w:val="32"/>
          <w:szCs w:val="32"/>
          <w:lang w:eastAsia="zh-CN"/>
        </w:rPr>
        <w:t>地</w:t>
      </w:r>
      <w:r>
        <w:rPr>
          <w:rFonts w:hint="eastAsia" w:ascii="仿宋_GB2312" w:hAnsi="仿宋_GB2312" w:eastAsia="仿宋_GB2312" w:cs="仿宋_GB2312"/>
          <w:b/>
          <w:bCs/>
          <w:sz w:val="32"/>
          <w:szCs w:val="32"/>
        </w:rPr>
        <w:t>生态效益分析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本项目是</w:t>
      </w:r>
      <w:r>
        <w:rPr>
          <w:rFonts w:hint="eastAsia" w:ascii="仿宋_GB2312" w:hAnsi="仿宋_GB2312" w:eastAsia="仿宋_GB2312" w:cs="仿宋_GB2312"/>
          <w:sz w:val="32"/>
          <w:szCs w:val="32"/>
          <w:lang w:val="en-US" w:eastAsia="zh-CN"/>
        </w:rPr>
        <w:t>下寺镇村组</w:t>
      </w:r>
      <w:r>
        <w:rPr>
          <w:rFonts w:hint="eastAsia" w:ascii="仿宋_GB2312" w:hAnsi="仿宋_GB2312" w:eastAsia="仿宋_GB2312" w:cs="仿宋_GB2312"/>
          <w:sz w:val="32"/>
          <w:szCs w:val="32"/>
        </w:rPr>
        <w:t>公路网中重要的道路，可改善项目区现有</w:t>
      </w:r>
      <w:r>
        <w:rPr>
          <w:rFonts w:hint="eastAsia" w:ascii="仿宋_GB2312" w:hAnsi="仿宋_GB2312" w:eastAsia="仿宋_GB2312" w:cs="仿宋_GB2312"/>
          <w:sz w:val="32"/>
          <w:szCs w:val="32"/>
          <w:lang w:val="en-US" w:eastAsia="zh-CN"/>
        </w:rPr>
        <w:t>道路</w:t>
      </w:r>
      <w:r>
        <w:rPr>
          <w:rFonts w:hint="eastAsia" w:ascii="仿宋_GB2312" w:hAnsi="仿宋_GB2312" w:eastAsia="仿宋_GB2312" w:cs="仿宋_GB2312"/>
          <w:sz w:val="32"/>
          <w:szCs w:val="32"/>
        </w:rPr>
        <w:t>运输状况，提高路网的服务水平，为区域内经济社会发展和林区</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sz w:val="32"/>
          <w:szCs w:val="32"/>
        </w:rPr>
        <w:t>出行提供快速、安全、和谐的交通出行环境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便利</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交通条件可以推动区域经济布局及产业结构调整、带动林区内产业发展</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，改善</w:t>
      </w:r>
      <w:r>
        <w:rPr>
          <w:rFonts w:hint="eastAsia" w:ascii="仿宋_GB2312" w:hAnsi="仿宋_GB2312" w:eastAsia="仿宋_GB2312" w:cs="仿宋_GB2312"/>
          <w:sz w:val="32"/>
          <w:szCs w:val="32"/>
          <w:lang w:val="en-US" w:eastAsia="zh-CN"/>
        </w:rPr>
        <w:t>林区附近群众</w:t>
      </w:r>
      <w:r>
        <w:rPr>
          <w:rFonts w:hint="eastAsia" w:ascii="仿宋_GB2312" w:hAnsi="仿宋_GB2312" w:eastAsia="仿宋_GB2312" w:cs="仿宋_GB2312"/>
          <w:sz w:val="32"/>
          <w:szCs w:val="32"/>
        </w:rPr>
        <w:t>的生产、生活环境。它强大的服务功能，将对沿线地区</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的目标创造有利条件。</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黑体" w:hAnsi="黑体" w:eastAsia="黑体" w:cs="黑体"/>
          <w:sz w:val="32"/>
          <w:szCs w:val="32"/>
        </w:rPr>
      </w:pPr>
      <w:r>
        <w:rPr>
          <w:rFonts w:hint="eastAsia" w:ascii="黑体" w:hAnsi="黑体" w:eastAsia="黑体" w:cs="黑体"/>
          <w:sz w:val="32"/>
          <w:szCs w:val="32"/>
        </w:rPr>
        <w:t>4</w:t>
      </w:r>
      <w:r>
        <w:rPr>
          <w:rFonts w:hint="eastAsia" w:ascii="黑体" w:hAnsi="黑体" w:eastAsia="黑体" w:cs="黑体"/>
          <w:sz w:val="32"/>
          <w:szCs w:val="32"/>
          <w:lang w:eastAsia="zh-CN"/>
        </w:rPr>
        <w:t>.</w:t>
      </w:r>
      <w:r>
        <w:rPr>
          <w:rFonts w:hint="eastAsia" w:ascii="黑体" w:hAnsi="黑体" w:eastAsia="黑体" w:cs="黑体"/>
          <w:sz w:val="32"/>
          <w:szCs w:val="32"/>
        </w:rPr>
        <w:t>项目实施的可持续影响效益分析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林区道路建设对沿线各区域的社会环境必然会带来一定的影响，同时</w:t>
      </w:r>
      <w:r>
        <w:rPr>
          <w:rFonts w:hint="eastAsia" w:ascii="仿宋_GB2312" w:hAnsi="仿宋_GB2312" w:eastAsia="仿宋_GB2312" w:cs="仿宋_GB2312"/>
          <w:sz w:val="32"/>
          <w:szCs w:val="32"/>
          <w:lang w:val="en-US" w:eastAsia="zh-CN"/>
        </w:rPr>
        <w:t>道路</w:t>
      </w:r>
      <w:r>
        <w:rPr>
          <w:rFonts w:hint="eastAsia" w:ascii="仿宋_GB2312" w:hAnsi="仿宋_GB2312" w:eastAsia="仿宋_GB2312" w:cs="仿宋_GB2312"/>
          <w:sz w:val="32"/>
          <w:szCs w:val="32"/>
        </w:rPr>
        <w:t>建设会对</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整体发展产生带动作用，会使林区产业的结构及需求发生改变。随着这些变化，使林业在局部发生变化，促进地区的基础经济发展。便利的交通条件可以推动区域经济布局及产业结构的影响和信息、物资及人员的流动。</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（四）满意度指标完成情况分析</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本项目是</w:t>
      </w:r>
      <w:r>
        <w:rPr>
          <w:rFonts w:hint="eastAsia" w:ascii="仿宋_GB2312" w:hAnsi="仿宋_GB2312" w:eastAsia="仿宋_GB2312" w:cs="仿宋_GB2312"/>
          <w:sz w:val="32"/>
          <w:szCs w:val="32"/>
          <w:lang w:val="en-US" w:eastAsia="zh-CN"/>
        </w:rPr>
        <w:t>下寺镇</w:t>
      </w:r>
      <w:r>
        <w:rPr>
          <w:rFonts w:hint="eastAsia" w:ascii="仿宋_GB2312" w:hAnsi="仿宋_GB2312" w:eastAsia="仿宋_GB2312" w:cs="仿宋_GB2312"/>
          <w:sz w:val="32"/>
          <w:szCs w:val="32"/>
        </w:rPr>
        <w:t>林区路网中重要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道路，可改善项目区现有运输状况，提高路网的服务水平，为区域内经济社会发展和林区</w:t>
      </w:r>
      <w:r>
        <w:rPr>
          <w:rFonts w:hint="eastAsia" w:ascii="仿宋_GB2312" w:hAnsi="仿宋_GB2312" w:eastAsia="仿宋_GB2312" w:cs="仿宋_GB2312"/>
          <w:sz w:val="32"/>
          <w:szCs w:val="32"/>
          <w:lang w:val="en-US" w:eastAsia="zh-CN"/>
        </w:rPr>
        <w:t>附近群众</w:t>
      </w:r>
      <w:r>
        <w:rPr>
          <w:rFonts w:hint="eastAsia" w:ascii="仿宋_GB2312" w:hAnsi="仿宋_GB2312" w:eastAsia="仿宋_GB2312" w:cs="仿宋_GB2312"/>
          <w:sz w:val="32"/>
          <w:szCs w:val="32"/>
        </w:rPr>
        <w:t>出行提供快速、安全、和谐的交通出行环境。便利的交通条件可以推动区域经济布局及产业结构调整、带动</w:t>
      </w:r>
      <w:r>
        <w:rPr>
          <w:rFonts w:hint="eastAsia" w:ascii="仿宋_GB2312" w:hAnsi="仿宋_GB2312" w:eastAsia="仿宋_GB2312" w:cs="仿宋_GB2312"/>
          <w:sz w:val="32"/>
          <w:szCs w:val="32"/>
          <w:lang w:val="en-US" w:eastAsia="zh-CN"/>
        </w:rPr>
        <w:t>区域内</w:t>
      </w:r>
      <w:r>
        <w:rPr>
          <w:rFonts w:hint="eastAsia" w:ascii="仿宋_GB2312" w:hAnsi="仿宋_GB2312" w:eastAsia="仿宋_GB2312" w:cs="仿宋_GB2312"/>
          <w:sz w:val="32"/>
          <w:szCs w:val="32"/>
        </w:rPr>
        <w:t>产业发展质，改善</w:t>
      </w:r>
      <w:r>
        <w:rPr>
          <w:rFonts w:hint="eastAsia" w:ascii="仿宋_GB2312" w:hAnsi="仿宋_GB2312" w:eastAsia="仿宋_GB2312" w:cs="仿宋_GB2312"/>
          <w:sz w:val="32"/>
          <w:szCs w:val="32"/>
          <w:lang w:val="en-US" w:eastAsia="zh-CN"/>
        </w:rPr>
        <w:t>附近群众</w:t>
      </w:r>
      <w:r>
        <w:rPr>
          <w:rFonts w:hint="eastAsia" w:ascii="仿宋_GB2312" w:hAnsi="仿宋_GB2312" w:eastAsia="仿宋_GB2312" w:cs="仿宋_GB2312"/>
          <w:sz w:val="32"/>
          <w:szCs w:val="32"/>
        </w:rPr>
        <w:t>的生产、生活环境。它强大的服务功能，将对沿线地区实现</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的目标创造有利条件。</w:t>
      </w:r>
      <w:r>
        <w:rPr>
          <w:rFonts w:hint="eastAsia" w:ascii="仿宋_GB2312" w:hAnsi="仿宋_GB2312" w:eastAsia="仿宋_GB2312" w:cs="仿宋_GB2312"/>
          <w:sz w:val="32"/>
          <w:szCs w:val="32"/>
          <w:lang w:val="en-US" w:eastAsia="zh-CN"/>
        </w:rPr>
        <w:t>群众满意度≥95%。</w:t>
      </w:r>
    </w:p>
    <w:p>
      <w:pPr>
        <w:keepNext w:val="0"/>
        <w:keepLines w:val="0"/>
        <w:pageBreakBefore w:val="0"/>
        <w:widowControl w:val="0"/>
        <w:kinsoku/>
        <w:wordWrap/>
        <w:overflowPunct/>
        <w:topLinePunct w:val="0"/>
        <w:bidi w:val="0"/>
        <w:adjustRightInd w:val="0"/>
        <w:snapToGrid w:val="0"/>
        <w:spacing w:line="576" w:lineRule="exact"/>
        <w:ind w:left="0" w:firstLine="720"/>
        <w:textAlignment w:val="auto"/>
        <w:outlineLvl w:val="1"/>
        <w:rPr>
          <w:rFonts w:ascii="黑体" w:hAnsi="黑体" w:eastAsia="黑体" w:cs="黑体"/>
          <w:sz w:val="32"/>
          <w:szCs w:val="32"/>
        </w:rPr>
      </w:pPr>
      <w:r>
        <w:rPr>
          <w:rFonts w:hint="eastAsia" w:ascii="黑体" w:hAnsi="黑体" w:eastAsia="黑体" w:cs="黑体"/>
          <w:sz w:val="32"/>
          <w:szCs w:val="32"/>
        </w:rPr>
        <w:t>五、评价结论及建议</w:t>
      </w:r>
      <w:bookmarkEnd w:id="55"/>
    </w:p>
    <w:p>
      <w:pPr>
        <w:keepNext w:val="0"/>
        <w:keepLines w:val="0"/>
        <w:pageBreakBefore w:val="0"/>
        <w:widowControl w:val="0"/>
        <w:kinsoku/>
        <w:wordWrap/>
        <w:overflowPunct/>
        <w:topLinePunct w:val="0"/>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我们认为：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下寺镇</w:t>
      </w:r>
      <w:r>
        <w:rPr>
          <w:rFonts w:hint="eastAsia" w:ascii="仿宋_GB2312" w:hAnsi="仿宋_GB2312" w:eastAsia="仿宋_GB2312" w:cs="仿宋_GB2312"/>
          <w:sz w:val="32"/>
          <w:szCs w:val="32"/>
          <w:lang w:val="en-US" w:eastAsia="zh-CN"/>
        </w:rPr>
        <w:t>茶园沟村至青溪村森林防灭火通道建设项目</w:t>
      </w:r>
      <w:r>
        <w:rPr>
          <w:rFonts w:hint="eastAsia" w:ascii="仿宋_GB2312" w:hAnsi="仿宋_GB2312" w:eastAsia="仿宋_GB2312" w:cs="仿宋_GB2312"/>
          <w:sz w:val="32"/>
          <w:szCs w:val="32"/>
        </w:rPr>
        <w:t>实施到位改善项目区现有运输状况，提高路网的服务水平，为区域内经济社会发展和林区</w:t>
      </w:r>
      <w:r>
        <w:rPr>
          <w:rFonts w:hint="eastAsia" w:ascii="仿宋_GB2312" w:hAnsi="仿宋_GB2312" w:eastAsia="仿宋_GB2312" w:cs="仿宋_GB2312"/>
          <w:sz w:val="32"/>
          <w:szCs w:val="32"/>
          <w:lang w:val="en-US" w:eastAsia="zh-CN"/>
        </w:rPr>
        <w:t>附近群众</w:t>
      </w:r>
      <w:r>
        <w:rPr>
          <w:rFonts w:hint="eastAsia" w:ascii="仿宋_GB2312" w:hAnsi="仿宋_GB2312" w:eastAsia="仿宋_GB2312" w:cs="仿宋_GB2312"/>
          <w:sz w:val="32"/>
          <w:szCs w:val="32"/>
        </w:rPr>
        <w:t>出行提供快速、安全、和谐的交通出行环境，产生了良好的社会环境效益。</w:t>
      </w:r>
    </w:p>
    <w:p>
      <w:pPr>
        <w:keepNext w:val="0"/>
        <w:keepLines w:val="0"/>
        <w:pageBreakBefore w:val="0"/>
        <w:widowControl w:val="0"/>
        <w:kinsoku/>
        <w:wordWrap/>
        <w:overflowPunct/>
        <w:topLinePunct w:val="0"/>
        <w:bidi w:val="0"/>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农村综合改革转移支付资金（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剑财农〔2022〕13号</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绩效评价指标表考评，此次评价指标总分值</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分，综合得分为9</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分，其中：产出指标总分值50分，评价得分50分，效益指标总分值30分，评价得分30分，满意度指标分值10分，评价得分10分，财务指标分值10分，评价得分</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分。评价等次：优。</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项目建设完成后，要经常监督检查其使用情况，并做好后期维护和保养工作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18"/>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645"/>
        <w:gridCol w:w="15"/>
        <w:gridCol w:w="861"/>
        <w:gridCol w:w="1982"/>
        <w:gridCol w:w="280"/>
        <w:gridCol w:w="534"/>
        <w:gridCol w:w="758"/>
        <w:gridCol w:w="899"/>
        <w:gridCol w:w="533"/>
        <w:gridCol w:w="533"/>
        <w:gridCol w:w="1079"/>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30" w:type="dxa"/>
            <w:gridSpan w:val="1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line="576" w:lineRule="exact"/>
              <w:ind w:lef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茶园沟村至青溪村森林防火通道建设</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冉杰</w:t>
            </w:r>
            <w:bookmarkStart w:id="70" w:name="_GoBack"/>
            <w:bookmarkEnd w:id="7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剑阁县下寺镇人民政府</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剑阁县下寺镇人民政府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after="0" w:line="240" w:lineRule="exact"/>
              <w:ind w:left="0"/>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after="0" w:line="240" w:lineRule="exact"/>
              <w:ind w:left="0"/>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after="0" w:line="240" w:lineRule="exact"/>
              <w:ind w:left="0"/>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建设茶园沟村至青溪村防火通道</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建设茶园沟村至青溪村防火通道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rPr>
                <w:rFonts w:hint="eastAsia" w:ascii="宋体" w:hAnsi="宋体" w:eastAsia="宋体" w:cs="宋体"/>
                <w:i w:val="0"/>
                <w:iCs w:val="0"/>
                <w:color w:val="000000"/>
                <w:sz w:val="20"/>
                <w:szCs w:val="20"/>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修建长5公里，路面宽5米，宽4米的防火通道</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5公里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5公里</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2022年完成</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2022年完成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2022年完成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提升当地经济发展水平</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ascii="仿宋_GB2312" w:hAnsi="宋体" w:eastAsia="仿宋_GB2312" w:cs="仿宋_GB2312"/>
                <w:i w:val="0"/>
                <w:iCs w:val="0"/>
                <w:color w:val="000000"/>
                <w:sz w:val="20"/>
                <w:szCs w:val="20"/>
                <w:u w:val="none"/>
              </w:rPr>
            </w:pPr>
            <w:r>
              <w:rPr>
                <w:rStyle w:val="40"/>
                <w:rFonts w:hAnsi="宋体"/>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40" w:lineRule="exact"/>
              <w:ind w:left="0"/>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bidi w:val="0"/>
        <w:spacing w:line="576" w:lineRule="exact"/>
        <w:textAlignment w:val="auto"/>
        <w:rPr>
          <w:rStyle w:val="30"/>
          <w:rFonts w:ascii="黑体" w:hAnsi="黑体" w:eastAsia="黑体"/>
          <w:b w:val="0"/>
        </w:rPr>
      </w:pPr>
    </w:p>
    <w:p>
      <w:pPr>
        <w:pageBreakBefore w:val="0"/>
        <w:kinsoku/>
        <w:wordWrap/>
        <w:overflowPunct/>
        <w:topLinePunct w:val="0"/>
        <w:bidi w:val="0"/>
        <w:spacing w:line="576" w:lineRule="exact"/>
        <w:ind w:left="0"/>
        <w:jc w:val="center"/>
        <w:outlineLvl w:val="0"/>
        <w:rPr>
          <w:rStyle w:val="30"/>
          <w:rFonts w:hint="eastAsia" w:ascii="黑体" w:hAnsi="黑体" w:eastAsia="黑体"/>
          <w:b w:val="0"/>
        </w:rPr>
      </w:pPr>
      <w:bookmarkStart w:id="56" w:name="_Toc15396618"/>
      <w:r>
        <w:rPr>
          <w:rFonts w:hint="eastAsia" w:ascii="黑体" w:hAnsi="黑体" w:eastAsia="黑体"/>
          <w:sz w:val="44"/>
          <w:szCs w:val="44"/>
        </w:rPr>
        <w:t>第</w:t>
      </w:r>
      <w:r>
        <w:rPr>
          <w:rStyle w:val="30"/>
          <w:rFonts w:hint="eastAsia" w:ascii="黑体" w:hAnsi="黑体" w:eastAsia="黑体"/>
          <w:b w:val="0"/>
        </w:rPr>
        <w:t>五部分 附表</w:t>
      </w:r>
      <w:bookmarkEnd w:id="51"/>
      <w:bookmarkEnd w:id="56"/>
      <w:bookmarkStart w:id="57" w:name="_Toc15396619"/>
    </w:p>
    <w:p>
      <w:pPr>
        <w:pStyle w:val="2"/>
      </w:pPr>
    </w:p>
    <w:p>
      <w:pPr>
        <w:pStyle w:val="4"/>
        <w:pageBreakBefore w:val="0"/>
        <w:kinsoku/>
        <w:wordWrap/>
        <w:overflowPunct/>
        <w:topLinePunct w:val="0"/>
        <w:bidi w:val="0"/>
        <w:spacing w:before="0" w:after="0" w:line="576" w:lineRule="exact"/>
        <w:ind w:left="0"/>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7"/>
    </w:p>
    <w:p>
      <w:pPr>
        <w:pStyle w:val="4"/>
        <w:pageBreakBefore w:val="0"/>
        <w:kinsoku/>
        <w:wordWrap/>
        <w:overflowPunct/>
        <w:topLinePunct w:val="0"/>
        <w:bidi w:val="0"/>
        <w:spacing w:before="0" w:after="0" w:line="576" w:lineRule="exact"/>
        <w:ind w:left="0"/>
        <w:rPr>
          <w:rFonts w:ascii="仿宋" w:hAnsi="仿宋" w:eastAsia="仿宋"/>
        </w:rPr>
      </w:pPr>
      <w:bookmarkStart w:id="58" w:name="_Toc15396620"/>
      <w:r>
        <w:rPr>
          <w:rFonts w:hint="eastAsia" w:ascii="仿宋" w:hAnsi="仿宋" w:eastAsia="仿宋"/>
          <w:b w:val="0"/>
        </w:rPr>
        <w:t>二、收</w:t>
      </w:r>
      <w:r>
        <w:rPr>
          <w:rStyle w:val="31"/>
          <w:rFonts w:hint="eastAsia" w:ascii="仿宋" w:hAnsi="仿宋" w:eastAsia="仿宋"/>
          <w:b w:val="0"/>
          <w:bCs w:val="0"/>
        </w:rPr>
        <w:t>入决算表</w:t>
      </w:r>
      <w:bookmarkEnd w:id="58"/>
    </w:p>
    <w:p>
      <w:pPr>
        <w:pStyle w:val="4"/>
        <w:pageBreakBefore w:val="0"/>
        <w:kinsoku/>
        <w:wordWrap/>
        <w:overflowPunct/>
        <w:topLinePunct w:val="0"/>
        <w:bidi w:val="0"/>
        <w:spacing w:before="0" w:after="0" w:line="576" w:lineRule="exact"/>
        <w:ind w:left="0"/>
        <w:rPr>
          <w:rFonts w:ascii="仿宋" w:hAnsi="仿宋" w:eastAsia="仿宋"/>
        </w:rPr>
      </w:pPr>
      <w:bookmarkStart w:id="59"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9"/>
    </w:p>
    <w:p>
      <w:pPr>
        <w:pStyle w:val="4"/>
        <w:pageBreakBefore w:val="0"/>
        <w:kinsoku/>
        <w:wordWrap/>
        <w:overflowPunct/>
        <w:topLinePunct w:val="0"/>
        <w:bidi w:val="0"/>
        <w:spacing w:before="0" w:after="0" w:line="576" w:lineRule="exact"/>
        <w:ind w:left="0"/>
        <w:rPr>
          <w:rFonts w:ascii="仿宋" w:hAnsi="仿宋" w:eastAsia="仿宋"/>
          <w:b w:val="0"/>
        </w:rPr>
      </w:pPr>
      <w:bookmarkStart w:id="60"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0"/>
    </w:p>
    <w:p>
      <w:pPr>
        <w:pStyle w:val="4"/>
        <w:pageBreakBefore w:val="0"/>
        <w:kinsoku/>
        <w:wordWrap/>
        <w:overflowPunct/>
        <w:topLinePunct w:val="0"/>
        <w:bidi w:val="0"/>
        <w:spacing w:before="0" w:after="0" w:line="576" w:lineRule="exact"/>
        <w:ind w:left="0"/>
        <w:rPr>
          <w:rStyle w:val="31"/>
          <w:rFonts w:ascii="仿宋" w:hAnsi="仿宋" w:eastAsia="仿宋"/>
          <w:b w:val="0"/>
          <w:bCs w:val="0"/>
        </w:rPr>
      </w:pPr>
      <w:bookmarkStart w:id="61"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1"/>
      <w:bookmarkStart w:id="62" w:name="_Toc15396624"/>
    </w:p>
    <w:p>
      <w:pPr>
        <w:pStyle w:val="4"/>
        <w:pageBreakBefore w:val="0"/>
        <w:kinsoku/>
        <w:wordWrap/>
        <w:overflowPunct/>
        <w:topLinePunct w:val="0"/>
        <w:bidi w:val="0"/>
        <w:spacing w:before="0" w:after="0" w:line="576" w:lineRule="exact"/>
        <w:ind w:left="0"/>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2"/>
    </w:p>
    <w:p>
      <w:pPr>
        <w:pStyle w:val="4"/>
        <w:pageBreakBefore w:val="0"/>
        <w:kinsoku/>
        <w:wordWrap/>
        <w:overflowPunct/>
        <w:topLinePunct w:val="0"/>
        <w:bidi w:val="0"/>
        <w:spacing w:before="0" w:after="0" w:line="576" w:lineRule="exact"/>
        <w:ind w:left="0"/>
        <w:rPr>
          <w:rFonts w:ascii="仿宋" w:hAnsi="仿宋" w:eastAsia="仿宋"/>
        </w:rPr>
      </w:pPr>
      <w:bookmarkStart w:id="63"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3"/>
    </w:p>
    <w:p>
      <w:pPr>
        <w:pStyle w:val="4"/>
        <w:pageBreakBefore w:val="0"/>
        <w:kinsoku/>
        <w:wordWrap/>
        <w:overflowPunct/>
        <w:topLinePunct w:val="0"/>
        <w:bidi w:val="0"/>
        <w:spacing w:before="0" w:after="0" w:line="576" w:lineRule="exact"/>
        <w:ind w:left="0"/>
        <w:rPr>
          <w:rFonts w:ascii="仿宋" w:hAnsi="仿宋" w:eastAsia="仿宋"/>
        </w:rPr>
      </w:pPr>
      <w:bookmarkStart w:id="6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4"/>
    </w:p>
    <w:p>
      <w:pPr>
        <w:pStyle w:val="4"/>
        <w:pageBreakBefore w:val="0"/>
        <w:kinsoku/>
        <w:wordWrap/>
        <w:overflowPunct/>
        <w:topLinePunct w:val="0"/>
        <w:bidi w:val="0"/>
        <w:spacing w:before="0" w:after="0" w:line="576" w:lineRule="exact"/>
        <w:ind w:left="0"/>
        <w:rPr>
          <w:rFonts w:ascii="仿宋" w:hAnsi="仿宋" w:eastAsia="仿宋"/>
        </w:rPr>
      </w:pPr>
      <w:bookmarkStart w:id="65"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5"/>
    </w:p>
    <w:p>
      <w:pPr>
        <w:pStyle w:val="4"/>
        <w:pageBreakBefore w:val="0"/>
        <w:kinsoku/>
        <w:wordWrap/>
        <w:overflowPunct/>
        <w:topLinePunct w:val="0"/>
        <w:bidi w:val="0"/>
        <w:spacing w:before="0" w:after="0" w:line="576" w:lineRule="exact"/>
        <w:ind w:left="0"/>
        <w:rPr>
          <w:rFonts w:ascii="仿宋" w:hAnsi="仿宋" w:eastAsia="仿宋"/>
        </w:rPr>
      </w:pPr>
      <w:bookmarkStart w:id="66" w:name="_Toc15396628"/>
      <w:r>
        <w:rPr>
          <w:rStyle w:val="31"/>
          <w:rFonts w:hint="eastAsia" w:ascii="仿宋" w:hAnsi="仿宋" w:eastAsia="仿宋"/>
          <w:b w:val="0"/>
          <w:bCs w:val="0"/>
        </w:rPr>
        <w:t>十、</w:t>
      </w:r>
      <w:bookmarkEnd w:id="66"/>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pageBreakBefore w:val="0"/>
        <w:kinsoku/>
        <w:wordWrap/>
        <w:overflowPunct/>
        <w:topLinePunct w:val="0"/>
        <w:bidi w:val="0"/>
        <w:spacing w:before="0" w:after="0" w:line="576" w:lineRule="exact"/>
        <w:ind w:left="0"/>
        <w:rPr>
          <w:rFonts w:ascii="仿宋" w:hAnsi="仿宋" w:eastAsia="仿宋"/>
        </w:rPr>
      </w:pPr>
      <w:bookmarkStart w:id="67" w:name="_Toc15396629"/>
      <w:r>
        <w:rPr>
          <w:rStyle w:val="31"/>
          <w:rFonts w:hint="eastAsia" w:ascii="仿宋" w:hAnsi="仿宋" w:eastAsia="仿宋"/>
          <w:b w:val="0"/>
          <w:bCs w:val="0"/>
        </w:rPr>
        <w:t>十一、</w:t>
      </w:r>
      <w:bookmarkEnd w:id="67"/>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pageBreakBefore w:val="0"/>
        <w:kinsoku/>
        <w:wordWrap/>
        <w:overflowPunct/>
        <w:topLinePunct w:val="0"/>
        <w:bidi w:val="0"/>
        <w:spacing w:before="0" w:after="0" w:line="576" w:lineRule="exact"/>
        <w:ind w:left="0"/>
        <w:rPr>
          <w:rFonts w:ascii="仿宋" w:hAnsi="仿宋" w:eastAsia="仿宋"/>
        </w:rPr>
      </w:pPr>
      <w:bookmarkStart w:id="68" w:name="_Toc15396630"/>
      <w:r>
        <w:rPr>
          <w:rStyle w:val="31"/>
          <w:rFonts w:hint="eastAsia" w:ascii="仿宋" w:hAnsi="仿宋" w:eastAsia="仿宋"/>
          <w:b w:val="0"/>
          <w:bCs w:val="0"/>
        </w:rPr>
        <w:t>十二、</w:t>
      </w:r>
      <w:bookmarkEnd w:id="68"/>
      <w:r>
        <w:rPr>
          <w:rStyle w:val="31"/>
          <w:rFonts w:hint="eastAsia" w:ascii="仿宋" w:hAnsi="仿宋" w:eastAsia="仿宋"/>
          <w:b w:val="0"/>
          <w:bCs w:val="0"/>
        </w:rPr>
        <w:t>国有资本经营预算财政拨款支出决算表</w:t>
      </w:r>
    </w:p>
    <w:p>
      <w:pPr>
        <w:pStyle w:val="4"/>
        <w:pageBreakBefore w:val="0"/>
        <w:kinsoku/>
        <w:wordWrap/>
        <w:overflowPunct/>
        <w:topLinePunct w:val="0"/>
        <w:bidi w:val="0"/>
        <w:spacing w:before="0" w:after="0" w:line="576" w:lineRule="exact"/>
        <w:ind w:left="0"/>
        <w:rPr>
          <w:rFonts w:eastAsia="仿宋"/>
        </w:rPr>
      </w:pPr>
      <w:bookmarkStart w:id="69" w:name="_Toc15396631"/>
      <w:r>
        <w:rPr>
          <w:rStyle w:val="31"/>
          <w:rFonts w:hint="eastAsia" w:ascii="仿宋" w:hAnsi="仿宋" w:eastAsia="仿宋"/>
          <w:b w:val="0"/>
          <w:bCs w:val="0"/>
        </w:rPr>
        <w:t>十三、</w:t>
      </w:r>
      <w:bookmarkEnd w:id="69"/>
      <w:r>
        <w:rPr>
          <w:rStyle w:val="31"/>
          <w:rFonts w:hint="eastAsia" w:ascii="仿宋" w:hAnsi="仿宋" w:eastAsia="仿宋"/>
          <w:b w:val="0"/>
          <w:bCs w:val="0"/>
        </w:rPr>
        <w:t>财政拨款“三公”经费支出决算表</w:t>
      </w:r>
    </w:p>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2738120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1994781956"/>
                          </w:sdtPr>
                          <w:sdtEndPr>
                            <w:rPr>
                              <w:rFonts w:hint="default" w:ascii="Times New Roman" w:hAnsi="Times New Roman" w:cs="Times New Roman"/>
                              <w:sz w:val="28"/>
                              <w:szCs w:val="28"/>
                            </w:rPr>
                          </w:sdtEndPr>
                          <w:sdtContent>
                            <w:p>
                              <w:pPr>
                                <w:pStyle w:val="11"/>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16</w:t>
                              </w:r>
                              <w:r>
                                <w:rPr>
                                  <w:rFonts w:hint="default" w:ascii="Times New Roman" w:hAnsi="Times New Roman" w:cs="Times New Roman"/>
                                  <w:sz w:val="28"/>
                                  <w:szCs w:val="28"/>
                                </w:rPr>
                                <w:fldChar w:fldCharType="end"/>
                              </w:r>
                            </w:p>
                          </w:sdtContent>
                        </w:sdt>
                        <w:p>
                          <w:pPr>
                            <w:pStyle w:val="2"/>
                            <w:jc w:val="center"/>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15.6pt;margin-top:1.5pt;height:144pt;width:144pt;mso-position-horizontal-relative:margin;mso-wrap-style:none;z-index:251660288;mso-width-relative:page;mso-height-relative:page;" filled="f" stroked="f" coordsize="21600,21600" o:gfxdata="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3RSP99YAAAAJ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sdt>
                    <w:sdtPr>
                      <w:rPr>
                        <w:rFonts w:hint="default" w:ascii="Times New Roman" w:hAnsi="Times New Roman" w:cs="Times New Roman"/>
                        <w:sz w:val="28"/>
                        <w:szCs w:val="28"/>
                      </w:rPr>
                      <w:id w:val="-1994781956"/>
                    </w:sdtPr>
                    <w:sdtEndPr>
                      <w:rPr>
                        <w:rFonts w:hint="default" w:ascii="Times New Roman" w:hAnsi="Times New Roman" w:cs="Times New Roman"/>
                        <w:sz w:val="28"/>
                        <w:szCs w:val="28"/>
                      </w:rPr>
                    </w:sdtEndPr>
                    <w:sdtContent>
                      <w:p>
                        <w:pPr>
                          <w:pStyle w:val="11"/>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16</w:t>
                        </w:r>
                        <w:r>
                          <w:rPr>
                            <w:rFonts w:hint="default" w:ascii="Times New Roman" w:hAnsi="Times New Roman" w:cs="Times New Roman"/>
                            <w:sz w:val="28"/>
                            <w:szCs w:val="28"/>
                          </w:rPr>
                          <w:fldChar w:fldCharType="end"/>
                        </w:r>
                      </w:p>
                    </w:sdtContent>
                  </w:sdt>
                  <w:p>
                    <w:pPr>
                      <w:pStyle w:val="2"/>
                      <w:jc w:val="center"/>
                      <w:rPr>
                        <w:rFonts w:hint="default" w:ascii="Times New Roman" w:hAnsi="Times New Roman" w:cs="Times New Roman"/>
                        <w:sz w:val="28"/>
                        <w:szCs w:val="28"/>
                      </w:rPr>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20727DD2"/>
    <w:multiLevelType w:val="singleLevel"/>
    <w:tmpl w:val="20727DD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615B"/>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4740332"/>
    <w:rsid w:val="066E0107"/>
    <w:rsid w:val="07683FB9"/>
    <w:rsid w:val="07996F6E"/>
    <w:rsid w:val="07EC6998"/>
    <w:rsid w:val="0A2032A3"/>
    <w:rsid w:val="0A2C1994"/>
    <w:rsid w:val="0B7078E0"/>
    <w:rsid w:val="0DB76503"/>
    <w:rsid w:val="0F98263C"/>
    <w:rsid w:val="101860EC"/>
    <w:rsid w:val="10C055FF"/>
    <w:rsid w:val="118107EC"/>
    <w:rsid w:val="132B5DFE"/>
    <w:rsid w:val="13D50BC4"/>
    <w:rsid w:val="14425231"/>
    <w:rsid w:val="15177930"/>
    <w:rsid w:val="16BB723D"/>
    <w:rsid w:val="1BE8440E"/>
    <w:rsid w:val="1C0876C1"/>
    <w:rsid w:val="1D155CEE"/>
    <w:rsid w:val="1FF35744"/>
    <w:rsid w:val="23261570"/>
    <w:rsid w:val="23860B96"/>
    <w:rsid w:val="240371BF"/>
    <w:rsid w:val="24DD793C"/>
    <w:rsid w:val="25CC7E48"/>
    <w:rsid w:val="28F12E9A"/>
    <w:rsid w:val="29FD04D3"/>
    <w:rsid w:val="2C8A61B5"/>
    <w:rsid w:val="2DF04E50"/>
    <w:rsid w:val="2F040D46"/>
    <w:rsid w:val="30C32657"/>
    <w:rsid w:val="319F7F4E"/>
    <w:rsid w:val="3304709D"/>
    <w:rsid w:val="36AA5135"/>
    <w:rsid w:val="36AC53C0"/>
    <w:rsid w:val="376D39B2"/>
    <w:rsid w:val="37E16F03"/>
    <w:rsid w:val="38D469F0"/>
    <w:rsid w:val="3CA54D8C"/>
    <w:rsid w:val="3D98207C"/>
    <w:rsid w:val="3E78745D"/>
    <w:rsid w:val="40A11DAE"/>
    <w:rsid w:val="40B7508E"/>
    <w:rsid w:val="441B3347"/>
    <w:rsid w:val="447678B9"/>
    <w:rsid w:val="44E268DA"/>
    <w:rsid w:val="455530C7"/>
    <w:rsid w:val="4A627F82"/>
    <w:rsid w:val="4B0E749A"/>
    <w:rsid w:val="4B4F25DA"/>
    <w:rsid w:val="4BE068DB"/>
    <w:rsid w:val="4CD62D3F"/>
    <w:rsid w:val="4D577224"/>
    <w:rsid w:val="4EAB630A"/>
    <w:rsid w:val="4EB37BB6"/>
    <w:rsid w:val="4ECE2238"/>
    <w:rsid w:val="50047BC4"/>
    <w:rsid w:val="51C915CC"/>
    <w:rsid w:val="537E6D0A"/>
    <w:rsid w:val="53C76EE7"/>
    <w:rsid w:val="54367D35"/>
    <w:rsid w:val="552F7491"/>
    <w:rsid w:val="55940760"/>
    <w:rsid w:val="58226E39"/>
    <w:rsid w:val="58B00A1D"/>
    <w:rsid w:val="5AF92295"/>
    <w:rsid w:val="5CD71FC4"/>
    <w:rsid w:val="62467BC8"/>
    <w:rsid w:val="63B96088"/>
    <w:rsid w:val="6AB91EEF"/>
    <w:rsid w:val="6C4A05C8"/>
    <w:rsid w:val="6DBD4964"/>
    <w:rsid w:val="6E7E3605"/>
    <w:rsid w:val="6FA713D3"/>
    <w:rsid w:val="6FD68CD9"/>
    <w:rsid w:val="6FF5CC65"/>
    <w:rsid w:val="715C0E4B"/>
    <w:rsid w:val="72734D90"/>
    <w:rsid w:val="73AD73D5"/>
    <w:rsid w:val="73B6EB34"/>
    <w:rsid w:val="744731E5"/>
    <w:rsid w:val="750D2EF3"/>
    <w:rsid w:val="76E3355F"/>
    <w:rsid w:val="778769C8"/>
    <w:rsid w:val="78546B1C"/>
    <w:rsid w:val="79EE5BA4"/>
    <w:rsid w:val="7A894339"/>
    <w:rsid w:val="7CB9570E"/>
    <w:rsid w:val="7EEF11D3"/>
    <w:rsid w:val="7FA30C79"/>
    <w:rsid w:val="7FB7269E"/>
    <w:rsid w:val="7FC96657"/>
    <w:rsid w:val="D8D6DB89"/>
    <w:rsid w:val="DB6F4CAB"/>
    <w:rsid w:val="DF6F9789"/>
    <w:rsid w:val="FEFE3B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仿宋_GB2312" w:cs="Courier New"/>
      <w:b/>
      <w:sz w:val="32"/>
      <w:szCs w:val="21"/>
    </w:rPr>
  </w:style>
  <w:style w:type="paragraph" w:styleId="10">
    <w:name w:val="Balloon Text"/>
    <w:basedOn w:val="1"/>
    <w:link w:val="33"/>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6"/>
    <w:qFormat/>
    <w:uiPriority w:val="0"/>
    <w:pPr>
      <w:ind w:firstLine="420" w:firstLineChars="100"/>
    </w:pPr>
  </w:style>
  <w:style w:type="paragraph" w:styleId="17">
    <w:name w:val="Body Text First Indent 2"/>
    <w:basedOn w:val="7"/>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6"/>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9"/>
    <w:link w:val="3"/>
    <w:qFormat/>
    <w:uiPriority w:val="9"/>
    <w:rPr>
      <w:rFonts w:ascii="Times New Roman" w:hAnsi="Times New Roman"/>
      <w:b/>
      <w:bCs/>
      <w:kern w:val="44"/>
      <w:sz w:val="44"/>
      <w:szCs w:val="44"/>
    </w:rPr>
  </w:style>
  <w:style w:type="character" w:customStyle="1" w:styleId="31">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0"/>
    <w:semiHidden/>
    <w:qFormat/>
    <w:uiPriority w:val="99"/>
    <w:rPr>
      <w:rFonts w:ascii="Times New Roman" w:hAnsi="Times New Roman"/>
      <w:kern w:val="2"/>
      <w:sz w:val="18"/>
      <w:szCs w:val="18"/>
    </w:rPr>
  </w:style>
  <w:style w:type="character" w:customStyle="1" w:styleId="34">
    <w:name w:val="标题 3 字符"/>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styleId="37">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character" w:customStyle="1" w:styleId="38">
    <w:name w:val="font21"/>
    <w:basedOn w:val="19"/>
    <w:qFormat/>
    <w:uiPriority w:val="0"/>
    <w:rPr>
      <w:rFonts w:hint="eastAsia" w:ascii="宋体" w:hAnsi="宋体" w:eastAsia="宋体" w:cs="宋体"/>
      <w:color w:val="000000"/>
      <w:sz w:val="20"/>
      <w:szCs w:val="20"/>
      <w:u w:val="none"/>
    </w:rPr>
  </w:style>
  <w:style w:type="character" w:customStyle="1" w:styleId="39">
    <w:name w:val="font41"/>
    <w:basedOn w:val="19"/>
    <w:qFormat/>
    <w:uiPriority w:val="0"/>
    <w:rPr>
      <w:rFonts w:hint="eastAsia" w:ascii="宋体" w:hAnsi="宋体" w:eastAsia="宋体" w:cs="宋体"/>
      <w:color w:val="000000"/>
      <w:sz w:val="20"/>
      <w:szCs w:val="20"/>
      <w:u w:val="none"/>
    </w:rPr>
  </w:style>
  <w:style w:type="character" w:customStyle="1" w:styleId="40">
    <w:name w:val="font31"/>
    <w:basedOn w:val="1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3&#24180;&#24037;&#20316;\2022&#24180;&#20915;&#31639;&#20844;&#24320;\&#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"收支决算总计"</c:f>
              <c:strCache>
                <c:ptCount val="1"/>
                <c:pt idx="0">
                  <c:v>收支决算总计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2767.09</c:v>
                </c:pt>
                <c:pt idx="1">
                  <c:v>3216.04</c:v>
                </c:pt>
              </c:numCache>
            </c:numRef>
          </c:val>
        </c:ser>
        <c:dLbls>
          <c:showLegendKey val="false"/>
          <c:showVal val="true"/>
          <c:showCatName val="false"/>
          <c:showSerName val="false"/>
          <c:showPercent val="false"/>
          <c:showBubbleSize val="false"/>
        </c:dLbls>
        <c:gapWidth val="246"/>
        <c:overlap val="-28"/>
        <c:axId val="636290850"/>
        <c:axId val="162991758"/>
      </c:barChart>
      <c:catAx>
        <c:axId val="6362908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2991758"/>
        <c:crosses val="autoZero"/>
        <c:auto val="true"/>
        <c:lblAlgn val="ctr"/>
        <c:lblOffset val="100"/>
        <c:noMultiLvlLbl val="false"/>
      </c:catAx>
      <c:valAx>
        <c:axId val="162991758"/>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6290850"/>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收入决算结构图</a:t>
            </a:r>
            <a:endParaRPr altLang="en-US"/>
          </a:p>
        </c:rich>
      </c:tx>
      <c:layout>
        <c:manualLayout>
          <c:xMode val="edge"/>
          <c:yMode val="edge"/>
          <c:x val="0.357013888888889"/>
          <c:y val="0.0173611111111111"/>
        </c:manualLayout>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[决算公开插图制作示例.xlsx]图二!$A$1:$A$2</c:f>
              <c:strCache>
                <c:ptCount val="2"/>
                <c:pt idx="0">
                  <c:v>一、一般公共预算财政拨款收入</c:v>
                </c:pt>
                <c:pt idx="1">
                  <c:v>二、政府性基金预算财政拨款收入</c:v>
                </c:pt>
              </c:strCache>
            </c:strRef>
          </c:cat>
          <c:val>
            <c:numRef>
              <c:f>[决算公开插图制作示例.xlsx]图二!$B$1:$B$2</c:f>
              <c:numCache>
                <c:formatCode>0.00%</c:formatCode>
                <c:ptCount val="2"/>
                <c:pt idx="0">
                  <c:v>0.953358789069788</c:v>
                </c:pt>
                <c:pt idx="1">
                  <c:v>0.0466412109302123</c:v>
                </c:pt>
              </c:numCache>
            </c:numRef>
          </c:val>
        </c:ser>
        <c:ser>
          <c:idx val="1"/>
          <c:order val="1"/>
          <c:spPr/>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[决算公开插图制作示例.xlsx]图二!$A$1:$A$2</c:f>
              <c:strCache>
                <c:ptCount val="2"/>
                <c:pt idx="0">
                  <c:v>一、一般公共预算财政拨款收入</c:v>
                </c:pt>
                <c:pt idx="1">
                  <c:v>二、政府性基金预算财政拨款收入</c:v>
                </c:pt>
              </c:strCache>
            </c:strRef>
          </c:cat>
          <c:val>
            <c:numRef>
              <c:f>[决算公开插图制作示例.xlsx]图二!#REF!</c:f>
              <c:numCache>
                <c:formatCode>General</c:formatCode>
                <c:ptCount val="1"/>
                <c:pt idx="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0.6782</c:v>
                </c:pt>
                <c:pt idx="1">
                  <c:v>0.3218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财政拨款收、支决算总计变动情况图</a:t>
            </a:r>
          </a:p>
        </c:rich>
      </c:tx>
      <c:layout/>
      <c:overlay val="false"/>
      <c:spPr>
        <a:noFill/>
        <a:ln>
          <a:noFill/>
        </a:ln>
        <a:effectLst/>
      </c:spPr>
    </c:title>
    <c:autoTitleDeleted val="false"/>
    <c:plotArea>
      <c:layout/>
      <c:barChart>
        <c:barDir val="col"/>
        <c:grouping val="clustered"/>
        <c:varyColors val="false"/>
        <c:ser>
          <c:idx val="1"/>
          <c:order val="0"/>
          <c:tx>
            <c:strRef>
              <c:f>"财政拨款收、支决算总计"</c:f>
              <c:strCache>
                <c:ptCount val="1"/>
                <c:pt idx="0">
                  <c:v>财政拨款收、支决算总计</c:v>
                </c:pt>
              </c:strCache>
            </c:strRef>
          </c:tx>
          <c:spPr>
            <a:solidFill>
              <a:schemeClr val="accent1">
                <a:tint val="76667"/>
              </a:schemeClr>
            </a:solidFill>
            <a:ln>
              <a:noFill/>
            </a:ln>
            <a:effectLst/>
          </c:spPr>
          <c:invertIfNegative val="false"/>
          <c:dLbls>
            <c:delete val="true"/>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2767.09</c:v>
                </c:pt>
                <c:pt idx="1">
                  <c:v>3216.04</c:v>
                </c:pt>
              </c:numCache>
            </c:numRef>
          </c:val>
        </c:ser>
        <c:dLbls>
          <c:showLegendKey val="false"/>
          <c:showVal val="false"/>
          <c:showCatName val="false"/>
          <c:showSerName val="false"/>
          <c:showPercent val="false"/>
          <c:showBubbleSize val="false"/>
        </c:dLbls>
        <c:gapWidth val="246"/>
        <c:overlap val="-28"/>
        <c:axId val="619951708"/>
        <c:axId val="230914088"/>
      </c:barChart>
      <c:catAx>
        <c:axId val="61995170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30914088"/>
        <c:crosses val="autoZero"/>
        <c:auto val="true"/>
        <c:lblAlgn val="ctr"/>
        <c:lblOffset val="100"/>
        <c:noMultiLvlLbl val="false"/>
      </c:catAx>
      <c:valAx>
        <c:axId val="230914088"/>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995170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一般公共预算财政拨款支出决算变动情况图</a:t>
            </a:r>
          </a:p>
        </c:rich>
      </c:tx>
      <c:layout/>
      <c:overlay val="false"/>
      <c:spPr>
        <a:noFill/>
        <a:ln>
          <a:noFill/>
        </a:ln>
        <a:effectLst/>
      </c:spPr>
    </c:title>
    <c:autoTitleDeleted val="false"/>
    <c:plotArea>
      <c:layout/>
      <c:barChart>
        <c:barDir val="col"/>
        <c:grouping val="clustered"/>
        <c:varyColors val="false"/>
        <c:ser>
          <c:idx val="0"/>
          <c:order val="0"/>
          <c:tx>
            <c:strRef>
              <c:f>[决算公开插图制作示例.xlsx]图5!$C$5</c:f>
              <c:strCache>
                <c:ptCount val="1"/>
                <c:pt idx="0">
                  <c:v>一般公共预算财政拨款支出决算</c:v>
                </c:pt>
              </c:strCache>
            </c:strRef>
          </c:tx>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2767.09</c:v>
                </c:pt>
                <c:pt idx="1">
                  <c:v>3066.04</c:v>
                </c:pt>
              </c:numCache>
            </c:numRef>
          </c:val>
        </c:ser>
        <c:dLbls>
          <c:showLegendKey val="false"/>
          <c:showVal val="true"/>
          <c:showCatName val="false"/>
          <c:showSerName val="false"/>
          <c:showPercent val="false"/>
          <c:showBubbleSize val="false"/>
        </c:dLbls>
        <c:gapWidth val="246"/>
        <c:overlap val="-28"/>
        <c:axId val="634943956"/>
        <c:axId val="539530825"/>
      </c:barChart>
      <c:catAx>
        <c:axId val="63494395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39530825"/>
        <c:crosses val="autoZero"/>
        <c:auto val="true"/>
        <c:lblAlgn val="ctr"/>
        <c:lblOffset val="100"/>
        <c:noMultiLvlLbl val="false"/>
      </c:catAx>
      <c:valAx>
        <c:axId val="539530825"/>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494395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false"/>
      <c:spPr>
        <a:noFill/>
        <a:ln>
          <a:noFill/>
        </a:ln>
        <a:effectLst/>
      </c:spPr>
    </c:title>
    <c:autoTitleDeleted val="false"/>
    <c:plotArea>
      <c:layout/>
      <c:pieChart>
        <c:varyColors val="true"/>
        <c:ser>
          <c:idx val="0"/>
          <c:order val="0"/>
          <c:spPr/>
          <c:explosion val="0"/>
          <c:dPt>
            <c:idx val="0"/>
            <c:bubble3D val="false"/>
            <c:spPr>
              <a:gradFill>
                <a:gsLst>
                  <a:gs pos="0">
                    <a:schemeClr val="accent1">
                      <a:lumMod val="40000"/>
                      <a:lumOff val="60000"/>
                    </a:schemeClr>
                  </a:gs>
                  <a:gs pos="90000">
                    <a:schemeClr val="accent1"/>
                  </a:gs>
                </a:gsLst>
                <a:lin ang="5400000" scaled="false"/>
              </a:gradFill>
              <a:ln>
                <a:gradFill>
                  <a:gsLst>
                    <a:gs pos="0">
                      <a:schemeClr val="accent1"/>
                    </a:gs>
                    <a:gs pos="100000">
                      <a:schemeClr val="accent1">
                        <a:lumMod val="75000"/>
                      </a:schemeClr>
                    </a:gs>
                  </a:gsLst>
                  <a:lin ang="5400000" scaled="true"/>
                </a:gradFill>
              </a:ln>
              <a:effectLst>
                <a:outerShdw blurRad="76200" dist="25400" dir="2700000" algn="tl" rotWithShape="0">
                  <a:schemeClr val="accent1">
                    <a:lumMod val="50000"/>
                    <a:alpha val="30000"/>
                  </a:schemeClr>
                </a:outerShdw>
              </a:effectLst>
            </c:spPr>
          </c:dPt>
          <c:dPt>
            <c:idx val="1"/>
            <c:bubble3D val="false"/>
            <c:spPr>
              <a:gradFill>
                <a:gsLst>
                  <a:gs pos="0">
                    <a:schemeClr val="accent2">
                      <a:lumMod val="40000"/>
                      <a:lumOff val="60000"/>
                    </a:schemeClr>
                  </a:gs>
                  <a:gs pos="90000">
                    <a:schemeClr val="accent2"/>
                  </a:gs>
                </a:gsLst>
                <a:lin ang="5400000" scaled="false"/>
              </a:gradFill>
              <a:ln>
                <a:gradFill>
                  <a:gsLst>
                    <a:gs pos="0">
                      <a:schemeClr val="accent2"/>
                    </a:gs>
                    <a:gs pos="100000">
                      <a:schemeClr val="accent2">
                        <a:lumMod val="75000"/>
                      </a:schemeClr>
                    </a:gs>
                  </a:gsLst>
                  <a:lin ang="5400000" scaled="true"/>
                </a:gradFill>
              </a:ln>
              <a:effectLst>
                <a:outerShdw blurRad="76200" dist="25400" dir="2700000" algn="tl" rotWithShape="0">
                  <a:schemeClr val="accent2">
                    <a:lumMod val="50000"/>
                    <a:alpha val="30000"/>
                  </a:schemeClr>
                </a:outerShdw>
              </a:effectLst>
            </c:spPr>
          </c:dPt>
          <c:dPt>
            <c:idx val="2"/>
            <c:bubble3D val="false"/>
            <c:spPr>
              <a:gradFill>
                <a:gsLst>
                  <a:gs pos="0">
                    <a:schemeClr val="accent3">
                      <a:lumMod val="40000"/>
                      <a:lumOff val="60000"/>
                    </a:schemeClr>
                  </a:gs>
                  <a:gs pos="90000">
                    <a:schemeClr val="accent3"/>
                  </a:gs>
                </a:gsLst>
                <a:lin ang="5400000" scaled="false"/>
              </a:gradFill>
              <a:ln>
                <a:gradFill>
                  <a:gsLst>
                    <a:gs pos="0">
                      <a:schemeClr val="accent3"/>
                    </a:gs>
                    <a:gs pos="100000">
                      <a:schemeClr val="accent3">
                        <a:lumMod val="75000"/>
                      </a:schemeClr>
                    </a:gs>
                  </a:gsLst>
                  <a:lin ang="5400000" scaled="true"/>
                </a:gradFill>
              </a:ln>
              <a:effectLst>
                <a:outerShdw blurRad="76200" dist="25400" dir="2700000" algn="tl" rotWithShape="0">
                  <a:schemeClr val="accent3">
                    <a:lumMod val="50000"/>
                    <a:alpha val="30000"/>
                  </a:schemeClr>
                </a:outerShdw>
              </a:effectLst>
            </c:spPr>
          </c:dPt>
          <c:dPt>
            <c:idx val="3"/>
            <c:bubble3D val="false"/>
            <c:spPr>
              <a:gradFill>
                <a:gsLst>
                  <a:gs pos="0">
                    <a:schemeClr val="accent4">
                      <a:lumMod val="40000"/>
                      <a:lumOff val="60000"/>
                    </a:schemeClr>
                  </a:gs>
                  <a:gs pos="90000">
                    <a:schemeClr val="accent4"/>
                  </a:gs>
                </a:gsLst>
                <a:lin ang="5400000" scaled="false"/>
              </a:gradFill>
              <a:ln>
                <a:gradFill>
                  <a:gsLst>
                    <a:gs pos="0">
                      <a:schemeClr val="accent4"/>
                    </a:gs>
                    <a:gs pos="100000">
                      <a:schemeClr val="accent4">
                        <a:lumMod val="75000"/>
                      </a:schemeClr>
                    </a:gs>
                  </a:gsLst>
                  <a:lin ang="5400000" scaled="true"/>
                </a:gradFill>
              </a:ln>
              <a:effectLst>
                <a:outerShdw blurRad="76200" dist="25400" dir="2700000" algn="tl" rotWithShape="0">
                  <a:schemeClr val="accent4">
                    <a:lumMod val="50000"/>
                    <a:alpha val="30000"/>
                  </a:schemeClr>
                </a:outerShdw>
              </a:effectLst>
            </c:spPr>
          </c:dPt>
          <c:dPt>
            <c:idx val="4"/>
            <c:bubble3D val="false"/>
            <c:spPr>
              <a:gradFill>
                <a:gsLst>
                  <a:gs pos="0">
                    <a:schemeClr val="accent5">
                      <a:lumMod val="40000"/>
                      <a:lumOff val="60000"/>
                    </a:schemeClr>
                  </a:gs>
                  <a:gs pos="90000">
                    <a:schemeClr val="accent5"/>
                  </a:gs>
                </a:gsLst>
                <a:lin ang="5400000" scaled="false"/>
              </a:gradFill>
              <a:ln>
                <a:gradFill>
                  <a:gsLst>
                    <a:gs pos="0">
                      <a:schemeClr val="accent5"/>
                    </a:gs>
                    <a:gs pos="100000">
                      <a:schemeClr val="accent5">
                        <a:lumMod val="75000"/>
                      </a:schemeClr>
                    </a:gs>
                  </a:gsLst>
                  <a:lin ang="5400000" scaled="true"/>
                </a:gradFill>
              </a:ln>
              <a:effectLst>
                <a:outerShdw blurRad="76200" dist="25400" dir="2700000" algn="tl" rotWithShape="0">
                  <a:schemeClr val="accent5">
                    <a:lumMod val="50000"/>
                    <a:alpha val="30000"/>
                  </a:schemeClr>
                </a:outerShdw>
              </a:effectLst>
            </c:spPr>
          </c:dPt>
          <c:dPt>
            <c:idx val="5"/>
            <c:bubble3D val="false"/>
            <c:spPr>
              <a:gradFill>
                <a:gsLst>
                  <a:gs pos="0">
                    <a:schemeClr val="accent6">
                      <a:lumMod val="40000"/>
                      <a:lumOff val="60000"/>
                    </a:schemeClr>
                  </a:gs>
                  <a:gs pos="90000">
                    <a:schemeClr val="accent6"/>
                  </a:gs>
                </a:gsLst>
                <a:lin ang="5400000" scaled="false"/>
              </a:gradFill>
              <a:ln>
                <a:gradFill>
                  <a:gsLst>
                    <a:gs pos="0">
                      <a:schemeClr val="accent6"/>
                    </a:gs>
                    <a:gs pos="100000">
                      <a:schemeClr val="accent6">
                        <a:lumMod val="75000"/>
                      </a:schemeClr>
                    </a:gs>
                  </a:gsLst>
                  <a:lin ang="5400000" scaled="true"/>
                </a:gradFill>
              </a:ln>
              <a:effectLst>
                <a:outerShdw blurRad="76200" dist="25400" dir="2700000" algn="tl" rotWithShape="0">
                  <a:schemeClr val="accent6">
                    <a:lumMod val="50000"/>
                    <a:alpha val="30000"/>
                  </a:schemeClr>
                </a:outerShdw>
              </a:effectLst>
            </c:spPr>
          </c:dPt>
          <c:dPt>
            <c:idx val="6"/>
            <c:bubble3D val="false"/>
            <c:spPr>
              <a:gradFill>
                <a:gsLst>
                  <a:gs pos="0">
                    <a:schemeClr val="accent1">
                      <a:lumMod val="60000"/>
                      <a:lumMod val="40000"/>
                      <a:lumOff val="60000"/>
                    </a:schemeClr>
                  </a:gs>
                  <a:gs pos="90000">
                    <a:schemeClr val="accent1">
                      <a:lumMod val="60000"/>
                    </a:schemeClr>
                  </a:gs>
                </a:gsLst>
                <a:lin ang="5400000" scaled="false"/>
              </a:gradFill>
              <a:ln>
                <a:gradFill>
                  <a:gsLst>
                    <a:gs pos="0">
                      <a:schemeClr val="accent1">
                        <a:lumMod val="60000"/>
                      </a:schemeClr>
                    </a:gs>
                    <a:gs pos="100000">
                      <a:schemeClr val="accent1">
                        <a:lumMod val="60000"/>
                        <a:lumMod val="75000"/>
                      </a:schemeClr>
                    </a:gs>
                  </a:gsLst>
                  <a:lin ang="5400000" scaled="true"/>
                </a:gradFill>
              </a:ln>
              <a:effectLst>
                <a:outerShdw blurRad="76200" dist="25400" dir="2700000" algn="tl" rotWithShape="0">
                  <a:schemeClr val="accent1">
                    <a:lumMod val="60000"/>
                    <a:lumMod val="50000"/>
                    <a:alpha val="30000"/>
                  </a:schemeClr>
                </a:outerShdw>
              </a:effectLst>
            </c:spPr>
          </c:dPt>
          <c:dPt>
            <c:idx val="7"/>
            <c:bubble3D val="false"/>
            <c:spPr>
              <a:gradFill>
                <a:gsLst>
                  <a:gs pos="0">
                    <a:schemeClr val="accent2">
                      <a:lumMod val="60000"/>
                      <a:lumMod val="40000"/>
                      <a:lumOff val="60000"/>
                    </a:schemeClr>
                  </a:gs>
                  <a:gs pos="90000">
                    <a:schemeClr val="accent2">
                      <a:lumMod val="60000"/>
                    </a:schemeClr>
                  </a:gs>
                </a:gsLst>
                <a:lin ang="5400000" scaled="false"/>
              </a:gradFill>
              <a:ln>
                <a:gradFill>
                  <a:gsLst>
                    <a:gs pos="0">
                      <a:schemeClr val="accent2">
                        <a:lumMod val="60000"/>
                      </a:schemeClr>
                    </a:gs>
                    <a:gs pos="100000">
                      <a:schemeClr val="accent2">
                        <a:lumMod val="60000"/>
                        <a:lumMod val="75000"/>
                      </a:schemeClr>
                    </a:gs>
                  </a:gsLst>
                  <a:lin ang="5400000" scaled="true"/>
                </a:gradFill>
              </a:ln>
              <a:effectLst>
                <a:outerShdw blurRad="76200" dist="25400" dir="2700000" algn="tl" rotWithShape="0">
                  <a:schemeClr val="accent2">
                    <a:lumMod val="60000"/>
                    <a:lumMod val="50000"/>
                    <a:alpha val="30000"/>
                  </a:schemeClr>
                </a:outerShdw>
              </a:effectLst>
            </c:spPr>
          </c:dPt>
          <c:dPt>
            <c:idx val="8"/>
            <c:bubble3D val="false"/>
            <c:spPr>
              <a:gradFill>
                <a:gsLst>
                  <a:gs pos="0">
                    <a:schemeClr val="accent3">
                      <a:lumMod val="60000"/>
                      <a:lumMod val="40000"/>
                      <a:lumOff val="60000"/>
                    </a:schemeClr>
                  </a:gs>
                  <a:gs pos="90000">
                    <a:schemeClr val="accent3">
                      <a:lumMod val="60000"/>
                    </a:schemeClr>
                  </a:gs>
                </a:gsLst>
                <a:lin ang="5400000" scaled="false"/>
              </a:gradFill>
              <a:ln>
                <a:gradFill>
                  <a:gsLst>
                    <a:gs pos="0">
                      <a:schemeClr val="accent3">
                        <a:lumMod val="60000"/>
                      </a:schemeClr>
                    </a:gs>
                    <a:gs pos="100000">
                      <a:schemeClr val="accent3">
                        <a:lumMod val="60000"/>
                        <a:lumMod val="75000"/>
                      </a:schemeClr>
                    </a:gs>
                  </a:gsLst>
                  <a:lin ang="5400000" scaled="true"/>
                </a:gradFill>
              </a:ln>
              <a:effectLst>
                <a:outerShdw blurRad="76200" dist="25400" dir="2700000" algn="tl" rotWithShape="0">
                  <a:schemeClr val="accent3">
                    <a:lumMod val="60000"/>
                    <a:lumMod val="50000"/>
                    <a:alpha val="30000"/>
                  </a:schemeClr>
                </a:outerShdw>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[决算公开插图制作示例.xlsx]图6!$A$2:$A$10</c:f>
              <c:strCache>
                <c:ptCount val="9"/>
                <c:pt idx="0">
                  <c:v>一般公共服务支出</c:v>
                </c:pt>
                <c:pt idx="1">
                  <c:v>国防支出</c:v>
                </c:pt>
                <c:pt idx="2">
                  <c:v>文化旅游体育与传媒支出</c:v>
                </c:pt>
                <c:pt idx="3">
                  <c:v>社会保障和就业支出</c:v>
                </c:pt>
                <c:pt idx="4">
                  <c:v>卫生健康支出</c:v>
                </c:pt>
                <c:pt idx="5">
                  <c:v>城乡社区支出</c:v>
                </c:pt>
                <c:pt idx="6">
                  <c:v>农林水支出</c:v>
                </c:pt>
                <c:pt idx="7">
                  <c:v>住房保障支出</c:v>
                </c:pt>
                <c:pt idx="8">
                  <c:v>灾害防治及应急管理支出</c:v>
                </c:pt>
              </c:strCache>
            </c:strRef>
          </c:cat>
          <c:val>
            <c:numRef>
              <c:f>[决算公开插图制作示例.xlsx]图6!$B$2:$B$10</c:f>
              <c:numCache>
                <c:formatCode>0.00%</c:formatCode>
                <c:ptCount val="9"/>
                <c:pt idx="0">
                  <c:v>0.3243</c:v>
                </c:pt>
                <c:pt idx="1">
                  <c:v>0.0002</c:v>
                </c:pt>
                <c:pt idx="2">
                  <c:v>0.0169</c:v>
                </c:pt>
                <c:pt idx="3">
                  <c:v>0.1396</c:v>
                </c:pt>
                <c:pt idx="4">
                  <c:v>0.0704</c:v>
                </c:pt>
                <c:pt idx="5">
                  <c:v>0.0036</c:v>
                </c:pt>
                <c:pt idx="6">
                  <c:v>0.4057</c:v>
                </c:pt>
                <c:pt idx="7">
                  <c:v>0.0393</c:v>
                </c:pt>
                <c:pt idx="8">
                  <c:v>0.0001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[决算公开插图制作示例.xlsx]图7!$A$1:$A$3</c:f>
              <c:strCache>
                <c:ptCount val="3"/>
                <c:pt idx="0">
                  <c:v>因公出国（境）费支出</c:v>
                </c:pt>
                <c:pt idx="1">
                  <c:v>公务用车购置及运行维护费支出</c:v>
                </c:pt>
                <c:pt idx="2">
                  <c:v>公务接待费支出</c:v>
                </c:pt>
              </c:strCache>
            </c:strRef>
          </c:cat>
          <c:val>
            <c:numRef>
              <c:f>[决算公开插图制作示例.xlsx]图7!$B$1:$B$3</c:f>
              <c:numCache>
                <c:formatCode>General</c:formatCode>
                <c:ptCount val="3"/>
                <c:pt idx="0">
                  <c:v>0</c:v>
                </c:pt>
                <c:pt idx="1" c:formatCode="0.00%">
                  <c:v>0.3774</c:v>
                </c:pt>
                <c:pt idx="2" c:formatCode="0.00%">
                  <c:v>0.6226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false"/>
      </a:gradFill>
      <a:ln>
        <a:gradFill>
          <a:gsLst>
            <a:gs pos="0">
              <a:schemeClr val="phClr"/>
            </a:gs>
            <a:gs pos="100000">
              <a:schemeClr val="phClr">
                <a:lumMod val="75000"/>
              </a:schemeClr>
            </a:gs>
          </a:gsLst>
          <a:lin ang="5400000" scaled="true"/>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10</TotalTime>
  <ScaleCrop>false</ScaleCrop>
  <LinksUpToDate>false</LinksUpToDate>
  <CharactersWithSpaces>8214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2023-12-13T16:30:58Z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D8F0A6E3DC4942D38D8125A5F110E3C1_12</vt:lpwstr>
  </property>
</Properties>
</file>