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仿宋" w:hAnsi="仿宋" w:eastAsia="仿宋"/>
          <w:kern w:val="44"/>
          <w:sz w:val="24"/>
          <w:szCs w:val="24"/>
        </w:rPr>
      </w:pPr>
      <w:bookmarkStart w:id="0" w:name="_Toc15396599"/>
      <w:bookmarkStart w:id="1" w:name="_Toc15377196"/>
    </w:p>
    <w:p>
      <w:pPr>
        <w:widowControl/>
        <w:rPr>
          <w:rFonts w:ascii="黑体" w:hAnsi="黑体" w:eastAsia="黑体" w:cs="黑体"/>
          <w:color w:val="000000"/>
          <w:sz w:val="84"/>
          <w:szCs w:val="84"/>
        </w:rPr>
      </w:pPr>
    </w:p>
    <w:p>
      <w:pPr>
        <w:widowControl/>
        <w:jc w:val="center"/>
        <w:rPr>
          <w:rFonts w:ascii="方正小标宋简体" w:hAnsi="方正小标宋简体" w:eastAsia="方正小标宋简体" w:cs="方正小标宋简体"/>
          <w:color w:val="000000"/>
          <w:sz w:val="84"/>
          <w:szCs w:val="84"/>
        </w:rPr>
      </w:pPr>
      <w:bookmarkStart w:id="2" w:name="_Toc15377193"/>
      <w:bookmarkStart w:id="3" w:name="_Toc15377425"/>
      <w:bookmarkStart w:id="4" w:name="_Toc15396475"/>
      <w:bookmarkStart w:id="5" w:name="_Toc15378441"/>
      <w:bookmarkStart w:id="6" w:name="_Toc15396597"/>
      <w:r>
        <w:rPr>
          <w:rFonts w:hint="eastAsia" w:ascii="方正小标宋简体" w:hAnsi="方正小标宋简体" w:eastAsia="方正小标宋简体" w:cs="方正小标宋简体"/>
          <w:color w:val="000000"/>
          <w:sz w:val="84"/>
          <w:szCs w:val="84"/>
        </w:rPr>
        <w:t>202</w:t>
      </w:r>
      <w:r>
        <w:rPr>
          <w:rFonts w:hint="eastAsia" w:ascii="方正小标宋简体" w:hAnsi="方正小标宋简体" w:eastAsia="方正小标宋简体" w:cs="方正小标宋简体"/>
          <w:color w:val="000000"/>
          <w:sz w:val="84"/>
          <w:szCs w:val="84"/>
          <w:lang w:val="en-US" w:eastAsia="zh-CN"/>
        </w:rPr>
        <w:t>2</w:t>
      </w:r>
      <w:r>
        <w:rPr>
          <w:rFonts w:hint="eastAsia" w:ascii="方正小标宋简体" w:hAnsi="方正小标宋简体" w:eastAsia="方正小标宋简体" w:cs="方正小标宋简体"/>
          <w:color w:val="000000"/>
          <w:sz w:val="84"/>
          <w:szCs w:val="84"/>
        </w:rPr>
        <w:t>年度</w:t>
      </w:r>
      <w:bookmarkEnd w:id="2"/>
      <w:bookmarkEnd w:id="3"/>
      <w:bookmarkEnd w:id="4"/>
      <w:bookmarkEnd w:id="5"/>
      <w:bookmarkEnd w:id="6"/>
    </w:p>
    <w:p>
      <w:pPr>
        <w:widowControl/>
        <w:jc w:val="center"/>
        <w:rPr>
          <w:rFonts w:ascii="方正小标宋简体" w:hAnsi="方正小标宋简体" w:eastAsia="方正小标宋简体" w:cs="方正小标宋简体"/>
          <w:color w:val="000000"/>
          <w:sz w:val="84"/>
          <w:szCs w:val="84"/>
        </w:rPr>
      </w:pPr>
      <w:r>
        <w:rPr>
          <w:rFonts w:hint="eastAsia" w:ascii="方正小标宋简体" w:hAnsi="方正小标宋简体" w:eastAsia="方正小标宋简体" w:cs="方正小标宋简体"/>
          <w:color w:val="000000"/>
          <w:sz w:val="84"/>
          <w:szCs w:val="84"/>
        </w:rPr>
        <w:t>剑阁县武连镇部门</w:t>
      </w:r>
    </w:p>
    <w:p>
      <w:pPr>
        <w:widowControl/>
        <w:jc w:val="center"/>
        <w:rPr>
          <w:rFonts w:ascii="方正小标宋简体" w:hAnsi="方正小标宋简体" w:eastAsia="方正小标宋简体" w:cs="方正小标宋简体"/>
          <w:color w:val="000000"/>
          <w:sz w:val="84"/>
          <w:szCs w:val="84"/>
        </w:rPr>
      </w:pPr>
      <w:r>
        <w:rPr>
          <w:rFonts w:hint="eastAsia" w:ascii="方正小标宋简体" w:hAnsi="方正小标宋简体" w:eastAsia="方正小标宋简体" w:cs="方正小标宋简体"/>
          <w:color w:val="000000"/>
          <w:sz w:val="84"/>
          <w:szCs w:val="84"/>
        </w:rPr>
        <w:t>决算编制说明</w:t>
      </w:r>
    </w:p>
    <w:p>
      <w:pPr>
        <w:widowControl/>
        <w:jc w:val="center"/>
        <w:rPr>
          <w:rFonts w:ascii="黑体" w:hAnsi="黑体" w:eastAsia="黑体"/>
          <w:sz w:val="84"/>
          <w:szCs w:val="84"/>
        </w:rPr>
      </w:pPr>
    </w:p>
    <w:p>
      <w:pPr>
        <w:widowControl/>
        <w:jc w:val="center"/>
        <w:rPr>
          <w:rFonts w:ascii="黑体" w:hAnsi="黑体" w:eastAsia="黑体"/>
          <w:sz w:val="48"/>
          <w:szCs w:val="48"/>
        </w:rPr>
      </w:pPr>
    </w:p>
    <w:p>
      <w:pPr>
        <w:pStyle w:val="2"/>
        <w:spacing w:before="93"/>
        <w:rPr>
          <w:rFonts w:ascii="黑体" w:hAnsi="黑体" w:eastAsia="黑体"/>
          <w:sz w:val="48"/>
          <w:szCs w:val="48"/>
        </w:rPr>
      </w:pPr>
    </w:p>
    <w:p>
      <w:pPr>
        <w:pStyle w:val="2"/>
        <w:spacing w:before="93"/>
        <w:rPr>
          <w:rFonts w:ascii="黑体" w:hAnsi="黑体" w:eastAsia="黑体"/>
          <w:sz w:val="48"/>
          <w:szCs w:val="48"/>
        </w:rPr>
      </w:pPr>
    </w:p>
    <w:p>
      <w:pPr>
        <w:pStyle w:val="2"/>
        <w:spacing w:before="93"/>
        <w:rPr>
          <w:rFonts w:ascii="黑体" w:hAnsi="黑体" w:eastAsia="黑体"/>
          <w:sz w:val="48"/>
          <w:szCs w:val="48"/>
        </w:rPr>
      </w:pPr>
    </w:p>
    <w:p>
      <w:pPr>
        <w:pStyle w:val="2"/>
        <w:spacing w:before="93"/>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rPr>
          <w:rFonts w:ascii="黑体" w:hAnsi="黑体" w:eastAsia="黑体"/>
          <w:sz w:val="48"/>
          <w:szCs w:val="48"/>
        </w:rPr>
      </w:pPr>
    </w:p>
    <w:p>
      <w:pPr>
        <w:widowControl/>
        <w:jc w:val="center"/>
        <w:rPr>
          <w:rFonts w:ascii="黑体" w:hAnsi="黑体" w:eastAsia="黑体"/>
          <w:sz w:val="48"/>
          <w:szCs w:val="48"/>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pStyle w:val="2"/>
        <w:spacing w:before="93"/>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
      <w:pPr>
        <w:pStyle w:val="12"/>
        <w:adjustRightInd w:val="0"/>
        <w:snapToGrid w:val="0"/>
        <w:spacing w:before="0" w:line="440" w:lineRule="exact"/>
        <w:jc w:val="left"/>
        <w:rPr>
          <w:rFonts w:cstheme="minorBidi"/>
          <w:sz w:val="32"/>
          <w:szCs w:val="32"/>
        </w:rPr>
      </w:pPr>
      <w:r>
        <w:rPr>
          <w:rFonts w:hint="eastAsia" w:ascii="黑体" w:hAnsi="黑体" w:eastAsia="黑体" w:cs="黑体"/>
          <w:sz w:val="32"/>
          <w:szCs w:val="36"/>
        </w:rPr>
        <w:t>第一部分部门单位概况</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一、基本职能及主要工作</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二、机构设置</w:t>
      </w:r>
    </w:p>
    <w:p>
      <w:pPr>
        <w:pStyle w:val="12"/>
        <w:adjustRightInd w:val="0"/>
        <w:snapToGrid w:val="0"/>
        <w:spacing w:before="0" w:line="440" w:lineRule="exact"/>
        <w:jc w:val="left"/>
        <w:rPr>
          <w:rFonts w:ascii="黑体" w:hAnsi="黑体" w:eastAsia="黑体" w:cs="黑体"/>
          <w:sz w:val="32"/>
          <w:szCs w:val="36"/>
        </w:rPr>
      </w:pPr>
      <w:r>
        <w:rPr>
          <w:rFonts w:hint="eastAsia" w:ascii="黑体" w:hAnsi="黑体" w:eastAsia="黑体" w:cs="黑体"/>
          <w:sz w:val="32"/>
          <w:szCs w:val="36"/>
        </w:rPr>
        <w:t>第二部分 202</w:t>
      </w:r>
      <w:r>
        <w:rPr>
          <w:rFonts w:hint="eastAsia" w:ascii="黑体" w:hAnsi="黑体" w:eastAsia="黑体" w:cs="黑体"/>
          <w:sz w:val="32"/>
          <w:szCs w:val="36"/>
          <w:lang w:val="en-US" w:eastAsia="zh-CN"/>
        </w:rPr>
        <w:t>2</w:t>
      </w:r>
      <w:r>
        <w:rPr>
          <w:rFonts w:hint="eastAsia" w:ascii="黑体" w:hAnsi="黑体" w:eastAsia="黑体" w:cs="黑体"/>
          <w:sz w:val="32"/>
          <w:szCs w:val="36"/>
        </w:rPr>
        <w:t>年度部门决算情况说明</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一、收入支出决算总体情况说明</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二、收入决算情况说明</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三、支出决算情况说明</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四、财政拨款收入支出决算总体情况说明</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五、一般公共预算财政拨款支出决算情况说明</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六、一般公共预算财政拨款基本支出决算情况说明</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七、“三公”经费财政拨款支出决算情况说明</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八、政府性基金预算支出决算情况说明</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九、国有资本经营预算支出决算情况说明</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十、其他重要事项的情况说明</w:t>
      </w:r>
      <w:r>
        <w:rPr>
          <w:rFonts w:hint="eastAsia" w:ascii="仿宋" w:hAnsi="仿宋" w:eastAsia="仿宋" w:cs="仿宋"/>
          <w:sz w:val="32"/>
          <w:szCs w:val="24"/>
        </w:rPr>
        <w:tab/>
      </w:r>
    </w:p>
    <w:p>
      <w:pPr>
        <w:pStyle w:val="12"/>
        <w:adjustRightInd w:val="0"/>
        <w:snapToGrid w:val="0"/>
        <w:spacing w:before="0" w:line="440" w:lineRule="exact"/>
        <w:jc w:val="left"/>
        <w:rPr>
          <w:rFonts w:ascii="黑体" w:hAnsi="黑体" w:eastAsia="黑体" w:cs="黑体"/>
          <w:sz w:val="32"/>
          <w:szCs w:val="36"/>
        </w:rPr>
      </w:pPr>
      <w:r>
        <w:rPr>
          <w:rFonts w:hint="eastAsia" w:ascii="黑体" w:hAnsi="黑体" w:eastAsia="黑体" w:cs="黑体"/>
          <w:sz w:val="32"/>
          <w:szCs w:val="36"/>
        </w:rPr>
        <w:t>第三部分名词解释</w:t>
      </w:r>
    </w:p>
    <w:p>
      <w:pPr>
        <w:pStyle w:val="12"/>
        <w:adjustRightInd w:val="0"/>
        <w:snapToGrid w:val="0"/>
        <w:spacing w:before="0" w:line="440" w:lineRule="exact"/>
        <w:jc w:val="left"/>
        <w:rPr>
          <w:rFonts w:ascii="黑体" w:hAnsi="黑体" w:eastAsia="黑体" w:cs="黑体"/>
          <w:sz w:val="32"/>
          <w:szCs w:val="36"/>
        </w:rPr>
      </w:pPr>
      <w:r>
        <w:rPr>
          <w:rFonts w:hint="eastAsia" w:ascii="黑体" w:hAnsi="黑体" w:eastAsia="黑体" w:cs="黑体"/>
          <w:sz w:val="32"/>
          <w:szCs w:val="36"/>
        </w:rPr>
        <w:t>第四部分附件</w:t>
      </w:r>
    </w:p>
    <w:p>
      <w:pPr>
        <w:pStyle w:val="12"/>
        <w:adjustRightInd w:val="0"/>
        <w:snapToGrid w:val="0"/>
        <w:spacing w:before="0" w:line="440" w:lineRule="exact"/>
        <w:jc w:val="left"/>
        <w:rPr>
          <w:rFonts w:ascii="黑体" w:hAnsi="黑体" w:eastAsia="黑体" w:cs="黑体"/>
          <w:sz w:val="32"/>
          <w:szCs w:val="36"/>
        </w:rPr>
      </w:pPr>
      <w:r>
        <w:rPr>
          <w:rFonts w:hint="eastAsia" w:ascii="黑体" w:hAnsi="黑体" w:eastAsia="黑体" w:cs="黑体"/>
          <w:sz w:val="32"/>
          <w:szCs w:val="36"/>
        </w:rPr>
        <w:t>第五部分附表</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一、收入支出决算总表</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二、收入决算表</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三、支出决算表</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四、财政拨款收入支出决算总表</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五、财政拨款支出决算明细表</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六、一般公共预算财政拨款支出决算表</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七、一般公共预算财政拨款支出决算明细表</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八、一般公共预算财政拨款基本支出决算表</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九、一般公共预算财政拨款项目支出决算表</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十、一般公共预算财政拨款“三公”经费支出决算表</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十一、政府性基金预算财政拨款收入支出决算表</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十二、政府性基金预算财政拨款“三公”经费支出决算表</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十三、国有资本经营预算财政拨款收入支出决算表</w:t>
      </w:r>
    </w:p>
    <w:p>
      <w:pPr>
        <w:pStyle w:val="13"/>
        <w:adjustRightInd w:val="0"/>
        <w:snapToGrid w:val="0"/>
        <w:spacing w:line="440" w:lineRule="exact"/>
        <w:jc w:val="left"/>
        <w:rPr>
          <w:rFonts w:ascii="仿宋" w:hAnsi="仿宋" w:eastAsia="仿宋" w:cs="仿宋"/>
          <w:sz w:val="32"/>
          <w:szCs w:val="24"/>
        </w:rPr>
      </w:pPr>
      <w:r>
        <w:rPr>
          <w:rFonts w:hint="eastAsia" w:ascii="仿宋" w:hAnsi="仿宋" w:eastAsia="仿宋" w:cs="仿宋"/>
          <w:sz w:val="32"/>
          <w:szCs w:val="24"/>
        </w:rPr>
        <w:t>十四、国有资本经营预算财政拨款支出决算表</w:t>
      </w:r>
    </w:p>
    <w:p>
      <w:pPr>
        <w:pStyle w:val="3"/>
        <w:jc w:val="center"/>
        <w:rPr>
          <w:rFonts w:ascii="黑体" w:hAnsi="黑体" w:eastAsia="黑体" w:cs="黑体"/>
          <w:b w:val="0"/>
          <w:bCs w:val="0"/>
          <w:sz w:val="36"/>
          <w:szCs w:val="36"/>
        </w:rPr>
      </w:pPr>
    </w:p>
    <w:p>
      <w:pPr>
        <w:rPr>
          <w:rFonts w:ascii="黑体" w:hAnsi="黑体" w:eastAsia="黑体" w:cs="黑体"/>
          <w:sz w:val="36"/>
          <w:szCs w:val="36"/>
        </w:rPr>
      </w:pPr>
    </w:p>
    <w:p>
      <w:pPr>
        <w:pStyle w:val="2"/>
        <w:spacing w:before="93"/>
        <w:rPr>
          <w:rFonts w:ascii="黑体" w:hAnsi="黑体" w:eastAsia="黑体" w:cs="黑体"/>
          <w:sz w:val="36"/>
          <w:szCs w:val="36"/>
        </w:rPr>
      </w:pPr>
    </w:p>
    <w:p>
      <w:pPr>
        <w:pStyle w:val="2"/>
        <w:spacing w:before="93"/>
        <w:rPr>
          <w:rFonts w:ascii="黑体" w:hAnsi="黑体" w:eastAsia="黑体" w:cs="黑体"/>
          <w:sz w:val="36"/>
          <w:szCs w:val="36"/>
        </w:rPr>
      </w:pPr>
    </w:p>
    <w:p>
      <w:pPr>
        <w:pStyle w:val="2"/>
        <w:spacing w:before="93"/>
        <w:rPr>
          <w:rFonts w:ascii="黑体" w:hAnsi="黑体" w:eastAsia="黑体" w:cs="黑体"/>
          <w:sz w:val="36"/>
          <w:szCs w:val="36"/>
        </w:rPr>
      </w:pPr>
    </w:p>
    <w:p>
      <w:pPr>
        <w:pStyle w:val="2"/>
        <w:spacing w:before="93"/>
        <w:rPr>
          <w:rFonts w:ascii="黑体" w:hAnsi="黑体" w:eastAsia="黑体" w:cs="黑体"/>
          <w:sz w:val="36"/>
          <w:szCs w:val="36"/>
        </w:rPr>
      </w:pPr>
    </w:p>
    <w:p>
      <w:pPr>
        <w:pStyle w:val="3"/>
        <w:rPr>
          <w:rFonts w:ascii="黑体" w:hAnsi="黑体" w:eastAsia="黑体" w:cs="黑体"/>
          <w:b w:val="0"/>
          <w:bCs w:val="0"/>
          <w:sz w:val="36"/>
          <w:szCs w:val="36"/>
        </w:rPr>
      </w:pPr>
    </w:p>
    <w:p>
      <w:pPr>
        <w:rPr>
          <w:rFonts w:ascii="黑体" w:hAnsi="黑体" w:eastAsia="黑体" w:cs="黑体"/>
          <w:sz w:val="36"/>
          <w:szCs w:val="36"/>
        </w:rPr>
      </w:pPr>
    </w:p>
    <w:p>
      <w:pPr>
        <w:pStyle w:val="2"/>
        <w:spacing w:before="93"/>
        <w:rPr>
          <w:rFonts w:ascii="黑体" w:hAnsi="黑体" w:eastAsia="黑体" w:cs="黑体"/>
          <w:sz w:val="36"/>
          <w:szCs w:val="36"/>
        </w:rPr>
      </w:pPr>
    </w:p>
    <w:p>
      <w:pPr>
        <w:pStyle w:val="2"/>
        <w:spacing w:before="93"/>
        <w:rPr>
          <w:rFonts w:ascii="黑体" w:hAnsi="黑体" w:eastAsia="黑体" w:cs="黑体"/>
          <w:sz w:val="36"/>
          <w:szCs w:val="36"/>
        </w:rPr>
      </w:pPr>
    </w:p>
    <w:p>
      <w:pPr>
        <w:pStyle w:val="2"/>
        <w:spacing w:before="93"/>
        <w:rPr>
          <w:rFonts w:ascii="黑体" w:hAnsi="黑体" w:eastAsia="黑体" w:cs="黑体"/>
          <w:sz w:val="36"/>
          <w:szCs w:val="36"/>
        </w:rPr>
      </w:pPr>
    </w:p>
    <w:p>
      <w:pPr>
        <w:pStyle w:val="2"/>
        <w:spacing w:before="93"/>
        <w:rPr>
          <w:rFonts w:ascii="黑体" w:hAnsi="黑体" w:eastAsia="黑体" w:cs="黑体"/>
          <w:sz w:val="36"/>
          <w:szCs w:val="36"/>
        </w:rPr>
      </w:pPr>
    </w:p>
    <w:p>
      <w:pPr>
        <w:pStyle w:val="2"/>
        <w:spacing w:before="93"/>
        <w:rPr>
          <w:rFonts w:ascii="黑体" w:hAnsi="黑体" w:eastAsia="黑体" w:cs="黑体"/>
          <w:sz w:val="36"/>
          <w:szCs w:val="36"/>
        </w:rPr>
      </w:pPr>
    </w:p>
    <w:p>
      <w:pPr>
        <w:pStyle w:val="2"/>
        <w:spacing w:before="93"/>
        <w:rPr>
          <w:rFonts w:ascii="黑体" w:hAnsi="黑体" w:eastAsia="黑体" w:cs="黑体"/>
          <w:sz w:val="36"/>
          <w:szCs w:val="36"/>
        </w:rPr>
      </w:pPr>
    </w:p>
    <w:p>
      <w:pPr>
        <w:pStyle w:val="3"/>
        <w:spacing w:before="0" w:after="0" w:line="576" w:lineRule="exact"/>
        <w:jc w:val="center"/>
        <w:rPr>
          <w:rFonts w:ascii="宋体" w:hAnsi="宋体" w:cs="仿宋_GB2312"/>
          <w:b w:val="0"/>
          <w:color w:val="000000"/>
        </w:rPr>
      </w:pPr>
      <w:r>
        <w:rPr>
          <w:rFonts w:hint="eastAsia" w:ascii="宋体" w:hAnsi="宋体" w:cs="黑体"/>
          <w:bCs w:val="0"/>
          <w:sz w:val="36"/>
          <w:szCs w:val="36"/>
        </w:rPr>
        <w:t>第一部分</w:t>
      </w:r>
      <w:r>
        <w:rPr>
          <w:rFonts w:hint="eastAsia" w:ascii="宋体" w:hAnsi="宋体" w:cs="黑体"/>
          <w:b w:val="0"/>
          <w:bCs w:val="0"/>
          <w:sz w:val="36"/>
          <w:szCs w:val="36"/>
        </w:rPr>
        <w:t xml:space="preserve"> </w:t>
      </w:r>
      <w:r>
        <w:rPr>
          <w:rStyle w:val="20"/>
          <w:rFonts w:hint="eastAsia" w:ascii="宋体" w:hAnsi="宋体" w:cs="黑体"/>
          <w:b/>
          <w:bCs w:val="0"/>
          <w:sz w:val="36"/>
          <w:szCs w:val="36"/>
        </w:rPr>
        <w:t>部门概况</w:t>
      </w:r>
      <w:bookmarkEnd w:id="0"/>
      <w:bookmarkEnd w:id="1"/>
    </w:p>
    <w:p>
      <w:pPr>
        <w:pStyle w:val="4"/>
        <w:spacing w:before="0" w:after="0" w:line="576" w:lineRule="exact"/>
        <w:rPr>
          <w:rStyle w:val="21"/>
          <w:rFonts w:ascii="黑体" w:hAnsi="黑体" w:eastAsia="黑体" w:cs="黑体"/>
          <w:b w:val="0"/>
          <w:bCs w:val="0"/>
        </w:rPr>
      </w:pPr>
      <w:bookmarkStart w:id="7" w:name="_Toc15396600"/>
      <w:bookmarkStart w:id="8" w:name="_Toc15377197"/>
      <w:r>
        <w:rPr>
          <w:rFonts w:hint="eastAsia" w:ascii="黑体" w:hAnsi="黑体" w:eastAsia="黑体" w:cs="黑体"/>
          <w:b w:val="0"/>
          <w:bCs w:val="0"/>
          <w:color w:val="000000"/>
        </w:rPr>
        <w:t>一、基</w:t>
      </w:r>
      <w:r>
        <w:rPr>
          <w:rStyle w:val="21"/>
          <w:rFonts w:hint="eastAsia" w:ascii="黑体" w:hAnsi="黑体" w:eastAsia="黑体" w:cs="黑体"/>
          <w:b w:val="0"/>
          <w:bCs w:val="0"/>
        </w:rPr>
        <w:t>本职能及主要工作</w:t>
      </w:r>
      <w:bookmarkEnd w:id="7"/>
      <w:bookmarkEnd w:id="8"/>
      <w:bookmarkStart w:id="9" w:name="_Toc15378445"/>
      <w:bookmarkStart w:id="10" w:name="_Toc15377198"/>
    </w:p>
    <w:p>
      <w:pPr>
        <w:pStyle w:val="4"/>
        <w:spacing w:before="0" w:after="0" w:line="576" w:lineRule="exact"/>
        <w:rPr>
          <w:rFonts w:ascii="楷体" w:hAnsi="楷体" w:eastAsia="楷体" w:cs="楷体"/>
          <w:b w:val="0"/>
          <w:bCs w:val="0"/>
          <w:color w:val="000000"/>
        </w:rPr>
      </w:pPr>
      <w:r>
        <w:rPr>
          <w:rFonts w:hint="eastAsia" w:ascii="楷体" w:hAnsi="楷体" w:eastAsia="楷体" w:cs="楷体"/>
          <w:b w:val="0"/>
          <w:bCs w:val="0"/>
          <w:color w:val="000000"/>
        </w:rPr>
        <w:t>（一）主要职能。</w:t>
      </w:r>
      <w:bookmarkEnd w:id="9"/>
      <w:bookmarkEnd w:id="10"/>
      <w:bookmarkStart w:id="11" w:name="_Toc15378446"/>
      <w:bookmarkStart w:id="12" w:name="_Toc15377199"/>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1</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制定和组织实施经济、科技和社会发展计划，制定资源开发技术改造和产业结构调整方案，组织指导好各业生产，搞好商品流通，协调好本</w:t>
      </w:r>
      <w:r>
        <w:rPr>
          <w:rFonts w:hint="eastAsia" w:ascii="仿宋" w:hAnsi="仿宋" w:eastAsia="仿宋" w:cs="仿宋"/>
          <w:bCs/>
          <w:color w:val="000000"/>
          <w:kern w:val="0"/>
          <w:sz w:val="32"/>
          <w:szCs w:val="32"/>
          <w:lang w:eastAsia="zh-CN"/>
        </w:rPr>
        <w:t>镇</w:t>
      </w:r>
      <w:r>
        <w:rPr>
          <w:rFonts w:hint="eastAsia" w:ascii="仿宋" w:hAnsi="仿宋" w:eastAsia="仿宋" w:cs="仿宋"/>
          <w:bCs/>
          <w:color w:val="000000"/>
          <w:kern w:val="0"/>
          <w:sz w:val="32"/>
          <w:szCs w:val="32"/>
        </w:rPr>
        <w:t>与外地区的经济交流与合作，抓好招商引资，人才引进项目开发，不断培育市场体系，组织经济运行，促进经济发展。</w:t>
      </w:r>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2</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 xml:space="preserve">制定并组织实施乡、村建设规划，部署重点工程建设，地方道路建设及公共设施，水利设施的管理，负责土地、林木、水等自然资源和生态环境的保护，做好护林防火工作。                  </w:t>
      </w:r>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3</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4</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 xml:space="preserve">按计划组织本级财政收入和地方税的征收，完成国家财政计划，不断培植税源，管好财政资金，增强财政实力。   </w:t>
      </w:r>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5</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抓好精神文明建设，丰富群众文化生活，提倡移风易俗，反对封建迷信，破除陈规陋习，树立社会主义新风尚。</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bCs/>
          <w:color w:val="000000"/>
          <w:kern w:val="0"/>
          <w:sz w:val="32"/>
          <w:szCs w:val="32"/>
        </w:rPr>
        <w:t>6</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完成上级政府交办</w:t>
      </w:r>
      <w:r>
        <w:rPr>
          <w:rFonts w:hint="eastAsia" w:ascii="仿宋" w:hAnsi="仿宋" w:eastAsia="仿宋" w:cs="仿宋"/>
          <w:bCs/>
          <w:color w:val="000000"/>
          <w:kern w:val="0"/>
          <w:sz w:val="32"/>
          <w:szCs w:val="32"/>
          <w:lang w:eastAsia="zh-CN"/>
        </w:rPr>
        <w:t>的其他事项</w:t>
      </w:r>
      <w:r>
        <w:rPr>
          <w:rFonts w:hint="eastAsia" w:ascii="仿宋" w:hAnsi="仿宋" w:eastAsia="仿宋" w:cs="仿宋"/>
          <w:bCs/>
          <w:color w:val="000000"/>
          <w:kern w:val="0"/>
          <w:sz w:val="32"/>
          <w:szCs w:val="32"/>
        </w:rPr>
        <w:t>。</w:t>
      </w:r>
    </w:p>
    <w:p>
      <w:pPr>
        <w:pStyle w:val="2"/>
        <w:adjustRightInd w:val="0"/>
        <w:snapToGrid w:val="0"/>
        <w:spacing w:beforeLines="0" w:line="576" w:lineRule="exact"/>
        <w:ind w:firstLine="672" w:firstLineChars="210"/>
        <w:outlineLvl w:val="2"/>
        <w:rPr>
          <w:rFonts w:ascii="楷体" w:hAnsi="楷体" w:eastAsia="楷体" w:cs="楷体"/>
          <w:color w:val="000000"/>
          <w:sz w:val="32"/>
          <w:szCs w:val="32"/>
        </w:rPr>
      </w:pPr>
      <w:r>
        <w:rPr>
          <w:rFonts w:hint="eastAsia" w:ascii="楷体" w:hAnsi="楷体" w:eastAsia="楷体" w:cs="楷体"/>
          <w:color w:val="000000"/>
          <w:sz w:val="32"/>
          <w:szCs w:val="32"/>
        </w:rPr>
        <w:t>（二）202</w:t>
      </w:r>
      <w:r>
        <w:rPr>
          <w:rFonts w:hint="eastAsia" w:ascii="楷体" w:hAnsi="楷体" w:eastAsia="楷体" w:cs="楷体"/>
          <w:color w:val="000000"/>
          <w:sz w:val="32"/>
          <w:szCs w:val="32"/>
          <w:lang w:val="en-US" w:eastAsia="zh-CN"/>
        </w:rPr>
        <w:t>2</w:t>
      </w:r>
      <w:r>
        <w:rPr>
          <w:rFonts w:hint="eastAsia" w:ascii="楷体" w:hAnsi="楷体" w:eastAsia="楷体" w:cs="楷体"/>
          <w:color w:val="000000"/>
          <w:sz w:val="32"/>
          <w:szCs w:val="32"/>
        </w:rPr>
        <w:t>年重点工作完成情况。</w:t>
      </w:r>
      <w:bookmarkEnd w:id="11"/>
      <w:bookmarkEnd w:id="12"/>
    </w:p>
    <w:p>
      <w:pPr>
        <w:ind w:firstLine="636" w:firstLineChars="198"/>
        <w:rPr>
          <w:rFonts w:ascii="仿宋" w:hAnsi="仿宋" w:eastAsia="仿宋"/>
          <w:sz w:val="32"/>
          <w:szCs w:val="32"/>
        </w:rPr>
      </w:pPr>
      <w:r>
        <w:rPr>
          <w:rFonts w:hint="eastAsia" w:ascii="仿宋" w:hAnsi="仿宋" w:eastAsia="仿宋"/>
          <w:b/>
          <w:bCs/>
          <w:sz w:val="32"/>
          <w:szCs w:val="32"/>
        </w:rPr>
        <w:t>1、众志成城、共克时艰，迎难而上“筑防线”。</w:t>
      </w:r>
    </w:p>
    <w:p>
      <w:pPr>
        <w:ind w:firstLine="640" w:firstLineChars="200"/>
        <w:rPr>
          <w:rFonts w:ascii="仿宋" w:hAnsi="仿宋" w:eastAsia="仿宋"/>
          <w:sz w:val="32"/>
          <w:szCs w:val="32"/>
        </w:rPr>
      </w:pPr>
      <w:r>
        <w:rPr>
          <w:rFonts w:hint="eastAsia" w:ascii="仿宋" w:hAnsi="仿宋" w:eastAsia="仿宋"/>
          <w:sz w:val="32"/>
          <w:szCs w:val="32"/>
        </w:rPr>
        <w:t>镇党委、政府始终坚持人民至上、生命至上，按照“坚定信心、同舟共济、科学防治、精准施策”的总要求，镇党委书记、镇长以身作则，靠前指挥，切实履行第一责任职责，做到守责、担责、尽责。调整优化“一办十组一专班”成员及职责，压紧压实“四方责任”，保障落实疫情防控经费29万元。扎实做好境外和中高风险地区来返乡及上级大数据推送人员排查管控等常态化工作，摸排重点地区来返乡人员8241人次，转运风险人员98人次，落实集中隔离、居家隔离、居家健康监测2465人次。设立交通卡点1处，累计出动4230人次实行24小时不间断值守，共排查8.12万人次，当好防疫“守门员”。设置核酸采样点14个，开展全员核酸检测23次，全年共完成核酸检测17万人份。派出医务人员89人次，赴成都和广元、下寺、普安等地支援抗疫。县内疫情发生期间，全镇加强管理，细化防控措施，根据上级疫情防控指挥部工作提示，及时发布中、高风险地区信息，广泛发动党员干部、人大代表、志愿服务者等力量参与疫情防控，党员干部全部下沉一线，带头参加卡点值守和日常巡查监管，履职尽责，坚守岗位，保障了人民生命财产安全。</w:t>
      </w:r>
    </w:p>
    <w:p>
      <w:pPr>
        <w:ind w:firstLine="636" w:firstLineChars="198"/>
        <w:rPr>
          <w:rFonts w:ascii="仿宋" w:hAnsi="仿宋" w:eastAsia="仿宋"/>
          <w:sz w:val="32"/>
          <w:szCs w:val="32"/>
        </w:rPr>
      </w:pPr>
      <w:r>
        <w:rPr>
          <w:rFonts w:hint="eastAsia" w:ascii="仿宋" w:hAnsi="仿宋" w:eastAsia="仿宋"/>
          <w:b/>
          <w:bCs/>
          <w:sz w:val="32"/>
          <w:szCs w:val="32"/>
        </w:rPr>
        <w:t>2、稳中求进、聚力发展，尽心竭力“稳增长”。</w:t>
      </w:r>
    </w:p>
    <w:p>
      <w:pPr>
        <w:ind w:firstLine="640" w:firstLineChars="200"/>
        <w:rPr>
          <w:rFonts w:ascii="仿宋" w:hAnsi="仿宋" w:eastAsia="仿宋"/>
          <w:sz w:val="32"/>
          <w:szCs w:val="32"/>
        </w:rPr>
      </w:pPr>
      <w:r>
        <w:rPr>
          <w:rFonts w:hint="eastAsia" w:ascii="仿宋" w:hAnsi="仿宋" w:eastAsia="仿宋"/>
          <w:sz w:val="32"/>
          <w:szCs w:val="32"/>
        </w:rPr>
        <w:t>经济活力持续增强。扎实推进项目投资，2022年完成固定资产投资9435.6万元，完成全年任务104%。完成招商引资项目2个7150万元，实施人饮工程3处铺设管网，武庵，双坪，三元管网当前已完成31820米。完成一般公共预算收入1680万元，实现了“三保”目标。开源节流防范化解债务风险，在财政十分困难的情况下偿还历史债务95万元，与去年相比增幅35%。</w:t>
      </w:r>
    </w:p>
    <w:p>
      <w:pPr>
        <w:ind w:firstLine="640" w:firstLineChars="200"/>
        <w:rPr>
          <w:rFonts w:ascii="仿宋" w:hAnsi="仿宋" w:eastAsia="仿宋"/>
          <w:sz w:val="32"/>
          <w:szCs w:val="32"/>
        </w:rPr>
      </w:pPr>
      <w:r>
        <w:rPr>
          <w:rFonts w:hint="eastAsia" w:ascii="仿宋" w:hAnsi="仿宋" w:eastAsia="仿宋"/>
          <w:sz w:val="32"/>
          <w:szCs w:val="32"/>
        </w:rPr>
        <w:t>重点项目推进有力。坚决贯彻落实县委、县政府的重大决策部署，坚定不移把重大项目作为推动高质量发展的有效载体，精心组织</w:t>
      </w:r>
      <w:r>
        <w:rPr>
          <w:rFonts w:hint="eastAsia" w:ascii="仿宋" w:hAnsi="仿宋" w:eastAsia="仿宋"/>
          <w:sz w:val="32"/>
          <w:szCs w:val="32"/>
          <w:lang w:eastAsia="zh-CN"/>
        </w:rPr>
        <w:t>，</w:t>
      </w:r>
      <w:r>
        <w:rPr>
          <w:rFonts w:hint="eastAsia" w:ascii="仿宋" w:hAnsi="仿宋" w:eastAsia="仿宋"/>
          <w:sz w:val="32"/>
          <w:szCs w:val="32"/>
        </w:rPr>
        <w:t>积极配合</w:t>
      </w:r>
      <w:r>
        <w:rPr>
          <w:rFonts w:hint="eastAsia" w:ascii="仿宋" w:hAnsi="仿宋" w:eastAsia="仿宋"/>
          <w:sz w:val="32"/>
          <w:szCs w:val="32"/>
          <w:lang w:eastAsia="zh-CN"/>
        </w:rPr>
        <w:t>，</w:t>
      </w:r>
      <w:r>
        <w:rPr>
          <w:rFonts w:hint="eastAsia" w:ascii="仿宋" w:hAnsi="仿宋" w:eastAsia="仿宋"/>
          <w:sz w:val="32"/>
          <w:szCs w:val="32"/>
        </w:rPr>
        <w:t>攻坚克难</w:t>
      </w:r>
      <w:r>
        <w:rPr>
          <w:rFonts w:hint="eastAsia" w:ascii="仿宋" w:hAnsi="仿宋" w:eastAsia="仿宋"/>
          <w:sz w:val="32"/>
          <w:szCs w:val="32"/>
          <w:lang w:eastAsia="zh-CN"/>
        </w:rPr>
        <w:t>，</w:t>
      </w:r>
      <w:r>
        <w:rPr>
          <w:rFonts w:hint="eastAsia" w:ascii="仿宋" w:hAnsi="仿宋" w:eastAsia="仿宋"/>
          <w:sz w:val="32"/>
          <w:szCs w:val="32"/>
        </w:rPr>
        <w:t>全力推进G5京昆高速绵广扩容项目、山区公路改善工程（二期）以及中广核西庙风电项目征地拆迁和矛盾调处工作</w:t>
      </w:r>
      <w:r>
        <w:rPr>
          <w:rFonts w:hint="eastAsia" w:ascii="仿宋" w:hAnsi="仿宋" w:eastAsia="仿宋"/>
          <w:sz w:val="32"/>
          <w:szCs w:val="32"/>
          <w:lang w:eastAsia="zh-CN"/>
        </w:rPr>
        <w:t>，</w:t>
      </w:r>
      <w:r>
        <w:rPr>
          <w:rFonts w:hint="eastAsia" w:ascii="仿宋" w:hAnsi="仿宋" w:eastAsia="仿宋"/>
          <w:sz w:val="32"/>
          <w:szCs w:val="32"/>
        </w:rPr>
        <w:t>确保了重点工程准时开工和计划推进。投资543万元稳步实施干部周转房建设，不仅改善干部住宿条件，还加快补齐场镇活动场地和停车场等基础设施短板。</w:t>
      </w:r>
    </w:p>
    <w:p>
      <w:pPr>
        <w:ind w:firstLine="632" w:firstLineChars="197"/>
        <w:rPr>
          <w:rFonts w:ascii="仿宋" w:hAnsi="仿宋" w:eastAsia="仿宋"/>
          <w:sz w:val="32"/>
          <w:szCs w:val="32"/>
        </w:rPr>
      </w:pPr>
      <w:r>
        <w:rPr>
          <w:rFonts w:hint="eastAsia" w:ascii="仿宋" w:hAnsi="仿宋" w:eastAsia="仿宋"/>
          <w:b/>
          <w:bCs/>
          <w:sz w:val="32"/>
          <w:szCs w:val="32"/>
        </w:rPr>
        <w:t>3、凝心聚力，真抓实干，乡村振兴“展新颜”。</w:t>
      </w:r>
    </w:p>
    <w:p>
      <w:pPr>
        <w:ind w:firstLine="640" w:firstLineChars="200"/>
        <w:rPr>
          <w:rFonts w:ascii="仿宋" w:hAnsi="仿宋" w:eastAsia="仿宋"/>
          <w:sz w:val="32"/>
          <w:szCs w:val="32"/>
        </w:rPr>
      </w:pPr>
      <w:r>
        <w:rPr>
          <w:rFonts w:hint="eastAsia" w:ascii="仿宋" w:hAnsi="仿宋" w:eastAsia="仿宋"/>
          <w:sz w:val="32"/>
          <w:szCs w:val="32"/>
        </w:rPr>
        <w:t>持续巩固脱贫成果。严格落实“四个不摘”，坚持队伍不撤、力度不减，扎实开展结对走访，全镇干部43名帮扶人全覆盖结对脱贫户、边缘易致贫户、突发严重困难户388户1001人，及时准确核实风险线索108条，精心制定一户一策帮扶计划，落实落细帮扶政策，巩固脱贫攻坚成果。武五村成功创建四川省生态园林村、乡村振兴示范村。</w:t>
      </w:r>
    </w:p>
    <w:p>
      <w:pPr>
        <w:ind w:firstLine="640" w:firstLineChars="200"/>
        <w:rPr>
          <w:rFonts w:ascii="仿宋" w:hAnsi="仿宋" w:eastAsia="仿宋"/>
          <w:sz w:val="32"/>
          <w:szCs w:val="32"/>
        </w:rPr>
      </w:pPr>
      <w:r>
        <w:rPr>
          <w:rFonts w:hint="eastAsia" w:ascii="仿宋" w:hAnsi="仿宋" w:eastAsia="仿宋"/>
          <w:sz w:val="32"/>
          <w:szCs w:val="32"/>
        </w:rPr>
        <w:t xml:space="preserve">加速建设美丽乡村。以农村人居环境整治为抓手，持续完善农村基础设施，乡村环境面貌显著变化。硬化村道路7.8公里，窄路扩宽4.2公里，改造水利设施3处，实施农村安全饮水工程3处，厕所革命185户，农村环境更加干净整洁有序、生活条件更加便捷舒适。 </w:t>
      </w:r>
    </w:p>
    <w:p>
      <w:pPr>
        <w:ind w:firstLine="640" w:firstLineChars="200"/>
        <w:rPr>
          <w:rFonts w:ascii="仿宋" w:hAnsi="仿宋" w:eastAsia="仿宋"/>
          <w:sz w:val="32"/>
          <w:szCs w:val="32"/>
        </w:rPr>
      </w:pPr>
      <w:r>
        <w:rPr>
          <w:rFonts w:hint="eastAsia" w:ascii="仿宋" w:hAnsi="仿宋" w:eastAsia="仿宋"/>
          <w:sz w:val="32"/>
          <w:szCs w:val="32"/>
        </w:rPr>
        <w:t>农业基础持续夯实。坚持长短结合、种养并进。今年来，完成小春粮食播种面积3.1871万亩、大春粮食播种面积3.3361万亩，全面完成3849.61亩大豆玉米复合种植任务；全年累计出栏生猪4.8458万头，肉牛1804头。累计拨付耕地地力保护补贴、一次性种粮补贴等各项强农惠农补助资金723.148687万元，保障农民种粮收益，提高农民种粮积极性。建成存栏1200头肉牛羊养殖小区一个、存栏4800头猪场一个、存栏200头肉牛村集体经济养殖场和存栏100头肉牛养殖场各一个。高标准建设枣垭村寨子梁林果产业园，累计投入各类资金620万元，新建硬化道路9.6公里、整治病险山坪塘4口、建设提灌站一处。安装猕猴桃、沃柑滴灌输配给水管68000米，输水管道6036米，进一步促进产业提质增效，园区提档升级。加快林业产业高质量发展，重点实施林药一体化栽培模式，招引业主投资185万元，新建武庵林药产业园，通过土地整理，栽培优质油茶200亩、茯苓100亩。扩宽发展思路，依托新桥社区冻库项目，以村集体经济合作社为依托，会同中铁五局合资建设1000㎡果蔬分拣物流大棚，既解决高速公路项目建设的痛点难点问题，又扩充村集体资产，为发展壮大村级集体经济奠定了坚实基础。</w:t>
      </w:r>
    </w:p>
    <w:p>
      <w:pPr>
        <w:ind w:firstLine="636" w:firstLineChars="198"/>
        <w:rPr>
          <w:rFonts w:ascii="仿宋" w:hAnsi="仿宋" w:eastAsia="仿宋"/>
          <w:sz w:val="32"/>
          <w:szCs w:val="32"/>
        </w:rPr>
      </w:pPr>
      <w:r>
        <w:rPr>
          <w:rFonts w:hint="eastAsia" w:ascii="仿宋" w:hAnsi="仿宋" w:eastAsia="仿宋"/>
          <w:b/>
          <w:bCs/>
          <w:sz w:val="32"/>
          <w:szCs w:val="32"/>
        </w:rPr>
        <w:t>4、情牵百姓、化解难题，以人为本“惠民生”。</w:t>
      </w:r>
    </w:p>
    <w:p>
      <w:pPr>
        <w:ind w:firstLine="640" w:firstLineChars="200"/>
        <w:rPr>
          <w:rFonts w:ascii="仿宋" w:hAnsi="仿宋" w:eastAsia="仿宋"/>
          <w:sz w:val="32"/>
          <w:szCs w:val="32"/>
        </w:rPr>
      </w:pPr>
      <w:r>
        <w:rPr>
          <w:rFonts w:hint="eastAsia" w:ascii="仿宋" w:hAnsi="仿宋" w:eastAsia="仿宋"/>
          <w:sz w:val="32"/>
          <w:szCs w:val="32"/>
        </w:rPr>
        <w:t>全面落实社会保障措施。社会保障更加有力。城乡居民基本养老保险、基本医疗保险实现全覆盖，参保人数逐年递增。充分利用民政兜底、养老保障、医疗救助等政策，针对困难人群，精准落实低保兜底750户1146人、医疗救助34人、临时救助42人，发放最低生活保障资金365.9万元</w:t>
      </w:r>
      <w:r>
        <w:rPr>
          <w:rFonts w:hint="eastAsia" w:ascii="仿宋" w:hAnsi="仿宋" w:eastAsia="仿宋"/>
          <w:sz w:val="32"/>
          <w:szCs w:val="32"/>
          <w:lang w:eastAsia="zh-CN"/>
        </w:rPr>
        <w:t>，</w:t>
      </w:r>
      <w:r>
        <w:rPr>
          <w:rFonts w:hint="eastAsia" w:ascii="仿宋" w:hAnsi="仿宋" w:eastAsia="仿宋"/>
          <w:sz w:val="32"/>
          <w:szCs w:val="32"/>
        </w:rPr>
        <w:t>医疗救治资金34.24万元</w:t>
      </w:r>
      <w:r>
        <w:rPr>
          <w:rFonts w:hint="eastAsia" w:ascii="仿宋" w:hAnsi="仿宋" w:eastAsia="仿宋"/>
          <w:sz w:val="32"/>
          <w:szCs w:val="32"/>
          <w:lang w:eastAsia="zh-CN"/>
        </w:rPr>
        <w:t>，</w:t>
      </w:r>
      <w:r>
        <w:rPr>
          <w:rFonts w:hint="eastAsia" w:ascii="仿宋" w:hAnsi="仿宋" w:eastAsia="仿宋"/>
          <w:sz w:val="32"/>
          <w:szCs w:val="32"/>
        </w:rPr>
        <w:t>发放各类临时救助资金5.7万元。为440名高龄老人发放补贴20.8万余元。走访困难党员群众</w:t>
      </w:r>
      <w:r>
        <w:rPr>
          <w:rFonts w:ascii="仿宋" w:hAnsi="仿宋" w:eastAsia="仿宋"/>
          <w:sz w:val="32"/>
          <w:szCs w:val="32"/>
        </w:rPr>
        <w:t>54</w:t>
      </w:r>
      <w:r>
        <w:rPr>
          <w:rFonts w:hint="eastAsia" w:ascii="仿宋" w:hAnsi="仿宋" w:eastAsia="仿宋"/>
          <w:sz w:val="32"/>
          <w:szCs w:val="32"/>
        </w:rPr>
        <w:t>人次，走访退役军人493人、发放重点优抚对象慰问金1.85万元。</w:t>
      </w:r>
    </w:p>
    <w:p>
      <w:pPr>
        <w:ind w:firstLine="640" w:firstLineChars="200"/>
        <w:rPr>
          <w:rFonts w:ascii="仿宋" w:hAnsi="仿宋" w:eastAsia="仿宋"/>
          <w:sz w:val="32"/>
          <w:szCs w:val="32"/>
        </w:rPr>
      </w:pPr>
      <w:r>
        <w:rPr>
          <w:rFonts w:hint="eastAsia" w:ascii="仿宋" w:hAnsi="仿宋" w:eastAsia="仿宋"/>
          <w:sz w:val="32"/>
          <w:szCs w:val="32"/>
        </w:rPr>
        <w:t>积极做好就业稳岗工作。全年累计开发公益性岗位120个，就地就近安置就业120人；开展“送岗位、送信息”活动2场次，发布用工信息141余条</w:t>
      </w:r>
      <w:r>
        <w:rPr>
          <w:rFonts w:hint="eastAsia" w:ascii="仿宋" w:hAnsi="仿宋" w:eastAsia="仿宋"/>
          <w:sz w:val="32"/>
          <w:szCs w:val="32"/>
          <w:lang w:eastAsia="zh-CN"/>
        </w:rPr>
        <w:t>，</w:t>
      </w:r>
      <w:r>
        <w:rPr>
          <w:rFonts w:hint="eastAsia" w:ascii="仿宋" w:hAnsi="仿宋" w:eastAsia="仿宋"/>
          <w:sz w:val="32"/>
          <w:szCs w:val="32"/>
        </w:rPr>
        <w:t>累计培训农村劳动力292余人（其中贫困户136人）；发放创业担保贴息贷款15笔近300万元</w:t>
      </w:r>
      <w:r>
        <w:rPr>
          <w:rFonts w:hint="eastAsia" w:ascii="仿宋" w:hAnsi="仿宋" w:eastAsia="仿宋"/>
          <w:sz w:val="32"/>
          <w:szCs w:val="32"/>
          <w:lang w:eastAsia="zh-CN"/>
        </w:rPr>
        <w:t>，</w:t>
      </w:r>
      <w:r>
        <w:rPr>
          <w:rFonts w:hint="eastAsia" w:ascii="仿宋" w:hAnsi="仿宋" w:eastAsia="仿宋"/>
          <w:sz w:val="32"/>
          <w:szCs w:val="32"/>
        </w:rPr>
        <w:t>兑现创业奖补15户15万元；</w:t>
      </w:r>
    </w:p>
    <w:p>
      <w:pPr>
        <w:ind w:firstLine="640" w:firstLineChars="200"/>
        <w:rPr>
          <w:rFonts w:ascii="仿宋" w:hAnsi="仿宋" w:eastAsia="仿宋"/>
          <w:sz w:val="32"/>
          <w:szCs w:val="32"/>
        </w:rPr>
      </w:pPr>
      <w:r>
        <w:rPr>
          <w:rFonts w:hint="eastAsia" w:ascii="仿宋" w:hAnsi="仿宋" w:eastAsia="仿宋"/>
          <w:sz w:val="32"/>
          <w:szCs w:val="32"/>
        </w:rPr>
        <w:t>健全社会公共服务体系。深入实施文化惠民工程，组织文艺演出、送文化下乡、篮球赛等各类文体活动10余场次。新建镇级文化书屋，提升文化广场，文化服务多样度不断提升。推动农村房地一体确权登记，完成农房确权登记420户。持续做好拥军优属工作，办理发放退役军人优待证400人。坚持老有赡养，完成三元、新桥、兴隆三个日间照料中心建设。促进教育均衡发展，投资4万元为小学更换课桌椅。着力提高医疗服务水平，卫生事业发展稳中有进，累计门诊量38989人次，住院人数3535人次，家庭医生签约共8069人。</w:t>
      </w:r>
    </w:p>
    <w:p>
      <w:pPr>
        <w:ind w:firstLine="636" w:firstLineChars="198"/>
        <w:rPr>
          <w:rFonts w:ascii="仿宋" w:hAnsi="仿宋" w:eastAsia="仿宋"/>
          <w:sz w:val="32"/>
          <w:szCs w:val="32"/>
        </w:rPr>
      </w:pPr>
      <w:r>
        <w:rPr>
          <w:rFonts w:hint="eastAsia" w:ascii="仿宋" w:hAnsi="仿宋" w:eastAsia="仿宋"/>
          <w:b/>
          <w:bCs/>
          <w:sz w:val="32"/>
          <w:szCs w:val="32"/>
        </w:rPr>
        <w:t>5、功能完善，扩容提质，统筹推进“强治理”。</w:t>
      </w:r>
    </w:p>
    <w:p>
      <w:pPr>
        <w:ind w:firstLine="640" w:firstLineChars="200"/>
        <w:rPr>
          <w:rFonts w:ascii="仿宋" w:hAnsi="仿宋" w:eastAsia="仿宋"/>
          <w:sz w:val="32"/>
          <w:szCs w:val="32"/>
        </w:rPr>
      </w:pPr>
      <w:r>
        <w:rPr>
          <w:rFonts w:hint="eastAsia" w:ascii="仿宋" w:hAnsi="仿宋" w:eastAsia="仿宋"/>
          <w:sz w:val="32"/>
          <w:szCs w:val="32"/>
        </w:rPr>
        <w:t>生态治理成效持续巩固。坚持把生态建设作为发展镇域经济的重要支撑，推动生态环境保护和生态产业发展齐头并进。加强西河流域水环境治理，全力健全治理队伍，加强巡查督办，严格落实西河流域常年禁钓要求，处罚100余起，有效保护野生鱼类；统筹推进农村面源污染整治，规范使用农药、化肥、做好农膜回收及秸秆综合利用；以突出环境问题排查整改为抓手，排查取缔土法柏木油提炼加工作坊3家，督促企业投资120万元新建污水处理站，完成中央生态环境保护督察问题整改。推进饮用水源保护工作，新建污水收集过滤池两个，提升污水收集率，</w:t>
      </w:r>
      <w:r>
        <w:rPr>
          <w:rFonts w:hint="eastAsia" w:ascii="仿宋" w:hAnsi="仿宋" w:eastAsia="仿宋"/>
          <w:sz w:val="32"/>
          <w:szCs w:val="32"/>
          <w:lang w:eastAsia="zh-CN"/>
        </w:rPr>
        <w:t>有效</w:t>
      </w:r>
      <w:r>
        <w:rPr>
          <w:rFonts w:hint="eastAsia" w:ascii="仿宋" w:hAnsi="仿宋" w:eastAsia="仿宋"/>
          <w:sz w:val="32"/>
          <w:szCs w:val="32"/>
        </w:rPr>
        <w:t>杜绝污水直排。</w:t>
      </w:r>
    </w:p>
    <w:p>
      <w:pPr>
        <w:ind w:firstLine="640" w:firstLineChars="200"/>
        <w:rPr>
          <w:rFonts w:ascii="仿宋" w:hAnsi="仿宋" w:eastAsia="仿宋"/>
          <w:sz w:val="32"/>
          <w:szCs w:val="32"/>
        </w:rPr>
      </w:pPr>
      <w:r>
        <w:rPr>
          <w:rFonts w:hint="eastAsia" w:ascii="仿宋" w:hAnsi="仿宋" w:eastAsia="仿宋"/>
          <w:sz w:val="32"/>
          <w:szCs w:val="32"/>
        </w:rPr>
        <w:t>人居环境整治持续加力。把改善人居环境作为实施乡村振兴战略、建设生态宜居美丽家园的重要内容，加强环卫设施建设维护，增加垃圾车辆转运频率，更换添置垃圾桶12个，井盖8个，修剪各种绿植100余株，整治污水管网230米，持续深化农村人居环境整治，打造天蓝地绿、村美人和、宜居宜业宜游的美丽宜居乡村。</w:t>
      </w:r>
    </w:p>
    <w:p>
      <w:pPr>
        <w:ind w:firstLine="640" w:firstLineChars="200"/>
        <w:rPr>
          <w:rFonts w:ascii="仿宋" w:hAnsi="仿宋" w:eastAsia="仿宋"/>
          <w:sz w:val="32"/>
          <w:szCs w:val="32"/>
        </w:rPr>
      </w:pPr>
      <w:r>
        <w:rPr>
          <w:rFonts w:hint="eastAsia" w:ascii="仿宋" w:hAnsi="仿宋" w:eastAsia="仿宋"/>
          <w:sz w:val="32"/>
          <w:szCs w:val="32"/>
        </w:rPr>
        <w:t>基层治理能力持续提升。以平安建设为主线，不断完善网格化管理，积极开展防范网络电信诈骗宣传活动，扎实推进社会矛盾隐患“大排查”“大化解”，全年承办受理各类信访件223件，排查调处各类矛盾纠纷63余件，办结、化解率均达100%。认真落实意识形态工作责任制，舆情应对处置及时稳妥、有力有效。严格贯彻“安全</w:t>
      </w:r>
      <w:r>
        <w:rPr>
          <w:rFonts w:hint="eastAsia" w:ascii="仿宋" w:hAnsi="仿宋" w:eastAsia="仿宋"/>
          <w:sz w:val="32"/>
          <w:szCs w:val="32"/>
          <w:lang w:eastAsia="zh-CN"/>
        </w:rPr>
        <w:t>第一，</w:t>
      </w:r>
      <w:r>
        <w:rPr>
          <w:rFonts w:hint="eastAsia" w:ascii="仿宋" w:hAnsi="仿宋" w:eastAsia="仿宋"/>
          <w:sz w:val="32"/>
          <w:szCs w:val="32"/>
        </w:rPr>
        <w:t>预防为主、综合治理”的方针，紧盯关键风险节点，积极开展安全生产大排查大整治，共排查安全隐患183处，整改完成180处，在重点防控区域交通要道安装监控10个，全年安全生产态势平稳。</w:t>
      </w:r>
    </w:p>
    <w:p>
      <w:pPr>
        <w:ind w:firstLine="636" w:firstLineChars="198"/>
        <w:rPr>
          <w:rFonts w:ascii="仿宋" w:hAnsi="仿宋" w:eastAsia="仿宋"/>
          <w:sz w:val="32"/>
          <w:szCs w:val="32"/>
        </w:rPr>
      </w:pPr>
      <w:r>
        <w:rPr>
          <w:rFonts w:hint="eastAsia" w:ascii="仿宋" w:hAnsi="仿宋" w:eastAsia="仿宋"/>
          <w:b/>
          <w:bCs/>
          <w:sz w:val="32"/>
          <w:szCs w:val="32"/>
        </w:rPr>
        <w:t>6、改进制度、勤勉履职，从严从实“提效能”。</w:t>
      </w:r>
    </w:p>
    <w:p>
      <w:pPr>
        <w:ind w:firstLine="640" w:firstLineChars="200"/>
        <w:rPr>
          <w:rFonts w:ascii="仿宋" w:hAnsi="仿宋" w:eastAsia="仿宋"/>
          <w:sz w:val="32"/>
          <w:szCs w:val="32"/>
        </w:rPr>
      </w:pPr>
      <w:r>
        <w:rPr>
          <w:rFonts w:hint="eastAsia" w:ascii="仿宋" w:hAnsi="仿宋" w:eastAsia="仿宋"/>
          <w:sz w:val="32"/>
          <w:szCs w:val="32"/>
        </w:rPr>
        <w:t>推进法治政府建设。全面启动“八五”普法，坚持将依法行政贯穿于政府行为的全过程。扎实推进“放管服”改革，镇便民服务大厅提档升级，推进“村能办”便民服务体系建设，在行政审批事项中梳理、认领210项审批权限事项，下发村（社区）140项服务权限，43项面向群众高频事项实现“一网通办”，公共服务事项实现“应进必进”。</w:t>
      </w:r>
    </w:p>
    <w:p>
      <w:pPr>
        <w:ind w:firstLine="640" w:firstLineChars="200"/>
        <w:rPr>
          <w:rFonts w:ascii="仿宋" w:hAnsi="仿宋" w:eastAsia="仿宋"/>
          <w:sz w:val="32"/>
          <w:szCs w:val="32"/>
        </w:rPr>
      </w:pPr>
      <w:r>
        <w:rPr>
          <w:rFonts w:hint="eastAsia" w:ascii="仿宋" w:hAnsi="仿宋" w:eastAsia="仿宋"/>
          <w:sz w:val="32"/>
          <w:szCs w:val="32"/>
        </w:rPr>
        <w:t>加强廉洁政府建设。严格落实中央八项规定及其实施细则精神，树牢过“紧日子”意识，坚决杜绝铺张浪费，三公经费同比再降5%。不断强化政府内控制度建设，扎实推进审计站标准化、规范化建设。自觉接受人大监督，主动接受政治监督、法律监督、行政监督、社会监督，强化专职监督。大力支持镇纪委执纪履责，探索以有队伍、有制度、有场所、有设备、有经费、有作为“六有”标准为主抓手，大力推进乡镇纪委标准化规范化建设，建好了纪检监察“一线指挥所”，打通了监督执纪“最后一公里”，取得明显成效。</w:t>
      </w:r>
    </w:p>
    <w:p>
      <w:pPr>
        <w:spacing w:line="576" w:lineRule="exact"/>
        <w:ind w:firstLine="640" w:firstLineChars="200"/>
        <w:rPr>
          <w:rFonts w:ascii="仿宋" w:hAnsi="仿宋" w:eastAsia="仿宋" w:cs="仿宋"/>
          <w:bCs/>
          <w:color w:val="000000"/>
          <w:kern w:val="0"/>
          <w:sz w:val="32"/>
          <w:szCs w:val="32"/>
        </w:rPr>
      </w:pPr>
    </w:p>
    <w:p>
      <w:pPr>
        <w:spacing w:line="576" w:lineRule="exact"/>
        <w:ind w:firstLine="640" w:firstLineChars="200"/>
        <w:outlineLvl w:val="1"/>
        <w:rPr>
          <w:rFonts w:ascii="黑体" w:hAnsi="黑体" w:eastAsia="黑体" w:cs="黑体"/>
          <w:sz w:val="32"/>
          <w:szCs w:val="32"/>
        </w:rPr>
      </w:pPr>
      <w:bookmarkStart w:id="13" w:name="_Toc15396601"/>
      <w:bookmarkStart w:id="14" w:name="_Toc15377200"/>
      <w:r>
        <w:rPr>
          <w:rFonts w:hint="eastAsia" w:ascii="黑体" w:hAnsi="黑体" w:eastAsia="黑体" w:cs="黑体"/>
          <w:sz w:val="32"/>
          <w:szCs w:val="32"/>
        </w:rPr>
        <w:t>二、机构设置</w:t>
      </w:r>
      <w:bookmarkEnd w:id="13"/>
      <w:bookmarkEnd w:id="14"/>
    </w:p>
    <w:p>
      <w:pPr>
        <w:spacing w:line="576" w:lineRule="exact"/>
        <w:ind w:firstLine="640" w:firstLineChars="200"/>
        <w:rPr>
          <w:rFonts w:ascii="仿宋" w:hAnsi="仿宋" w:eastAsia="仿宋" w:cs="仿宋"/>
          <w:bCs/>
          <w:color w:val="000000"/>
          <w:kern w:val="0"/>
          <w:sz w:val="32"/>
          <w:szCs w:val="32"/>
        </w:rPr>
      </w:pPr>
      <w:bookmarkStart w:id="15" w:name="_Toc15377204"/>
      <w:bookmarkStart w:id="16" w:name="_Toc15396602"/>
      <w:r>
        <w:rPr>
          <w:rFonts w:hint="eastAsia" w:ascii="仿宋" w:hAnsi="仿宋" w:eastAsia="仿宋" w:cs="仿宋"/>
          <w:bCs/>
          <w:color w:val="000000"/>
          <w:kern w:val="0"/>
          <w:sz w:val="32"/>
          <w:szCs w:val="32"/>
        </w:rPr>
        <w:t>本单位下属二级单位0个，其中行政单位0个，参照公务员法管理的事业单位0个，其他事业单位0个。</w:t>
      </w:r>
    </w:p>
    <w:p>
      <w:pPr>
        <w:pStyle w:val="3"/>
        <w:spacing w:before="0" w:after="0" w:line="576" w:lineRule="exact"/>
        <w:jc w:val="center"/>
        <w:rPr>
          <w:rFonts w:ascii="宋体" w:hAnsi="宋体" w:cs="黑体"/>
          <w:b w:val="0"/>
          <w:sz w:val="36"/>
          <w:szCs w:val="36"/>
        </w:rPr>
      </w:pPr>
      <w:r>
        <w:rPr>
          <w:rFonts w:hint="eastAsia" w:ascii="宋体" w:hAnsi="宋体" w:cs="黑体"/>
          <w:bCs w:val="0"/>
          <w:color w:val="000000"/>
          <w:sz w:val="36"/>
          <w:szCs w:val="36"/>
        </w:rPr>
        <w:t>第二部分</w:t>
      </w:r>
      <w:r>
        <w:rPr>
          <w:rStyle w:val="20"/>
          <w:rFonts w:hint="eastAsia" w:ascii="宋体" w:hAnsi="宋体" w:cs="黑体"/>
          <w:b/>
          <w:bCs w:val="0"/>
          <w:sz w:val="36"/>
          <w:szCs w:val="36"/>
        </w:rPr>
        <w:t>202</w:t>
      </w:r>
      <w:r>
        <w:rPr>
          <w:rStyle w:val="20"/>
          <w:rFonts w:hint="eastAsia" w:ascii="宋体" w:hAnsi="宋体" w:cs="黑体"/>
          <w:b/>
          <w:bCs w:val="0"/>
          <w:sz w:val="36"/>
          <w:szCs w:val="36"/>
          <w:lang w:val="en-US" w:eastAsia="zh-CN"/>
        </w:rPr>
        <w:t>2</w:t>
      </w:r>
      <w:r>
        <w:rPr>
          <w:rStyle w:val="20"/>
          <w:rFonts w:hint="eastAsia" w:ascii="宋体" w:hAnsi="宋体" w:cs="黑体"/>
          <w:b/>
          <w:bCs w:val="0"/>
          <w:sz w:val="36"/>
          <w:szCs w:val="36"/>
        </w:rPr>
        <w:t>年度部门决算情况说明</w:t>
      </w:r>
      <w:bookmarkEnd w:id="15"/>
      <w:bookmarkEnd w:id="16"/>
    </w:p>
    <w:p>
      <w:pPr>
        <w:spacing w:line="576" w:lineRule="exact"/>
        <w:ind w:firstLine="640" w:firstLineChars="200"/>
        <w:outlineLvl w:val="1"/>
        <w:rPr>
          <w:rFonts w:ascii="黑体" w:hAnsi="黑体" w:eastAsia="黑体" w:cs="黑体"/>
          <w:sz w:val="32"/>
          <w:szCs w:val="32"/>
        </w:rPr>
      </w:pPr>
      <w:bookmarkStart w:id="17" w:name="_Toc15396603"/>
      <w:bookmarkStart w:id="18" w:name="_Toc15377205"/>
      <w:r>
        <w:rPr>
          <w:rFonts w:hint="eastAsia" w:ascii="黑体" w:hAnsi="黑体" w:eastAsia="黑体" w:cs="黑体"/>
          <w:sz w:val="32"/>
          <w:szCs w:val="32"/>
        </w:rPr>
        <w:t>一、收入支出决算总体情况说明</w:t>
      </w:r>
      <w:bookmarkEnd w:id="17"/>
      <w:bookmarkEnd w:id="18"/>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年武连镇人民政府本年收入合计</w:t>
      </w:r>
      <w:r>
        <w:rPr>
          <w:rFonts w:hint="eastAsia" w:ascii="仿宋" w:hAnsi="仿宋" w:eastAsia="仿宋" w:cs="仿宋"/>
          <w:bCs/>
          <w:color w:val="000000"/>
          <w:kern w:val="0"/>
          <w:sz w:val="32"/>
          <w:szCs w:val="32"/>
          <w:lang w:val="en-US" w:eastAsia="zh-CN"/>
        </w:rPr>
        <w:t>1618.60</w:t>
      </w:r>
      <w:r>
        <w:rPr>
          <w:rFonts w:hint="eastAsia" w:ascii="仿宋" w:hAnsi="仿宋" w:eastAsia="仿宋" w:cs="仿宋"/>
          <w:bCs/>
          <w:color w:val="000000"/>
          <w:kern w:val="0"/>
          <w:sz w:val="32"/>
          <w:szCs w:val="32"/>
        </w:rPr>
        <w:t>万元，</w:t>
      </w:r>
      <w:r>
        <w:rPr>
          <w:rFonts w:hint="eastAsia" w:ascii="仿宋" w:hAnsi="仿宋" w:eastAsia="仿宋" w:cs="仿宋"/>
          <w:color w:val="000000"/>
          <w:sz w:val="32"/>
          <w:szCs w:val="32"/>
          <w:lang w:val="en-US" w:eastAsia="zh-CN"/>
        </w:rPr>
        <w:t>上年结转0万</w:t>
      </w:r>
      <w:r>
        <w:rPr>
          <w:rFonts w:hint="eastAsia" w:ascii="仿宋" w:hAnsi="仿宋" w:eastAsia="仿宋" w:cs="仿宋"/>
          <w:bCs/>
          <w:color w:val="000000"/>
          <w:kern w:val="0"/>
          <w:sz w:val="32"/>
          <w:szCs w:val="32"/>
        </w:rPr>
        <w:t>。其中：财政拨款收入</w:t>
      </w:r>
      <w:r>
        <w:rPr>
          <w:rFonts w:hint="eastAsia" w:ascii="仿宋" w:hAnsi="仿宋" w:eastAsia="仿宋" w:cs="仿宋"/>
          <w:bCs/>
          <w:color w:val="000000"/>
          <w:kern w:val="0"/>
          <w:sz w:val="32"/>
          <w:szCs w:val="32"/>
          <w:lang w:val="en-US" w:eastAsia="zh-CN"/>
        </w:rPr>
        <w:t>1618.6</w:t>
      </w:r>
      <w:r>
        <w:rPr>
          <w:rFonts w:hint="eastAsia" w:ascii="仿宋" w:hAnsi="仿宋" w:eastAsia="仿宋" w:cs="仿宋"/>
          <w:bCs/>
          <w:color w:val="000000"/>
          <w:kern w:val="0"/>
          <w:sz w:val="32"/>
          <w:szCs w:val="32"/>
        </w:rPr>
        <w:t>0万元，占100%。与202</w:t>
      </w:r>
      <w:r>
        <w:rPr>
          <w:rFonts w:hint="eastAsia" w:ascii="仿宋" w:hAnsi="仿宋" w:eastAsia="仿宋" w:cs="仿宋"/>
          <w:bCs/>
          <w:color w:val="000000"/>
          <w:kern w:val="0"/>
          <w:sz w:val="32"/>
          <w:szCs w:val="32"/>
          <w:lang w:val="en-US" w:eastAsia="zh-CN"/>
        </w:rPr>
        <w:t>1</w:t>
      </w:r>
      <w:r>
        <w:rPr>
          <w:rFonts w:hint="eastAsia" w:ascii="仿宋" w:hAnsi="仿宋" w:eastAsia="仿宋" w:cs="仿宋"/>
          <w:bCs/>
          <w:color w:val="000000"/>
          <w:kern w:val="0"/>
          <w:sz w:val="32"/>
          <w:szCs w:val="32"/>
        </w:rPr>
        <w:t>年相比，增加</w:t>
      </w:r>
      <w:r>
        <w:rPr>
          <w:rFonts w:hint="eastAsia" w:ascii="仿宋" w:hAnsi="仿宋" w:eastAsia="仿宋" w:cs="仿宋"/>
          <w:bCs/>
          <w:color w:val="000000"/>
          <w:kern w:val="0"/>
          <w:sz w:val="32"/>
          <w:szCs w:val="32"/>
          <w:lang w:val="en-US" w:eastAsia="zh-CN"/>
        </w:rPr>
        <w:t>2.83</w:t>
      </w:r>
      <w:r>
        <w:rPr>
          <w:rFonts w:hint="eastAsia" w:ascii="仿宋" w:hAnsi="仿宋" w:eastAsia="仿宋" w:cs="仿宋"/>
          <w:bCs/>
          <w:color w:val="000000"/>
          <w:kern w:val="0"/>
          <w:sz w:val="32"/>
          <w:szCs w:val="32"/>
        </w:rPr>
        <w:t>%。主要变动原因是人员增多、经费增多。</w:t>
      </w:r>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年武连镇人民政府本年支出合计</w:t>
      </w:r>
      <w:r>
        <w:rPr>
          <w:rFonts w:hint="eastAsia" w:ascii="仿宋" w:hAnsi="仿宋" w:eastAsia="仿宋" w:cs="仿宋"/>
          <w:bCs/>
          <w:color w:val="000000"/>
          <w:kern w:val="0"/>
          <w:sz w:val="32"/>
          <w:szCs w:val="32"/>
          <w:lang w:val="en-US" w:eastAsia="zh-CN"/>
        </w:rPr>
        <w:t>1618.60</w:t>
      </w:r>
      <w:r>
        <w:rPr>
          <w:rFonts w:hint="eastAsia" w:ascii="仿宋" w:hAnsi="仿宋" w:eastAsia="仿宋" w:cs="仿宋"/>
          <w:bCs/>
          <w:color w:val="000000"/>
          <w:kern w:val="0"/>
          <w:sz w:val="32"/>
          <w:szCs w:val="32"/>
        </w:rPr>
        <w:t>万元，其中：基本支出</w:t>
      </w:r>
      <w:r>
        <w:rPr>
          <w:rFonts w:hint="eastAsia" w:ascii="仿宋" w:hAnsi="仿宋" w:eastAsia="仿宋" w:cs="仿宋"/>
          <w:bCs/>
          <w:color w:val="000000"/>
          <w:kern w:val="0"/>
          <w:sz w:val="32"/>
          <w:szCs w:val="32"/>
          <w:lang w:val="en-US" w:eastAsia="zh-CN"/>
        </w:rPr>
        <w:t>1181.72</w:t>
      </w:r>
      <w:r>
        <w:rPr>
          <w:rFonts w:hint="eastAsia" w:ascii="仿宋" w:hAnsi="仿宋" w:eastAsia="仿宋" w:cs="仿宋"/>
          <w:bCs/>
          <w:color w:val="000000"/>
          <w:kern w:val="0"/>
          <w:sz w:val="32"/>
          <w:szCs w:val="32"/>
        </w:rPr>
        <w:t>万元，占</w:t>
      </w:r>
      <w:r>
        <w:rPr>
          <w:rFonts w:hint="eastAsia" w:ascii="仿宋" w:hAnsi="仿宋" w:eastAsia="仿宋" w:cs="仿宋"/>
          <w:bCs/>
          <w:color w:val="000000"/>
          <w:kern w:val="0"/>
          <w:sz w:val="32"/>
          <w:szCs w:val="32"/>
          <w:lang w:val="en-US" w:eastAsia="zh-CN"/>
        </w:rPr>
        <w:t>73.01</w:t>
      </w:r>
      <w:r>
        <w:rPr>
          <w:rFonts w:hint="eastAsia" w:ascii="仿宋" w:hAnsi="仿宋" w:eastAsia="仿宋" w:cs="仿宋"/>
          <w:bCs/>
          <w:color w:val="000000"/>
          <w:kern w:val="0"/>
          <w:sz w:val="32"/>
          <w:szCs w:val="32"/>
        </w:rPr>
        <w:t>%；项目支出</w:t>
      </w:r>
      <w:r>
        <w:rPr>
          <w:rFonts w:hint="eastAsia" w:ascii="仿宋" w:hAnsi="仿宋" w:eastAsia="仿宋" w:cs="仿宋"/>
          <w:bCs/>
          <w:color w:val="000000"/>
          <w:kern w:val="0"/>
          <w:sz w:val="32"/>
          <w:szCs w:val="32"/>
          <w:lang w:val="en-US" w:eastAsia="zh-CN"/>
        </w:rPr>
        <w:t>436.87</w:t>
      </w:r>
      <w:r>
        <w:rPr>
          <w:rFonts w:hint="eastAsia" w:ascii="仿宋" w:hAnsi="仿宋" w:eastAsia="仿宋" w:cs="仿宋"/>
          <w:bCs/>
          <w:color w:val="000000"/>
          <w:kern w:val="0"/>
          <w:sz w:val="32"/>
          <w:szCs w:val="32"/>
        </w:rPr>
        <w:t>万元，占</w:t>
      </w:r>
      <w:r>
        <w:rPr>
          <w:rFonts w:hint="eastAsia" w:ascii="仿宋" w:hAnsi="仿宋" w:eastAsia="仿宋" w:cs="仿宋"/>
          <w:bCs/>
          <w:color w:val="000000"/>
          <w:kern w:val="0"/>
          <w:sz w:val="32"/>
          <w:szCs w:val="32"/>
          <w:lang w:val="en-US" w:eastAsia="zh-CN"/>
        </w:rPr>
        <w:t>26.99%</w:t>
      </w:r>
      <w:r>
        <w:rPr>
          <w:rFonts w:hint="eastAsia" w:ascii="仿宋" w:hAnsi="仿宋" w:eastAsia="仿宋" w:cs="仿宋"/>
          <w:bCs/>
          <w:color w:val="000000"/>
          <w:kern w:val="0"/>
          <w:sz w:val="32"/>
          <w:szCs w:val="32"/>
        </w:rPr>
        <w:t>。与202</w:t>
      </w:r>
      <w:r>
        <w:rPr>
          <w:rFonts w:hint="eastAsia" w:ascii="仿宋" w:hAnsi="仿宋" w:eastAsia="仿宋" w:cs="仿宋"/>
          <w:bCs/>
          <w:color w:val="000000"/>
          <w:kern w:val="0"/>
          <w:sz w:val="32"/>
          <w:szCs w:val="32"/>
          <w:lang w:val="en-US" w:eastAsia="zh-CN"/>
        </w:rPr>
        <w:t>1</w:t>
      </w:r>
      <w:r>
        <w:rPr>
          <w:rFonts w:hint="eastAsia" w:ascii="仿宋" w:hAnsi="仿宋" w:eastAsia="仿宋" w:cs="仿宋"/>
          <w:bCs/>
          <w:color w:val="000000"/>
          <w:kern w:val="0"/>
          <w:sz w:val="32"/>
          <w:szCs w:val="32"/>
        </w:rPr>
        <w:t>年相比，增加</w:t>
      </w:r>
      <w:r>
        <w:rPr>
          <w:rFonts w:hint="eastAsia" w:ascii="仿宋" w:hAnsi="仿宋" w:eastAsia="仿宋" w:cs="仿宋"/>
          <w:bCs/>
          <w:color w:val="000000"/>
          <w:kern w:val="0"/>
          <w:sz w:val="32"/>
          <w:szCs w:val="32"/>
          <w:lang w:val="en-US" w:eastAsia="zh-CN"/>
        </w:rPr>
        <w:t>2.83</w:t>
      </w:r>
      <w:r>
        <w:rPr>
          <w:rFonts w:hint="eastAsia" w:ascii="仿宋" w:hAnsi="仿宋" w:eastAsia="仿宋" w:cs="仿宋"/>
          <w:bCs/>
          <w:color w:val="000000"/>
          <w:kern w:val="0"/>
          <w:sz w:val="32"/>
          <w:szCs w:val="32"/>
        </w:rPr>
        <w:t>%。主要变动原因是人员增多、经费增多。</w:t>
      </w:r>
    </w:p>
    <w:p>
      <w:pPr>
        <w:spacing w:line="576" w:lineRule="exact"/>
        <w:ind w:firstLine="640" w:firstLineChars="200"/>
        <w:outlineLvl w:val="1"/>
        <w:rPr>
          <w:rFonts w:ascii="黑体" w:hAnsi="黑体" w:eastAsia="黑体" w:cs="黑体"/>
          <w:sz w:val="32"/>
          <w:szCs w:val="32"/>
        </w:rPr>
      </w:pPr>
      <w:bookmarkStart w:id="19" w:name="_Toc15396604"/>
      <w:bookmarkStart w:id="20" w:name="_Toc15377206"/>
      <w:r>
        <w:rPr>
          <w:rFonts w:hint="eastAsia" w:ascii="黑体" w:hAnsi="黑体" w:eastAsia="黑体" w:cs="黑体"/>
          <w:sz w:val="32"/>
          <w:szCs w:val="32"/>
        </w:rPr>
        <w:t>二、收入决算情况说明</w:t>
      </w:r>
      <w:bookmarkEnd w:id="19"/>
      <w:bookmarkEnd w:id="20"/>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年本年收入合计</w:t>
      </w:r>
      <w:r>
        <w:rPr>
          <w:rFonts w:hint="eastAsia" w:ascii="仿宋" w:hAnsi="仿宋" w:eastAsia="仿宋" w:cs="仿宋"/>
          <w:bCs/>
          <w:color w:val="000000"/>
          <w:kern w:val="0"/>
          <w:sz w:val="32"/>
          <w:szCs w:val="32"/>
          <w:lang w:val="en-US" w:eastAsia="zh-CN"/>
        </w:rPr>
        <w:t>1618.60</w:t>
      </w:r>
      <w:r>
        <w:rPr>
          <w:rFonts w:hint="eastAsia" w:ascii="仿宋" w:hAnsi="仿宋" w:eastAsia="仿宋" w:cs="仿宋"/>
          <w:bCs/>
          <w:color w:val="000000"/>
          <w:kern w:val="0"/>
          <w:sz w:val="32"/>
          <w:szCs w:val="32"/>
        </w:rPr>
        <w:t>万元，其中：一般公共预算财政拨款收入</w:t>
      </w:r>
      <w:r>
        <w:rPr>
          <w:rFonts w:hint="eastAsia" w:ascii="仿宋" w:hAnsi="仿宋" w:eastAsia="仿宋" w:cs="仿宋"/>
          <w:bCs/>
          <w:color w:val="000000"/>
          <w:kern w:val="0"/>
          <w:sz w:val="32"/>
          <w:szCs w:val="32"/>
          <w:lang w:val="en-US" w:eastAsia="zh-CN"/>
        </w:rPr>
        <w:t>1609.60</w:t>
      </w:r>
      <w:r>
        <w:rPr>
          <w:rFonts w:hint="eastAsia" w:ascii="仿宋" w:hAnsi="仿宋" w:eastAsia="仿宋" w:cs="仿宋"/>
          <w:bCs/>
          <w:color w:val="000000"/>
          <w:kern w:val="0"/>
          <w:sz w:val="32"/>
          <w:szCs w:val="32"/>
          <w:lang w:eastAsia="zh-CN"/>
        </w:rPr>
        <w:t>万</w:t>
      </w:r>
      <w:r>
        <w:rPr>
          <w:rFonts w:hint="eastAsia" w:ascii="仿宋" w:hAnsi="仿宋" w:eastAsia="仿宋" w:cs="仿宋"/>
          <w:bCs/>
          <w:color w:val="000000"/>
          <w:kern w:val="0"/>
          <w:sz w:val="32"/>
          <w:szCs w:val="32"/>
        </w:rPr>
        <w:t>元，占</w:t>
      </w:r>
      <w:r>
        <w:rPr>
          <w:rFonts w:hint="eastAsia" w:ascii="仿宋" w:hAnsi="仿宋" w:eastAsia="仿宋" w:cs="仿宋"/>
          <w:bCs/>
          <w:color w:val="000000"/>
          <w:kern w:val="0"/>
          <w:sz w:val="32"/>
          <w:szCs w:val="32"/>
          <w:lang w:val="en-US" w:eastAsia="zh-CN"/>
        </w:rPr>
        <w:t>99.44</w:t>
      </w:r>
      <w:r>
        <w:rPr>
          <w:rFonts w:hint="eastAsia" w:ascii="仿宋" w:hAnsi="仿宋" w:eastAsia="仿宋" w:cs="仿宋"/>
          <w:bCs/>
          <w:color w:val="000000"/>
          <w:kern w:val="0"/>
          <w:sz w:val="32"/>
          <w:szCs w:val="32"/>
        </w:rPr>
        <w:t>%</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政府性基金预算财政拨款收入</w:t>
      </w:r>
      <w:r>
        <w:rPr>
          <w:rFonts w:hint="eastAsia" w:ascii="仿宋" w:hAnsi="仿宋" w:eastAsia="仿宋" w:cs="仿宋"/>
          <w:bCs/>
          <w:color w:val="000000"/>
          <w:kern w:val="0"/>
          <w:sz w:val="32"/>
          <w:szCs w:val="32"/>
          <w:lang w:val="en-US" w:eastAsia="zh-CN"/>
        </w:rPr>
        <w:t>9.00</w:t>
      </w:r>
      <w:r>
        <w:rPr>
          <w:rFonts w:hint="eastAsia" w:ascii="仿宋" w:hAnsi="仿宋" w:eastAsia="仿宋" w:cs="仿宋"/>
          <w:bCs/>
          <w:color w:val="000000"/>
          <w:kern w:val="0"/>
          <w:sz w:val="32"/>
          <w:szCs w:val="32"/>
        </w:rPr>
        <w:t>万元，占</w:t>
      </w:r>
      <w:r>
        <w:rPr>
          <w:rFonts w:hint="eastAsia" w:ascii="仿宋" w:hAnsi="仿宋" w:eastAsia="仿宋" w:cs="仿宋"/>
          <w:bCs/>
          <w:color w:val="000000"/>
          <w:kern w:val="0"/>
          <w:sz w:val="32"/>
          <w:szCs w:val="32"/>
          <w:lang w:val="en-US" w:eastAsia="zh-CN"/>
        </w:rPr>
        <w:t>0.56</w:t>
      </w:r>
      <w:r>
        <w:rPr>
          <w:rFonts w:hint="eastAsia" w:ascii="仿宋" w:hAnsi="仿宋" w:eastAsia="仿宋" w:cs="仿宋"/>
          <w:bCs/>
          <w:color w:val="000000"/>
          <w:kern w:val="0"/>
          <w:sz w:val="32"/>
          <w:szCs w:val="32"/>
        </w:rPr>
        <w:t>%，国有资本经营预算财政拨款收入0 万元，占0%，事业收入0万元，占0%，经营收入0 万元，占0%，附属单位上缴收入0 万元，占0%，其他收入0万元，占0%。</w:t>
      </w:r>
    </w:p>
    <w:p>
      <w:pPr>
        <w:spacing w:line="576" w:lineRule="exact"/>
        <w:ind w:firstLine="640" w:firstLineChars="200"/>
        <w:outlineLvl w:val="1"/>
        <w:rPr>
          <w:rFonts w:ascii="黑体" w:hAnsi="黑体" w:eastAsia="黑体" w:cs="黑体"/>
          <w:sz w:val="32"/>
          <w:szCs w:val="32"/>
        </w:rPr>
      </w:pPr>
      <w:bookmarkStart w:id="21" w:name="_Toc15396605"/>
      <w:bookmarkStart w:id="22" w:name="_Toc15377207"/>
      <w:r>
        <w:rPr>
          <w:rFonts w:hint="eastAsia" w:ascii="黑体" w:hAnsi="黑体" w:eastAsia="黑体" w:cs="黑体"/>
          <w:sz w:val="32"/>
          <w:szCs w:val="32"/>
        </w:rPr>
        <w:t>三、支出决算情况说明</w:t>
      </w:r>
      <w:bookmarkEnd w:id="21"/>
      <w:bookmarkEnd w:id="22"/>
    </w:p>
    <w:p>
      <w:pPr>
        <w:spacing w:line="576" w:lineRule="exact"/>
        <w:ind w:firstLine="640" w:firstLineChars="200"/>
        <w:rPr>
          <w:rFonts w:ascii="仿宋" w:hAnsi="仿宋" w:eastAsia="仿宋" w:cs="仿宋"/>
          <w:bCs/>
          <w:color w:val="000000"/>
          <w:kern w:val="0"/>
          <w:sz w:val="32"/>
          <w:szCs w:val="32"/>
        </w:rPr>
      </w:pPr>
      <w:bookmarkStart w:id="23" w:name="_Toc15396606"/>
      <w:bookmarkStart w:id="24" w:name="_Toc15377208"/>
      <w:r>
        <w:rPr>
          <w:rFonts w:hint="eastAsia" w:ascii="仿宋" w:hAnsi="仿宋" w:eastAsia="仿宋" w:cs="仿宋"/>
          <w:bCs/>
          <w:color w:val="000000"/>
          <w:kern w:val="0"/>
          <w:sz w:val="32"/>
          <w:szCs w:val="32"/>
        </w:rPr>
        <w:t>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年本年支出合计</w:t>
      </w:r>
      <w:r>
        <w:rPr>
          <w:rFonts w:hint="eastAsia" w:ascii="仿宋" w:hAnsi="仿宋" w:eastAsia="仿宋" w:cs="仿宋"/>
          <w:bCs/>
          <w:color w:val="000000"/>
          <w:kern w:val="0"/>
          <w:sz w:val="32"/>
          <w:szCs w:val="32"/>
          <w:lang w:val="en-US" w:eastAsia="zh-CN"/>
        </w:rPr>
        <w:t>1618.60</w:t>
      </w:r>
      <w:r>
        <w:rPr>
          <w:rFonts w:hint="eastAsia" w:ascii="仿宋" w:hAnsi="仿宋" w:eastAsia="仿宋" w:cs="仿宋"/>
          <w:bCs/>
          <w:color w:val="000000"/>
          <w:kern w:val="0"/>
          <w:sz w:val="32"/>
          <w:szCs w:val="32"/>
        </w:rPr>
        <w:t>万元，其中：基本支出</w:t>
      </w:r>
      <w:r>
        <w:rPr>
          <w:rFonts w:hint="eastAsia" w:ascii="仿宋" w:hAnsi="仿宋" w:eastAsia="仿宋" w:cs="仿宋"/>
          <w:bCs/>
          <w:color w:val="000000"/>
          <w:kern w:val="0"/>
          <w:sz w:val="32"/>
          <w:szCs w:val="32"/>
          <w:lang w:val="en-US" w:eastAsia="zh-CN"/>
        </w:rPr>
        <w:t>1181.72</w:t>
      </w:r>
      <w:r>
        <w:rPr>
          <w:rFonts w:hint="eastAsia" w:ascii="仿宋" w:hAnsi="仿宋" w:eastAsia="仿宋" w:cs="仿宋"/>
          <w:bCs/>
          <w:color w:val="000000"/>
          <w:kern w:val="0"/>
          <w:sz w:val="32"/>
          <w:szCs w:val="32"/>
        </w:rPr>
        <w:t>万元，占</w:t>
      </w:r>
      <w:r>
        <w:rPr>
          <w:rFonts w:hint="eastAsia" w:ascii="仿宋" w:hAnsi="仿宋" w:eastAsia="仿宋" w:cs="仿宋"/>
          <w:bCs/>
          <w:color w:val="000000"/>
          <w:kern w:val="0"/>
          <w:sz w:val="32"/>
          <w:szCs w:val="32"/>
          <w:lang w:val="en-US" w:eastAsia="zh-CN"/>
        </w:rPr>
        <w:t>73.01</w:t>
      </w:r>
      <w:r>
        <w:rPr>
          <w:rFonts w:hint="eastAsia" w:ascii="仿宋" w:hAnsi="仿宋" w:eastAsia="仿宋" w:cs="仿宋"/>
          <w:bCs/>
          <w:color w:val="000000"/>
          <w:kern w:val="0"/>
          <w:sz w:val="32"/>
          <w:szCs w:val="32"/>
        </w:rPr>
        <w:t>%；项目支出</w:t>
      </w:r>
      <w:r>
        <w:rPr>
          <w:rFonts w:hint="eastAsia" w:ascii="仿宋" w:hAnsi="仿宋" w:eastAsia="仿宋" w:cs="仿宋"/>
          <w:bCs/>
          <w:color w:val="000000"/>
          <w:kern w:val="0"/>
          <w:sz w:val="32"/>
          <w:szCs w:val="32"/>
          <w:lang w:val="en-US" w:eastAsia="zh-CN"/>
        </w:rPr>
        <w:t>436.87</w:t>
      </w:r>
      <w:r>
        <w:rPr>
          <w:rFonts w:hint="eastAsia" w:ascii="仿宋" w:hAnsi="仿宋" w:eastAsia="仿宋" w:cs="仿宋"/>
          <w:bCs/>
          <w:color w:val="000000"/>
          <w:kern w:val="0"/>
          <w:sz w:val="32"/>
          <w:szCs w:val="32"/>
        </w:rPr>
        <w:t>万元，占</w:t>
      </w:r>
      <w:r>
        <w:rPr>
          <w:rFonts w:hint="eastAsia" w:ascii="仿宋" w:hAnsi="仿宋" w:eastAsia="仿宋" w:cs="仿宋"/>
          <w:bCs/>
          <w:color w:val="000000"/>
          <w:kern w:val="0"/>
          <w:sz w:val="32"/>
          <w:szCs w:val="32"/>
          <w:lang w:val="en-US" w:eastAsia="zh-CN"/>
        </w:rPr>
        <w:t>26.99</w:t>
      </w:r>
      <w:r>
        <w:rPr>
          <w:rFonts w:hint="eastAsia" w:ascii="仿宋" w:hAnsi="仿宋" w:eastAsia="仿宋" w:cs="仿宋"/>
          <w:bCs/>
          <w:color w:val="000000"/>
          <w:kern w:val="0"/>
          <w:sz w:val="32"/>
          <w:szCs w:val="32"/>
        </w:rPr>
        <w:t>%。上缴上级支出0万元，占0%，经营支出0万元，占0%，对附属单位补助支出</w:t>
      </w:r>
      <w:r>
        <w:rPr>
          <w:rFonts w:hint="eastAsia" w:ascii="仿宋" w:hAnsi="仿宋" w:eastAsia="仿宋" w:cs="仿宋"/>
          <w:bCs/>
          <w:color w:val="000000"/>
          <w:kern w:val="0"/>
          <w:sz w:val="32"/>
          <w:szCs w:val="32"/>
          <w:lang w:val="en-US" w:eastAsia="zh-CN"/>
        </w:rPr>
        <w:t>0</w:t>
      </w:r>
      <w:r>
        <w:rPr>
          <w:rFonts w:hint="eastAsia" w:ascii="仿宋" w:hAnsi="仿宋" w:eastAsia="仿宋" w:cs="仿宋"/>
          <w:bCs/>
          <w:color w:val="000000"/>
          <w:kern w:val="0"/>
          <w:sz w:val="32"/>
          <w:szCs w:val="32"/>
        </w:rPr>
        <w:t>万元，占0%。</w:t>
      </w:r>
    </w:p>
    <w:p>
      <w:pPr>
        <w:spacing w:line="576"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bookmarkEnd w:id="23"/>
      <w:bookmarkEnd w:id="24"/>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武连镇人民政府202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年度财政拨款收入合计</w:t>
      </w:r>
      <w:r>
        <w:rPr>
          <w:rFonts w:hint="eastAsia" w:ascii="仿宋" w:hAnsi="仿宋" w:eastAsia="仿宋" w:cs="仿宋"/>
          <w:bCs/>
          <w:color w:val="000000"/>
          <w:kern w:val="0"/>
          <w:sz w:val="32"/>
          <w:szCs w:val="32"/>
          <w:lang w:val="en-US" w:eastAsia="zh-CN"/>
        </w:rPr>
        <w:t>1618.60</w:t>
      </w:r>
      <w:r>
        <w:rPr>
          <w:rFonts w:hint="eastAsia" w:ascii="仿宋" w:hAnsi="仿宋" w:eastAsia="仿宋" w:cs="仿宋"/>
          <w:bCs/>
          <w:color w:val="000000"/>
          <w:kern w:val="0"/>
          <w:sz w:val="32"/>
          <w:szCs w:val="32"/>
        </w:rPr>
        <w:t>万元，与202</w:t>
      </w:r>
      <w:r>
        <w:rPr>
          <w:rFonts w:hint="eastAsia" w:ascii="仿宋" w:hAnsi="仿宋" w:eastAsia="仿宋" w:cs="仿宋"/>
          <w:bCs/>
          <w:color w:val="000000"/>
          <w:kern w:val="0"/>
          <w:sz w:val="32"/>
          <w:szCs w:val="32"/>
          <w:lang w:val="en-US" w:eastAsia="zh-CN"/>
        </w:rPr>
        <w:t>1</w:t>
      </w:r>
      <w:r>
        <w:rPr>
          <w:rFonts w:hint="eastAsia" w:ascii="仿宋" w:hAnsi="仿宋" w:eastAsia="仿宋" w:cs="仿宋"/>
          <w:bCs/>
          <w:color w:val="000000"/>
          <w:kern w:val="0"/>
          <w:sz w:val="32"/>
          <w:szCs w:val="32"/>
        </w:rPr>
        <w:t>年相比，增加</w:t>
      </w:r>
      <w:r>
        <w:rPr>
          <w:rFonts w:hint="eastAsia" w:ascii="仿宋" w:hAnsi="仿宋" w:eastAsia="仿宋" w:cs="仿宋"/>
          <w:bCs/>
          <w:color w:val="000000"/>
          <w:kern w:val="0"/>
          <w:sz w:val="32"/>
          <w:szCs w:val="32"/>
          <w:lang w:val="en-US" w:eastAsia="zh-CN"/>
        </w:rPr>
        <w:t>2.83</w:t>
      </w:r>
      <w:r>
        <w:rPr>
          <w:rFonts w:hint="eastAsia" w:ascii="仿宋" w:hAnsi="仿宋" w:eastAsia="仿宋" w:cs="仿宋"/>
          <w:bCs/>
          <w:color w:val="000000"/>
          <w:kern w:val="0"/>
          <w:sz w:val="32"/>
          <w:szCs w:val="32"/>
        </w:rPr>
        <w:t>%，主要变动原因是人员增多、经费增多。</w:t>
      </w:r>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支出总决算</w:t>
      </w:r>
      <w:r>
        <w:rPr>
          <w:rFonts w:hint="eastAsia" w:ascii="仿宋" w:hAnsi="仿宋" w:eastAsia="仿宋" w:cs="仿宋"/>
          <w:bCs/>
          <w:color w:val="000000"/>
          <w:kern w:val="0"/>
          <w:sz w:val="32"/>
          <w:szCs w:val="32"/>
          <w:lang w:val="en-US" w:eastAsia="zh-CN"/>
        </w:rPr>
        <w:t>1618.60</w:t>
      </w:r>
      <w:r>
        <w:rPr>
          <w:rFonts w:hint="eastAsia" w:ascii="仿宋" w:hAnsi="仿宋" w:eastAsia="仿宋" w:cs="仿宋"/>
          <w:bCs/>
          <w:color w:val="000000"/>
          <w:kern w:val="0"/>
          <w:sz w:val="32"/>
          <w:szCs w:val="32"/>
        </w:rPr>
        <w:t>万元。其中：当年支出</w:t>
      </w:r>
      <w:r>
        <w:rPr>
          <w:rFonts w:hint="eastAsia" w:ascii="仿宋" w:hAnsi="仿宋" w:eastAsia="仿宋" w:cs="仿宋"/>
          <w:bCs/>
          <w:color w:val="000000"/>
          <w:kern w:val="0"/>
          <w:sz w:val="32"/>
          <w:szCs w:val="32"/>
          <w:lang w:val="en-US" w:eastAsia="zh-CN"/>
        </w:rPr>
        <w:t>1618.60</w:t>
      </w:r>
      <w:r>
        <w:rPr>
          <w:rFonts w:hint="eastAsia" w:ascii="仿宋" w:hAnsi="仿宋" w:eastAsia="仿宋" w:cs="仿宋"/>
          <w:bCs/>
          <w:color w:val="000000"/>
          <w:kern w:val="0"/>
          <w:sz w:val="32"/>
          <w:szCs w:val="32"/>
        </w:rPr>
        <w:t>万元。与202</w:t>
      </w:r>
      <w:r>
        <w:rPr>
          <w:rFonts w:hint="eastAsia" w:ascii="仿宋" w:hAnsi="仿宋" w:eastAsia="仿宋" w:cs="仿宋"/>
          <w:bCs/>
          <w:color w:val="000000"/>
          <w:kern w:val="0"/>
          <w:sz w:val="32"/>
          <w:szCs w:val="32"/>
          <w:lang w:val="en-US" w:eastAsia="zh-CN"/>
        </w:rPr>
        <w:t>1</w:t>
      </w:r>
      <w:r>
        <w:rPr>
          <w:rFonts w:hint="eastAsia" w:ascii="仿宋" w:hAnsi="仿宋" w:eastAsia="仿宋" w:cs="仿宋"/>
          <w:bCs/>
          <w:color w:val="000000"/>
          <w:kern w:val="0"/>
          <w:sz w:val="32"/>
          <w:szCs w:val="32"/>
        </w:rPr>
        <w:t>年相比，增加</w:t>
      </w:r>
      <w:r>
        <w:rPr>
          <w:rFonts w:hint="eastAsia" w:ascii="仿宋" w:hAnsi="仿宋" w:eastAsia="仿宋" w:cs="仿宋"/>
          <w:bCs/>
          <w:color w:val="000000"/>
          <w:kern w:val="0"/>
          <w:sz w:val="32"/>
          <w:szCs w:val="32"/>
          <w:lang w:val="en-US" w:eastAsia="zh-CN"/>
        </w:rPr>
        <w:t>2.83</w:t>
      </w:r>
      <w:r>
        <w:rPr>
          <w:rFonts w:hint="eastAsia" w:ascii="仿宋" w:hAnsi="仿宋" w:eastAsia="仿宋" w:cs="仿宋"/>
          <w:bCs/>
          <w:color w:val="000000"/>
          <w:kern w:val="0"/>
          <w:sz w:val="32"/>
          <w:szCs w:val="32"/>
        </w:rPr>
        <w:t>%。主要变动原因是人员增多、经费增多。</w:t>
      </w:r>
    </w:p>
    <w:p>
      <w:pPr>
        <w:spacing w:line="576" w:lineRule="exact"/>
        <w:ind w:firstLine="640" w:firstLineChars="200"/>
        <w:outlineLvl w:val="1"/>
        <w:rPr>
          <w:rStyle w:val="21"/>
          <w:rFonts w:ascii="黑体" w:hAnsi="黑体" w:eastAsia="黑体" w:cs="黑体"/>
          <w:b w:val="0"/>
          <w:bCs w:val="0"/>
        </w:rPr>
      </w:pPr>
      <w:bookmarkStart w:id="25" w:name="_Toc15396607"/>
      <w:bookmarkStart w:id="26" w:name="_Toc15377209"/>
      <w:r>
        <w:rPr>
          <w:rFonts w:hint="eastAsia" w:ascii="黑体" w:hAnsi="黑体" w:eastAsia="黑体" w:cs="黑体"/>
          <w:sz w:val="32"/>
          <w:szCs w:val="32"/>
        </w:rPr>
        <w:t>五、一</w:t>
      </w:r>
      <w:r>
        <w:rPr>
          <w:rStyle w:val="21"/>
          <w:rFonts w:hint="eastAsia" w:ascii="黑体" w:hAnsi="黑体" w:eastAsia="黑体" w:cs="黑体"/>
          <w:b w:val="0"/>
          <w:bCs w:val="0"/>
        </w:rPr>
        <w:t>般公共预算财政拨款支出决算情况说明</w:t>
      </w:r>
      <w:bookmarkEnd w:id="25"/>
      <w:bookmarkEnd w:id="26"/>
    </w:p>
    <w:p>
      <w:pPr>
        <w:spacing w:line="576" w:lineRule="exact"/>
        <w:ind w:firstLine="640"/>
        <w:outlineLvl w:val="1"/>
        <w:rPr>
          <w:rFonts w:ascii="楷体" w:hAnsi="楷体" w:eastAsia="楷体" w:cs="楷体"/>
          <w:sz w:val="32"/>
          <w:szCs w:val="32"/>
        </w:rPr>
      </w:pPr>
      <w:bookmarkStart w:id="27" w:name="_Toc15377210"/>
      <w:r>
        <w:rPr>
          <w:rFonts w:hint="eastAsia" w:ascii="楷体" w:hAnsi="楷体" w:eastAsia="楷体" w:cs="楷体"/>
          <w:sz w:val="32"/>
          <w:szCs w:val="32"/>
        </w:rPr>
        <w:t>（一）一般公共预算财政拨款支出决算总体情况</w:t>
      </w:r>
      <w:bookmarkEnd w:id="27"/>
    </w:p>
    <w:p>
      <w:pPr>
        <w:keepNext w:val="0"/>
        <w:keepLines w:val="0"/>
        <w:pageBreakBefore w:val="0"/>
        <w:widowControl w:val="0"/>
        <w:kinsoku/>
        <w:wordWrap/>
        <w:overflowPunct/>
        <w:topLinePunct w:val="0"/>
        <w:bidi w:val="0"/>
        <w:spacing w:line="576" w:lineRule="exact"/>
        <w:ind w:left="0" w:leftChars="0" w:right="0" w:rightChars="0" w:firstLine="640" w:firstLineChars="200"/>
        <w:textAlignment w:val="auto"/>
        <w:rPr>
          <w:rFonts w:hint="default" w:ascii="仿宋_GB2312" w:eastAsia="仿宋_GB2312"/>
          <w:color w:val="000000"/>
          <w:sz w:val="32"/>
          <w:szCs w:val="32"/>
          <w:lang w:val="en-US" w:eastAsia="zh-CN"/>
        </w:rPr>
      </w:pPr>
      <w:r>
        <w:rPr>
          <w:rFonts w:hint="eastAsia" w:ascii="仿宋" w:hAnsi="仿宋" w:eastAsia="仿宋" w:cs="仿宋"/>
          <w:bCs/>
          <w:color w:val="000000"/>
          <w:kern w:val="0"/>
          <w:sz w:val="32"/>
          <w:szCs w:val="32"/>
        </w:rPr>
        <w:t>武连镇人民政府202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年度一般公共预算财政拨款支出</w:t>
      </w:r>
      <w:r>
        <w:rPr>
          <w:rFonts w:hint="eastAsia" w:ascii="仿宋" w:hAnsi="仿宋" w:eastAsia="仿宋" w:cs="仿宋"/>
          <w:bCs/>
          <w:color w:val="000000"/>
          <w:kern w:val="0"/>
          <w:sz w:val="32"/>
          <w:szCs w:val="32"/>
          <w:lang w:val="en-US" w:eastAsia="zh-CN"/>
        </w:rPr>
        <w:t>1609.60</w:t>
      </w:r>
      <w:r>
        <w:rPr>
          <w:rFonts w:hint="eastAsia" w:ascii="仿宋" w:hAnsi="仿宋" w:eastAsia="仿宋" w:cs="仿宋"/>
          <w:bCs/>
          <w:color w:val="000000"/>
          <w:kern w:val="0"/>
          <w:sz w:val="32"/>
          <w:szCs w:val="32"/>
        </w:rPr>
        <w:t>万元，占本年支出合计的</w:t>
      </w:r>
      <w:r>
        <w:rPr>
          <w:rFonts w:hint="eastAsia" w:ascii="仿宋" w:hAnsi="仿宋" w:eastAsia="仿宋" w:cs="仿宋"/>
          <w:bCs/>
          <w:color w:val="000000"/>
          <w:kern w:val="0"/>
          <w:sz w:val="32"/>
          <w:szCs w:val="32"/>
          <w:lang w:val="en-US" w:eastAsia="zh-CN"/>
        </w:rPr>
        <w:t>99.44</w:t>
      </w:r>
      <w:r>
        <w:rPr>
          <w:rFonts w:hint="eastAsia" w:ascii="仿宋" w:hAnsi="仿宋" w:eastAsia="仿宋" w:cs="仿宋"/>
          <w:bCs/>
          <w:color w:val="000000"/>
          <w:kern w:val="0"/>
          <w:sz w:val="32"/>
          <w:szCs w:val="32"/>
        </w:rPr>
        <w:t>%。与202</w:t>
      </w:r>
      <w:r>
        <w:rPr>
          <w:rFonts w:hint="eastAsia" w:ascii="仿宋" w:hAnsi="仿宋" w:eastAsia="仿宋" w:cs="仿宋"/>
          <w:bCs/>
          <w:color w:val="000000"/>
          <w:kern w:val="0"/>
          <w:sz w:val="32"/>
          <w:szCs w:val="32"/>
          <w:lang w:val="en-US" w:eastAsia="zh-CN"/>
        </w:rPr>
        <w:t>1</w:t>
      </w:r>
      <w:r>
        <w:rPr>
          <w:rFonts w:hint="eastAsia" w:ascii="仿宋" w:hAnsi="仿宋" w:eastAsia="仿宋" w:cs="仿宋"/>
          <w:bCs/>
          <w:color w:val="000000"/>
          <w:kern w:val="0"/>
          <w:sz w:val="32"/>
          <w:szCs w:val="32"/>
        </w:rPr>
        <w:t>年相比，一般公共预算财政拨款</w:t>
      </w:r>
      <w:r>
        <w:rPr>
          <w:rFonts w:hint="eastAsia" w:ascii="仿宋" w:hAnsi="仿宋" w:eastAsia="仿宋" w:cs="仿宋"/>
          <w:bCs/>
          <w:color w:val="000000"/>
          <w:kern w:val="0"/>
          <w:sz w:val="32"/>
          <w:szCs w:val="32"/>
          <w:lang w:eastAsia="zh-CN"/>
        </w:rPr>
        <w:t>减少</w:t>
      </w:r>
      <w:r>
        <w:rPr>
          <w:rFonts w:hint="eastAsia" w:ascii="仿宋" w:hAnsi="仿宋" w:eastAsia="仿宋" w:cs="仿宋"/>
          <w:bCs/>
          <w:color w:val="000000"/>
          <w:kern w:val="0"/>
          <w:sz w:val="32"/>
          <w:szCs w:val="32"/>
          <w:lang w:val="en-US" w:eastAsia="zh-CN"/>
        </w:rPr>
        <w:t>186.10</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eastAsia="zh-CN"/>
        </w:rPr>
        <w:t>减少</w:t>
      </w:r>
      <w:r>
        <w:rPr>
          <w:rFonts w:hint="eastAsia" w:ascii="仿宋" w:hAnsi="仿宋" w:eastAsia="仿宋" w:cs="仿宋"/>
          <w:bCs/>
          <w:color w:val="000000"/>
          <w:kern w:val="0"/>
          <w:sz w:val="32"/>
          <w:szCs w:val="32"/>
          <w:lang w:val="en-US" w:eastAsia="zh-CN"/>
        </w:rPr>
        <w:t>10.36</w:t>
      </w:r>
      <w:r>
        <w:rPr>
          <w:rFonts w:hint="eastAsia" w:ascii="仿宋" w:hAnsi="仿宋" w:eastAsia="仿宋" w:cs="仿宋"/>
          <w:bCs/>
          <w:color w:val="000000"/>
          <w:kern w:val="0"/>
          <w:sz w:val="32"/>
          <w:szCs w:val="32"/>
        </w:rPr>
        <w:t>%。</w:t>
      </w:r>
      <w:r>
        <w:rPr>
          <w:rFonts w:hint="eastAsia" w:ascii="仿宋_GB2312" w:eastAsia="仿宋_GB2312"/>
          <w:color w:val="000000"/>
          <w:sz w:val="32"/>
          <w:szCs w:val="32"/>
          <w:lang w:val="en-US" w:eastAsia="zh-CN"/>
        </w:rPr>
        <w:t>主要变动原因是科目调整。</w:t>
      </w:r>
    </w:p>
    <w:p>
      <w:pPr>
        <w:spacing w:line="576" w:lineRule="exact"/>
        <w:ind w:firstLine="640" w:firstLineChars="200"/>
        <w:outlineLvl w:val="1"/>
        <w:rPr>
          <w:rFonts w:ascii="楷体" w:hAnsi="楷体" w:eastAsia="楷体" w:cs="楷体"/>
          <w:sz w:val="32"/>
          <w:szCs w:val="32"/>
        </w:rPr>
      </w:pPr>
      <w:bookmarkStart w:id="28" w:name="_Toc15377211"/>
      <w:r>
        <w:rPr>
          <w:rFonts w:hint="eastAsia" w:ascii="楷体" w:hAnsi="楷体" w:eastAsia="楷体" w:cs="楷体"/>
          <w:sz w:val="32"/>
          <w:szCs w:val="32"/>
        </w:rPr>
        <w:t>（二）一般公共预算财政拨款支出决算结构情况</w:t>
      </w:r>
      <w:bookmarkEnd w:id="28"/>
    </w:p>
    <w:p>
      <w:pPr>
        <w:spacing w:line="576" w:lineRule="exact"/>
        <w:ind w:firstLine="640" w:firstLineChars="200"/>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rPr>
        <w:t>武连镇人民政府202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年一般公共预算财政拨款支出</w:t>
      </w:r>
      <w:r>
        <w:rPr>
          <w:rFonts w:hint="eastAsia" w:ascii="仿宋" w:hAnsi="仿宋" w:eastAsia="仿宋" w:cs="仿宋"/>
          <w:bCs/>
          <w:color w:val="000000"/>
          <w:kern w:val="0"/>
          <w:sz w:val="32"/>
          <w:szCs w:val="32"/>
          <w:lang w:val="en-US" w:eastAsia="zh-CN"/>
        </w:rPr>
        <w:t>1609.60</w:t>
      </w:r>
      <w:r>
        <w:rPr>
          <w:rFonts w:hint="eastAsia" w:ascii="仿宋" w:hAnsi="仿宋" w:eastAsia="仿宋" w:cs="仿宋"/>
          <w:bCs/>
          <w:color w:val="000000"/>
          <w:kern w:val="0"/>
          <w:sz w:val="32"/>
          <w:szCs w:val="32"/>
        </w:rPr>
        <w:t>万元，主要用于以下方面</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201一般公共服务支出</w:t>
      </w:r>
      <w:r>
        <w:rPr>
          <w:rFonts w:hint="eastAsia" w:ascii="仿宋" w:hAnsi="仿宋" w:eastAsia="仿宋" w:cs="仿宋"/>
          <w:bCs/>
          <w:color w:val="000000"/>
          <w:kern w:val="0"/>
          <w:sz w:val="32"/>
          <w:szCs w:val="32"/>
          <w:lang w:val="en-US" w:eastAsia="zh-CN"/>
        </w:rPr>
        <w:t>440.83</w:t>
      </w:r>
      <w:r>
        <w:rPr>
          <w:rFonts w:hint="eastAsia" w:ascii="仿宋" w:hAnsi="仿宋" w:eastAsia="仿宋" w:cs="仿宋"/>
          <w:bCs/>
          <w:color w:val="000000"/>
          <w:kern w:val="0"/>
          <w:sz w:val="32"/>
          <w:szCs w:val="32"/>
        </w:rPr>
        <w:t>万元，占</w:t>
      </w:r>
      <w:r>
        <w:rPr>
          <w:rFonts w:hint="eastAsia" w:ascii="仿宋" w:hAnsi="仿宋" w:eastAsia="仿宋" w:cs="仿宋"/>
          <w:bCs/>
          <w:color w:val="000000"/>
          <w:kern w:val="0"/>
          <w:sz w:val="32"/>
          <w:szCs w:val="32"/>
          <w:lang w:val="en-US" w:eastAsia="zh-CN"/>
        </w:rPr>
        <w:t>27.39</w:t>
      </w:r>
      <w:r>
        <w:rPr>
          <w:rFonts w:hint="eastAsia" w:ascii="仿宋" w:hAnsi="仿宋" w:eastAsia="仿宋" w:cs="仿宋"/>
          <w:bCs/>
          <w:color w:val="000000"/>
          <w:kern w:val="0"/>
          <w:sz w:val="32"/>
          <w:szCs w:val="32"/>
        </w:rPr>
        <w:t>%；203国防支出0.5</w:t>
      </w:r>
      <w:r>
        <w:rPr>
          <w:rFonts w:hint="eastAsia" w:ascii="仿宋" w:hAnsi="仿宋" w:eastAsia="仿宋" w:cs="仿宋"/>
          <w:bCs/>
          <w:color w:val="000000"/>
          <w:kern w:val="0"/>
          <w:sz w:val="32"/>
          <w:szCs w:val="32"/>
          <w:lang w:val="en-US" w:eastAsia="zh-CN"/>
        </w:rPr>
        <w:t>0</w:t>
      </w:r>
      <w:r>
        <w:rPr>
          <w:rFonts w:hint="eastAsia" w:ascii="仿宋" w:hAnsi="仿宋" w:eastAsia="仿宋" w:cs="仿宋"/>
          <w:bCs/>
          <w:color w:val="000000"/>
          <w:kern w:val="0"/>
          <w:sz w:val="32"/>
          <w:szCs w:val="32"/>
        </w:rPr>
        <w:t>万元，占0.03%；20</w:t>
      </w:r>
      <w:r>
        <w:rPr>
          <w:rFonts w:hint="eastAsia" w:ascii="仿宋" w:hAnsi="仿宋" w:eastAsia="仿宋" w:cs="仿宋"/>
          <w:bCs/>
          <w:color w:val="000000"/>
          <w:kern w:val="0"/>
          <w:sz w:val="32"/>
          <w:szCs w:val="32"/>
          <w:lang w:val="en-US" w:eastAsia="zh-CN"/>
        </w:rPr>
        <w:t>4</w:t>
      </w:r>
      <w:r>
        <w:rPr>
          <w:rFonts w:hint="eastAsia" w:ascii="仿宋" w:hAnsi="仿宋" w:eastAsia="仿宋" w:cs="仿宋"/>
          <w:bCs/>
          <w:color w:val="000000"/>
          <w:kern w:val="0"/>
          <w:sz w:val="32"/>
          <w:szCs w:val="32"/>
          <w:lang w:eastAsia="zh-CN"/>
        </w:rPr>
        <w:t>公共安全支出</w:t>
      </w:r>
      <w:r>
        <w:rPr>
          <w:rFonts w:hint="eastAsia" w:ascii="仿宋" w:hAnsi="仿宋" w:eastAsia="仿宋" w:cs="仿宋"/>
          <w:bCs/>
          <w:color w:val="000000"/>
          <w:kern w:val="0"/>
          <w:sz w:val="32"/>
          <w:szCs w:val="32"/>
          <w:lang w:val="en-US" w:eastAsia="zh-CN"/>
        </w:rPr>
        <w:t>1.00</w:t>
      </w:r>
      <w:r>
        <w:rPr>
          <w:rFonts w:hint="eastAsia" w:ascii="仿宋" w:hAnsi="仿宋" w:eastAsia="仿宋" w:cs="仿宋"/>
          <w:bCs/>
          <w:color w:val="000000"/>
          <w:kern w:val="0"/>
          <w:sz w:val="32"/>
          <w:szCs w:val="32"/>
        </w:rPr>
        <w:t>万元，占</w:t>
      </w:r>
      <w:r>
        <w:rPr>
          <w:rFonts w:hint="eastAsia" w:ascii="仿宋" w:hAnsi="仿宋" w:eastAsia="仿宋" w:cs="仿宋"/>
          <w:bCs/>
          <w:color w:val="000000"/>
          <w:kern w:val="0"/>
          <w:sz w:val="32"/>
          <w:szCs w:val="32"/>
          <w:lang w:val="en-US" w:eastAsia="zh-CN"/>
        </w:rPr>
        <w:t>0.06</w:t>
      </w:r>
      <w:r>
        <w:rPr>
          <w:rFonts w:hint="eastAsia" w:ascii="仿宋" w:hAnsi="仿宋" w:eastAsia="仿宋" w:cs="仿宋"/>
          <w:bCs/>
          <w:color w:val="000000"/>
          <w:kern w:val="0"/>
          <w:sz w:val="32"/>
          <w:szCs w:val="32"/>
        </w:rPr>
        <w:t>%；207文化体育与传媒支出</w:t>
      </w:r>
      <w:r>
        <w:rPr>
          <w:rFonts w:hint="eastAsia" w:ascii="仿宋" w:hAnsi="仿宋" w:eastAsia="仿宋" w:cs="仿宋"/>
          <w:bCs/>
          <w:color w:val="000000"/>
          <w:kern w:val="0"/>
          <w:sz w:val="32"/>
          <w:szCs w:val="32"/>
          <w:lang w:val="en-US" w:eastAsia="zh-CN"/>
        </w:rPr>
        <w:t>111.15</w:t>
      </w:r>
      <w:r>
        <w:rPr>
          <w:rFonts w:hint="eastAsia" w:ascii="仿宋" w:hAnsi="仿宋" w:eastAsia="仿宋" w:cs="仿宋"/>
          <w:bCs/>
          <w:color w:val="000000"/>
          <w:kern w:val="0"/>
          <w:sz w:val="32"/>
          <w:szCs w:val="32"/>
        </w:rPr>
        <w:t>万元，占</w:t>
      </w:r>
      <w:r>
        <w:rPr>
          <w:rFonts w:hint="eastAsia" w:ascii="仿宋" w:hAnsi="仿宋" w:eastAsia="仿宋" w:cs="仿宋"/>
          <w:bCs/>
          <w:color w:val="000000"/>
          <w:kern w:val="0"/>
          <w:sz w:val="32"/>
          <w:szCs w:val="32"/>
          <w:lang w:val="en-US" w:eastAsia="zh-CN"/>
        </w:rPr>
        <w:t>6.91</w:t>
      </w:r>
      <w:r>
        <w:rPr>
          <w:rFonts w:hint="eastAsia" w:ascii="仿宋" w:hAnsi="仿宋" w:eastAsia="仿宋" w:cs="仿宋"/>
          <w:bCs/>
          <w:color w:val="000000"/>
          <w:kern w:val="0"/>
          <w:sz w:val="32"/>
          <w:szCs w:val="32"/>
        </w:rPr>
        <w:t>%；208社会保障和就业支出</w:t>
      </w:r>
      <w:r>
        <w:rPr>
          <w:rFonts w:hint="eastAsia" w:ascii="仿宋" w:hAnsi="仿宋" w:eastAsia="仿宋" w:cs="仿宋"/>
          <w:bCs/>
          <w:color w:val="000000"/>
          <w:kern w:val="0"/>
          <w:sz w:val="32"/>
          <w:szCs w:val="32"/>
          <w:lang w:val="en-US" w:eastAsia="zh-CN"/>
        </w:rPr>
        <w:t>230.20</w:t>
      </w:r>
      <w:r>
        <w:rPr>
          <w:rFonts w:hint="eastAsia" w:ascii="仿宋" w:hAnsi="仿宋" w:eastAsia="仿宋" w:cs="仿宋"/>
          <w:bCs/>
          <w:color w:val="000000"/>
          <w:kern w:val="0"/>
          <w:sz w:val="32"/>
          <w:szCs w:val="32"/>
        </w:rPr>
        <w:t>万元，占</w:t>
      </w:r>
      <w:r>
        <w:rPr>
          <w:rFonts w:hint="eastAsia" w:ascii="仿宋" w:hAnsi="仿宋" w:eastAsia="仿宋" w:cs="仿宋"/>
          <w:bCs/>
          <w:color w:val="000000"/>
          <w:kern w:val="0"/>
          <w:sz w:val="32"/>
          <w:szCs w:val="32"/>
          <w:lang w:val="en-US" w:eastAsia="zh-CN"/>
        </w:rPr>
        <w:t>14.30</w:t>
      </w:r>
      <w:r>
        <w:rPr>
          <w:rFonts w:hint="eastAsia" w:ascii="仿宋" w:hAnsi="仿宋" w:eastAsia="仿宋" w:cs="仿宋"/>
          <w:bCs/>
          <w:color w:val="000000"/>
          <w:kern w:val="0"/>
          <w:sz w:val="32"/>
          <w:szCs w:val="32"/>
        </w:rPr>
        <w:t>%；210</w:t>
      </w:r>
      <w:r>
        <w:rPr>
          <w:rFonts w:hint="eastAsia" w:ascii="仿宋" w:hAnsi="仿宋" w:eastAsia="仿宋" w:cs="仿宋"/>
          <w:bCs/>
          <w:color w:val="000000"/>
          <w:kern w:val="0"/>
          <w:sz w:val="32"/>
          <w:szCs w:val="32"/>
          <w:lang w:eastAsia="zh-CN"/>
        </w:rPr>
        <w:t>卫生健康</w:t>
      </w:r>
      <w:r>
        <w:rPr>
          <w:rFonts w:hint="eastAsia" w:ascii="仿宋" w:hAnsi="仿宋" w:eastAsia="仿宋" w:cs="仿宋"/>
          <w:bCs/>
          <w:color w:val="000000"/>
          <w:kern w:val="0"/>
          <w:sz w:val="32"/>
          <w:szCs w:val="32"/>
        </w:rPr>
        <w:t>支出</w:t>
      </w:r>
      <w:r>
        <w:rPr>
          <w:rFonts w:hint="eastAsia" w:ascii="仿宋" w:hAnsi="仿宋" w:eastAsia="仿宋" w:cs="仿宋"/>
          <w:bCs/>
          <w:color w:val="000000"/>
          <w:kern w:val="0"/>
          <w:sz w:val="32"/>
          <w:szCs w:val="32"/>
          <w:lang w:val="en-US" w:eastAsia="zh-CN"/>
        </w:rPr>
        <w:t>44.05</w:t>
      </w:r>
      <w:r>
        <w:rPr>
          <w:rFonts w:hint="eastAsia" w:ascii="仿宋" w:hAnsi="仿宋" w:eastAsia="仿宋" w:cs="仿宋"/>
          <w:bCs/>
          <w:color w:val="000000"/>
          <w:kern w:val="0"/>
          <w:sz w:val="32"/>
          <w:szCs w:val="32"/>
        </w:rPr>
        <w:t>万元，占</w:t>
      </w:r>
      <w:r>
        <w:rPr>
          <w:rFonts w:hint="eastAsia" w:ascii="仿宋" w:hAnsi="仿宋" w:eastAsia="仿宋" w:cs="仿宋"/>
          <w:bCs/>
          <w:color w:val="000000"/>
          <w:kern w:val="0"/>
          <w:sz w:val="32"/>
          <w:szCs w:val="32"/>
          <w:lang w:val="en-US" w:eastAsia="zh-CN"/>
        </w:rPr>
        <w:t>2.74</w:t>
      </w:r>
      <w:r>
        <w:rPr>
          <w:rFonts w:hint="eastAsia" w:ascii="仿宋" w:hAnsi="仿宋" w:eastAsia="仿宋" w:cs="仿宋"/>
          <w:bCs/>
          <w:color w:val="000000"/>
          <w:kern w:val="0"/>
          <w:sz w:val="32"/>
          <w:szCs w:val="32"/>
        </w:rPr>
        <w:t>%；212城乡社区支出</w:t>
      </w:r>
      <w:r>
        <w:rPr>
          <w:rFonts w:hint="eastAsia" w:ascii="仿宋" w:hAnsi="仿宋" w:eastAsia="仿宋" w:cs="仿宋"/>
          <w:bCs/>
          <w:color w:val="000000"/>
          <w:kern w:val="0"/>
          <w:sz w:val="32"/>
          <w:szCs w:val="32"/>
          <w:lang w:val="en-US" w:eastAsia="zh-CN"/>
        </w:rPr>
        <w:t>29.43</w:t>
      </w:r>
      <w:r>
        <w:rPr>
          <w:rFonts w:hint="eastAsia" w:ascii="仿宋" w:hAnsi="仿宋" w:eastAsia="仿宋" w:cs="仿宋"/>
          <w:bCs/>
          <w:color w:val="000000"/>
          <w:kern w:val="0"/>
          <w:sz w:val="32"/>
          <w:szCs w:val="32"/>
        </w:rPr>
        <w:t>万元，占</w:t>
      </w:r>
      <w:r>
        <w:rPr>
          <w:rFonts w:hint="eastAsia" w:ascii="仿宋" w:hAnsi="仿宋" w:eastAsia="仿宋" w:cs="仿宋"/>
          <w:bCs/>
          <w:color w:val="000000"/>
          <w:kern w:val="0"/>
          <w:sz w:val="32"/>
          <w:szCs w:val="32"/>
          <w:lang w:val="en-US" w:eastAsia="zh-CN"/>
        </w:rPr>
        <w:t>1.83</w:t>
      </w:r>
      <w:r>
        <w:rPr>
          <w:rFonts w:hint="eastAsia" w:ascii="仿宋" w:hAnsi="仿宋" w:eastAsia="仿宋" w:cs="仿宋"/>
          <w:bCs/>
          <w:color w:val="000000"/>
          <w:kern w:val="0"/>
          <w:sz w:val="32"/>
          <w:szCs w:val="32"/>
        </w:rPr>
        <w:t>%；213农林水支出</w:t>
      </w:r>
      <w:r>
        <w:rPr>
          <w:rFonts w:hint="eastAsia" w:ascii="仿宋" w:hAnsi="仿宋" w:eastAsia="仿宋" w:cs="仿宋"/>
          <w:bCs/>
          <w:color w:val="000000"/>
          <w:kern w:val="0"/>
          <w:sz w:val="32"/>
          <w:szCs w:val="32"/>
          <w:lang w:val="en-US" w:eastAsia="zh-CN"/>
        </w:rPr>
        <w:t>686.36</w:t>
      </w:r>
      <w:r>
        <w:rPr>
          <w:rFonts w:hint="eastAsia" w:ascii="仿宋" w:hAnsi="仿宋" w:eastAsia="仿宋" w:cs="仿宋"/>
          <w:bCs/>
          <w:color w:val="000000"/>
          <w:kern w:val="0"/>
          <w:sz w:val="32"/>
          <w:szCs w:val="32"/>
        </w:rPr>
        <w:t>万元，占</w:t>
      </w:r>
      <w:r>
        <w:rPr>
          <w:rFonts w:hint="eastAsia" w:ascii="仿宋" w:hAnsi="仿宋" w:eastAsia="仿宋" w:cs="仿宋"/>
          <w:bCs/>
          <w:color w:val="000000"/>
          <w:kern w:val="0"/>
          <w:sz w:val="32"/>
          <w:szCs w:val="32"/>
          <w:lang w:val="en-US" w:eastAsia="zh-CN"/>
        </w:rPr>
        <w:t>42.64</w:t>
      </w:r>
      <w:r>
        <w:rPr>
          <w:rFonts w:hint="eastAsia" w:ascii="仿宋" w:hAnsi="仿宋" w:eastAsia="仿宋" w:cs="仿宋"/>
          <w:bCs/>
          <w:color w:val="000000"/>
          <w:kern w:val="0"/>
          <w:sz w:val="32"/>
          <w:szCs w:val="32"/>
        </w:rPr>
        <w:t>%；221住房保障支出66.0</w:t>
      </w:r>
      <w:r>
        <w:rPr>
          <w:rFonts w:hint="eastAsia" w:ascii="仿宋" w:hAnsi="仿宋" w:eastAsia="仿宋" w:cs="仿宋"/>
          <w:bCs/>
          <w:color w:val="000000"/>
          <w:kern w:val="0"/>
          <w:sz w:val="32"/>
          <w:szCs w:val="32"/>
          <w:lang w:val="en-US" w:eastAsia="zh-CN"/>
        </w:rPr>
        <w:t>8</w:t>
      </w:r>
      <w:r>
        <w:rPr>
          <w:rFonts w:hint="eastAsia" w:ascii="仿宋" w:hAnsi="仿宋" w:eastAsia="仿宋" w:cs="仿宋"/>
          <w:bCs/>
          <w:color w:val="000000"/>
          <w:kern w:val="0"/>
          <w:sz w:val="32"/>
          <w:szCs w:val="32"/>
        </w:rPr>
        <w:t>万元，占</w:t>
      </w:r>
      <w:r>
        <w:rPr>
          <w:rFonts w:hint="eastAsia" w:ascii="仿宋" w:hAnsi="仿宋" w:eastAsia="仿宋" w:cs="仿宋"/>
          <w:bCs/>
          <w:color w:val="000000"/>
          <w:kern w:val="0"/>
          <w:sz w:val="32"/>
          <w:szCs w:val="32"/>
          <w:lang w:val="en-US" w:eastAsia="zh-CN"/>
        </w:rPr>
        <w:t>4.10</w:t>
      </w:r>
      <w:r>
        <w:rPr>
          <w:rFonts w:hint="eastAsia" w:ascii="仿宋" w:hAnsi="仿宋" w:eastAsia="仿宋" w:cs="仿宋"/>
          <w:bCs/>
          <w:color w:val="000000"/>
          <w:kern w:val="0"/>
          <w:sz w:val="32"/>
          <w:szCs w:val="32"/>
        </w:rPr>
        <w:t>%</w:t>
      </w:r>
      <w:r>
        <w:rPr>
          <w:rFonts w:hint="eastAsia" w:ascii="仿宋" w:hAnsi="仿宋" w:eastAsia="仿宋" w:cs="仿宋"/>
          <w:bCs/>
          <w:color w:val="000000"/>
          <w:kern w:val="0"/>
          <w:sz w:val="32"/>
          <w:szCs w:val="32"/>
          <w:lang w:eastAsia="zh-CN"/>
        </w:rPr>
        <w:t>。</w:t>
      </w:r>
    </w:p>
    <w:p>
      <w:pPr>
        <w:spacing w:line="576" w:lineRule="exact"/>
        <w:ind w:firstLine="640"/>
        <w:outlineLvl w:val="1"/>
        <w:rPr>
          <w:rFonts w:ascii="楷体" w:hAnsi="楷体" w:eastAsia="楷体" w:cs="楷体"/>
          <w:sz w:val="32"/>
          <w:szCs w:val="32"/>
        </w:rPr>
      </w:pPr>
      <w:bookmarkStart w:id="29" w:name="_Toc15377212"/>
      <w:r>
        <w:rPr>
          <w:rFonts w:hint="eastAsia" w:ascii="楷体" w:hAnsi="楷体" w:eastAsia="楷体" w:cs="楷体"/>
          <w:sz w:val="32"/>
          <w:szCs w:val="32"/>
        </w:rPr>
        <w:t>（三）一般公共预算财政拨款支出决算具体情况</w:t>
      </w:r>
      <w:bookmarkEnd w:id="29"/>
    </w:p>
    <w:p>
      <w:pPr>
        <w:spacing w:line="576" w:lineRule="exact"/>
        <w:ind w:firstLine="640" w:firstLineChars="200"/>
        <w:rPr>
          <w:rFonts w:ascii="仿宋" w:hAnsi="仿宋" w:eastAsia="仿宋" w:cs="仿宋"/>
          <w:bCs/>
          <w:color w:val="000000"/>
          <w:kern w:val="0"/>
          <w:sz w:val="32"/>
          <w:szCs w:val="32"/>
        </w:rPr>
      </w:pPr>
      <w:r>
        <w:rPr>
          <w:rStyle w:val="18"/>
          <w:rFonts w:hint="eastAsia" w:ascii="仿宋" w:hAnsi="仿宋" w:eastAsia="仿宋" w:cs="仿宋"/>
          <w:b w:val="0"/>
          <w:bCs w:val="0"/>
          <w:sz w:val="32"/>
          <w:szCs w:val="32"/>
        </w:rPr>
        <w:t>1</w:t>
      </w:r>
      <w:r>
        <w:rPr>
          <w:rStyle w:val="18"/>
          <w:rFonts w:hint="eastAsia" w:ascii="仿宋" w:hAnsi="仿宋" w:eastAsia="仿宋" w:cs="仿宋"/>
          <w:b w:val="0"/>
          <w:bCs w:val="0"/>
          <w:sz w:val="32"/>
          <w:szCs w:val="32"/>
          <w:lang w:eastAsia="zh-CN"/>
        </w:rPr>
        <w:t>.</w:t>
      </w:r>
      <w:r>
        <w:rPr>
          <w:rStyle w:val="18"/>
          <w:rFonts w:hint="eastAsia" w:ascii="仿宋" w:hAnsi="仿宋" w:eastAsia="仿宋" w:cs="仿宋"/>
          <w:b w:val="0"/>
          <w:bCs w:val="0"/>
          <w:sz w:val="32"/>
          <w:szCs w:val="32"/>
        </w:rPr>
        <w:t>一般公共服务</w:t>
      </w:r>
      <w:r>
        <w:rPr>
          <w:rStyle w:val="18"/>
          <w:rFonts w:hint="eastAsia" w:ascii="仿宋" w:hAnsi="仿宋" w:eastAsia="仿宋" w:cs="仿宋"/>
          <w:b w:val="0"/>
          <w:bCs w:val="0"/>
          <w:sz w:val="32"/>
          <w:szCs w:val="32"/>
          <w:lang w:eastAsia="zh-CN"/>
        </w:rPr>
        <w:t>：</w:t>
      </w:r>
      <w:r>
        <w:rPr>
          <w:rFonts w:hint="eastAsia" w:ascii="仿宋" w:hAnsi="仿宋" w:eastAsia="仿宋" w:cs="仿宋"/>
          <w:bCs/>
          <w:color w:val="000000"/>
          <w:kern w:val="0"/>
          <w:sz w:val="32"/>
          <w:szCs w:val="32"/>
        </w:rPr>
        <w:t>一般公共服务（类）人大事务（款）人大会议（项）202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1.90</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一般公共服务（类）人大事务（款）</w:t>
      </w:r>
      <w:r>
        <w:rPr>
          <w:rFonts w:hint="eastAsia" w:ascii="仿宋" w:hAnsi="仿宋" w:eastAsia="仿宋" w:cs="仿宋"/>
          <w:bCs/>
          <w:color w:val="000000"/>
          <w:kern w:val="0"/>
          <w:sz w:val="32"/>
          <w:szCs w:val="32"/>
          <w:lang w:eastAsia="zh-CN"/>
        </w:rPr>
        <w:t>代表工作</w:t>
      </w:r>
      <w:r>
        <w:rPr>
          <w:rFonts w:hint="eastAsia" w:ascii="仿宋" w:hAnsi="仿宋" w:eastAsia="仿宋" w:cs="仿宋"/>
          <w:bCs/>
          <w:color w:val="000000"/>
          <w:kern w:val="0"/>
          <w:sz w:val="32"/>
          <w:szCs w:val="32"/>
        </w:rPr>
        <w:t>（项）202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1.71</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一般公共服务（类）人大事务（款）其他人大事务支出（项）202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0.45</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一般公共服务（类）政府办公厅（室）及相关机构事务（款）行政运行（项）202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407.08</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一般公共服务（类）政府办公厅（室）及相关机构事务（款）一般行政管理事务（项）202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7.00</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一般公共服务（类）政府办公厅（室）及相关机构事务（款）信访事务（项）202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1</w:t>
      </w:r>
      <w:r>
        <w:rPr>
          <w:rFonts w:hint="eastAsia" w:ascii="仿宋" w:hAnsi="仿宋" w:eastAsia="仿宋" w:cs="仿宋"/>
          <w:bCs/>
          <w:color w:val="000000"/>
          <w:kern w:val="0"/>
          <w:sz w:val="32"/>
          <w:szCs w:val="32"/>
        </w:rPr>
        <w:t>.00万元，完成预算100%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一般公共服务（类）政府办公厅（室）及相关机构事务（款）事业运行（项）202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7.20</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一般公共服务（类）</w:t>
      </w:r>
      <w:r>
        <w:rPr>
          <w:rFonts w:hint="eastAsia" w:ascii="仿宋" w:hAnsi="仿宋" w:eastAsia="仿宋" w:cs="仿宋"/>
          <w:bCs/>
          <w:color w:val="000000"/>
          <w:kern w:val="0"/>
          <w:sz w:val="32"/>
          <w:szCs w:val="32"/>
          <w:lang w:eastAsia="zh-CN"/>
        </w:rPr>
        <w:t>统计信息事务</w:t>
      </w:r>
      <w:r>
        <w:rPr>
          <w:rFonts w:hint="eastAsia" w:ascii="仿宋" w:hAnsi="仿宋" w:eastAsia="仿宋" w:cs="仿宋"/>
          <w:bCs/>
          <w:color w:val="000000"/>
          <w:kern w:val="0"/>
          <w:sz w:val="32"/>
          <w:szCs w:val="32"/>
        </w:rPr>
        <w:t>（款）</w:t>
      </w:r>
      <w:r>
        <w:rPr>
          <w:rFonts w:hint="eastAsia" w:ascii="仿宋" w:hAnsi="仿宋" w:eastAsia="仿宋" w:cs="仿宋"/>
          <w:bCs/>
          <w:color w:val="000000"/>
          <w:kern w:val="0"/>
          <w:sz w:val="32"/>
          <w:szCs w:val="32"/>
          <w:lang w:eastAsia="zh-CN"/>
        </w:rPr>
        <w:t>其他统计信息事务支出</w:t>
      </w:r>
      <w:r>
        <w:rPr>
          <w:rFonts w:hint="eastAsia" w:ascii="仿宋" w:hAnsi="仿宋" w:eastAsia="仿宋" w:cs="仿宋"/>
          <w:bCs/>
          <w:color w:val="000000"/>
          <w:kern w:val="0"/>
          <w:sz w:val="32"/>
          <w:szCs w:val="32"/>
        </w:rPr>
        <w:t>（项）202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0.10</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val="en-US" w:eastAsia="zh-CN"/>
        </w:rPr>
        <w:t>；</w:t>
      </w:r>
      <w:r>
        <w:rPr>
          <w:rFonts w:hint="eastAsia" w:ascii="仿宋" w:hAnsi="仿宋" w:eastAsia="仿宋" w:cs="仿宋"/>
          <w:bCs/>
          <w:color w:val="000000"/>
          <w:kern w:val="0"/>
          <w:sz w:val="32"/>
          <w:szCs w:val="32"/>
        </w:rPr>
        <w:t>一般公共服务（类）纪检监察事务（款）</w:t>
      </w:r>
      <w:r>
        <w:rPr>
          <w:rFonts w:hint="eastAsia" w:ascii="仿宋" w:hAnsi="仿宋" w:eastAsia="仿宋" w:cs="仿宋"/>
          <w:bCs/>
          <w:color w:val="000000"/>
          <w:kern w:val="0"/>
          <w:sz w:val="32"/>
          <w:szCs w:val="32"/>
          <w:lang w:eastAsia="zh-CN"/>
        </w:rPr>
        <w:t>一般行政管理事务</w:t>
      </w:r>
      <w:r>
        <w:rPr>
          <w:rFonts w:hint="eastAsia" w:ascii="仿宋" w:hAnsi="仿宋" w:eastAsia="仿宋" w:cs="仿宋"/>
          <w:bCs/>
          <w:color w:val="000000"/>
          <w:kern w:val="0"/>
          <w:sz w:val="32"/>
          <w:szCs w:val="32"/>
        </w:rPr>
        <w:t>（项）202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0.50</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一般公共服务（类）纪检监察事务（款）派驻派出机构（项）202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7.33</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一般公共服务（类）</w:t>
      </w:r>
      <w:r>
        <w:rPr>
          <w:rFonts w:hint="eastAsia" w:ascii="仿宋" w:hAnsi="仿宋" w:eastAsia="仿宋" w:cs="仿宋"/>
          <w:bCs/>
          <w:color w:val="000000"/>
          <w:kern w:val="0"/>
          <w:sz w:val="32"/>
          <w:szCs w:val="32"/>
          <w:lang w:eastAsia="zh-CN"/>
        </w:rPr>
        <w:t>群众团体事务</w:t>
      </w:r>
      <w:r>
        <w:rPr>
          <w:rFonts w:hint="eastAsia" w:ascii="仿宋" w:hAnsi="仿宋" w:eastAsia="仿宋" w:cs="仿宋"/>
          <w:bCs/>
          <w:color w:val="000000"/>
          <w:kern w:val="0"/>
          <w:sz w:val="32"/>
          <w:szCs w:val="32"/>
        </w:rPr>
        <w:t>（款）其他</w:t>
      </w:r>
      <w:r>
        <w:rPr>
          <w:rFonts w:hint="eastAsia" w:ascii="仿宋" w:hAnsi="仿宋" w:eastAsia="仿宋" w:cs="仿宋"/>
          <w:bCs/>
          <w:color w:val="000000"/>
          <w:kern w:val="0"/>
          <w:sz w:val="32"/>
          <w:szCs w:val="32"/>
          <w:lang w:eastAsia="zh-CN"/>
        </w:rPr>
        <w:t>群众团体</w:t>
      </w:r>
      <w:r>
        <w:rPr>
          <w:rFonts w:hint="eastAsia" w:ascii="仿宋" w:hAnsi="仿宋" w:eastAsia="仿宋" w:cs="仿宋"/>
          <w:bCs/>
          <w:color w:val="000000"/>
          <w:kern w:val="0"/>
          <w:sz w:val="32"/>
          <w:szCs w:val="32"/>
        </w:rPr>
        <w:t>事务支出（项）202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0.50</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一般公共服务（类）</w:t>
      </w:r>
      <w:r>
        <w:rPr>
          <w:rFonts w:hint="eastAsia" w:ascii="仿宋" w:hAnsi="仿宋" w:eastAsia="仿宋" w:cs="仿宋"/>
          <w:bCs/>
          <w:color w:val="000000"/>
          <w:kern w:val="0"/>
          <w:sz w:val="32"/>
          <w:szCs w:val="32"/>
          <w:lang w:eastAsia="zh-CN"/>
        </w:rPr>
        <w:t>党委办公厅（室）及相关机构事务</w:t>
      </w:r>
      <w:r>
        <w:rPr>
          <w:rFonts w:hint="eastAsia" w:ascii="仿宋" w:hAnsi="仿宋" w:eastAsia="仿宋" w:cs="仿宋"/>
          <w:bCs/>
          <w:color w:val="000000"/>
          <w:kern w:val="0"/>
          <w:sz w:val="32"/>
          <w:szCs w:val="32"/>
        </w:rPr>
        <w:t>（款）</w:t>
      </w:r>
      <w:r>
        <w:rPr>
          <w:rFonts w:hint="eastAsia" w:ascii="仿宋" w:hAnsi="仿宋" w:eastAsia="仿宋" w:cs="仿宋"/>
          <w:bCs/>
          <w:color w:val="000000"/>
          <w:kern w:val="0"/>
          <w:sz w:val="32"/>
          <w:szCs w:val="32"/>
          <w:lang w:eastAsia="zh-CN"/>
        </w:rPr>
        <w:t>一般行政管理事务</w:t>
      </w:r>
      <w:r>
        <w:rPr>
          <w:rFonts w:hint="eastAsia" w:ascii="仿宋" w:hAnsi="仿宋" w:eastAsia="仿宋" w:cs="仿宋"/>
          <w:bCs/>
          <w:color w:val="000000"/>
          <w:kern w:val="0"/>
          <w:sz w:val="32"/>
          <w:szCs w:val="32"/>
        </w:rPr>
        <w:t>（项）202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3.56</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一般公共服务（类）</w:t>
      </w:r>
      <w:r>
        <w:rPr>
          <w:rFonts w:hint="eastAsia" w:ascii="仿宋" w:hAnsi="仿宋" w:eastAsia="仿宋" w:cs="仿宋"/>
          <w:bCs/>
          <w:color w:val="000000"/>
          <w:kern w:val="0"/>
          <w:sz w:val="32"/>
          <w:szCs w:val="32"/>
          <w:lang w:eastAsia="zh-CN"/>
        </w:rPr>
        <w:t>宣传事务</w:t>
      </w:r>
      <w:r>
        <w:rPr>
          <w:rFonts w:hint="eastAsia" w:ascii="仿宋" w:hAnsi="仿宋" w:eastAsia="仿宋" w:cs="仿宋"/>
          <w:bCs/>
          <w:color w:val="000000"/>
          <w:kern w:val="0"/>
          <w:sz w:val="32"/>
          <w:szCs w:val="32"/>
        </w:rPr>
        <w:t>（款）</w:t>
      </w:r>
      <w:r>
        <w:rPr>
          <w:rFonts w:hint="eastAsia" w:ascii="仿宋" w:hAnsi="仿宋" w:eastAsia="仿宋" w:cs="仿宋"/>
          <w:bCs/>
          <w:color w:val="000000"/>
          <w:kern w:val="0"/>
          <w:sz w:val="32"/>
          <w:szCs w:val="32"/>
          <w:lang w:eastAsia="zh-CN"/>
        </w:rPr>
        <w:t>其他宣传事务支出</w:t>
      </w:r>
      <w:r>
        <w:rPr>
          <w:rFonts w:hint="eastAsia" w:ascii="仿宋" w:hAnsi="仿宋" w:eastAsia="仿宋" w:cs="仿宋"/>
          <w:bCs/>
          <w:color w:val="000000"/>
          <w:kern w:val="0"/>
          <w:sz w:val="32"/>
          <w:szCs w:val="32"/>
        </w:rPr>
        <w:t>（项）202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2.50</w:t>
      </w:r>
      <w:r>
        <w:rPr>
          <w:rFonts w:hint="eastAsia" w:ascii="仿宋" w:hAnsi="仿宋" w:eastAsia="仿宋" w:cs="仿宋"/>
          <w:bCs/>
          <w:color w:val="000000"/>
          <w:kern w:val="0"/>
          <w:sz w:val="32"/>
          <w:szCs w:val="32"/>
        </w:rPr>
        <w:t>万元，完成预算100%。</w:t>
      </w:r>
    </w:p>
    <w:p>
      <w:pPr>
        <w:spacing w:line="576" w:lineRule="exact"/>
        <w:ind w:firstLine="640" w:firstLineChars="200"/>
        <w:rPr>
          <w:rFonts w:hint="eastAsia" w:ascii="仿宋" w:hAnsi="仿宋" w:eastAsia="仿宋" w:cs="仿宋"/>
          <w:bCs/>
          <w:color w:val="000000"/>
          <w:kern w:val="0"/>
          <w:sz w:val="32"/>
          <w:szCs w:val="32"/>
        </w:rPr>
      </w:pPr>
      <w:r>
        <w:rPr>
          <w:rStyle w:val="18"/>
          <w:rFonts w:hint="eastAsia" w:ascii="仿宋" w:hAnsi="仿宋" w:eastAsia="仿宋" w:cs="仿宋"/>
          <w:b w:val="0"/>
          <w:bCs w:val="0"/>
          <w:sz w:val="32"/>
          <w:szCs w:val="32"/>
        </w:rPr>
        <w:t>2</w:t>
      </w:r>
      <w:r>
        <w:rPr>
          <w:rStyle w:val="18"/>
          <w:rFonts w:hint="eastAsia" w:ascii="仿宋" w:hAnsi="仿宋" w:eastAsia="仿宋" w:cs="仿宋"/>
          <w:b w:val="0"/>
          <w:bCs w:val="0"/>
          <w:sz w:val="32"/>
          <w:szCs w:val="32"/>
          <w:lang w:val="en-US" w:eastAsia="zh-CN"/>
        </w:rPr>
        <w:t>.</w:t>
      </w:r>
      <w:r>
        <w:rPr>
          <w:rStyle w:val="18"/>
          <w:rFonts w:hint="eastAsia" w:ascii="仿宋" w:hAnsi="仿宋" w:eastAsia="仿宋" w:cs="仿宋"/>
          <w:b w:val="0"/>
          <w:bCs w:val="0"/>
          <w:sz w:val="32"/>
          <w:szCs w:val="32"/>
        </w:rPr>
        <w:t>国防支出：</w:t>
      </w:r>
      <w:r>
        <w:rPr>
          <w:rFonts w:hint="eastAsia" w:ascii="仿宋" w:hAnsi="仿宋" w:eastAsia="仿宋" w:cs="仿宋"/>
          <w:bCs/>
          <w:color w:val="000000"/>
          <w:kern w:val="0"/>
          <w:sz w:val="32"/>
          <w:szCs w:val="32"/>
        </w:rPr>
        <w:t>国防支出（类）国防动员（款</w:t>
      </w:r>
      <w:r>
        <w:rPr>
          <w:rFonts w:hint="eastAsia" w:ascii="仿宋" w:hAnsi="仿宋" w:eastAsia="仿宋" w:cs="仿宋"/>
          <w:bCs/>
          <w:color w:val="000000"/>
          <w:kern w:val="0"/>
          <w:sz w:val="32"/>
          <w:szCs w:val="32"/>
          <w:lang w:eastAsia="zh-CN"/>
        </w:rPr>
        <w:t>）兵役征集</w:t>
      </w:r>
      <w:r>
        <w:rPr>
          <w:rFonts w:hint="eastAsia" w:ascii="仿宋" w:hAnsi="仿宋" w:eastAsia="仿宋" w:cs="仿宋"/>
          <w:bCs/>
          <w:color w:val="000000"/>
          <w:kern w:val="0"/>
          <w:sz w:val="32"/>
          <w:szCs w:val="32"/>
        </w:rPr>
        <w:t>（项）202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年决算数为0.5万元，完成预算100%。</w:t>
      </w:r>
    </w:p>
    <w:p>
      <w:pPr>
        <w:pStyle w:val="2"/>
        <w:ind w:firstLine="640" w:firstLineChars="200"/>
        <w:rPr>
          <w:rFonts w:hint="eastAsia" w:eastAsia="仿宋"/>
          <w:lang w:val="en-US" w:eastAsia="zh-CN"/>
        </w:rPr>
      </w:pPr>
      <w:r>
        <w:rPr>
          <w:rFonts w:hint="eastAsia" w:ascii="仿宋" w:hAnsi="仿宋" w:eastAsia="仿宋" w:cs="仿宋"/>
          <w:bCs/>
          <w:color w:val="000000"/>
          <w:kern w:val="0"/>
          <w:sz w:val="32"/>
          <w:szCs w:val="32"/>
          <w:lang w:val="en-US" w:eastAsia="zh-CN"/>
        </w:rPr>
        <w:t>3.</w:t>
      </w:r>
      <w:r>
        <w:rPr>
          <w:rStyle w:val="18"/>
          <w:rFonts w:hint="eastAsia" w:ascii="仿宋" w:hAnsi="仿宋" w:eastAsia="仿宋" w:cs="仿宋"/>
          <w:b w:val="0"/>
          <w:bCs w:val="0"/>
          <w:sz w:val="32"/>
          <w:szCs w:val="32"/>
          <w:lang w:eastAsia="zh-CN"/>
        </w:rPr>
        <w:t>公共安全</w:t>
      </w:r>
      <w:r>
        <w:rPr>
          <w:rStyle w:val="18"/>
          <w:rFonts w:hint="eastAsia" w:ascii="仿宋" w:hAnsi="仿宋" w:eastAsia="仿宋" w:cs="仿宋"/>
          <w:b w:val="0"/>
          <w:bCs w:val="0"/>
          <w:sz w:val="32"/>
          <w:szCs w:val="32"/>
        </w:rPr>
        <w:t>支出：</w:t>
      </w:r>
      <w:r>
        <w:rPr>
          <w:rStyle w:val="18"/>
          <w:rFonts w:hint="eastAsia" w:ascii="仿宋" w:hAnsi="仿宋" w:eastAsia="仿宋" w:cs="仿宋"/>
          <w:b w:val="0"/>
          <w:bCs w:val="0"/>
          <w:sz w:val="32"/>
          <w:szCs w:val="32"/>
          <w:lang w:eastAsia="zh-CN"/>
        </w:rPr>
        <w:t>公共安全</w:t>
      </w:r>
      <w:r>
        <w:rPr>
          <w:rStyle w:val="18"/>
          <w:rFonts w:hint="eastAsia" w:ascii="仿宋" w:hAnsi="仿宋" w:eastAsia="仿宋" w:cs="仿宋"/>
          <w:b w:val="0"/>
          <w:bCs w:val="0"/>
          <w:sz w:val="32"/>
          <w:szCs w:val="32"/>
        </w:rPr>
        <w:t>支出</w:t>
      </w:r>
      <w:r>
        <w:rPr>
          <w:rFonts w:hint="eastAsia" w:ascii="仿宋" w:hAnsi="仿宋" w:eastAsia="仿宋" w:cs="仿宋"/>
          <w:bCs/>
          <w:color w:val="000000"/>
          <w:kern w:val="0"/>
          <w:sz w:val="32"/>
          <w:szCs w:val="32"/>
        </w:rPr>
        <w:t>（类）</w:t>
      </w:r>
      <w:r>
        <w:rPr>
          <w:rFonts w:hint="eastAsia" w:ascii="仿宋" w:hAnsi="仿宋" w:eastAsia="仿宋" w:cs="仿宋"/>
          <w:bCs/>
          <w:color w:val="000000"/>
          <w:kern w:val="0"/>
          <w:sz w:val="32"/>
          <w:szCs w:val="32"/>
          <w:lang w:eastAsia="zh-CN"/>
        </w:rPr>
        <w:t>强制隔离戒毒</w:t>
      </w:r>
      <w:r>
        <w:rPr>
          <w:rFonts w:hint="eastAsia" w:ascii="仿宋" w:hAnsi="仿宋" w:eastAsia="仿宋" w:cs="仿宋"/>
          <w:bCs/>
          <w:color w:val="000000"/>
          <w:kern w:val="0"/>
          <w:sz w:val="32"/>
          <w:szCs w:val="32"/>
        </w:rPr>
        <w:t>（款</w:t>
      </w:r>
      <w:r>
        <w:rPr>
          <w:rFonts w:hint="eastAsia" w:ascii="仿宋" w:hAnsi="仿宋" w:eastAsia="仿宋" w:cs="仿宋"/>
          <w:bCs/>
          <w:color w:val="000000"/>
          <w:kern w:val="0"/>
          <w:sz w:val="32"/>
          <w:szCs w:val="32"/>
          <w:lang w:eastAsia="zh-CN"/>
        </w:rPr>
        <w:t>）其他强制隔离戒毒支出</w:t>
      </w:r>
      <w:r>
        <w:rPr>
          <w:rFonts w:hint="eastAsia" w:ascii="仿宋" w:hAnsi="仿宋" w:eastAsia="仿宋" w:cs="仿宋"/>
          <w:bCs/>
          <w:color w:val="000000"/>
          <w:kern w:val="0"/>
          <w:sz w:val="32"/>
          <w:szCs w:val="32"/>
        </w:rPr>
        <w:t>（项）202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1.00</w:t>
      </w:r>
      <w:r>
        <w:rPr>
          <w:rFonts w:hint="eastAsia" w:ascii="仿宋" w:hAnsi="仿宋" w:eastAsia="仿宋" w:cs="仿宋"/>
          <w:bCs/>
          <w:color w:val="000000"/>
          <w:kern w:val="0"/>
          <w:sz w:val="32"/>
          <w:szCs w:val="32"/>
        </w:rPr>
        <w:t>万元，完成预算100%。</w:t>
      </w:r>
    </w:p>
    <w:p>
      <w:pPr>
        <w:spacing w:line="576" w:lineRule="exact"/>
        <w:ind w:firstLine="640" w:firstLineChars="200"/>
        <w:rPr>
          <w:rFonts w:ascii="仿宋" w:hAnsi="仿宋" w:eastAsia="仿宋" w:cs="仿宋"/>
          <w:bCs/>
          <w:color w:val="000000"/>
          <w:kern w:val="0"/>
          <w:sz w:val="32"/>
          <w:szCs w:val="32"/>
        </w:rPr>
      </w:pPr>
      <w:r>
        <w:rPr>
          <w:rStyle w:val="18"/>
          <w:rFonts w:hint="eastAsia" w:ascii="仿宋" w:hAnsi="仿宋" w:eastAsia="仿宋" w:cs="仿宋"/>
          <w:b w:val="0"/>
          <w:bCs w:val="0"/>
          <w:sz w:val="32"/>
          <w:szCs w:val="32"/>
          <w:lang w:val="en-US" w:eastAsia="zh-CN"/>
        </w:rPr>
        <w:t>4.</w:t>
      </w:r>
      <w:r>
        <w:rPr>
          <w:rStyle w:val="18"/>
          <w:rFonts w:hint="eastAsia" w:ascii="仿宋" w:hAnsi="仿宋" w:eastAsia="仿宋" w:cs="仿宋"/>
          <w:b w:val="0"/>
          <w:bCs w:val="0"/>
          <w:sz w:val="32"/>
          <w:szCs w:val="32"/>
        </w:rPr>
        <w:t>文化体育与传媒支出</w:t>
      </w:r>
      <w:r>
        <w:rPr>
          <w:rStyle w:val="18"/>
          <w:rFonts w:hint="eastAsia" w:ascii="仿宋" w:hAnsi="仿宋" w:eastAsia="仿宋" w:cs="仿宋"/>
          <w:b w:val="0"/>
          <w:bCs w:val="0"/>
          <w:sz w:val="32"/>
          <w:szCs w:val="32"/>
          <w:lang w:eastAsia="zh-CN"/>
        </w:rPr>
        <w:t>：</w:t>
      </w:r>
      <w:r>
        <w:rPr>
          <w:rFonts w:hint="eastAsia" w:ascii="仿宋" w:hAnsi="仿宋" w:eastAsia="仿宋" w:cs="仿宋"/>
          <w:bCs/>
          <w:color w:val="000000"/>
          <w:kern w:val="0"/>
          <w:sz w:val="32"/>
          <w:szCs w:val="32"/>
        </w:rPr>
        <w:t>文化旅游体育与传媒支出（类）文化和旅游（款）群众文化（项）202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0.78</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文化旅游体育与传媒支出（类）文化和旅游（款）</w:t>
      </w:r>
      <w:r>
        <w:rPr>
          <w:rFonts w:hint="eastAsia" w:ascii="仿宋" w:hAnsi="仿宋" w:eastAsia="仿宋" w:cs="仿宋"/>
          <w:bCs/>
          <w:color w:val="000000"/>
          <w:kern w:val="0"/>
          <w:sz w:val="32"/>
          <w:szCs w:val="32"/>
          <w:lang w:eastAsia="zh-CN"/>
        </w:rPr>
        <w:t>文化和旅游管理事务</w:t>
      </w:r>
      <w:r>
        <w:rPr>
          <w:rFonts w:hint="eastAsia" w:ascii="仿宋" w:hAnsi="仿宋" w:eastAsia="仿宋" w:cs="仿宋"/>
          <w:bCs/>
          <w:color w:val="000000"/>
          <w:kern w:val="0"/>
          <w:sz w:val="32"/>
          <w:szCs w:val="32"/>
        </w:rPr>
        <w:t>（项）202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110.37</w:t>
      </w:r>
      <w:r>
        <w:rPr>
          <w:rFonts w:hint="eastAsia" w:ascii="仿宋" w:hAnsi="仿宋" w:eastAsia="仿宋" w:cs="仿宋"/>
          <w:bCs/>
          <w:color w:val="000000"/>
          <w:kern w:val="0"/>
          <w:sz w:val="32"/>
          <w:szCs w:val="32"/>
        </w:rPr>
        <w:t>万元，完成预算100%。</w:t>
      </w:r>
    </w:p>
    <w:p>
      <w:pPr>
        <w:spacing w:line="576" w:lineRule="exact"/>
        <w:ind w:firstLine="640" w:firstLineChars="200"/>
        <w:rPr>
          <w:rFonts w:ascii="宋体" w:hAnsi="宋体" w:cs="仿宋_GB2312"/>
          <w:color w:val="FF0000"/>
          <w:sz w:val="32"/>
          <w:szCs w:val="32"/>
        </w:rPr>
      </w:pPr>
      <w:r>
        <w:rPr>
          <w:rStyle w:val="18"/>
          <w:rFonts w:hint="eastAsia" w:ascii="仿宋" w:hAnsi="仿宋" w:eastAsia="仿宋" w:cs="仿宋"/>
          <w:b w:val="0"/>
          <w:bCs w:val="0"/>
          <w:sz w:val="32"/>
          <w:szCs w:val="32"/>
          <w:lang w:val="en-US" w:eastAsia="zh-CN"/>
        </w:rPr>
        <w:t>5.</w:t>
      </w:r>
      <w:r>
        <w:rPr>
          <w:rStyle w:val="18"/>
          <w:rFonts w:hint="eastAsia" w:ascii="仿宋" w:hAnsi="仿宋" w:eastAsia="仿宋" w:cs="仿宋"/>
          <w:b w:val="0"/>
          <w:bCs w:val="0"/>
          <w:sz w:val="32"/>
          <w:szCs w:val="32"/>
        </w:rPr>
        <w:t>社会保障和就业支出</w:t>
      </w:r>
      <w:r>
        <w:rPr>
          <w:rStyle w:val="18"/>
          <w:rFonts w:hint="eastAsia" w:ascii="仿宋" w:hAnsi="仿宋" w:eastAsia="仿宋" w:cs="仿宋"/>
          <w:b w:val="0"/>
          <w:bCs w:val="0"/>
          <w:sz w:val="32"/>
          <w:szCs w:val="32"/>
          <w:lang w:eastAsia="zh-CN"/>
        </w:rPr>
        <w:t>：</w:t>
      </w:r>
      <w:r>
        <w:rPr>
          <w:rFonts w:hint="eastAsia" w:ascii="仿宋" w:hAnsi="仿宋" w:eastAsia="仿宋" w:cs="仿宋"/>
          <w:bCs/>
          <w:color w:val="000000"/>
          <w:kern w:val="0"/>
          <w:sz w:val="32"/>
          <w:szCs w:val="32"/>
        </w:rPr>
        <w:t>社会保障和就业支出（类）民政管理事务（款）</w:t>
      </w:r>
      <w:r>
        <w:rPr>
          <w:rFonts w:hint="eastAsia" w:ascii="仿宋" w:hAnsi="仿宋" w:eastAsia="仿宋" w:cs="仿宋"/>
          <w:bCs/>
          <w:color w:val="000000"/>
          <w:kern w:val="0"/>
          <w:sz w:val="32"/>
          <w:szCs w:val="32"/>
          <w:lang w:eastAsia="zh-CN"/>
        </w:rPr>
        <w:t>基层政权建设和社区治理</w:t>
      </w:r>
      <w:r>
        <w:rPr>
          <w:rFonts w:hint="eastAsia" w:ascii="仿宋" w:hAnsi="仿宋" w:eastAsia="仿宋" w:cs="仿宋"/>
          <w:bCs/>
          <w:color w:val="000000"/>
          <w:kern w:val="0"/>
          <w:sz w:val="32"/>
          <w:szCs w:val="32"/>
        </w:rPr>
        <w:t>（项）202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142.10</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社会保障和就业支出（类）行政事业单位养老支出（款）机关事业单位基本养老保险缴费支出（项）202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88.10</w:t>
      </w:r>
      <w:r>
        <w:rPr>
          <w:rFonts w:hint="eastAsia" w:ascii="仿宋" w:hAnsi="仿宋" w:eastAsia="仿宋" w:cs="仿宋"/>
          <w:bCs/>
          <w:color w:val="000000"/>
          <w:kern w:val="0"/>
          <w:sz w:val="32"/>
          <w:szCs w:val="32"/>
        </w:rPr>
        <w:t>万元，完成预算100%。</w:t>
      </w:r>
      <w:r>
        <w:rPr>
          <w:rFonts w:hint="eastAsia" w:ascii="宋体" w:hAnsi="宋体" w:cs="仿宋_GB2312"/>
          <w:sz w:val="32"/>
          <w:szCs w:val="32"/>
        </w:rPr>
        <w:t>　　</w:t>
      </w:r>
      <w:r>
        <w:rPr>
          <w:rFonts w:hint="eastAsia" w:ascii="宋体" w:hAnsi="宋体" w:cs="仿宋_GB2312"/>
          <w:color w:val="FF0000"/>
          <w:sz w:val="32"/>
          <w:szCs w:val="32"/>
        </w:rPr>
        <w:t xml:space="preserve">　                       </w:t>
      </w:r>
    </w:p>
    <w:p>
      <w:pPr>
        <w:spacing w:line="576" w:lineRule="exact"/>
        <w:ind w:firstLine="640" w:firstLineChars="200"/>
        <w:rPr>
          <w:rFonts w:ascii="仿宋" w:hAnsi="仿宋" w:eastAsia="仿宋" w:cs="仿宋"/>
          <w:bCs/>
          <w:color w:val="000000"/>
          <w:kern w:val="0"/>
          <w:sz w:val="32"/>
          <w:szCs w:val="32"/>
        </w:rPr>
      </w:pPr>
      <w:r>
        <w:rPr>
          <w:rStyle w:val="18"/>
          <w:rFonts w:hint="eastAsia" w:ascii="仿宋" w:hAnsi="仿宋" w:eastAsia="仿宋" w:cs="仿宋"/>
          <w:b w:val="0"/>
          <w:bCs w:val="0"/>
          <w:sz w:val="32"/>
          <w:szCs w:val="32"/>
          <w:lang w:val="en-US" w:eastAsia="zh-CN"/>
        </w:rPr>
        <w:t>6.</w:t>
      </w:r>
      <w:r>
        <w:rPr>
          <w:rFonts w:hint="eastAsia" w:ascii="仿宋" w:hAnsi="仿宋" w:eastAsia="仿宋" w:cs="仿宋"/>
          <w:bCs/>
          <w:color w:val="000000"/>
          <w:kern w:val="0"/>
          <w:sz w:val="32"/>
          <w:szCs w:val="32"/>
        </w:rPr>
        <w:t>卫生健康支出</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卫生健康支出（类）行政事业单位医疗（款）行政单位医疗（项）202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15.67</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卫生健康支出（类）行政事业单位医疗（款）</w:t>
      </w:r>
      <w:r>
        <w:rPr>
          <w:rFonts w:hint="eastAsia" w:ascii="仿宋" w:hAnsi="仿宋" w:eastAsia="仿宋" w:cs="仿宋"/>
          <w:bCs/>
          <w:color w:val="000000"/>
          <w:kern w:val="0"/>
          <w:sz w:val="32"/>
          <w:szCs w:val="32"/>
          <w:lang w:eastAsia="zh-CN"/>
        </w:rPr>
        <w:t>事业</w:t>
      </w:r>
      <w:r>
        <w:rPr>
          <w:rFonts w:hint="eastAsia" w:ascii="仿宋" w:hAnsi="仿宋" w:eastAsia="仿宋" w:cs="仿宋"/>
          <w:bCs/>
          <w:color w:val="000000"/>
          <w:kern w:val="0"/>
          <w:sz w:val="32"/>
          <w:szCs w:val="32"/>
        </w:rPr>
        <w:t>单位医疗（项）202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28.387</w:t>
      </w:r>
      <w:r>
        <w:rPr>
          <w:rFonts w:hint="eastAsia" w:ascii="仿宋" w:hAnsi="仿宋" w:eastAsia="仿宋" w:cs="仿宋"/>
          <w:bCs/>
          <w:color w:val="000000"/>
          <w:kern w:val="0"/>
          <w:sz w:val="32"/>
          <w:szCs w:val="32"/>
        </w:rPr>
        <w:t>万元，完成预算100%。</w:t>
      </w:r>
    </w:p>
    <w:p>
      <w:pPr>
        <w:spacing w:line="576" w:lineRule="exact"/>
        <w:ind w:firstLine="640" w:firstLineChars="200"/>
        <w:rPr>
          <w:rFonts w:ascii="仿宋" w:hAnsi="仿宋" w:eastAsia="仿宋" w:cs="仿宋"/>
          <w:bCs/>
          <w:color w:val="000000"/>
          <w:kern w:val="0"/>
          <w:sz w:val="32"/>
          <w:szCs w:val="32"/>
        </w:rPr>
      </w:pPr>
      <w:r>
        <w:rPr>
          <w:rStyle w:val="18"/>
          <w:rFonts w:hint="eastAsia" w:ascii="仿宋" w:hAnsi="仿宋" w:eastAsia="仿宋" w:cs="仿宋"/>
          <w:b w:val="0"/>
          <w:bCs w:val="0"/>
          <w:sz w:val="32"/>
          <w:szCs w:val="32"/>
          <w:lang w:val="en-US" w:eastAsia="zh-CN"/>
        </w:rPr>
        <w:t>7.</w:t>
      </w:r>
      <w:r>
        <w:rPr>
          <w:rStyle w:val="18"/>
          <w:rFonts w:hint="eastAsia" w:ascii="仿宋" w:hAnsi="仿宋" w:eastAsia="仿宋" w:cs="仿宋"/>
          <w:b w:val="0"/>
          <w:bCs w:val="0"/>
          <w:sz w:val="32"/>
          <w:szCs w:val="32"/>
        </w:rPr>
        <w:t>城乡社区支出：</w:t>
      </w:r>
      <w:r>
        <w:rPr>
          <w:rFonts w:hint="eastAsia" w:ascii="仿宋" w:hAnsi="仿宋" w:eastAsia="仿宋" w:cs="仿宋"/>
          <w:bCs/>
          <w:color w:val="000000"/>
          <w:kern w:val="0"/>
          <w:sz w:val="32"/>
          <w:szCs w:val="32"/>
        </w:rPr>
        <w:t>城乡社区支出（类）城乡社区环境卫生（款）城乡社区环境卫生（项）202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29.43</w:t>
      </w:r>
      <w:r>
        <w:rPr>
          <w:rFonts w:hint="eastAsia" w:ascii="仿宋" w:hAnsi="仿宋" w:eastAsia="仿宋" w:cs="仿宋"/>
          <w:bCs/>
          <w:color w:val="000000"/>
          <w:kern w:val="0"/>
          <w:sz w:val="32"/>
          <w:szCs w:val="32"/>
        </w:rPr>
        <w:t>万元，完成预算100%。</w:t>
      </w:r>
    </w:p>
    <w:p>
      <w:pPr>
        <w:spacing w:line="576" w:lineRule="exact"/>
        <w:ind w:firstLine="640" w:firstLineChars="200"/>
        <w:rPr>
          <w:rFonts w:ascii="宋体" w:hAnsi="宋体" w:cs="仿宋_GB2312"/>
          <w:sz w:val="32"/>
          <w:szCs w:val="32"/>
        </w:rPr>
      </w:pPr>
      <w:r>
        <w:rPr>
          <w:rStyle w:val="18"/>
          <w:rFonts w:hint="eastAsia" w:ascii="仿宋" w:hAnsi="仿宋" w:eastAsia="仿宋" w:cs="仿宋"/>
          <w:b w:val="0"/>
          <w:bCs w:val="0"/>
          <w:sz w:val="32"/>
          <w:szCs w:val="32"/>
          <w:lang w:val="en-US" w:eastAsia="zh-CN"/>
        </w:rPr>
        <w:t>8.</w:t>
      </w:r>
      <w:r>
        <w:rPr>
          <w:rStyle w:val="18"/>
          <w:rFonts w:hint="eastAsia" w:ascii="仿宋" w:hAnsi="仿宋" w:eastAsia="仿宋" w:cs="仿宋"/>
          <w:b w:val="0"/>
          <w:bCs w:val="0"/>
          <w:sz w:val="32"/>
          <w:szCs w:val="32"/>
        </w:rPr>
        <w:t>农林水支出：</w:t>
      </w:r>
      <w:r>
        <w:rPr>
          <w:rFonts w:hint="eastAsia" w:ascii="仿宋" w:hAnsi="仿宋" w:eastAsia="仿宋" w:cs="仿宋"/>
          <w:bCs/>
          <w:color w:val="000000"/>
          <w:kern w:val="0"/>
          <w:sz w:val="32"/>
          <w:szCs w:val="32"/>
        </w:rPr>
        <w:t>农林水支出（类）农业农村（款）事业运行（项）202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325.74</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农林水支出（类）农业农村（款）</w:t>
      </w:r>
      <w:r>
        <w:rPr>
          <w:rFonts w:hint="eastAsia" w:ascii="仿宋" w:hAnsi="仿宋" w:eastAsia="仿宋" w:cs="仿宋"/>
          <w:bCs/>
          <w:color w:val="000000"/>
          <w:kern w:val="0"/>
          <w:sz w:val="32"/>
          <w:szCs w:val="32"/>
          <w:lang w:eastAsia="zh-CN"/>
        </w:rPr>
        <w:t>防灾救灾</w:t>
      </w:r>
      <w:r>
        <w:rPr>
          <w:rFonts w:hint="eastAsia" w:ascii="仿宋" w:hAnsi="仿宋" w:eastAsia="仿宋" w:cs="仿宋"/>
          <w:bCs/>
          <w:color w:val="000000"/>
          <w:kern w:val="0"/>
          <w:sz w:val="32"/>
          <w:szCs w:val="32"/>
        </w:rPr>
        <w:t>（项）202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18.70</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农林水支出（类）农业农村（款）农村道路建设（项）202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82.79</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农林水支出（类）林业和草原（款）林业草原防灾减灾（项）202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年决算数为4.00万元，完成预算100%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农林水支出（类）</w:t>
      </w:r>
      <w:r>
        <w:rPr>
          <w:rFonts w:hint="eastAsia" w:ascii="仿宋" w:hAnsi="仿宋" w:eastAsia="仿宋" w:cs="仿宋"/>
          <w:bCs/>
          <w:color w:val="000000"/>
          <w:kern w:val="0"/>
          <w:sz w:val="32"/>
          <w:szCs w:val="32"/>
          <w:lang w:eastAsia="zh-CN"/>
        </w:rPr>
        <w:t>水利</w:t>
      </w:r>
      <w:r>
        <w:rPr>
          <w:rFonts w:hint="eastAsia" w:ascii="仿宋" w:hAnsi="仿宋" w:eastAsia="仿宋" w:cs="仿宋"/>
          <w:bCs/>
          <w:color w:val="000000"/>
          <w:kern w:val="0"/>
          <w:sz w:val="32"/>
          <w:szCs w:val="32"/>
        </w:rPr>
        <w:t>（款）</w:t>
      </w:r>
      <w:r>
        <w:rPr>
          <w:rFonts w:hint="eastAsia" w:ascii="仿宋" w:hAnsi="仿宋" w:eastAsia="仿宋" w:cs="仿宋"/>
          <w:bCs/>
          <w:color w:val="000000"/>
          <w:kern w:val="0"/>
          <w:sz w:val="32"/>
          <w:szCs w:val="32"/>
          <w:lang w:eastAsia="zh-CN"/>
        </w:rPr>
        <w:t>防汛</w:t>
      </w:r>
      <w:r>
        <w:rPr>
          <w:rFonts w:hint="eastAsia" w:ascii="仿宋" w:hAnsi="仿宋" w:eastAsia="仿宋" w:cs="仿宋"/>
          <w:bCs/>
          <w:color w:val="000000"/>
          <w:kern w:val="0"/>
          <w:sz w:val="32"/>
          <w:szCs w:val="32"/>
        </w:rPr>
        <w:t>（项）202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19.80</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农林水支出（类）</w:t>
      </w:r>
      <w:r>
        <w:rPr>
          <w:rFonts w:hint="eastAsia" w:ascii="仿宋" w:hAnsi="仿宋" w:eastAsia="仿宋" w:cs="仿宋"/>
          <w:bCs/>
          <w:color w:val="000000"/>
          <w:kern w:val="0"/>
          <w:sz w:val="32"/>
          <w:szCs w:val="32"/>
          <w:lang w:eastAsia="zh-CN"/>
        </w:rPr>
        <w:t>水利</w:t>
      </w:r>
      <w:r>
        <w:rPr>
          <w:rFonts w:hint="eastAsia" w:ascii="仿宋" w:hAnsi="仿宋" w:eastAsia="仿宋" w:cs="仿宋"/>
          <w:bCs/>
          <w:color w:val="000000"/>
          <w:kern w:val="0"/>
          <w:sz w:val="32"/>
          <w:szCs w:val="32"/>
        </w:rPr>
        <w:t>（款）</w:t>
      </w:r>
      <w:r>
        <w:rPr>
          <w:rFonts w:hint="eastAsia" w:ascii="仿宋" w:hAnsi="仿宋" w:eastAsia="仿宋" w:cs="仿宋"/>
          <w:bCs/>
          <w:color w:val="000000"/>
          <w:kern w:val="0"/>
          <w:sz w:val="32"/>
          <w:szCs w:val="32"/>
          <w:lang w:eastAsia="zh-CN"/>
        </w:rPr>
        <w:t>抗旱</w:t>
      </w:r>
      <w:r>
        <w:rPr>
          <w:rFonts w:hint="eastAsia" w:ascii="仿宋" w:hAnsi="仿宋" w:eastAsia="仿宋" w:cs="仿宋"/>
          <w:bCs/>
          <w:color w:val="000000"/>
          <w:kern w:val="0"/>
          <w:sz w:val="32"/>
          <w:szCs w:val="32"/>
        </w:rPr>
        <w:t>（项）202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4.98</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农林水支出（类）</w:t>
      </w:r>
      <w:r>
        <w:rPr>
          <w:rFonts w:hint="eastAsia" w:ascii="仿宋" w:hAnsi="仿宋" w:eastAsia="仿宋" w:cs="仿宋"/>
          <w:bCs/>
          <w:color w:val="000000"/>
          <w:kern w:val="0"/>
          <w:sz w:val="32"/>
          <w:szCs w:val="32"/>
          <w:lang w:eastAsia="zh-CN"/>
        </w:rPr>
        <w:t>巩固脱贫衔接乡村振兴</w:t>
      </w:r>
      <w:r>
        <w:rPr>
          <w:rFonts w:hint="eastAsia" w:ascii="仿宋" w:hAnsi="仿宋" w:eastAsia="仿宋" w:cs="仿宋"/>
          <w:bCs/>
          <w:color w:val="000000"/>
          <w:kern w:val="0"/>
          <w:sz w:val="32"/>
          <w:szCs w:val="32"/>
        </w:rPr>
        <w:t>（款）</w:t>
      </w:r>
      <w:r>
        <w:rPr>
          <w:rFonts w:hint="eastAsia" w:ascii="仿宋" w:hAnsi="仿宋" w:eastAsia="仿宋" w:cs="仿宋"/>
          <w:bCs/>
          <w:color w:val="000000"/>
          <w:kern w:val="0"/>
          <w:sz w:val="32"/>
          <w:szCs w:val="32"/>
          <w:lang w:eastAsia="zh-CN"/>
        </w:rPr>
        <w:t>生产发展</w:t>
      </w:r>
      <w:r>
        <w:rPr>
          <w:rFonts w:hint="eastAsia" w:ascii="仿宋" w:hAnsi="仿宋" w:eastAsia="仿宋" w:cs="仿宋"/>
          <w:bCs/>
          <w:color w:val="000000"/>
          <w:kern w:val="0"/>
          <w:sz w:val="32"/>
          <w:szCs w:val="32"/>
        </w:rPr>
        <w:t>（项）202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7.43</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农林水支出（类）</w:t>
      </w:r>
      <w:r>
        <w:rPr>
          <w:rFonts w:hint="eastAsia" w:ascii="仿宋" w:hAnsi="仿宋" w:eastAsia="仿宋" w:cs="仿宋"/>
          <w:bCs/>
          <w:color w:val="000000"/>
          <w:kern w:val="0"/>
          <w:sz w:val="32"/>
          <w:szCs w:val="32"/>
          <w:lang w:eastAsia="zh-CN"/>
        </w:rPr>
        <w:t>巩固脱贫衔接乡村振兴</w:t>
      </w:r>
      <w:r>
        <w:rPr>
          <w:rFonts w:hint="eastAsia" w:ascii="仿宋" w:hAnsi="仿宋" w:eastAsia="仿宋" w:cs="仿宋"/>
          <w:bCs/>
          <w:color w:val="000000"/>
          <w:kern w:val="0"/>
          <w:sz w:val="32"/>
          <w:szCs w:val="32"/>
        </w:rPr>
        <w:t>（款）</w:t>
      </w:r>
      <w:r>
        <w:rPr>
          <w:rFonts w:hint="eastAsia" w:ascii="仿宋" w:hAnsi="仿宋" w:eastAsia="仿宋" w:cs="仿宋"/>
          <w:bCs/>
          <w:color w:val="000000"/>
          <w:kern w:val="0"/>
          <w:sz w:val="32"/>
          <w:szCs w:val="32"/>
          <w:lang w:eastAsia="zh-CN"/>
        </w:rPr>
        <w:t>其他巩固脱贫衔接乡村振兴支出</w:t>
      </w:r>
      <w:r>
        <w:rPr>
          <w:rFonts w:hint="eastAsia" w:ascii="仿宋" w:hAnsi="仿宋" w:eastAsia="仿宋" w:cs="仿宋"/>
          <w:bCs/>
          <w:color w:val="000000"/>
          <w:kern w:val="0"/>
          <w:sz w:val="32"/>
          <w:szCs w:val="32"/>
        </w:rPr>
        <w:t>（项）202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22.93</w:t>
      </w:r>
      <w:r>
        <w:rPr>
          <w:rFonts w:hint="eastAsia" w:ascii="仿宋" w:hAnsi="仿宋" w:eastAsia="仿宋" w:cs="仿宋"/>
          <w:bCs/>
          <w:color w:val="000000"/>
          <w:kern w:val="0"/>
          <w:sz w:val="32"/>
          <w:szCs w:val="32"/>
        </w:rPr>
        <w:t>万元，完成预算100%</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农林水支出（类）农村综合改革（款）对村民委员会和村党支部的补助（项）202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199.99</w:t>
      </w:r>
      <w:r>
        <w:rPr>
          <w:rFonts w:hint="eastAsia" w:ascii="仿宋" w:hAnsi="仿宋" w:eastAsia="仿宋" w:cs="仿宋"/>
          <w:bCs/>
          <w:color w:val="000000"/>
          <w:kern w:val="0"/>
          <w:sz w:val="32"/>
          <w:szCs w:val="32"/>
        </w:rPr>
        <w:t>万元，完成预算100%。</w:t>
      </w:r>
    </w:p>
    <w:p>
      <w:pPr>
        <w:spacing w:line="576" w:lineRule="exact"/>
        <w:ind w:firstLine="640" w:firstLineChars="200"/>
        <w:rPr>
          <w:rFonts w:ascii="宋体" w:hAnsi="宋体" w:cs="仿宋_GB2312"/>
          <w:sz w:val="32"/>
          <w:szCs w:val="32"/>
        </w:rPr>
      </w:pPr>
    </w:p>
    <w:p>
      <w:pPr>
        <w:tabs>
          <w:tab w:val="right" w:pos="8306"/>
        </w:tabs>
        <w:spacing w:line="576" w:lineRule="exact"/>
        <w:ind w:firstLine="640"/>
        <w:outlineLvl w:val="1"/>
        <w:rPr>
          <w:rFonts w:ascii="仿宋" w:hAnsi="仿宋" w:eastAsia="仿宋" w:cs="仿宋"/>
          <w:bCs/>
          <w:color w:val="000000"/>
          <w:kern w:val="0"/>
          <w:sz w:val="32"/>
          <w:szCs w:val="32"/>
        </w:rPr>
      </w:pPr>
      <w:r>
        <w:rPr>
          <w:rStyle w:val="18"/>
          <w:rFonts w:hint="eastAsia" w:ascii="仿宋" w:hAnsi="仿宋" w:eastAsia="仿宋" w:cs="仿宋"/>
          <w:b w:val="0"/>
          <w:bCs w:val="0"/>
          <w:sz w:val="32"/>
          <w:szCs w:val="32"/>
        </w:rPr>
        <w:t>9</w:t>
      </w:r>
      <w:r>
        <w:rPr>
          <w:rStyle w:val="18"/>
          <w:rFonts w:hint="eastAsia" w:ascii="仿宋" w:hAnsi="仿宋" w:eastAsia="仿宋" w:cs="仿宋"/>
          <w:b w:val="0"/>
          <w:bCs w:val="0"/>
          <w:sz w:val="32"/>
          <w:szCs w:val="32"/>
          <w:lang w:val="en-US" w:eastAsia="zh-CN"/>
        </w:rPr>
        <w:t>.</w:t>
      </w:r>
      <w:r>
        <w:rPr>
          <w:rStyle w:val="18"/>
          <w:rFonts w:hint="eastAsia" w:ascii="仿宋" w:hAnsi="仿宋" w:eastAsia="仿宋" w:cs="仿宋"/>
          <w:b w:val="0"/>
          <w:bCs w:val="0"/>
          <w:sz w:val="32"/>
          <w:szCs w:val="32"/>
        </w:rPr>
        <w:t>住房保障支出：</w:t>
      </w:r>
      <w:r>
        <w:rPr>
          <w:rFonts w:hint="eastAsia" w:ascii="仿宋" w:hAnsi="仿宋" w:eastAsia="仿宋" w:cs="仿宋"/>
          <w:bCs/>
          <w:color w:val="000000"/>
          <w:kern w:val="0"/>
          <w:sz w:val="32"/>
          <w:szCs w:val="32"/>
        </w:rPr>
        <w:t>住房保障支出（类）住房改革支出（款）住房公积金（项）202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年决算数为</w:t>
      </w:r>
      <w:r>
        <w:rPr>
          <w:rFonts w:hint="eastAsia" w:ascii="仿宋" w:hAnsi="仿宋" w:eastAsia="仿宋" w:cs="仿宋"/>
          <w:bCs/>
          <w:color w:val="000000"/>
          <w:kern w:val="0"/>
          <w:sz w:val="32"/>
          <w:szCs w:val="32"/>
          <w:lang w:val="en-US" w:eastAsia="zh-CN"/>
        </w:rPr>
        <w:t>66.08</w:t>
      </w:r>
      <w:r>
        <w:rPr>
          <w:rFonts w:hint="eastAsia" w:ascii="仿宋" w:hAnsi="仿宋" w:eastAsia="仿宋" w:cs="仿宋"/>
          <w:bCs/>
          <w:color w:val="000000"/>
          <w:kern w:val="0"/>
          <w:sz w:val="32"/>
          <w:szCs w:val="32"/>
        </w:rPr>
        <w:t>万元，完成预算100%。</w:t>
      </w:r>
      <w:bookmarkStart w:id="30" w:name="_Toc15396608"/>
      <w:bookmarkStart w:id="31" w:name="_Toc15377214"/>
    </w:p>
    <w:p>
      <w:pPr>
        <w:tabs>
          <w:tab w:val="right" w:pos="8306"/>
        </w:tabs>
        <w:spacing w:line="576" w:lineRule="exact"/>
        <w:ind w:firstLine="640"/>
        <w:outlineLvl w:val="1"/>
        <w:rPr>
          <w:rStyle w:val="21"/>
          <w:rFonts w:ascii="宋体" w:hAnsi="宋体" w:cs="仿宋_GB2312"/>
        </w:rPr>
      </w:pPr>
      <w:r>
        <w:rPr>
          <w:rFonts w:hint="eastAsia" w:ascii="黑体" w:hAnsi="黑体" w:eastAsia="黑体" w:cs="黑体"/>
          <w:sz w:val="32"/>
          <w:szCs w:val="32"/>
        </w:rPr>
        <w:t>六、一般公共预算财政拨款基本支出决算情况说明</w:t>
      </w:r>
      <w:bookmarkEnd w:id="30"/>
      <w:bookmarkEnd w:id="31"/>
      <w:r>
        <w:rPr>
          <w:rStyle w:val="21"/>
          <w:rFonts w:hint="eastAsia" w:ascii="宋体" w:hAnsi="宋体" w:cs="仿宋_GB2312"/>
          <w:b w:val="0"/>
          <w:bCs w:val="0"/>
        </w:rPr>
        <w:tab/>
      </w:r>
    </w:p>
    <w:p>
      <w:pPr>
        <w:spacing w:line="576" w:lineRule="exact"/>
        <w:ind w:firstLine="640" w:firstLineChars="200"/>
        <w:rPr>
          <w:rFonts w:ascii="仿宋" w:hAnsi="仿宋" w:eastAsia="仿宋" w:cs="仿宋"/>
          <w:bCs/>
          <w:color w:val="000000"/>
          <w:kern w:val="0"/>
          <w:sz w:val="32"/>
          <w:szCs w:val="32"/>
        </w:rPr>
      </w:pPr>
      <w:bookmarkStart w:id="32" w:name="_Toc15396609"/>
      <w:bookmarkStart w:id="33" w:name="_Toc15377215"/>
      <w:r>
        <w:rPr>
          <w:rFonts w:hint="eastAsia" w:ascii="仿宋" w:hAnsi="仿宋" w:eastAsia="仿宋" w:cs="仿宋"/>
          <w:bCs/>
          <w:color w:val="000000"/>
          <w:kern w:val="0"/>
          <w:sz w:val="32"/>
          <w:szCs w:val="32"/>
        </w:rPr>
        <w:t>武连镇人民政府202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年一般公共预算财政拨款基本支出</w:t>
      </w:r>
      <w:r>
        <w:rPr>
          <w:rFonts w:hint="eastAsia" w:ascii="仿宋" w:hAnsi="仿宋" w:eastAsia="仿宋" w:cs="仿宋"/>
          <w:bCs/>
          <w:color w:val="000000"/>
          <w:kern w:val="0"/>
          <w:sz w:val="32"/>
          <w:szCs w:val="32"/>
          <w:lang w:val="en-US" w:eastAsia="zh-CN"/>
        </w:rPr>
        <w:t>1181.72</w:t>
      </w:r>
      <w:r>
        <w:rPr>
          <w:rFonts w:hint="eastAsia" w:ascii="仿宋" w:hAnsi="仿宋" w:eastAsia="仿宋" w:cs="仿宋"/>
          <w:bCs/>
          <w:color w:val="000000"/>
          <w:kern w:val="0"/>
          <w:sz w:val="32"/>
          <w:szCs w:val="32"/>
        </w:rPr>
        <w:t>万元，其中：人员经费</w:t>
      </w:r>
      <w:r>
        <w:rPr>
          <w:rFonts w:hint="eastAsia" w:ascii="仿宋" w:hAnsi="仿宋" w:eastAsia="仿宋" w:cs="仿宋"/>
          <w:bCs/>
          <w:color w:val="000000"/>
          <w:kern w:val="0"/>
          <w:sz w:val="32"/>
          <w:szCs w:val="32"/>
          <w:lang w:val="en-US" w:eastAsia="zh-CN"/>
        </w:rPr>
        <w:t>1064.71</w:t>
      </w:r>
      <w:r>
        <w:rPr>
          <w:rFonts w:hint="eastAsia" w:ascii="仿宋" w:hAnsi="仿宋" w:eastAsia="仿宋" w:cs="仿宋"/>
          <w:bCs/>
          <w:color w:val="000000"/>
          <w:kern w:val="0"/>
          <w:sz w:val="32"/>
          <w:szCs w:val="32"/>
        </w:rPr>
        <w:t>万元，主要包括：基本工资</w:t>
      </w:r>
      <w:r>
        <w:rPr>
          <w:rFonts w:hint="eastAsia" w:ascii="仿宋" w:hAnsi="仿宋" w:eastAsia="仿宋" w:cs="仿宋"/>
          <w:bCs/>
          <w:color w:val="000000"/>
          <w:kern w:val="0"/>
          <w:sz w:val="32"/>
          <w:szCs w:val="32"/>
          <w:lang w:val="en-US" w:eastAsia="zh-CN"/>
        </w:rPr>
        <w:t>310.49</w:t>
      </w:r>
      <w:r>
        <w:rPr>
          <w:rFonts w:hint="eastAsia" w:ascii="仿宋" w:hAnsi="仿宋" w:eastAsia="仿宋" w:cs="仿宋"/>
          <w:bCs/>
          <w:color w:val="000000"/>
          <w:kern w:val="0"/>
          <w:sz w:val="32"/>
          <w:szCs w:val="32"/>
        </w:rPr>
        <w:t>万元、津贴补贴</w:t>
      </w:r>
      <w:r>
        <w:rPr>
          <w:rFonts w:hint="eastAsia" w:ascii="仿宋" w:hAnsi="仿宋" w:eastAsia="仿宋" w:cs="仿宋"/>
          <w:bCs/>
          <w:color w:val="000000"/>
          <w:kern w:val="0"/>
          <w:sz w:val="32"/>
          <w:szCs w:val="32"/>
          <w:lang w:val="en-US" w:eastAsia="zh-CN"/>
        </w:rPr>
        <w:t>87.48</w:t>
      </w:r>
      <w:r>
        <w:rPr>
          <w:rFonts w:hint="eastAsia" w:ascii="仿宋" w:hAnsi="仿宋" w:eastAsia="仿宋" w:cs="仿宋"/>
          <w:bCs/>
          <w:color w:val="000000"/>
          <w:kern w:val="0"/>
          <w:sz w:val="32"/>
          <w:szCs w:val="32"/>
        </w:rPr>
        <w:t>万元、奖金</w:t>
      </w:r>
      <w:r>
        <w:rPr>
          <w:rFonts w:hint="eastAsia" w:ascii="仿宋" w:hAnsi="仿宋" w:eastAsia="仿宋" w:cs="仿宋"/>
          <w:bCs/>
          <w:color w:val="000000"/>
          <w:kern w:val="0"/>
          <w:sz w:val="32"/>
          <w:szCs w:val="32"/>
          <w:lang w:val="en-US" w:eastAsia="zh-CN"/>
        </w:rPr>
        <w:t>309.85</w:t>
      </w:r>
      <w:r>
        <w:rPr>
          <w:rFonts w:hint="eastAsia" w:ascii="仿宋" w:hAnsi="仿宋" w:eastAsia="仿宋" w:cs="仿宋"/>
          <w:bCs/>
          <w:color w:val="000000"/>
          <w:kern w:val="0"/>
          <w:sz w:val="32"/>
          <w:szCs w:val="32"/>
        </w:rPr>
        <w:t>万元、绩效工资</w:t>
      </w:r>
      <w:r>
        <w:rPr>
          <w:rFonts w:hint="eastAsia" w:ascii="仿宋" w:hAnsi="仿宋" w:eastAsia="仿宋" w:cs="仿宋"/>
          <w:bCs/>
          <w:color w:val="000000"/>
          <w:kern w:val="0"/>
          <w:sz w:val="32"/>
          <w:szCs w:val="32"/>
          <w:lang w:val="en-US" w:eastAsia="zh-CN"/>
        </w:rPr>
        <w:t>146.88</w:t>
      </w:r>
      <w:r>
        <w:rPr>
          <w:rFonts w:hint="eastAsia" w:ascii="仿宋" w:hAnsi="仿宋" w:eastAsia="仿宋" w:cs="仿宋"/>
          <w:bCs/>
          <w:color w:val="000000"/>
          <w:kern w:val="0"/>
          <w:sz w:val="32"/>
          <w:szCs w:val="32"/>
        </w:rPr>
        <w:t>元</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机关事业单位基本养老保险缴费</w:t>
      </w:r>
      <w:r>
        <w:rPr>
          <w:rFonts w:hint="eastAsia" w:ascii="仿宋" w:hAnsi="仿宋" w:eastAsia="仿宋" w:cs="仿宋"/>
          <w:bCs/>
          <w:color w:val="000000"/>
          <w:kern w:val="0"/>
          <w:sz w:val="32"/>
          <w:szCs w:val="32"/>
          <w:lang w:val="en-US" w:eastAsia="zh-CN"/>
        </w:rPr>
        <w:t>88.10</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职工基本医疗保险缴费</w:t>
      </w:r>
      <w:r>
        <w:rPr>
          <w:rFonts w:hint="eastAsia" w:ascii="仿宋" w:hAnsi="仿宋" w:eastAsia="仿宋" w:cs="仿宋"/>
          <w:bCs/>
          <w:color w:val="000000"/>
          <w:kern w:val="0"/>
          <w:sz w:val="32"/>
          <w:szCs w:val="32"/>
          <w:lang w:val="en-US" w:eastAsia="zh-CN"/>
        </w:rPr>
        <w:t>44.05</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住房公积金</w:t>
      </w:r>
      <w:r>
        <w:rPr>
          <w:rFonts w:hint="eastAsia" w:ascii="仿宋" w:hAnsi="仿宋" w:eastAsia="仿宋" w:cs="仿宋"/>
          <w:bCs/>
          <w:color w:val="000000"/>
          <w:kern w:val="0"/>
          <w:sz w:val="32"/>
          <w:szCs w:val="32"/>
          <w:lang w:val="en-US" w:eastAsia="zh-CN"/>
        </w:rPr>
        <w:t>66.08</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其他工资福利支出</w:t>
      </w:r>
      <w:r>
        <w:rPr>
          <w:rFonts w:hint="eastAsia" w:ascii="仿宋" w:hAnsi="仿宋" w:eastAsia="仿宋" w:cs="仿宋"/>
          <w:bCs/>
          <w:color w:val="000000"/>
          <w:kern w:val="0"/>
          <w:sz w:val="32"/>
          <w:szCs w:val="32"/>
          <w:lang w:val="en-US" w:eastAsia="zh-CN"/>
        </w:rPr>
        <w:t>4.91</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生活补助</w:t>
      </w:r>
      <w:r>
        <w:rPr>
          <w:rFonts w:hint="eastAsia" w:ascii="仿宋" w:hAnsi="仿宋" w:eastAsia="仿宋" w:cs="仿宋"/>
          <w:bCs/>
          <w:color w:val="000000"/>
          <w:kern w:val="0"/>
          <w:sz w:val="32"/>
          <w:szCs w:val="32"/>
          <w:lang w:val="en-US" w:eastAsia="zh-CN"/>
        </w:rPr>
        <w:t>6.87</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br w:type="textWrapping"/>
      </w:r>
      <w:r>
        <w:rPr>
          <w:rFonts w:hint="eastAsia" w:ascii="仿宋" w:hAnsi="仿宋" w:eastAsia="仿宋" w:cs="仿宋"/>
          <w:bCs/>
          <w:color w:val="000000"/>
          <w:kern w:val="0"/>
          <w:sz w:val="32"/>
          <w:szCs w:val="32"/>
        </w:rPr>
        <w:t>　　公用经费</w:t>
      </w:r>
      <w:r>
        <w:rPr>
          <w:rFonts w:hint="eastAsia" w:ascii="仿宋" w:hAnsi="仿宋" w:eastAsia="仿宋" w:cs="仿宋"/>
          <w:bCs/>
          <w:color w:val="000000"/>
          <w:kern w:val="0"/>
          <w:sz w:val="32"/>
          <w:szCs w:val="32"/>
          <w:lang w:val="en-US" w:eastAsia="zh-CN"/>
        </w:rPr>
        <w:t>117.01</w:t>
      </w:r>
      <w:r>
        <w:rPr>
          <w:rFonts w:hint="eastAsia" w:ascii="仿宋" w:hAnsi="仿宋" w:eastAsia="仿宋" w:cs="仿宋"/>
          <w:bCs/>
          <w:color w:val="000000"/>
          <w:kern w:val="0"/>
          <w:sz w:val="32"/>
          <w:szCs w:val="32"/>
        </w:rPr>
        <w:t>万元，主要包括：办公费</w:t>
      </w:r>
      <w:r>
        <w:rPr>
          <w:rFonts w:hint="eastAsia" w:ascii="仿宋" w:hAnsi="仿宋" w:eastAsia="仿宋" w:cs="仿宋"/>
          <w:bCs/>
          <w:color w:val="000000"/>
          <w:kern w:val="0"/>
          <w:sz w:val="32"/>
          <w:szCs w:val="32"/>
          <w:lang w:val="en-US" w:eastAsia="zh-CN"/>
        </w:rPr>
        <w:t>25.4</w:t>
      </w:r>
      <w:r>
        <w:rPr>
          <w:rFonts w:hint="eastAsia" w:ascii="仿宋" w:hAnsi="仿宋" w:eastAsia="仿宋" w:cs="仿宋"/>
          <w:bCs/>
          <w:color w:val="000000"/>
          <w:kern w:val="0"/>
          <w:sz w:val="32"/>
          <w:szCs w:val="32"/>
        </w:rPr>
        <w:t>万元、印刷费</w:t>
      </w:r>
      <w:r>
        <w:rPr>
          <w:rFonts w:hint="eastAsia" w:ascii="仿宋" w:hAnsi="仿宋" w:eastAsia="仿宋" w:cs="仿宋"/>
          <w:bCs/>
          <w:color w:val="000000"/>
          <w:kern w:val="0"/>
          <w:sz w:val="32"/>
          <w:szCs w:val="32"/>
          <w:lang w:val="en-US" w:eastAsia="zh-CN"/>
        </w:rPr>
        <w:t>15.00</w:t>
      </w:r>
      <w:r>
        <w:rPr>
          <w:rFonts w:hint="eastAsia" w:ascii="仿宋" w:hAnsi="仿宋" w:eastAsia="仿宋" w:cs="仿宋"/>
          <w:bCs/>
          <w:color w:val="000000"/>
          <w:kern w:val="0"/>
          <w:sz w:val="32"/>
          <w:szCs w:val="32"/>
        </w:rPr>
        <w:t>万元、水费</w:t>
      </w:r>
      <w:r>
        <w:rPr>
          <w:rFonts w:hint="eastAsia" w:ascii="仿宋" w:hAnsi="仿宋" w:eastAsia="仿宋" w:cs="仿宋"/>
          <w:bCs/>
          <w:color w:val="000000"/>
          <w:kern w:val="0"/>
          <w:sz w:val="32"/>
          <w:szCs w:val="32"/>
          <w:lang w:val="en-US" w:eastAsia="zh-CN"/>
        </w:rPr>
        <w:t>1.80</w:t>
      </w:r>
      <w:r>
        <w:rPr>
          <w:rFonts w:hint="eastAsia" w:ascii="仿宋" w:hAnsi="仿宋" w:eastAsia="仿宋" w:cs="仿宋"/>
          <w:bCs/>
          <w:color w:val="000000"/>
          <w:kern w:val="0"/>
          <w:sz w:val="32"/>
          <w:szCs w:val="32"/>
        </w:rPr>
        <w:t>万元、电费</w:t>
      </w:r>
      <w:r>
        <w:rPr>
          <w:rFonts w:hint="eastAsia" w:ascii="仿宋" w:hAnsi="仿宋" w:eastAsia="仿宋" w:cs="仿宋"/>
          <w:bCs/>
          <w:color w:val="000000"/>
          <w:kern w:val="0"/>
          <w:sz w:val="32"/>
          <w:szCs w:val="32"/>
          <w:lang w:val="en-US" w:eastAsia="zh-CN"/>
        </w:rPr>
        <w:t>5.60</w:t>
      </w:r>
      <w:r>
        <w:rPr>
          <w:rFonts w:hint="eastAsia" w:ascii="仿宋" w:hAnsi="仿宋" w:eastAsia="仿宋" w:cs="仿宋"/>
          <w:bCs/>
          <w:color w:val="000000"/>
          <w:kern w:val="0"/>
          <w:sz w:val="32"/>
          <w:szCs w:val="32"/>
        </w:rPr>
        <w:t>万元、邮电费</w:t>
      </w:r>
      <w:r>
        <w:rPr>
          <w:rFonts w:hint="eastAsia" w:ascii="仿宋" w:hAnsi="仿宋" w:eastAsia="仿宋" w:cs="仿宋"/>
          <w:bCs/>
          <w:color w:val="000000"/>
          <w:kern w:val="0"/>
          <w:sz w:val="32"/>
          <w:szCs w:val="32"/>
          <w:lang w:val="en-US" w:eastAsia="zh-CN"/>
        </w:rPr>
        <w:t>5.50</w:t>
      </w:r>
      <w:r>
        <w:rPr>
          <w:rFonts w:hint="eastAsia" w:ascii="仿宋" w:hAnsi="仿宋" w:eastAsia="仿宋" w:cs="仿宋"/>
          <w:bCs/>
          <w:color w:val="000000"/>
          <w:kern w:val="0"/>
          <w:sz w:val="32"/>
          <w:szCs w:val="32"/>
        </w:rPr>
        <w:t>万元、差旅费26.</w:t>
      </w:r>
      <w:r>
        <w:rPr>
          <w:rFonts w:hint="eastAsia" w:ascii="仿宋" w:hAnsi="仿宋" w:eastAsia="仿宋" w:cs="仿宋"/>
          <w:bCs/>
          <w:color w:val="000000"/>
          <w:kern w:val="0"/>
          <w:sz w:val="32"/>
          <w:szCs w:val="32"/>
          <w:lang w:val="en-US" w:eastAsia="zh-CN"/>
        </w:rPr>
        <w:t>00</w:t>
      </w:r>
      <w:r>
        <w:rPr>
          <w:rFonts w:hint="eastAsia" w:ascii="仿宋" w:hAnsi="仿宋" w:eastAsia="仿宋" w:cs="仿宋"/>
          <w:bCs/>
          <w:color w:val="000000"/>
          <w:kern w:val="0"/>
          <w:sz w:val="32"/>
          <w:szCs w:val="32"/>
        </w:rPr>
        <w:t>万元、维修</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护</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费</w:t>
      </w:r>
      <w:r>
        <w:rPr>
          <w:rFonts w:hint="eastAsia" w:ascii="仿宋" w:hAnsi="仿宋" w:eastAsia="仿宋" w:cs="仿宋"/>
          <w:bCs/>
          <w:color w:val="000000"/>
          <w:kern w:val="0"/>
          <w:sz w:val="32"/>
          <w:szCs w:val="32"/>
          <w:lang w:val="en-US" w:eastAsia="zh-CN"/>
        </w:rPr>
        <w:t>4.80</w:t>
      </w:r>
      <w:r>
        <w:rPr>
          <w:rFonts w:hint="eastAsia" w:ascii="仿宋" w:hAnsi="仿宋" w:eastAsia="仿宋" w:cs="仿宋"/>
          <w:bCs/>
          <w:color w:val="000000"/>
          <w:kern w:val="0"/>
          <w:sz w:val="32"/>
          <w:szCs w:val="32"/>
        </w:rPr>
        <w:t>万元、会议费</w:t>
      </w:r>
      <w:r>
        <w:rPr>
          <w:rFonts w:hint="eastAsia" w:ascii="仿宋" w:hAnsi="仿宋" w:eastAsia="仿宋" w:cs="仿宋"/>
          <w:bCs/>
          <w:color w:val="000000"/>
          <w:kern w:val="0"/>
          <w:sz w:val="32"/>
          <w:szCs w:val="32"/>
          <w:lang w:val="en-US" w:eastAsia="zh-CN"/>
        </w:rPr>
        <w:t>1.50</w:t>
      </w:r>
      <w:r>
        <w:rPr>
          <w:rFonts w:hint="eastAsia" w:ascii="仿宋" w:hAnsi="仿宋" w:eastAsia="仿宋" w:cs="仿宋"/>
          <w:bCs/>
          <w:color w:val="000000"/>
          <w:kern w:val="0"/>
          <w:sz w:val="32"/>
          <w:szCs w:val="32"/>
        </w:rPr>
        <w:t>万元、培训费</w:t>
      </w:r>
      <w:r>
        <w:rPr>
          <w:rFonts w:hint="eastAsia" w:ascii="仿宋" w:hAnsi="仿宋" w:eastAsia="仿宋" w:cs="仿宋"/>
          <w:bCs/>
          <w:color w:val="000000"/>
          <w:kern w:val="0"/>
          <w:sz w:val="32"/>
          <w:szCs w:val="32"/>
          <w:lang w:val="en-US" w:eastAsia="zh-CN"/>
        </w:rPr>
        <w:t>1.00</w:t>
      </w:r>
      <w:r>
        <w:rPr>
          <w:rFonts w:hint="eastAsia" w:ascii="仿宋" w:hAnsi="仿宋" w:eastAsia="仿宋" w:cs="仿宋"/>
          <w:bCs/>
          <w:color w:val="000000"/>
          <w:kern w:val="0"/>
          <w:sz w:val="32"/>
          <w:szCs w:val="32"/>
        </w:rPr>
        <w:t>万元、公务接待</w:t>
      </w:r>
      <w:r>
        <w:rPr>
          <w:rFonts w:hint="eastAsia" w:ascii="仿宋" w:hAnsi="仿宋" w:eastAsia="仿宋" w:cs="仿宋"/>
          <w:bCs/>
          <w:color w:val="000000"/>
          <w:kern w:val="0"/>
          <w:sz w:val="32"/>
          <w:szCs w:val="32"/>
          <w:lang w:val="en-US" w:eastAsia="zh-CN"/>
        </w:rPr>
        <w:t>5.00</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福利费</w:t>
      </w:r>
      <w:r>
        <w:rPr>
          <w:rFonts w:hint="eastAsia" w:ascii="仿宋" w:hAnsi="仿宋" w:eastAsia="仿宋" w:cs="仿宋"/>
          <w:bCs/>
          <w:color w:val="000000"/>
          <w:kern w:val="0"/>
          <w:sz w:val="32"/>
          <w:szCs w:val="32"/>
          <w:lang w:val="en-US" w:eastAsia="zh-CN"/>
        </w:rPr>
        <w:t>3.30</w:t>
      </w:r>
      <w:r>
        <w:rPr>
          <w:rFonts w:hint="eastAsia" w:ascii="仿宋" w:hAnsi="仿宋" w:eastAsia="仿宋" w:cs="仿宋"/>
          <w:bCs/>
          <w:color w:val="000000"/>
          <w:kern w:val="0"/>
          <w:sz w:val="32"/>
          <w:szCs w:val="32"/>
        </w:rPr>
        <w:t>万元、其他交通费</w:t>
      </w:r>
      <w:r>
        <w:rPr>
          <w:rFonts w:hint="eastAsia" w:ascii="仿宋" w:hAnsi="仿宋" w:eastAsia="仿宋" w:cs="仿宋"/>
          <w:bCs/>
          <w:color w:val="000000"/>
          <w:kern w:val="0"/>
          <w:sz w:val="32"/>
          <w:szCs w:val="32"/>
          <w:lang w:val="en-US" w:eastAsia="zh-CN"/>
        </w:rPr>
        <w:t>22.11</w:t>
      </w:r>
      <w:r>
        <w:rPr>
          <w:rFonts w:hint="eastAsia" w:ascii="仿宋" w:hAnsi="仿宋" w:eastAsia="仿宋" w:cs="仿宋"/>
          <w:bCs/>
          <w:color w:val="000000"/>
          <w:kern w:val="0"/>
          <w:sz w:val="32"/>
          <w:szCs w:val="32"/>
        </w:rPr>
        <w:t>万元。</w:t>
      </w:r>
    </w:p>
    <w:p>
      <w:pPr>
        <w:spacing w:line="576" w:lineRule="exact"/>
        <w:ind w:firstLine="640"/>
        <w:outlineLvl w:val="1"/>
        <w:rPr>
          <w:rStyle w:val="21"/>
          <w:rFonts w:ascii="黑体" w:hAnsi="黑体" w:eastAsia="黑体" w:cs="黑体"/>
          <w:b w:val="0"/>
          <w:bCs w:val="0"/>
        </w:rPr>
      </w:pPr>
      <w:r>
        <w:rPr>
          <w:rFonts w:hint="eastAsia" w:ascii="黑体" w:hAnsi="黑体" w:eastAsia="黑体" w:cs="黑体"/>
          <w:sz w:val="32"/>
          <w:szCs w:val="32"/>
        </w:rPr>
        <w:t>七、</w:t>
      </w:r>
      <w:r>
        <w:rPr>
          <w:rStyle w:val="21"/>
          <w:rFonts w:hint="eastAsia" w:ascii="黑体" w:hAnsi="黑体" w:eastAsia="黑体" w:cs="黑体"/>
          <w:b w:val="0"/>
          <w:bCs w:val="0"/>
        </w:rPr>
        <w:t>“三公”经费财政拨款支出决算情况说明</w:t>
      </w:r>
      <w:bookmarkEnd w:id="32"/>
      <w:bookmarkEnd w:id="33"/>
    </w:p>
    <w:p>
      <w:pPr>
        <w:spacing w:line="576" w:lineRule="exact"/>
        <w:ind w:firstLine="640"/>
        <w:outlineLvl w:val="2"/>
        <w:rPr>
          <w:rFonts w:ascii="楷体" w:hAnsi="楷体" w:eastAsia="楷体" w:cs="楷体"/>
          <w:sz w:val="32"/>
          <w:szCs w:val="32"/>
        </w:rPr>
      </w:pPr>
      <w:bookmarkStart w:id="34" w:name="_Toc15377216"/>
      <w:r>
        <w:rPr>
          <w:rFonts w:hint="eastAsia" w:ascii="楷体" w:hAnsi="楷体" w:eastAsia="楷体" w:cs="楷体"/>
          <w:sz w:val="32"/>
          <w:szCs w:val="32"/>
        </w:rPr>
        <w:t>（一）“三公”经费财政拨款支出决算总体情况说明</w:t>
      </w:r>
      <w:bookmarkEnd w:id="34"/>
    </w:p>
    <w:p>
      <w:pPr>
        <w:spacing w:line="576" w:lineRule="exact"/>
        <w:ind w:firstLine="640"/>
        <w:rPr>
          <w:rFonts w:ascii="宋体" w:hAnsi="宋体" w:cs="仿宋_GB2312"/>
          <w:sz w:val="32"/>
          <w:szCs w:val="32"/>
        </w:rPr>
      </w:pPr>
      <w:bookmarkStart w:id="35" w:name="_Toc15377217"/>
      <w:r>
        <w:rPr>
          <w:rFonts w:hint="eastAsia" w:ascii="仿宋" w:hAnsi="仿宋" w:eastAsia="仿宋" w:cs="仿宋"/>
          <w:bCs/>
          <w:color w:val="000000"/>
          <w:kern w:val="0"/>
          <w:sz w:val="32"/>
          <w:szCs w:val="32"/>
        </w:rPr>
        <w:t>武连镇人民政府202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年度“三公”经费财政拨款支出决算为</w:t>
      </w:r>
      <w:r>
        <w:rPr>
          <w:rFonts w:hint="eastAsia" w:ascii="仿宋" w:hAnsi="仿宋" w:eastAsia="仿宋" w:cs="仿宋"/>
          <w:bCs/>
          <w:color w:val="000000"/>
          <w:kern w:val="0"/>
          <w:sz w:val="32"/>
          <w:szCs w:val="32"/>
          <w:lang w:val="en-US" w:eastAsia="zh-CN"/>
        </w:rPr>
        <w:t>5.00</w:t>
      </w:r>
      <w:r>
        <w:rPr>
          <w:rFonts w:hint="eastAsia" w:ascii="仿宋" w:hAnsi="仿宋" w:eastAsia="仿宋" w:cs="仿宋"/>
          <w:bCs/>
          <w:color w:val="000000"/>
          <w:kern w:val="0"/>
          <w:sz w:val="32"/>
          <w:szCs w:val="32"/>
        </w:rPr>
        <w:t>万元，其中：公务接待费支出决算为</w:t>
      </w:r>
      <w:r>
        <w:rPr>
          <w:rFonts w:hint="eastAsia" w:ascii="仿宋" w:hAnsi="仿宋" w:eastAsia="仿宋" w:cs="仿宋"/>
          <w:bCs/>
          <w:color w:val="000000"/>
          <w:kern w:val="0"/>
          <w:sz w:val="32"/>
          <w:szCs w:val="32"/>
          <w:lang w:val="en-US" w:eastAsia="zh-CN"/>
        </w:rPr>
        <w:t>5.00</w:t>
      </w:r>
      <w:r>
        <w:rPr>
          <w:rFonts w:hint="eastAsia" w:ascii="仿宋" w:hAnsi="仿宋" w:eastAsia="仿宋" w:cs="仿宋"/>
          <w:bCs/>
          <w:color w:val="000000"/>
          <w:kern w:val="0"/>
          <w:sz w:val="32"/>
          <w:szCs w:val="32"/>
        </w:rPr>
        <w:t>万元，完成预算100%。</w:t>
      </w:r>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年度“三公”经费财政拨款支出决算数比202</w:t>
      </w:r>
      <w:r>
        <w:rPr>
          <w:rFonts w:hint="eastAsia" w:ascii="仿宋" w:hAnsi="仿宋" w:eastAsia="仿宋" w:cs="仿宋"/>
          <w:bCs/>
          <w:color w:val="000000"/>
          <w:kern w:val="0"/>
          <w:sz w:val="32"/>
          <w:szCs w:val="32"/>
          <w:lang w:val="en-US" w:eastAsia="zh-CN"/>
        </w:rPr>
        <w:t>1</w:t>
      </w:r>
      <w:r>
        <w:rPr>
          <w:rFonts w:hint="eastAsia" w:ascii="仿宋" w:hAnsi="仿宋" w:eastAsia="仿宋" w:cs="仿宋"/>
          <w:bCs/>
          <w:color w:val="000000"/>
          <w:kern w:val="0"/>
          <w:sz w:val="32"/>
          <w:szCs w:val="32"/>
        </w:rPr>
        <w:t>年减少</w:t>
      </w:r>
      <w:r>
        <w:rPr>
          <w:rFonts w:hint="eastAsia" w:ascii="仿宋" w:hAnsi="仿宋" w:eastAsia="仿宋" w:cs="仿宋"/>
          <w:bCs/>
          <w:color w:val="000000"/>
          <w:kern w:val="0"/>
          <w:sz w:val="32"/>
          <w:szCs w:val="32"/>
          <w:lang w:val="en-US" w:eastAsia="zh-CN"/>
        </w:rPr>
        <w:t>3.49</w:t>
      </w:r>
      <w:r>
        <w:rPr>
          <w:rFonts w:hint="eastAsia" w:ascii="仿宋" w:hAnsi="仿宋" w:eastAsia="仿宋" w:cs="仿宋"/>
          <w:bCs/>
          <w:color w:val="000000"/>
          <w:kern w:val="0"/>
          <w:sz w:val="32"/>
          <w:szCs w:val="32"/>
        </w:rPr>
        <w:t>万元，下降</w:t>
      </w:r>
      <w:r>
        <w:rPr>
          <w:rFonts w:hint="eastAsia" w:ascii="仿宋" w:hAnsi="仿宋" w:eastAsia="仿宋" w:cs="仿宋"/>
          <w:bCs/>
          <w:color w:val="000000"/>
          <w:kern w:val="0"/>
          <w:sz w:val="32"/>
          <w:szCs w:val="32"/>
          <w:lang w:val="en-US" w:eastAsia="zh-CN"/>
        </w:rPr>
        <w:t>41.11</w:t>
      </w:r>
      <w:r>
        <w:rPr>
          <w:rFonts w:hint="eastAsia" w:ascii="仿宋" w:hAnsi="仿宋" w:eastAsia="仿宋" w:cs="仿宋"/>
          <w:bCs/>
          <w:color w:val="000000"/>
          <w:kern w:val="0"/>
          <w:sz w:val="32"/>
          <w:szCs w:val="32"/>
        </w:rPr>
        <w:t>%，其中：公务接待费支出决算减少</w:t>
      </w:r>
      <w:r>
        <w:rPr>
          <w:rFonts w:hint="eastAsia" w:ascii="仿宋" w:hAnsi="仿宋" w:eastAsia="仿宋" w:cs="仿宋"/>
          <w:bCs/>
          <w:color w:val="000000"/>
          <w:kern w:val="0"/>
          <w:sz w:val="32"/>
          <w:szCs w:val="32"/>
          <w:lang w:val="en-US" w:eastAsia="zh-CN"/>
        </w:rPr>
        <w:t>3.49</w:t>
      </w:r>
      <w:r>
        <w:rPr>
          <w:rFonts w:hint="eastAsia" w:ascii="仿宋" w:hAnsi="仿宋" w:eastAsia="仿宋" w:cs="仿宋"/>
          <w:bCs/>
          <w:color w:val="000000"/>
          <w:kern w:val="0"/>
          <w:sz w:val="32"/>
          <w:szCs w:val="32"/>
        </w:rPr>
        <w:t>万元，下降</w:t>
      </w:r>
      <w:r>
        <w:rPr>
          <w:rFonts w:hint="eastAsia" w:ascii="仿宋" w:hAnsi="仿宋" w:eastAsia="仿宋" w:cs="仿宋"/>
          <w:bCs/>
          <w:color w:val="000000"/>
          <w:kern w:val="0"/>
          <w:sz w:val="32"/>
          <w:szCs w:val="32"/>
          <w:lang w:val="en-US" w:eastAsia="zh-CN"/>
        </w:rPr>
        <w:t>41.11</w:t>
      </w:r>
      <w:r>
        <w:rPr>
          <w:rFonts w:hint="eastAsia" w:ascii="仿宋" w:hAnsi="仿宋" w:eastAsia="仿宋" w:cs="仿宋"/>
          <w:bCs/>
          <w:color w:val="000000"/>
          <w:kern w:val="0"/>
          <w:sz w:val="32"/>
          <w:szCs w:val="32"/>
        </w:rPr>
        <w:t>%</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lang w:val="en-US" w:eastAsia="zh-CN"/>
        </w:rPr>
        <w:t>主要原因是疫情接待、会议减少。</w:t>
      </w:r>
    </w:p>
    <w:p>
      <w:pPr>
        <w:spacing w:line="576" w:lineRule="exact"/>
        <w:ind w:firstLine="640"/>
        <w:outlineLvl w:val="2"/>
        <w:rPr>
          <w:rFonts w:ascii="楷体" w:hAnsi="楷体" w:eastAsia="楷体" w:cs="楷体"/>
          <w:sz w:val="32"/>
          <w:szCs w:val="32"/>
        </w:rPr>
      </w:pPr>
      <w:r>
        <w:rPr>
          <w:rFonts w:hint="eastAsia" w:ascii="楷体" w:hAnsi="楷体" w:eastAsia="楷体" w:cs="楷体"/>
          <w:sz w:val="32"/>
          <w:szCs w:val="32"/>
        </w:rPr>
        <w:t>（二）“三公”经费财政拨款支出决算具体情况说明</w:t>
      </w:r>
      <w:bookmarkEnd w:id="35"/>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年度“三公”经费财政拨款支出决算中，因公出国（境）费支出决算0.00万元，占0.00%；公务用车购置及运行维护费支出决算0.00万元；占0.00%；公务接待费支出决算</w:t>
      </w:r>
      <w:r>
        <w:rPr>
          <w:rFonts w:hint="eastAsia" w:ascii="仿宋" w:hAnsi="仿宋" w:eastAsia="仿宋" w:cs="仿宋"/>
          <w:bCs/>
          <w:color w:val="000000"/>
          <w:kern w:val="0"/>
          <w:sz w:val="32"/>
          <w:szCs w:val="32"/>
          <w:lang w:val="en-US" w:eastAsia="zh-CN"/>
        </w:rPr>
        <w:t>5.00</w:t>
      </w:r>
      <w:r>
        <w:rPr>
          <w:rFonts w:hint="eastAsia" w:ascii="仿宋" w:hAnsi="仿宋" w:eastAsia="仿宋" w:cs="仿宋"/>
          <w:bCs/>
          <w:color w:val="000000"/>
          <w:kern w:val="0"/>
          <w:sz w:val="32"/>
          <w:szCs w:val="32"/>
        </w:rPr>
        <w:t>万元，占100%。具体情况如下：</w:t>
      </w:r>
    </w:p>
    <w:p>
      <w:pPr>
        <w:spacing w:line="576" w:lineRule="exact"/>
        <w:ind w:firstLine="640" w:firstLineChars="200"/>
        <w:rPr>
          <w:rStyle w:val="18"/>
          <w:rFonts w:ascii="仿宋" w:hAnsi="仿宋" w:eastAsia="仿宋" w:cs="仿宋"/>
          <w:b w:val="0"/>
          <w:bCs w:val="0"/>
          <w:sz w:val="32"/>
          <w:szCs w:val="32"/>
        </w:rPr>
      </w:pPr>
      <w:bookmarkStart w:id="36" w:name="_Toc15396610"/>
      <w:bookmarkStart w:id="37" w:name="_Toc15377218"/>
      <w:r>
        <w:rPr>
          <w:rStyle w:val="18"/>
          <w:rFonts w:hint="eastAsia" w:ascii="仿宋" w:hAnsi="仿宋" w:eastAsia="仿宋" w:cs="仿宋"/>
          <w:b w:val="0"/>
          <w:bCs w:val="0"/>
          <w:sz w:val="32"/>
          <w:szCs w:val="32"/>
        </w:rPr>
        <w:t>1.因公出国（境）经费</w:t>
      </w:r>
    </w:p>
    <w:p>
      <w:pPr>
        <w:spacing w:line="576" w:lineRule="exact"/>
        <w:ind w:firstLine="640" w:firstLineChars="200"/>
        <w:rPr>
          <w:rFonts w:hint="eastAsia" w:ascii="仿宋" w:hAnsi="仿宋" w:eastAsia="仿宋" w:cs="仿宋"/>
          <w:bCs/>
          <w:color w:val="000000"/>
          <w:kern w:val="0"/>
          <w:sz w:val="32"/>
          <w:szCs w:val="32"/>
          <w:lang w:val="en-US" w:eastAsia="zh-CN"/>
        </w:rPr>
      </w:pPr>
      <w:r>
        <w:rPr>
          <w:rFonts w:hint="eastAsia" w:ascii="仿宋" w:hAnsi="仿宋" w:eastAsia="仿宋" w:cs="仿宋"/>
          <w:bCs/>
          <w:color w:val="000000"/>
          <w:kern w:val="0"/>
          <w:sz w:val="32"/>
          <w:szCs w:val="32"/>
        </w:rPr>
        <w:t>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年因公出国（境）费0.00万元。全年安排因公出国（境）团组0次，出国（境）0人。因公出国（境）</w:t>
      </w:r>
      <w:r>
        <w:rPr>
          <w:rFonts w:hint="eastAsia" w:ascii="仿宋" w:hAnsi="仿宋" w:eastAsia="仿宋" w:cs="仿宋"/>
          <w:bCs/>
          <w:color w:val="000000"/>
          <w:kern w:val="0"/>
          <w:sz w:val="32"/>
          <w:szCs w:val="32"/>
          <w:lang w:val="en-US" w:eastAsia="zh-CN"/>
        </w:rPr>
        <w:t>支出决算与2021年持平，主要原因是无</w:t>
      </w:r>
      <w:r>
        <w:rPr>
          <w:rFonts w:hint="eastAsia" w:ascii="仿宋" w:hAnsi="仿宋" w:eastAsia="仿宋" w:cs="仿宋"/>
          <w:bCs/>
          <w:color w:val="000000"/>
          <w:kern w:val="0"/>
          <w:sz w:val="32"/>
          <w:szCs w:val="32"/>
        </w:rPr>
        <w:t>因公出国（境）</w:t>
      </w:r>
      <w:r>
        <w:rPr>
          <w:rFonts w:hint="eastAsia" w:ascii="仿宋" w:hAnsi="仿宋" w:eastAsia="仿宋" w:cs="仿宋"/>
          <w:bCs/>
          <w:color w:val="000000"/>
          <w:kern w:val="0"/>
          <w:sz w:val="32"/>
          <w:szCs w:val="32"/>
          <w:lang w:eastAsia="zh-CN"/>
        </w:rPr>
        <w:t>安排。</w:t>
      </w:r>
    </w:p>
    <w:p>
      <w:pPr>
        <w:spacing w:line="576" w:lineRule="exact"/>
        <w:ind w:firstLine="640" w:firstLineChars="200"/>
        <w:rPr>
          <w:rStyle w:val="18"/>
          <w:rFonts w:ascii="仿宋" w:hAnsi="仿宋" w:eastAsia="仿宋" w:cs="仿宋"/>
          <w:b w:val="0"/>
          <w:bCs w:val="0"/>
          <w:sz w:val="32"/>
          <w:szCs w:val="32"/>
        </w:rPr>
      </w:pPr>
      <w:r>
        <w:rPr>
          <w:rStyle w:val="18"/>
          <w:rFonts w:hint="eastAsia" w:ascii="仿宋" w:hAnsi="仿宋" w:eastAsia="仿宋" w:cs="仿宋"/>
          <w:b w:val="0"/>
          <w:bCs w:val="0"/>
          <w:sz w:val="32"/>
          <w:szCs w:val="32"/>
        </w:rPr>
        <w:t>2.公务用车购置及运行维护费</w:t>
      </w:r>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年公务用车购置及运行维护费0万元</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其中：</w:t>
      </w:r>
    </w:p>
    <w:p>
      <w:pPr>
        <w:spacing w:line="576" w:lineRule="exact"/>
        <w:ind w:firstLine="640" w:firstLineChars="200"/>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rPr>
        <w:t>公务用车购置支出0.00万元。全年按规定更新购置公务用车0辆，其中</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轿车0辆、金额0万元，越野车0辆、金额0.00万元，载客汽车0辆、金额0.00万元</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截至2021年12月底，单位共有公务用车0辆，其中</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轿车0辆、越野车0辆、载客汽车0辆。</w:t>
      </w:r>
      <w:r>
        <w:rPr>
          <w:rFonts w:hint="eastAsia" w:ascii="仿宋" w:hAnsi="仿宋" w:eastAsia="仿宋" w:cs="仿宋"/>
          <w:bCs/>
          <w:color w:val="000000"/>
          <w:kern w:val="0"/>
          <w:sz w:val="32"/>
          <w:szCs w:val="32"/>
          <w:lang w:val="en-US" w:eastAsia="zh-CN"/>
        </w:rPr>
        <w:t>主要原因是无</w:t>
      </w:r>
      <w:r>
        <w:rPr>
          <w:rFonts w:hint="eastAsia" w:ascii="仿宋" w:hAnsi="仿宋" w:eastAsia="仿宋" w:cs="仿宋"/>
          <w:bCs/>
          <w:color w:val="000000"/>
          <w:kern w:val="0"/>
          <w:sz w:val="32"/>
          <w:szCs w:val="32"/>
        </w:rPr>
        <w:t>公务用车购置</w:t>
      </w:r>
      <w:r>
        <w:rPr>
          <w:rFonts w:hint="eastAsia" w:ascii="仿宋" w:hAnsi="仿宋" w:eastAsia="仿宋" w:cs="仿宋"/>
          <w:bCs/>
          <w:color w:val="000000"/>
          <w:kern w:val="0"/>
          <w:sz w:val="32"/>
          <w:szCs w:val="32"/>
          <w:lang w:eastAsia="zh-CN"/>
        </w:rPr>
        <w:t>安排。</w:t>
      </w:r>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公务用车运行维护费支出0万元。</w:t>
      </w:r>
      <w:r>
        <w:rPr>
          <w:rFonts w:hint="eastAsia" w:ascii="仿宋" w:hAnsi="仿宋" w:eastAsia="仿宋" w:cs="仿宋"/>
          <w:bCs/>
          <w:color w:val="000000"/>
          <w:kern w:val="0"/>
          <w:sz w:val="32"/>
          <w:szCs w:val="32"/>
          <w:lang w:val="en-US" w:eastAsia="zh-CN"/>
        </w:rPr>
        <w:t>主要原因是无</w:t>
      </w:r>
      <w:r>
        <w:rPr>
          <w:rFonts w:hint="eastAsia" w:ascii="仿宋" w:hAnsi="仿宋" w:eastAsia="仿宋" w:cs="仿宋"/>
          <w:bCs/>
          <w:color w:val="000000"/>
          <w:kern w:val="0"/>
          <w:sz w:val="32"/>
          <w:szCs w:val="32"/>
        </w:rPr>
        <w:t>公务用车运行维护</w:t>
      </w:r>
      <w:r>
        <w:rPr>
          <w:rFonts w:hint="eastAsia" w:ascii="仿宋" w:hAnsi="仿宋" w:eastAsia="仿宋" w:cs="仿宋"/>
          <w:bCs/>
          <w:color w:val="000000"/>
          <w:kern w:val="0"/>
          <w:sz w:val="32"/>
          <w:szCs w:val="32"/>
          <w:lang w:eastAsia="zh-CN"/>
        </w:rPr>
        <w:t>安排。</w:t>
      </w:r>
    </w:p>
    <w:p>
      <w:pPr>
        <w:spacing w:line="576" w:lineRule="exact"/>
        <w:ind w:firstLine="640" w:firstLineChars="200"/>
        <w:rPr>
          <w:rStyle w:val="18"/>
          <w:rFonts w:ascii="仿宋" w:hAnsi="仿宋" w:eastAsia="仿宋" w:cs="仿宋"/>
          <w:b w:val="0"/>
          <w:bCs w:val="0"/>
          <w:sz w:val="32"/>
          <w:szCs w:val="32"/>
        </w:rPr>
      </w:pPr>
      <w:r>
        <w:rPr>
          <w:rStyle w:val="18"/>
          <w:rFonts w:hint="eastAsia" w:ascii="仿宋" w:hAnsi="仿宋" w:eastAsia="仿宋" w:cs="仿宋"/>
          <w:b w:val="0"/>
          <w:bCs w:val="0"/>
          <w:sz w:val="32"/>
          <w:szCs w:val="32"/>
        </w:rPr>
        <w:t>3.公务接待费</w:t>
      </w:r>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年公务接待费</w:t>
      </w:r>
      <w:r>
        <w:rPr>
          <w:rFonts w:hint="eastAsia" w:ascii="仿宋" w:hAnsi="仿宋" w:eastAsia="仿宋" w:cs="仿宋"/>
          <w:bCs/>
          <w:color w:val="000000"/>
          <w:kern w:val="0"/>
          <w:sz w:val="32"/>
          <w:szCs w:val="32"/>
          <w:lang w:val="en-US" w:eastAsia="zh-CN"/>
        </w:rPr>
        <w:t>5.00</w:t>
      </w:r>
      <w:r>
        <w:rPr>
          <w:rFonts w:hint="eastAsia" w:ascii="仿宋" w:hAnsi="仿宋" w:eastAsia="仿宋" w:cs="仿宋"/>
          <w:bCs/>
          <w:color w:val="000000"/>
          <w:kern w:val="0"/>
          <w:sz w:val="32"/>
          <w:szCs w:val="32"/>
        </w:rPr>
        <w:t>万元。主要用于执行公务、开展业务活动开支的交通费、住宿费、用餐费等。国内公务接待</w:t>
      </w:r>
      <w:r>
        <w:rPr>
          <w:rFonts w:hint="eastAsia" w:ascii="仿宋" w:hAnsi="仿宋" w:eastAsia="仿宋" w:cs="仿宋"/>
          <w:bCs/>
          <w:color w:val="000000"/>
          <w:kern w:val="0"/>
          <w:sz w:val="32"/>
          <w:szCs w:val="32"/>
          <w:lang w:val="en-US" w:eastAsia="zh-CN"/>
        </w:rPr>
        <w:t>112</w:t>
      </w:r>
      <w:r>
        <w:rPr>
          <w:rFonts w:hint="eastAsia" w:ascii="仿宋" w:hAnsi="仿宋" w:eastAsia="仿宋" w:cs="仿宋"/>
          <w:bCs/>
          <w:color w:val="000000"/>
          <w:kern w:val="0"/>
          <w:sz w:val="32"/>
          <w:szCs w:val="32"/>
        </w:rPr>
        <w:t>批次，</w:t>
      </w:r>
      <w:r>
        <w:rPr>
          <w:rFonts w:hint="eastAsia" w:ascii="仿宋" w:hAnsi="仿宋" w:eastAsia="仿宋" w:cs="仿宋"/>
          <w:bCs/>
          <w:color w:val="000000"/>
          <w:kern w:val="0"/>
          <w:sz w:val="32"/>
          <w:szCs w:val="32"/>
          <w:lang w:val="en-US" w:eastAsia="zh-CN"/>
        </w:rPr>
        <w:t>995</w:t>
      </w:r>
      <w:r>
        <w:rPr>
          <w:rFonts w:hint="eastAsia" w:ascii="仿宋" w:hAnsi="仿宋" w:eastAsia="仿宋" w:cs="仿宋"/>
          <w:bCs/>
          <w:color w:val="000000"/>
          <w:kern w:val="0"/>
          <w:sz w:val="32"/>
          <w:szCs w:val="32"/>
        </w:rPr>
        <w:t>人，共计支出</w:t>
      </w:r>
      <w:r>
        <w:rPr>
          <w:rFonts w:hint="eastAsia" w:ascii="仿宋" w:hAnsi="仿宋" w:eastAsia="仿宋" w:cs="仿宋"/>
          <w:bCs/>
          <w:color w:val="000000"/>
          <w:kern w:val="0"/>
          <w:sz w:val="32"/>
          <w:szCs w:val="32"/>
          <w:lang w:val="en-US" w:eastAsia="zh-CN"/>
        </w:rPr>
        <w:t>5.00</w:t>
      </w:r>
      <w:r>
        <w:rPr>
          <w:rFonts w:hint="eastAsia" w:ascii="仿宋" w:hAnsi="仿宋" w:eastAsia="仿宋" w:cs="仿宋"/>
          <w:bCs/>
          <w:color w:val="000000"/>
          <w:kern w:val="0"/>
          <w:sz w:val="32"/>
          <w:szCs w:val="32"/>
        </w:rPr>
        <w:t>万元，具体内容包括：上级检查、审计、督察等工作接待、金额</w:t>
      </w:r>
      <w:r>
        <w:rPr>
          <w:rFonts w:hint="eastAsia" w:ascii="仿宋" w:hAnsi="仿宋" w:eastAsia="仿宋" w:cs="仿宋"/>
          <w:bCs/>
          <w:color w:val="000000"/>
          <w:kern w:val="0"/>
          <w:sz w:val="32"/>
          <w:szCs w:val="32"/>
          <w:lang w:val="en-US" w:eastAsia="zh-CN"/>
        </w:rPr>
        <w:t>5.00</w:t>
      </w:r>
      <w:r>
        <w:rPr>
          <w:rFonts w:hint="eastAsia" w:ascii="仿宋" w:hAnsi="仿宋" w:eastAsia="仿宋" w:cs="仿宋"/>
          <w:bCs/>
          <w:color w:val="000000"/>
          <w:kern w:val="0"/>
          <w:sz w:val="32"/>
          <w:szCs w:val="32"/>
        </w:rPr>
        <w:t>万元。</w:t>
      </w:r>
    </w:p>
    <w:p>
      <w:pPr>
        <w:spacing w:line="576" w:lineRule="exact"/>
        <w:ind w:firstLine="640"/>
        <w:outlineLvl w:val="1"/>
        <w:rPr>
          <w:rStyle w:val="21"/>
          <w:rFonts w:ascii="宋体" w:hAnsi="宋体" w:cs="仿宋_GB2312"/>
        </w:rPr>
      </w:pPr>
      <w:r>
        <w:rPr>
          <w:rFonts w:hint="eastAsia" w:ascii="黑体" w:hAnsi="黑体" w:eastAsia="黑体" w:cs="黑体"/>
          <w:sz w:val="32"/>
          <w:szCs w:val="32"/>
        </w:rPr>
        <w:t>八、政府性基金预算支出决算情况说明</w:t>
      </w:r>
      <w:bookmarkEnd w:id="36"/>
      <w:bookmarkEnd w:id="37"/>
    </w:p>
    <w:p>
      <w:pPr>
        <w:spacing w:line="576" w:lineRule="exact"/>
        <w:ind w:firstLine="640"/>
        <w:rPr>
          <w:rFonts w:ascii="宋体" w:hAnsi="宋体" w:cs="仿宋_GB2312"/>
          <w:sz w:val="32"/>
          <w:szCs w:val="32"/>
        </w:rPr>
      </w:pPr>
      <w:bookmarkStart w:id="38" w:name="_Toc15396611"/>
      <w:bookmarkStart w:id="39" w:name="_Toc15377219"/>
      <w:r>
        <w:rPr>
          <w:rFonts w:hint="eastAsia" w:ascii="仿宋" w:hAnsi="仿宋" w:eastAsia="仿宋" w:cs="仿宋"/>
          <w:bCs/>
          <w:color w:val="000000"/>
          <w:kern w:val="0"/>
          <w:sz w:val="32"/>
          <w:szCs w:val="32"/>
        </w:rPr>
        <w:t>武连镇人民政府202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年使用政府性基金预算财政拨款支出</w:t>
      </w:r>
      <w:r>
        <w:rPr>
          <w:rFonts w:hint="eastAsia" w:ascii="仿宋" w:hAnsi="仿宋" w:eastAsia="仿宋" w:cs="仿宋"/>
          <w:bCs/>
          <w:color w:val="000000"/>
          <w:kern w:val="0"/>
          <w:sz w:val="32"/>
          <w:szCs w:val="32"/>
          <w:lang w:val="en-US" w:eastAsia="zh-CN"/>
        </w:rPr>
        <w:t>9.00</w:t>
      </w:r>
      <w:r>
        <w:rPr>
          <w:rFonts w:hint="eastAsia" w:ascii="仿宋" w:hAnsi="仿宋" w:eastAsia="仿宋" w:cs="仿宋"/>
          <w:bCs/>
          <w:color w:val="000000"/>
          <w:kern w:val="0"/>
          <w:sz w:val="32"/>
          <w:szCs w:val="32"/>
        </w:rPr>
        <w:t>万元。</w:t>
      </w:r>
    </w:p>
    <w:p>
      <w:pPr>
        <w:spacing w:line="576" w:lineRule="exact"/>
        <w:ind w:firstLine="800" w:firstLineChars="250"/>
        <w:outlineLvl w:val="1"/>
        <w:rPr>
          <w:rFonts w:ascii="黑体" w:hAnsi="黑体" w:eastAsia="黑体" w:cs="黑体"/>
          <w:sz w:val="32"/>
          <w:szCs w:val="32"/>
        </w:rPr>
      </w:pPr>
      <w:r>
        <w:rPr>
          <w:rFonts w:hint="eastAsia" w:ascii="黑体" w:hAnsi="黑体" w:eastAsia="黑体" w:cs="黑体"/>
          <w:sz w:val="32"/>
          <w:szCs w:val="32"/>
        </w:rPr>
        <w:t>九、国有资本经营预算支出决算情况说明</w:t>
      </w:r>
      <w:bookmarkEnd w:id="38"/>
      <w:bookmarkEnd w:id="39"/>
    </w:p>
    <w:p>
      <w:pPr>
        <w:spacing w:line="576" w:lineRule="exact"/>
        <w:ind w:firstLine="640" w:firstLineChars="200"/>
        <w:rPr>
          <w:rFonts w:ascii="仿宋" w:hAnsi="仿宋" w:eastAsia="仿宋" w:cs="仿宋"/>
          <w:bCs/>
          <w:color w:val="000000"/>
          <w:kern w:val="0"/>
          <w:sz w:val="32"/>
          <w:szCs w:val="32"/>
        </w:rPr>
      </w:pPr>
      <w:bookmarkStart w:id="40" w:name="_Toc15377221"/>
      <w:bookmarkStart w:id="41" w:name="_Toc15396612"/>
      <w:r>
        <w:rPr>
          <w:rFonts w:hint="eastAsia" w:ascii="仿宋" w:hAnsi="仿宋" w:eastAsia="仿宋" w:cs="仿宋"/>
          <w:bCs/>
          <w:color w:val="000000"/>
          <w:kern w:val="0"/>
          <w:sz w:val="32"/>
          <w:szCs w:val="32"/>
        </w:rPr>
        <w:t>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年国有资本经营预算拨款支出0万元。</w:t>
      </w:r>
    </w:p>
    <w:p>
      <w:pPr>
        <w:spacing w:line="576" w:lineRule="exact"/>
        <w:ind w:firstLine="800" w:firstLineChars="250"/>
        <w:outlineLvl w:val="1"/>
        <w:rPr>
          <w:rStyle w:val="21"/>
          <w:rFonts w:ascii="黑体" w:hAnsi="黑体" w:eastAsia="黑体" w:cs="黑体"/>
          <w:b w:val="0"/>
          <w:bCs w:val="0"/>
        </w:rPr>
      </w:pPr>
      <w:r>
        <w:rPr>
          <w:rFonts w:hint="eastAsia" w:ascii="黑体" w:hAnsi="黑体" w:eastAsia="黑体" w:cs="黑体"/>
          <w:sz w:val="32"/>
          <w:szCs w:val="32"/>
        </w:rPr>
        <w:t>十</w:t>
      </w:r>
      <w:r>
        <w:rPr>
          <w:rStyle w:val="21"/>
          <w:rFonts w:hint="eastAsia" w:ascii="黑体" w:hAnsi="黑体" w:eastAsia="黑体" w:cs="黑体"/>
          <w:b w:val="0"/>
          <w:bCs w:val="0"/>
        </w:rPr>
        <w:t>、其他重要事项的情况说明</w:t>
      </w:r>
      <w:bookmarkEnd w:id="40"/>
      <w:bookmarkEnd w:id="41"/>
    </w:p>
    <w:p>
      <w:pPr>
        <w:pStyle w:val="31"/>
        <w:autoSpaceDE w:val="0"/>
        <w:autoSpaceDN w:val="0"/>
        <w:adjustRightInd w:val="0"/>
        <w:spacing w:line="576" w:lineRule="exact"/>
        <w:ind w:left="-1080" w:firstLine="1600" w:firstLineChars="500"/>
        <w:jc w:val="left"/>
        <w:outlineLvl w:val="2"/>
        <w:rPr>
          <w:rFonts w:ascii="楷体" w:hAnsi="楷体" w:eastAsia="楷体" w:cs="楷体"/>
          <w:sz w:val="32"/>
          <w:szCs w:val="32"/>
        </w:rPr>
      </w:pPr>
      <w:bookmarkStart w:id="42" w:name="_Toc15377222"/>
      <w:r>
        <w:rPr>
          <w:rFonts w:hint="eastAsia" w:ascii="楷体" w:hAnsi="楷体" w:eastAsia="楷体" w:cs="楷体"/>
          <w:sz w:val="32"/>
          <w:szCs w:val="32"/>
        </w:rPr>
        <w:t>（一）机关运行经费支出情况</w:t>
      </w:r>
      <w:bookmarkEnd w:id="42"/>
    </w:p>
    <w:p>
      <w:pPr>
        <w:spacing w:line="600"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年度，武连镇人民政府机关运行经费支出</w:t>
      </w:r>
      <w:r>
        <w:rPr>
          <w:rFonts w:hint="eastAsia" w:ascii="仿宋" w:hAnsi="仿宋" w:eastAsia="仿宋" w:cs="仿宋"/>
          <w:bCs/>
          <w:color w:val="000000"/>
          <w:kern w:val="0"/>
          <w:sz w:val="32"/>
          <w:szCs w:val="32"/>
          <w:lang w:val="en-US" w:eastAsia="zh-CN"/>
        </w:rPr>
        <w:t>117.01</w:t>
      </w:r>
      <w:r>
        <w:rPr>
          <w:rFonts w:hint="eastAsia" w:ascii="仿宋" w:hAnsi="仿宋" w:eastAsia="仿宋" w:cs="仿宋"/>
          <w:bCs/>
          <w:color w:val="000000"/>
          <w:kern w:val="0"/>
          <w:sz w:val="32"/>
          <w:szCs w:val="32"/>
        </w:rPr>
        <w:t>万元，比202</w:t>
      </w:r>
      <w:r>
        <w:rPr>
          <w:rFonts w:hint="eastAsia" w:ascii="仿宋" w:hAnsi="仿宋" w:eastAsia="仿宋" w:cs="仿宋"/>
          <w:bCs/>
          <w:color w:val="000000"/>
          <w:kern w:val="0"/>
          <w:sz w:val="32"/>
          <w:szCs w:val="32"/>
          <w:lang w:val="en-US" w:eastAsia="zh-CN"/>
        </w:rPr>
        <w:t>1</w:t>
      </w:r>
      <w:r>
        <w:rPr>
          <w:rFonts w:hint="eastAsia" w:ascii="仿宋" w:hAnsi="仿宋" w:eastAsia="仿宋" w:cs="仿宋"/>
          <w:bCs/>
          <w:color w:val="000000"/>
          <w:kern w:val="0"/>
          <w:sz w:val="32"/>
          <w:szCs w:val="32"/>
        </w:rPr>
        <w:t>年</w:t>
      </w:r>
      <w:r>
        <w:rPr>
          <w:rFonts w:hint="eastAsia" w:ascii="仿宋" w:hAnsi="仿宋" w:eastAsia="仿宋" w:cs="仿宋"/>
          <w:bCs/>
          <w:color w:val="000000"/>
          <w:kern w:val="0"/>
          <w:sz w:val="32"/>
          <w:szCs w:val="32"/>
          <w:lang w:eastAsia="zh-CN"/>
        </w:rPr>
        <w:t>减少</w:t>
      </w:r>
      <w:r>
        <w:rPr>
          <w:rFonts w:hint="eastAsia" w:ascii="仿宋" w:hAnsi="仿宋" w:eastAsia="仿宋" w:cs="仿宋"/>
          <w:bCs/>
          <w:color w:val="000000"/>
          <w:kern w:val="0"/>
          <w:sz w:val="32"/>
          <w:szCs w:val="32"/>
          <w:lang w:val="en-US" w:eastAsia="zh-CN"/>
        </w:rPr>
        <w:t>160.21</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eastAsia="zh-CN"/>
        </w:rPr>
        <w:t>减少</w:t>
      </w:r>
      <w:r>
        <w:rPr>
          <w:rFonts w:hint="eastAsia" w:ascii="仿宋" w:hAnsi="仿宋" w:eastAsia="仿宋" w:cs="仿宋"/>
          <w:bCs/>
          <w:color w:val="000000"/>
          <w:kern w:val="0"/>
          <w:sz w:val="32"/>
          <w:szCs w:val="32"/>
          <w:lang w:val="en-US" w:eastAsia="zh-CN"/>
        </w:rPr>
        <w:t>57.79</w:t>
      </w:r>
      <w:r>
        <w:rPr>
          <w:rFonts w:hint="eastAsia" w:ascii="仿宋" w:hAnsi="仿宋" w:eastAsia="仿宋" w:cs="仿宋"/>
          <w:bCs/>
          <w:color w:val="000000"/>
          <w:kern w:val="0"/>
          <w:sz w:val="32"/>
          <w:szCs w:val="32"/>
        </w:rPr>
        <w:t>%。主要原因是</w:t>
      </w:r>
      <w:r>
        <w:rPr>
          <w:rFonts w:hint="eastAsia" w:ascii="仿宋_GB2312" w:eastAsia="仿宋_GB2312"/>
          <w:sz w:val="32"/>
          <w:szCs w:val="32"/>
        </w:rPr>
        <w:t>压缩一般性支出</w:t>
      </w:r>
      <w:r>
        <w:rPr>
          <w:rFonts w:hint="eastAsia" w:ascii="仿宋" w:hAnsi="仿宋" w:eastAsia="仿宋" w:cs="仿宋"/>
          <w:bCs/>
          <w:color w:val="000000"/>
          <w:kern w:val="0"/>
          <w:sz w:val="32"/>
          <w:szCs w:val="32"/>
        </w:rPr>
        <w:t>。</w:t>
      </w:r>
    </w:p>
    <w:p>
      <w:pPr>
        <w:pStyle w:val="31"/>
        <w:autoSpaceDE w:val="0"/>
        <w:autoSpaceDN w:val="0"/>
        <w:adjustRightInd w:val="0"/>
        <w:spacing w:line="576" w:lineRule="exact"/>
        <w:ind w:left="-1080" w:firstLine="1600" w:firstLineChars="500"/>
        <w:jc w:val="left"/>
        <w:outlineLvl w:val="2"/>
        <w:rPr>
          <w:rFonts w:ascii="楷体" w:hAnsi="楷体" w:eastAsia="楷体" w:cs="楷体"/>
          <w:sz w:val="32"/>
          <w:szCs w:val="32"/>
        </w:rPr>
      </w:pPr>
      <w:bookmarkStart w:id="43" w:name="_Toc15377223"/>
      <w:r>
        <w:rPr>
          <w:rFonts w:hint="eastAsia" w:ascii="楷体" w:hAnsi="楷体" w:eastAsia="楷体" w:cs="楷体"/>
          <w:sz w:val="32"/>
          <w:szCs w:val="32"/>
        </w:rPr>
        <w:t>（二）政府采购支出情况</w:t>
      </w:r>
      <w:bookmarkEnd w:id="43"/>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年度，武连镇人民政府政府采购支出总额0万元，其中：政府采购货物支出0万元、政府采购工程支出0.00万元、政府采购服务支出0.00万元。</w:t>
      </w:r>
    </w:p>
    <w:p>
      <w:pPr>
        <w:pStyle w:val="31"/>
        <w:autoSpaceDE w:val="0"/>
        <w:autoSpaceDN w:val="0"/>
        <w:adjustRightInd w:val="0"/>
        <w:spacing w:line="576" w:lineRule="exact"/>
        <w:ind w:left="-1080" w:firstLine="1600" w:firstLineChars="500"/>
        <w:jc w:val="left"/>
        <w:outlineLvl w:val="2"/>
        <w:rPr>
          <w:rFonts w:ascii="楷体" w:hAnsi="楷体" w:eastAsia="楷体" w:cs="楷体"/>
          <w:sz w:val="32"/>
          <w:szCs w:val="32"/>
        </w:rPr>
      </w:pPr>
      <w:bookmarkStart w:id="44" w:name="_Toc15377224"/>
      <w:r>
        <w:rPr>
          <w:rFonts w:hint="eastAsia" w:ascii="楷体" w:hAnsi="楷体" w:eastAsia="楷体" w:cs="楷体"/>
          <w:sz w:val="32"/>
          <w:szCs w:val="32"/>
        </w:rPr>
        <w:t>（三）国有资产占有使用情况</w:t>
      </w:r>
      <w:bookmarkEnd w:id="44"/>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截至202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年12月31日，武连镇人民政府</w:t>
      </w:r>
      <w:r>
        <w:rPr>
          <w:rFonts w:hint="eastAsia" w:ascii="仿宋" w:hAnsi="仿宋" w:eastAsia="仿宋" w:cs="仿宋"/>
          <w:bCs/>
          <w:color w:val="000000"/>
          <w:kern w:val="0"/>
          <w:sz w:val="32"/>
          <w:szCs w:val="32"/>
          <w:lang w:eastAsia="zh-CN"/>
        </w:rPr>
        <w:t>共有</w:t>
      </w:r>
      <w:r>
        <w:rPr>
          <w:rFonts w:hint="eastAsia" w:ascii="仿宋" w:hAnsi="仿宋" w:eastAsia="仿宋" w:cs="仿宋"/>
          <w:bCs/>
          <w:color w:val="000000"/>
          <w:kern w:val="0"/>
          <w:sz w:val="32"/>
          <w:szCs w:val="32"/>
        </w:rPr>
        <w:t>车辆0辆，其中：省部级领导干部用车0辆、一般公务用车0辆；单价50万元以上通用设备0台（套），单价100万元以上专用设备0台（套）。</w:t>
      </w:r>
    </w:p>
    <w:p>
      <w:pPr>
        <w:pStyle w:val="31"/>
        <w:autoSpaceDE w:val="0"/>
        <w:autoSpaceDN w:val="0"/>
        <w:adjustRightInd w:val="0"/>
        <w:spacing w:line="576" w:lineRule="exact"/>
        <w:ind w:left="-1080" w:firstLine="1600" w:firstLineChars="500"/>
        <w:jc w:val="left"/>
        <w:outlineLvl w:val="2"/>
        <w:rPr>
          <w:rFonts w:ascii="楷体" w:hAnsi="楷体" w:eastAsia="楷体" w:cs="楷体"/>
          <w:sz w:val="32"/>
          <w:szCs w:val="32"/>
        </w:rPr>
      </w:pPr>
      <w:r>
        <w:rPr>
          <w:rFonts w:hint="eastAsia" w:ascii="楷体" w:hAnsi="楷体" w:eastAsia="楷体" w:cs="楷体"/>
          <w:sz w:val="32"/>
          <w:szCs w:val="32"/>
        </w:rPr>
        <w:t>（四）预算绩效管理情况。</w:t>
      </w:r>
    </w:p>
    <w:p>
      <w:pPr>
        <w:spacing w:line="576" w:lineRule="exact"/>
        <w:ind w:firstLine="640" w:firstLineChars="200"/>
        <w:rPr>
          <w:rStyle w:val="18"/>
          <w:rFonts w:ascii="仿宋" w:hAnsi="仿宋" w:eastAsia="仿宋" w:cs="仿宋"/>
          <w:b w:val="0"/>
          <w:bCs w:val="0"/>
          <w:sz w:val="32"/>
          <w:szCs w:val="32"/>
        </w:rPr>
      </w:pPr>
      <w:bookmarkStart w:id="45" w:name="_Toc15377225"/>
      <w:bookmarkStart w:id="46" w:name="_Toc15396613"/>
      <w:r>
        <w:rPr>
          <w:rStyle w:val="18"/>
          <w:rFonts w:hint="eastAsia" w:ascii="仿宋" w:hAnsi="仿宋" w:eastAsia="仿宋" w:cs="仿宋"/>
          <w:b w:val="0"/>
          <w:bCs w:val="0"/>
          <w:sz w:val="32"/>
          <w:szCs w:val="32"/>
        </w:rPr>
        <w:t>1.预算绩效管理工作开展情况。</w:t>
      </w:r>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根据预算绩效管理要求，剑阁县武连镇人民政府在年初预算编制阶段，组织对垃圾清运处置项目开展了预算事前绩效评估，并对该1个项目编制了绩效目标，预算执行过程中，对该项目开展绩效监控，年终执行完毕后，对该项目开展了绩效目标完成情况梳理填报。</w:t>
      </w:r>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剑阁县武连镇人民政府按要求对202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年部门整体支出开展绩效自评，</w:t>
      </w:r>
      <w:r>
        <w:rPr>
          <w:rFonts w:hint="eastAsia" w:ascii="仿宋" w:hAnsi="仿宋" w:eastAsia="仿宋" w:cs="仿宋"/>
          <w:bCs/>
          <w:color w:val="000000"/>
          <w:kern w:val="0"/>
          <w:sz w:val="32"/>
          <w:szCs w:val="32"/>
          <w:lang w:eastAsia="zh-CN"/>
        </w:rPr>
        <w:t>从评价情况来看</w:t>
      </w:r>
      <w:r>
        <w:rPr>
          <w:rFonts w:hint="eastAsia" w:ascii="仿宋" w:hAnsi="仿宋" w:eastAsia="仿宋" w:cs="仿宋"/>
          <w:bCs/>
          <w:color w:val="000000"/>
          <w:kern w:val="0"/>
          <w:sz w:val="32"/>
          <w:szCs w:val="32"/>
        </w:rPr>
        <w:t>本单位将项目总体目标细化分解为具体的绩效目标展开实施，通过清晰、可衡量的指标值予以体现。根据相关政策的要求和文件的指导，本单位遵从</w:t>
      </w:r>
      <w:r>
        <w:rPr>
          <w:rFonts w:hint="eastAsia" w:ascii="仿宋" w:hAnsi="仿宋" w:eastAsia="仿宋" w:cs="仿宋"/>
          <w:bCs/>
          <w:color w:val="000000"/>
          <w:kern w:val="0"/>
          <w:sz w:val="32"/>
          <w:szCs w:val="32"/>
          <w:lang w:eastAsia="zh-CN"/>
        </w:rPr>
        <w:t>在</w:t>
      </w:r>
      <w:r>
        <w:rPr>
          <w:rFonts w:hint="eastAsia" w:ascii="仿宋" w:hAnsi="仿宋" w:eastAsia="仿宋" w:cs="仿宋"/>
          <w:bCs/>
          <w:color w:val="000000"/>
          <w:kern w:val="0"/>
          <w:sz w:val="32"/>
          <w:szCs w:val="32"/>
        </w:rPr>
        <w:t>不违背相关项目申报程序和管理办法的前提下，通过制定中长期项目规划，履行相应的项目程序，该项目年度计划数与任务数相符，同时符合经济社会发展需要和部门年度项目规划；在资金使用情况方面，严格按照预算资金实施项目；项目整体施工进度良好，严格按照合同的工期和要求完成项目的实施，剑阁县武连镇人民政府还自行组织了1个项目绩效评价，从评价情况来看整个项目的机构健全，分工明确，责任落实到位，计划项目与实施项目相符，在规定的时间内按期完工，在资金支付和管理方面，严格按照预算资金支付项目款，同时建立了完善的项目监督管理制度，该项目的实施增强了人民的幸福感，提高了生活质量，有利于促进社会经济良好发展，取得较好的社会效益。</w:t>
      </w:r>
    </w:p>
    <w:p>
      <w:pPr>
        <w:spacing w:line="576" w:lineRule="exact"/>
        <w:ind w:firstLine="640" w:firstLineChars="200"/>
        <w:rPr>
          <w:rFonts w:ascii="仿宋" w:hAnsi="仿宋" w:eastAsia="仿宋" w:cs="仿宋"/>
          <w:bCs/>
          <w:color w:val="000000"/>
          <w:kern w:val="0"/>
          <w:sz w:val="32"/>
          <w:szCs w:val="32"/>
        </w:rPr>
      </w:pPr>
      <w:r>
        <w:rPr>
          <w:rStyle w:val="18"/>
          <w:rFonts w:hint="eastAsia" w:ascii="仿宋" w:hAnsi="仿宋" w:eastAsia="仿宋" w:cs="仿宋"/>
          <w:b w:val="0"/>
          <w:bCs w:val="0"/>
          <w:sz w:val="32"/>
          <w:szCs w:val="32"/>
        </w:rPr>
        <w:t>2.项目绩效目标完成情况。</w:t>
      </w:r>
      <w:r>
        <w:rPr>
          <w:rStyle w:val="18"/>
          <w:rFonts w:hint="eastAsia" w:ascii="仿宋" w:hAnsi="仿宋" w:eastAsia="仿宋" w:cs="仿宋"/>
          <w:b w:val="0"/>
          <w:bCs w:val="0"/>
          <w:sz w:val="32"/>
          <w:szCs w:val="32"/>
        </w:rPr>
        <w:br w:type="textWrapping"/>
      </w:r>
      <w:r>
        <w:rPr>
          <w:rFonts w:hint="eastAsia" w:ascii="宋体" w:hAnsi="宋体" w:cs="仿宋_GB2312"/>
          <w:sz w:val="32"/>
          <w:szCs w:val="32"/>
        </w:rPr>
        <w:t xml:space="preserve">    </w:t>
      </w:r>
      <w:r>
        <w:rPr>
          <w:rFonts w:hint="eastAsia" w:ascii="仿宋" w:hAnsi="仿宋" w:eastAsia="仿宋" w:cs="仿宋"/>
          <w:bCs/>
          <w:color w:val="000000"/>
          <w:kern w:val="0"/>
          <w:sz w:val="32"/>
          <w:szCs w:val="32"/>
        </w:rPr>
        <w:t>本部门在202</w:t>
      </w: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年度部门决算中反映“城镇社区环境卫生”项目绩效目标实际完成情况。</w:t>
      </w:r>
    </w:p>
    <w:p>
      <w:pPr>
        <w:spacing w:line="576"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城镇社区环境卫生项目绩效目标完成情况综述。项目全年预算数</w:t>
      </w:r>
      <w:r>
        <w:rPr>
          <w:rFonts w:hint="eastAsia" w:ascii="仿宋" w:hAnsi="仿宋" w:eastAsia="仿宋" w:cs="仿宋"/>
          <w:bCs/>
          <w:color w:val="000000"/>
          <w:kern w:val="0"/>
          <w:sz w:val="32"/>
          <w:szCs w:val="32"/>
          <w:lang w:val="en-US" w:eastAsia="zh-CN"/>
        </w:rPr>
        <w:t>30.38</w:t>
      </w:r>
      <w:r>
        <w:rPr>
          <w:rFonts w:hint="eastAsia" w:ascii="仿宋" w:hAnsi="仿宋" w:eastAsia="仿宋" w:cs="仿宋"/>
          <w:bCs/>
          <w:color w:val="000000"/>
          <w:kern w:val="0"/>
          <w:sz w:val="32"/>
          <w:szCs w:val="32"/>
        </w:rPr>
        <w:t>万元，执行数为</w:t>
      </w:r>
      <w:r>
        <w:rPr>
          <w:rFonts w:hint="eastAsia" w:ascii="仿宋" w:hAnsi="仿宋" w:eastAsia="仿宋" w:cs="仿宋"/>
          <w:bCs/>
          <w:color w:val="000000"/>
          <w:kern w:val="0"/>
          <w:sz w:val="32"/>
          <w:szCs w:val="32"/>
          <w:lang w:val="en-US" w:eastAsia="zh-CN"/>
        </w:rPr>
        <w:t>29.43</w:t>
      </w:r>
      <w:r>
        <w:rPr>
          <w:rFonts w:hint="eastAsia" w:ascii="仿宋" w:hAnsi="仿宋" w:eastAsia="仿宋" w:cs="仿宋"/>
          <w:bCs/>
          <w:color w:val="000000"/>
          <w:kern w:val="0"/>
          <w:sz w:val="32"/>
          <w:szCs w:val="32"/>
        </w:rPr>
        <w:t>万元，完成预算的</w:t>
      </w:r>
      <w:r>
        <w:rPr>
          <w:rFonts w:hint="eastAsia" w:ascii="仿宋" w:hAnsi="仿宋" w:eastAsia="仿宋" w:cs="仿宋"/>
          <w:bCs/>
          <w:color w:val="000000"/>
          <w:kern w:val="0"/>
          <w:sz w:val="32"/>
          <w:szCs w:val="32"/>
          <w:lang w:val="en-US" w:eastAsia="zh-CN"/>
        </w:rPr>
        <w:t>96.87</w:t>
      </w:r>
      <w:r>
        <w:rPr>
          <w:rFonts w:hint="eastAsia" w:ascii="仿宋" w:hAnsi="仿宋" w:eastAsia="仿宋" w:cs="仿宋"/>
          <w:bCs/>
          <w:color w:val="000000"/>
          <w:kern w:val="0"/>
          <w:sz w:val="32"/>
          <w:szCs w:val="32"/>
        </w:rPr>
        <w:t>%。通过项目实施，保障场镇及周边的环境干净整洁</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给</w:t>
      </w:r>
      <w:r>
        <w:rPr>
          <w:rFonts w:hint="eastAsia" w:ascii="仿宋" w:hAnsi="仿宋" w:eastAsia="仿宋" w:cs="仿宋"/>
          <w:bCs/>
          <w:color w:val="000000"/>
          <w:kern w:val="0"/>
          <w:sz w:val="32"/>
          <w:szCs w:val="32"/>
          <w:lang w:eastAsia="zh-CN"/>
        </w:rPr>
        <w:t>百</w:t>
      </w:r>
      <w:r>
        <w:rPr>
          <w:rFonts w:hint="eastAsia" w:ascii="仿宋" w:hAnsi="仿宋" w:eastAsia="仿宋" w:cs="仿宋"/>
          <w:bCs/>
          <w:color w:val="000000"/>
          <w:kern w:val="0"/>
          <w:sz w:val="32"/>
          <w:szCs w:val="32"/>
        </w:rPr>
        <w:t>姓和居民有一个优美的工作和生活环境</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提高了人民的生活幸福指数，改善了生态环境。</w:t>
      </w:r>
      <w:r>
        <w:rPr>
          <w:rFonts w:hint="eastAsia" w:ascii="楷体" w:hAnsi="楷体" w:eastAsia="楷体" w:cs="楷体"/>
          <w:bCs/>
          <w:color w:val="000000"/>
          <w:kern w:val="0"/>
          <w:sz w:val="32"/>
          <w:szCs w:val="32"/>
        </w:rPr>
        <w:t>发现的主要问题</w:t>
      </w:r>
      <w:r>
        <w:rPr>
          <w:rFonts w:hint="eastAsia" w:ascii="仿宋" w:hAnsi="仿宋" w:eastAsia="仿宋" w:cs="仿宋"/>
          <w:bCs/>
          <w:color w:val="000000"/>
          <w:kern w:val="0"/>
          <w:sz w:val="32"/>
          <w:szCs w:val="32"/>
        </w:rPr>
        <w:t>：（1）人口众多，在日常生活中所排放的垃圾数量相当可观，城市垃圾处理问题给国家的城市化发展进程带来了严峻的挑战；（2）居民对于垃圾处理的责任和意识不强；</w:t>
      </w:r>
      <w:r>
        <w:rPr>
          <w:rFonts w:hint="eastAsia" w:ascii="楷体" w:hAnsi="楷体" w:eastAsia="楷体" w:cs="楷体"/>
          <w:bCs/>
          <w:color w:val="000000"/>
          <w:kern w:val="0"/>
          <w:sz w:val="32"/>
          <w:szCs w:val="32"/>
        </w:rPr>
        <w:t>下一步改进措施</w:t>
      </w:r>
      <w:r>
        <w:rPr>
          <w:rFonts w:hint="eastAsia" w:ascii="仿宋" w:hAnsi="仿宋" w:eastAsia="仿宋" w:cs="仿宋"/>
          <w:bCs/>
          <w:color w:val="000000"/>
          <w:kern w:val="0"/>
          <w:sz w:val="32"/>
          <w:szCs w:val="32"/>
        </w:rPr>
        <w:t>：（1）拓宽投资或融资渠道，制订相关优惠政策，鼓励发展垃圾处理产业，加快城市生活垃圾处理场的建设。这是改变目前我国垃圾产生量大、处理能力不足、处理率低的关键所在。(2）加大宣传力度，多组织保护环境及垃圾处理等相关政策的宣讲和学习，增强人民垃圾处理的责任和意识。</w:t>
      </w:r>
    </w:p>
    <w:p>
      <w:pPr>
        <w:pStyle w:val="2"/>
        <w:spacing w:before="93"/>
        <w:rPr>
          <w:rFonts w:ascii="仿宋" w:hAnsi="仿宋" w:eastAsia="仿宋" w:cs="仿宋"/>
          <w:bCs/>
          <w:color w:val="000000"/>
          <w:sz w:val="32"/>
          <w:szCs w:val="32"/>
        </w:rPr>
      </w:pPr>
    </w:p>
    <w:p>
      <w:pPr>
        <w:pStyle w:val="2"/>
        <w:spacing w:before="93"/>
        <w:rPr>
          <w:rFonts w:ascii="仿宋" w:hAnsi="仿宋" w:eastAsia="仿宋" w:cs="仿宋"/>
          <w:bCs/>
          <w:color w:val="000000"/>
          <w:sz w:val="32"/>
          <w:szCs w:val="32"/>
        </w:rPr>
      </w:pPr>
    </w:p>
    <w:p>
      <w:pPr>
        <w:pStyle w:val="2"/>
        <w:spacing w:before="93"/>
        <w:rPr>
          <w:rFonts w:ascii="仿宋" w:hAnsi="仿宋" w:eastAsia="仿宋" w:cs="仿宋"/>
          <w:bCs/>
          <w:color w:val="000000"/>
          <w:sz w:val="32"/>
          <w:szCs w:val="32"/>
        </w:rPr>
      </w:pPr>
    </w:p>
    <w:p>
      <w:pPr>
        <w:pStyle w:val="2"/>
        <w:spacing w:before="93"/>
        <w:rPr>
          <w:rFonts w:ascii="仿宋" w:hAnsi="仿宋" w:eastAsia="仿宋" w:cs="仿宋"/>
          <w:bCs/>
          <w:color w:val="000000"/>
          <w:sz w:val="32"/>
          <w:szCs w:val="32"/>
        </w:rPr>
      </w:pPr>
    </w:p>
    <w:p>
      <w:pPr>
        <w:pStyle w:val="2"/>
        <w:spacing w:before="93"/>
        <w:rPr>
          <w:rFonts w:ascii="仿宋" w:hAnsi="仿宋" w:eastAsia="仿宋" w:cs="仿宋"/>
          <w:bCs/>
          <w:color w:val="000000"/>
          <w:sz w:val="32"/>
          <w:szCs w:val="32"/>
        </w:rPr>
      </w:pPr>
    </w:p>
    <w:p>
      <w:pPr>
        <w:pStyle w:val="2"/>
        <w:spacing w:before="93"/>
        <w:rPr>
          <w:rFonts w:ascii="仿宋" w:hAnsi="仿宋" w:eastAsia="仿宋" w:cs="仿宋"/>
          <w:bCs/>
          <w:color w:val="000000"/>
          <w:sz w:val="32"/>
          <w:szCs w:val="32"/>
        </w:rPr>
      </w:pPr>
    </w:p>
    <w:p>
      <w:pPr>
        <w:pStyle w:val="2"/>
        <w:spacing w:before="93"/>
        <w:rPr>
          <w:rFonts w:ascii="仿宋" w:hAnsi="仿宋" w:eastAsia="仿宋" w:cs="仿宋"/>
          <w:bCs/>
          <w:color w:val="000000"/>
          <w:sz w:val="32"/>
          <w:szCs w:val="32"/>
        </w:rPr>
      </w:pPr>
    </w:p>
    <w:p>
      <w:pPr>
        <w:pStyle w:val="2"/>
        <w:spacing w:before="93"/>
        <w:rPr>
          <w:rFonts w:ascii="仿宋" w:hAnsi="仿宋" w:eastAsia="仿宋" w:cs="仿宋"/>
          <w:bCs/>
          <w:color w:val="000000"/>
          <w:sz w:val="32"/>
          <w:szCs w:val="32"/>
        </w:rPr>
      </w:pPr>
    </w:p>
    <w:p>
      <w:pPr>
        <w:pStyle w:val="2"/>
        <w:spacing w:before="93"/>
        <w:rPr>
          <w:rFonts w:ascii="仿宋" w:hAnsi="仿宋" w:eastAsia="仿宋" w:cs="仿宋"/>
          <w:bCs/>
          <w:color w:val="000000"/>
          <w:sz w:val="32"/>
          <w:szCs w:val="32"/>
        </w:rPr>
      </w:pPr>
    </w:p>
    <w:p>
      <w:pPr>
        <w:pStyle w:val="2"/>
        <w:spacing w:before="93"/>
        <w:rPr>
          <w:rFonts w:ascii="仿宋" w:hAnsi="仿宋" w:eastAsia="仿宋" w:cs="仿宋"/>
          <w:bCs/>
          <w:color w:val="000000"/>
          <w:sz w:val="32"/>
          <w:szCs w:val="32"/>
        </w:rPr>
      </w:pPr>
    </w:p>
    <w:p>
      <w:pPr>
        <w:pStyle w:val="2"/>
        <w:spacing w:before="93"/>
        <w:rPr>
          <w:rFonts w:ascii="仿宋" w:hAnsi="仿宋" w:eastAsia="仿宋" w:cs="仿宋"/>
          <w:bCs/>
          <w:color w:val="000000"/>
          <w:sz w:val="32"/>
          <w:szCs w:val="32"/>
        </w:rPr>
      </w:pPr>
    </w:p>
    <w:p>
      <w:pPr>
        <w:pStyle w:val="2"/>
        <w:spacing w:before="93"/>
        <w:rPr>
          <w:rFonts w:ascii="仿宋" w:hAnsi="仿宋" w:eastAsia="仿宋" w:cs="仿宋"/>
          <w:bCs/>
          <w:color w:val="000000"/>
          <w:sz w:val="32"/>
          <w:szCs w:val="32"/>
        </w:rPr>
      </w:pPr>
    </w:p>
    <w:p>
      <w:pPr>
        <w:pStyle w:val="2"/>
        <w:spacing w:before="93"/>
        <w:rPr>
          <w:rFonts w:ascii="仿宋" w:hAnsi="仿宋" w:eastAsia="仿宋" w:cs="仿宋"/>
          <w:bCs/>
          <w:color w:val="000000"/>
          <w:sz w:val="32"/>
          <w:szCs w:val="32"/>
        </w:rPr>
      </w:pPr>
    </w:p>
    <w:p>
      <w:pPr>
        <w:pStyle w:val="2"/>
        <w:spacing w:before="93"/>
        <w:rPr>
          <w:rFonts w:ascii="仿宋" w:hAnsi="仿宋" w:eastAsia="仿宋" w:cs="仿宋"/>
          <w:bCs/>
          <w:color w:val="000000"/>
          <w:sz w:val="32"/>
          <w:szCs w:val="32"/>
        </w:rPr>
      </w:pPr>
    </w:p>
    <w:tbl>
      <w:tblPr>
        <w:tblStyle w:val="16"/>
        <w:tblpPr w:leftFromText="180" w:rightFromText="180" w:vertAnchor="text" w:horzAnchor="page" w:tblpXSpec="center" w:tblpY="423"/>
        <w:tblOverlap w:val="never"/>
        <w:tblW w:w="9654" w:type="dxa"/>
        <w:tblInd w:w="0" w:type="dxa"/>
        <w:tblLayout w:type="fixed"/>
        <w:tblCellMar>
          <w:top w:w="0" w:type="dxa"/>
          <w:left w:w="0" w:type="dxa"/>
          <w:bottom w:w="0" w:type="dxa"/>
          <w:right w:w="0" w:type="dxa"/>
        </w:tblCellMar>
      </w:tblPr>
      <w:tblGrid>
        <w:gridCol w:w="582"/>
        <w:gridCol w:w="142"/>
        <w:gridCol w:w="1033"/>
        <w:gridCol w:w="1025"/>
        <w:gridCol w:w="2392"/>
        <w:gridCol w:w="2394"/>
        <w:gridCol w:w="2086"/>
      </w:tblGrid>
      <w:tr>
        <w:tblPrEx>
          <w:tblCellMar>
            <w:top w:w="0" w:type="dxa"/>
            <w:left w:w="0" w:type="dxa"/>
            <w:bottom w:w="0" w:type="dxa"/>
            <w:right w:w="0" w:type="dxa"/>
          </w:tblCellMar>
        </w:tblPrEx>
        <w:trPr>
          <w:trHeight w:val="1034" w:hRule="atLeast"/>
        </w:trPr>
        <w:tc>
          <w:tcPr>
            <w:tcW w:w="9654" w:type="dxa"/>
            <w:gridSpan w:val="7"/>
            <w:tcMar>
              <w:top w:w="15" w:type="dxa"/>
              <w:left w:w="15" w:type="dxa"/>
              <w:bottom w:w="0" w:type="dxa"/>
              <w:right w:w="15" w:type="dxa"/>
            </w:tcMar>
            <w:vAlign w:val="center"/>
          </w:tcPr>
          <w:p>
            <w:pPr>
              <w:pStyle w:val="31"/>
              <w:widowControl/>
              <w:ind w:left="4173" w:leftChars="1310" w:hanging="1422" w:hangingChars="395"/>
              <w:textAlignment w:val="center"/>
              <w:rPr>
                <w:rFonts w:ascii="宋体" w:hAnsi="宋体" w:cs="仿宋_GB2312"/>
                <w:color w:val="000000"/>
                <w:sz w:val="32"/>
                <w:szCs w:val="32"/>
              </w:rPr>
            </w:pPr>
            <w:r>
              <w:rPr>
                <w:rFonts w:hint="eastAsia" w:ascii="方正小标宋简体" w:hAnsi="方正小标宋简体" w:eastAsia="方正小标宋简体" w:cs="方正小标宋简体"/>
                <w:color w:val="000000"/>
                <w:kern w:val="0"/>
                <w:sz w:val="36"/>
                <w:szCs w:val="36"/>
              </w:rPr>
              <w:t>项目支出绩效目标完成情况表</w:t>
            </w:r>
            <w:r>
              <w:rPr>
                <w:rFonts w:hint="eastAsia" w:ascii="方正小标宋简体" w:hAnsi="方正小标宋简体" w:eastAsia="方正小标宋简体" w:cs="方正小标宋简体"/>
                <w:b/>
                <w:bCs/>
                <w:color w:val="000000"/>
                <w:kern w:val="0"/>
                <w:sz w:val="36"/>
                <w:szCs w:val="36"/>
              </w:rPr>
              <w:br w:type="textWrapping"/>
            </w:r>
            <w:r>
              <w:rPr>
                <w:rFonts w:hint="eastAsia" w:ascii="宋体" w:hAnsi="宋体" w:cs="仿宋_GB2312"/>
                <w:color w:val="000000"/>
                <w:kern w:val="0"/>
                <w:sz w:val="24"/>
                <w:szCs w:val="24"/>
              </w:rPr>
              <w:t>(202</w:t>
            </w:r>
            <w:r>
              <w:rPr>
                <w:rFonts w:hint="eastAsia" w:ascii="宋体" w:hAnsi="宋体" w:cs="仿宋_GB2312"/>
                <w:color w:val="000000"/>
                <w:kern w:val="0"/>
                <w:sz w:val="24"/>
                <w:szCs w:val="24"/>
                <w:lang w:val="en-US" w:eastAsia="zh-CN"/>
              </w:rPr>
              <w:t>2</w:t>
            </w:r>
            <w:r>
              <w:rPr>
                <w:rFonts w:hint="eastAsia" w:ascii="宋体" w:hAnsi="宋体" w:cs="仿宋_GB2312"/>
                <w:color w:val="000000"/>
                <w:kern w:val="0"/>
                <w:sz w:val="24"/>
                <w:szCs w:val="24"/>
              </w:rPr>
              <w:t xml:space="preserve"> 年度)</w:t>
            </w:r>
          </w:p>
        </w:tc>
      </w:tr>
      <w:tr>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项目名称</w:t>
            </w:r>
          </w:p>
        </w:tc>
        <w:tc>
          <w:tcPr>
            <w:tcW w:w="687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城镇社区环境卫生支出</w:t>
            </w:r>
          </w:p>
        </w:tc>
      </w:tr>
      <w:tr>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预算单位</w:t>
            </w:r>
          </w:p>
        </w:tc>
        <w:tc>
          <w:tcPr>
            <w:tcW w:w="687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剑阁县武连镇人民政府</w:t>
            </w:r>
          </w:p>
        </w:tc>
      </w:tr>
      <w:tr>
        <w:tblPrEx>
          <w:tblCellMar>
            <w:top w:w="0" w:type="dxa"/>
            <w:left w:w="0" w:type="dxa"/>
            <w:bottom w:w="0" w:type="dxa"/>
            <w:right w:w="0" w:type="dxa"/>
          </w:tblCellMar>
        </w:tblPrEx>
        <w:trPr>
          <w:trHeight w:val="276" w:hRule="atLeast"/>
        </w:trPr>
        <w:tc>
          <w:tcPr>
            <w:tcW w:w="72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预算执行情况(万元)</w:t>
            </w: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预算数</w:t>
            </w:r>
            <w:r>
              <w:rPr>
                <w:rFonts w:hint="eastAsia" w:ascii="仿宋" w:hAnsi="仿宋" w:eastAsia="仿宋" w:cs="仿宋"/>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val="en-US" w:eastAsia="zh-CN"/>
              </w:rPr>
              <w:t>30.38</w:t>
            </w:r>
            <w:r>
              <w:rPr>
                <w:rFonts w:hint="eastAsia" w:ascii="仿宋" w:hAnsi="仿宋" w:eastAsia="仿宋" w:cs="仿宋"/>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执行数</w:t>
            </w:r>
            <w:r>
              <w:rPr>
                <w:rFonts w:hint="eastAsia" w:ascii="仿宋" w:hAnsi="仿宋" w:eastAsia="仿宋" w:cs="仿宋"/>
                <w:color w:val="000000"/>
                <w:kern w:val="0"/>
                <w:sz w:val="24"/>
                <w:szCs w:val="24"/>
                <w:lang w:eastAsia="zh-CN"/>
              </w:rPr>
              <w:t>：</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val="en-US" w:eastAsia="zh-CN"/>
              </w:rPr>
              <w:t>29.43</w:t>
            </w:r>
            <w:r>
              <w:rPr>
                <w:rFonts w:hint="eastAsia" w:ascii="仿宋" w:hAnsi="仿宋" w:eastAsia="仿宋" w:cs="仿宋"/>
                <w:color w:val="000000"/>
                <w:sz w:val="24"/>
                <w:szCs w:val="24"/>
              </w:rPr>
              <w:t>万元</w:t>
            </w:r>
          </w:p>
        </w:tc>
      </w:tr>
      <w:tr>
        <w:tblPrEx>
          <w:tblCellMar>
            <w:top w:w="0" w:type="dxa"/>
            <w:left w:w="0" w:type="dxa"/>
            <w:bottom w:w="0" w:type="dxa"/>
            <w:right w:w="0" w:type="dxa"/>
          </w:tblCellMar>
        </w:tblPrEx>
        <w:trPr>
          <w:trHeight w:val="257" w:hRule="atLeast"/>
        </w:trPr>
        <w:tc>
          <w:tcPr>
            <w:tcW w:w="7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其中</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财政拨款</w:t>
            </w:r>
            <w:r>
              <w:rPr>
                <w:rFonts w:hint="eastAsia" w:ascii="仿宋" w:hAnsi="仿宋" w:eastAsia="仿宋" w:cs="仿宋"/>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val="en-US" w:eastAsia="zh-CN"/>
              </w:rPr>
              <w:t>30.38</w:t>
            </w:r>
            <w:r>
              <w:rPr>
                <w:rFonts w:hint="eastAsia" w:ascii="仿宋" w:hAnsi="仿宋" w:eastAsia="仿宋" w:cs="仿宋"/>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其中</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财政拨款</w:t>
            </w:r>
            <w:r>
              <w:rPr>
                <w:rFonts w:hint="eastAsia" w:ascii="仿宋" w:hAnsi="仿宋" w:eastAsia="仿宋" w:cs="仿宋"/>
                <w:color w:val="000000"/>
                <w:kern w:val="0"/>
                <w:sz w:val="24"/>
                <w:szCs w:val="24"/>
                <w:lang w:eastAsia="zh-CN"/>
              </w:rPr>
              <w:t>：</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val="en-US" w:eastAsia="zh-CN"/>
              </w:rPr>
              <w:t>29.43</w:t>
            </w:r>
            <w:r>
              <w:rPr>
                <w:rFonts w:hint="eastAsia" w:ascii="仿宋" w:hAnsi="仿宋" w:eastAsia="仿宋" w:cs="仿宋"/>
                <w:color w:val="000000"/>
                <w:sz w:val="24"/>
                <w:szCs w:val="24"/>
              </w:rPr>
              <w:t>万元</w:t>
            </w:r>
          </w:p>
        </w:tc>
      </w:tr>
      <w:tr>
        <w:tblPrEx>
          <w:tblCellMar>
            <w:top w:w="0" w:type="dxa"/>
            <w:left w:w="0" w:type="dxa"/>
            <w:bottom w:w="0" w:type="dxa"/>
            <w:right w:w="0" w:type="dxa"/>
          </w:tblCellMar>
        </w:tblPrEx>
        <w:trPr>
          <w:trHeight w:val="621" w:hRule="atLeast"/>
        </w:trPr>
        <w:tc>
          <w:tcPr>
            <w:tcW w:w="7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其它资金</w:t>
            </w:r>
            <w:r>
              <w:rPr>
                <w:rFonts w:hint="eastAsia" w:ascii="仿宋" w:hAnsi="仿宋" w:eastAsia="仿宋" w:cs="仿宋"/>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其它资金</w:t>
            </w:r>
            <w:r>
              <w:rPr>
                <w:rFonts w:hint="eastAsia" w:ascii="仿宋" w:hAnsi="仿宋" w:eastAsia="仿宋" w:cs="仿宋"/>
                <w:color w:val="000000"/>
                <w:kern w:val="0"/>
                <w:sz w:val="24"/>
                <w:szCs w:val="24"/>
                <w:lang w:eastAsia="zh-CN"/>
              </w:rPr>
              <w:t>：</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r>
      <w:tr>
        <w:tblPrEx>
          <w:tblCellMar>
            <w:top w:w="0" w:type="dxa"/>
            <w:left w:w="0" w:type="dxa"/>
            <w:bottom w:w="0" w:type="dxa"/>
            <w:right w:w="0" w:type="dxa"/>
          </w:tblCellMar>
        </w:tblPrEx>
        <w:trPr>
          <w:trHeight w:val="276" w:hRule="atLeast"/>
        </w:trPr>
        <w:tc>
          <w:tcPr>
            <w:tcW w:w="72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年度目标完成情况</w:t>
            </w:r>
          </w:p>
        </w:tc>
        <w:tc>
          <w:tcPr>
            <w:tcW w:w="44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预期目标</w:t>
            </w:r>
          </w:p>
        </w:tc>
        <w:tc>
          <w:tcPr>
            <w:tcW w:w="44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实际完成目标</w:t>
            </w:r>
          </w:p>
        </w:tc>
      </w:tr>
      <w:tr>
        <w:tblPrEx>
          <w:tblCellMar>
            <w:top w:w="0" w:type="dxa"/>
            <w:left w:w="0" w:type="dxa"/>
            <w:bottom w:w="0" w:type="dxa"/>
            <w:right w:w="0" w:type="dxa"/>
          </w:tblCellMar>
        </w:tblPrEx>
        <w:trPr>
          <w:trHeight w:val="1361" w:hRule="atLeast"/>
        </w:trPr>
        <w:tc>
          <w:tcPr>
            <w:tcW w:w="7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44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数量指标：完成垃圾清运</w:t>
            </w:r>
            <w:r>
              <w:rPr>
                <w:rFonts w:ascii="仿宋" w:hAnsi="仿宋" w:eastAsia="仿宋" w:cs="仿宋"/>
                <w:color w:val="000000"/>
                <w:sz w:val="24"/>
                <w:szCs w:val="24"/>
              </w:rPr>
              <w:t>730</w:t>
            </w:r>
            <w:r>
              <w:rPr>
                <w:rFonts w:hint="eastAsia" w:ascii="仿宋" w:hAnsi="仿宋" w:eastAsia="仿宋" w:cs="仿宋"/>
                <w:color w:val="000000"/>
                <w:sz w:val="24"/>
                <w:szCs w:val="24"/>
              </w:rPr>
              <w:t>车</w:t>
            </w:r>
          </w:p>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质量指标：场镇及各村周边清运垃圾质量</w:t>
            </w:r>
          </w:p>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时效指标：202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年12月底前完成</w:t>
            </w:r>
          </w:p>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成本指标：严格按照预算执行</w:t>
            </w:r>
          </w:p>
        </w:tc>
        <w:tc>
          <w:tcPr>
            <w:tcW w:w="44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数量指标：完成垃圾清运</w:t>
            </w:r>
            <w:r>
              <w:rPr>
                <w:rFonts w:ascii="仿宋" w:hAnsi="仿宋" w:eastAsia="仿宋" w:cs="仿宋"/>
                <w:color w:val="000000"/>
                <w:sz w:val="24"/>
                <w:szCs w:val="24"/>
              </w:rPr>
              <w:t>730</w:t>
            </w:r>
            <w:r>
              <w:rPr>
                <w:rFonts w:hint="eastAsia" w:ascii="仿宋" w:hAnsi="仿宋" w:eastAsia="仿宋" w:cs="仿宋"/>
                <w:color w:val="000000"/>
                <w:sz w:val="24"/>
                <w:szCs w:val="24"/>
              </w:rPr>
              <w:t>车</w:t>
            </w:r>
          </w:p>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质量指标：场镇及各村周边清运垃圾质量</w:t>
            </w:r>
          </w:p>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时效指标：202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年12月底前完成</w:t>
            </w:r>
          </w:p>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成本指标：严格按照预算执行</w:t>
            </w:r>
          </w:p>
        </w:tc>
      </w:tr>
      <w:tr>
        <w:tblPrEx>
          <w:tblCellMar>
            <w:top w:w="0" w:type="dxa"/>
            <w:left w:w="0" w:type="dxa"/>
            <w:bottom w:w="0" w:type="dxa"/>
            <w:right w:w="0" w:type="dxa"/>
          </w:tblCellMar>
        </w:tblPrEx>
        <w:trPr>
          <w:trHeight w:val="769" w:hRule="atLeast"/>
        </w:trPr>
        <w:tc>
          <w:tcPr>
            <w:tcW w:w="72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绩效指标完成情况</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预期指标值(包含数字及文字描述)</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实际完成指标值(包含数字及文字描述)</w:t>
            </w:r>
          </w:p>
        </w:tc>
      </w:tr>
      <w:tr>
        <w:tblPrEx>
          <w:tblCellMar>
            <w:top w:w="0" w:type="dxa"/>
            <w:left w:w="0" w:type="dxa"/>
            <w:bottom w:w="0" w:type="dxa"/>
            <w:right w:w="0" w:type="dxa"/>
          </w:tblCellMar>
        </w:tblPrEx>
        <w:trPr>
          <w:trHeight w:val="840" w:hRule="atLeast"/>
        </w:trPr>
        <w:tc>
          <w:tcPr>
            <w:tcW w:w="7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场镇及各村周边清运垃圾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730车</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730车</w:t>
            </w:r>
          </w:p>
        </w:tc>
      </w:tr>
      <w:tr>
        <w:tblPrEx>
          <w:tblCellMar>
            <w:top w:w="0" w:type="dxa"/>
            <w:left w:w="0" w:type="dxa"/>
            <w:bottom w:w="0" w:type="dxa"/>
            <w:right w:w="0" w:type="dxa"/>
          </w:tblCellMar>
        </w:tblPrEx>
        <w:trPr>
          <w:trHeight w:val="1297" w:hRule="atLeast"/>
        </w:trPr>
        <w:tc>
          <w:tcPr>
            <w:tcW w:w="7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场镇及各村周边清运垃圾质量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≥100%</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≥100%</w:t>
            </w:r>
          </w:p>
        </w:tc>
      </w:tr>
      <w:tr>
        <w:tblPrEx>
          <w:tblCellMar>
            <w:top w:w="0" w:type="dxa"/>
            <w:left w:w="0" w:type="dxa"/>
            <w:bottom w:w="0" w:type="dxa"/>
            <w:right w:w="0" w:type="dxa"/>
          </w:tblCellMar>
        </w:tblPrEx>
        <w:trPr>
          <w:trHeight w:val="1042" w:hRule="atLeast"/>
        </w:trPr>
        <w:tc>
          <w:tcPr>
            <w:tcW w:w="7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202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年12月底前</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202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年12月底前</w:t>
            </w:r>
          </w:p>
        </w:tc>
      </w:tr>
      <w:tr>
        <w:tblPrEx>
          <w:tblCellMar>
            <w:top w:w="0" w:type="dxa"/>
            <w:left w:w="0" w:type="dxa"/>
            <w:bottom w:w="0" w:type="dxa"/>
            <w:right w:w="0" w:type="dxa"/>
          </w:tblCellMar>
        </w:tblPrEx>
        <w:trPr>
          <w:trHeight w:val="1042" w:hRule="atLeast"/>
        </w:trPr>
        <w:tc>
          <w:tcPr>
            <w:tcW w:w="7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场镇及各村周边清运垃圾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200元/车</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200元/车</w:t>
            </w:r>
          </w:p>
        </w:tc>
      </w:tr>
      <w:tr>
        <w:tblPrEx>
          <w:tblCellMar>
            <w:top w:w="0" w:type="dxa"/>
            <w:left w:w="0" w:type="dxa"/>
            <w:bottom w:w="0" w:type="dxa"/>
            <w:right w:w="0" w:type="dxa"/>
          </w:tblCellMar>
        </w:tblPrEx>
        <w:trPr>
          <w:trHeight w:val="1042" w:hRule="atLeast"/>
        </w:trPr>
        <w:tc>
          <w:tcPr>
            <w:tcW w:w="7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color w:val="000000"/>
                <w:sz w:val="24"/>
                <w:szCs w:val="24"/>
              </w:rPr>
              <w:t>场镇及各村周边清运垃圾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保障场镇及周边的环境干净整洁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给</w:t>
            </w:r>
            <w:r>
              <w:rPr>
                <w:rFonts w:hint="eastAsia" w:ascii="仿宋" w:hAnsi="仿宋" w:eastAsia="仿宋" w:cs="仿宋"/>
                <w:color w:val="000000"/>
                <w:sz w:val="24"/>
                <w:szCs w:val="24"/>
                <w:lang w:eastAsia="zh-CN"/>
              </w:rPr>
              <w:t>百姓</w:t>
            </w:r>
            <w:r>
              <w:rPr>
                <w:rFonts w:hint="eastAsia" w:ascii="仿宋" w:hAnsi="仿宋" w:eastAsia="仿宋" w:cs="仿宋"/>
                <w:color w:val="000000"/>
                <w:sz w:val="24"/>
                <w:szCs w:val="24"/>
              </w:rPr>
              <w:t>和居民有一个优美的工作和生活环境</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color w:val="000000"/>
                <w:sz w:val="24"/>
                <w:szCs w:val="24"/>
              </w:rPr>
              <w:t>保障场镇及周边的环境干净整洁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给</w:t>
            </w:r>
            <w:r>
              <w:rPr>
                <w:rFonts w:hint="eastAsia" w:ascii="仿宋" w:hAnsi="仿宋" w:eastAsia="仿宋" w:cs="仿宋"/>
                <w:color w:val="000000"/>
                <w:sz w:val="24"/>
                <w:szCs w:val="24"/>
                <w:lang w:eastAsia="zh-CN"/>
              </w:rPr>
              <w:t>百姓</w:t>
            </w:r>
            <w:r>
              <w:rPr>
                <w:rFonts w:hint="eastAsia" w:ascii="仿宋" w:hAnsi="仿宋" w:eastAsia="仿宋" w:cs="仿宋"/>
                <w:color w:val="000000"/>
                <w:sz w:val="24"/>
                <w:szCs w:val="24"/>
              </w:rPr>
              <w:t>和居民有一个优美的工作和生活环境</w:t>
            </w:r>
          </w:p>
        </w:tc>
      </w:tr>
      <w:tr>
        <w:tblPrEx>
          <w:tblCellMar>
            <w:top w:w="0" w:type="dxa"/>
            <w:left w:w="0" w:type="dxa"/>
            <w:bottom w:w="0" w:type="dxa"/>
            <w:right w:w="0" w:type="dxa"/>
          </w:tblCellMar>
        </w:tblPrEx>
        <w:trPr>
          <w:trHeight w:val="1297" w:hRule="atLeast"/>
        </w:trPr>
        <w:tc>
          <w:tcPr>
            <w:tcW w:w="7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幸福指数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提高了人民的生活幸福指数</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提高了人民的生活幸福指数</w:t>
            </w:r>
          </w:p>
        </w:tc>
      </w:tr>
      <w:tr>
        <w:tblPrEx>
          <w:tblCellMar>
            <w:top w:w="0" w:type="dxa"/>
            <w:left w:w="0" w:type="dxa"/>
            <w:bottom w:w="0" w:type="dxa"/>
            <w:right w:w="0" w:type="dxa"/>
          </w:tblCellMar>
        </w:tblPrEx>
        <w:trPr>
          <w:trHeight w:val="1034" w:hRule="atLeast"/>
        </w:trPr>
        <w:tc>
          <w:tcPr>
            <w:tcW w:w="9654" w:type="dxa"/>
            <w:gridSpan w:val="7"/>
            <w:tcMar>
              <w:top w:w="15" w:type="dxa"/>
              <w:left w:w="15" w:type="dxa"/>
              <w:bottom w:w="0" w:type="dxa"/>
              <w:right w:w="15" w:type="dxa"/>
            </w:tcMar>
            <w:vAlign w:val="center"/>
          </w:tcPr>
          <w:p>
            <w:pPr>
              <w:pStyle w:val="31"/>
              <w:widowControl/>
              <w:ind w:left="4173" w:leftChars="1310" w:hanging="1422" w:hangingChars="395"/>
              <w:textAlignment w:val="center"/>
              <w:rPr>
                <w:rFonts w:ascii="仿宋" w:hAnsi="仿宋" w:eastAsia="仿宋" w:cs="仿宋_GB2312"/>
                <w:color w:val="000000"/>
                <w:sz w:val="24"/>
                <w:szCs w:val="24"/>
              </w:rPr>
            </w:pPr>
            <w:r>
              <w:rPr>
                <w:rFonts w:hint="eastAsia" w:ascii="方正小标宋简体" w:hAnsi="方正小标宋简体" w:eastAsia="方正小标宋简体" w:cs="方正小标宋简体"/>
                <w:color w:val="000000"/>
                <w:kern w:val="0"/>
                <w:sz w:val="36"/>
                <w:szCs w:val="36"/>
              </w:rPr>
              <w:t>项目支出绩效目标完成情况表</w:t>
            </w:r>
            <w:r>
              <w:rPr>
                <w:rFonts w:hint="eastAsia" w:ascii="方正小标宋简体" w:hAnsi="方正小标宋简体" w:eastAsia="方正小标宋简体" w:cs="方正小标宋简体"/>
                <w:b/>
                <w:bCs/>
                <w:color w:val="000000"/>
                <w:kern w:val="0"/>
                <w:sz w:val="36"/>
                <w:szCs w:val="36"/>
              </w:rPr>
              <w:br w:type="textWrapping"/>
            </w:r>
            <w:r>
              <w:rPr>
                <w:rFonts w:hint="eastAsia" w:ascii="仿宋" w:hAnsi="仿宋" w:eastAsia="仿宋" w:cs="仿宋_GB2312"/>
                <w:color w:val="000000"/>
                <w:kern w:val="0"/>
                <w:sz w:val="24"/>
                <w:szCs w:val="24"/>
              </w:rPr>
              <w:t>(202</w:t>
            </w:r>
            <w:r>
              <w:rPr>
                <w:rFonts w:hint="eastAsia" w:ascii="仿宋" w:hAnsi="仿宋" w:eastAsia="仿宋" w:cs="仿宋_GB2312"/>
                <w:color w:val="000000"/>
                <w:kern w:val="0"/>
                <w:sz w:val="24"/>
                <w:szCs w:val="24"/>
                <w:lang w:val="en-US" w:eastAsia="zh-CN"/>
              </w:rPr>
              <w:t>2</w:t>
            </w:r>
            <w:r>
              <w:rPr>
                <w:rFonts w:hint="eastAsia" w:ascii="仿宋" w:hAnsi="仿宋" w:eastAsia="仿宋" w:cs="仿宋_GB2312"/>
                <w:color w:val="000000"/>
                <w:kern w:val="0"/>
                <w:sz w:val="24"/>
                <w:szCs w:val="24"/>
              </w:rPr>
              <w:t xml:space="preserve"> 年度)</w:t>
            </w:r>
          </w:p>
        </w:tc>
      </w:tr>
      <w:tr>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项目名称</w:t>
            </w:r>
          </w:p>
        </w:tc>
        <w:tc>
          <w:tcPr>
            <w:tcW w:w="687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派驻乡镇纪检组审查调查业务经费</w:t>
            </w:r>
          </w:p>
        </w:tc>
      </w:tr>
      <w:tr>
        <w:tblPrEx>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预算单位</w:t>
            </w:r>
          </w:p>
        </w:tc>
        <w:tc>
          <w:tcPr>
            <w:tcW w:w="687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剑阁县武连镇人民政府</w:t>
            </w:r>
          </w:p>
        </w:tc>
      </w:tr>
      <w:tr>
        <w:tblPrEx>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预算执行情况(万元)</w:t>
            </w:r>
          </w:p>
        </w:tc>
        <w:tc>
          <w:tcPr>
            <w:tcW w:w="22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预算数</w:t>
            </w:r>
            <w:r>
              <w:rPr>
                <w:rFonts w:hint="eastAsia" w:ascii="仿宋" w:hAnsi="仿宋" w:eastAsia="仿宋" w:cs="仿宋"/>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执行数</w:t>
            </w:r>
            <w:r>
              <w:rPr>
                <w:rFonts w:hint="eastAsia" w:ascii="仿宋" w:hAnsi="仿宋" w:eastAsia="仿宋" w:cs="仿宋"/>
                <w:color w:val="000000"/>
                <w:kern w:val="0"/>
                <w:sz w:val="24"/>
                <w:szCs w:val="24"/>
                <w:lang w:eastAsia="zh-CN"/>
              </w:rPr>
              <w:t>：</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val="en-US" w:eastAsia="zh-CN"/>
              </w:rPr>
              <w:t>7.33</w:t>
            </w:r>
            <w:r>
              <w:rPr>
                <w:rFonts w:hint="eastAsia" w:ascii="仿宋" w:hAnsi="仿宋" w:eastAsia="仿宋" w:cs="仿宋"/>
                <w:color w:val="000000"/>
                <w:sz w:val="24"/>
                <w:szCs w:val="24"/>
              </w:rPr>
              <w:t>万元</w:t>
            </w:r>
          </w:p>
        </w:tc>
      </w:tr>
      <w:tr>
        <w:tblPrEx>
          <w:tblCellMar>
            <w:top w:w="0" w:type="dxa"/>
            <w:left w:w="0" w:type="dxa"/>
            <w:bottom w:w="0" w:type="dxa"/>
            <w:right w:w="0" w:type="dxa"/>
          </w:tblCellMar>
        </w:tblPrEx>
        <w:trPr>
          <w:trHeight w:val="257"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22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其中</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财政拨款</w:t>
            </w:r>
            <w:r>
              <w:rPr>
                <w:rFonts w:hint="eastAsia" w:ascii="仿宋" w:hAnsi="仿宋" w:eastAsia="仿宋" w:cs="仿宋"/>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其中</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财政拨款</w:t>
            </w:r>
            <w:r>
              <w:rPr>
                <w:rFonts w:hint="eastAsia" w:ascii="仿宋" w:hAnsi="仿宋" w:eastAsia="仿宋" w:cs="仿宋"/>
                <w:color w:val="000000"/>
                <w:kern w:val="0"/>
                <w:sz w:val="24"/>
                <w:szCs w:val="24"/>
                <w:lang w:eastAsia="zh-CN"/>
              </w:rPr>
              <w:t>：</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val="en-US" w:eastAsia="zh-CN"/>
              </w:rPr>
              <w:t>7.33</w:t>
            </w:r>
            <w:r>
              <w:rPr>
                <w:rFonts w:hint="eastAsia" w:ascii="仿宋" w:hAnsi="仿宋" w:eastAsia="仿宋" w:cs="仿宋"/>
                <w:color w:val="000000"/>
                <w:sz w:val="24"/>
                <w:szCs w:val="24"/>
              </w:rPr>
              <w:t>万元</w:t>
            </w:r>
          </w:p>
        </w:tc>
      </w:tr>
      <w:tr>
        <w:tblPrEx>
          <w:tblCellMar>
            <w:top w:w="0" w:type="dxa"/>
            <w:left w:w="0" w:type="dxa"/>
            <w:bottom w:w="0" w:type="dxa"/>
            <w:right w:w="0" w:type="dxa"/>
          </w:tblCellMar>
        </w:tblPrEx>
        <w:trPr>
          <w:trHeight w:val="1511"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22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其它资金</w:t>
            </w:r>
            <w:r>
              <w:rPr>
                <w:rFonts w:hint="eastAsia" w:ascii="仿宋" w:hAnsi="仿宋" w:eastAsia="仿宋" w:cs="仿宋"/>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其它资金</w:t>
            </w:r>
            <w:r>
              <w:rPr>
                <w:rFonts w:hint="eastAsia" w:ascii="仿宋" w:hAnsi="仿宋" w:eastAsia="仿宋" w:cs="仿宋"/>
                <w:color w:val="000000"/>
                <w:kern w:val="0"/>
                <w:sz w:val="24"/>
                <w:szCs w:val="24"/>
                <w:lang w:eastAsia="zh-CN"/>
              </w:rPr>
              <w:t>：</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r>
      <w:tr>
        <w:tblPrEx>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年度目标完成情况</w:t>
            </w:r>
          </w:p>
        </w:tc>
        <w:tc>
          <w:tcPr>
            <w:tcW w:w="45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预期目标</w:t>
            </w:r>
          </w:p>
        </w:tc>
        <w:tc>
          <w:tcPr>
            <w:tcW w:w="44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实际完成目标</w:t>
            </w:r>
          </w:p>
        </w:tc>
      </w:tr>
      <w:tr>
        <w:tblPrEx>
          <w:tblCellMar>
            <w:top w:w="0" w:type="dxa"/>
            <w:left w:w="0" w:type="dxa"/>
            <w:bottom w:w="0" w:type="dxa"/>
            <w:right w:w="0" w:type="dxa"/>
          </w:tblCellMar>
        </w:tblPrEx>
        <w:trPr>
          <w:trHeight w:val="1159"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45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数量指标：完成监督检查率</w:t>
            </w:r>
          </w:p>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质量指标：保障派出纪检组监督检查工作正常开展</w:t>
            </w:r>
          </w:p>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时效指标：202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年12月底前完成</w:t>
            </w:r>
          </w:p>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成本指标：严格按照预算执行</w:t>
            </w:r>
          </w:p>
        </w:tc>
        <w:tc>
          <w:tcPr>
            <w:tcW w:w="44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数量指标：完成监督检查率</w:t>
            </w:r>
          </w:p>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质量指标：保障派出纪检组监督检查工作正常开展</w:t>
            </w:r>
          </w:p>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时效指标：202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年12月底前完成</w:t>
            </w:r>
          </w:p>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成本指标：严格按照预算执行</w:t>
            </w:r>
          </w:p>
        </w:tc>
      </w:tr>
      <w:tr>
        <w:tblPrEx>
          <w:tblCellMar>
            <w:top w:w="0" w:type="dxa"/>
            <w:left w:w="0" w:type="dxa"/>
            <w:bottom w:w="0" w:type="dxa"/>
            <w:right w:w="0" w:type="dxa"/>
          </w:tblCellMar>
        </w:tblPrEx>
        <w:trPr>
          <w:trHeight w:val="1042"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绩效指标完成情况</w:t>
            </w:r>
          </w:p>
        </w:tc>
        <w:tc>
          <w:tcPr>
            <w:tcW w:w="117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预期指标值(包含数字及文字描述)</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实际完成指标值(包含数字及文字描述)</w:t>
            </w:r>
          </w:p>
        </w:tc>
      </w:tr>
      <w:tr>
        <w:tblPrEx>
          <w:tblCellMar>
            <w:top w:w="0" w:type="dxa"/>
            <w:left w:w="0" w:type="dxa"/>
            <w:bottom w:w="0" w:type="dxa"/>
            <w:right w:w="0" w:type="dxa"/>
          </w:tblCellMar>
        </w:tblPrEx>
        <w:trPr>
          <w:trHeight w:val="747"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117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rPr>
              <w:t>监督检查率</w:t>
            </w:r>
          </w:p>
          <w:p>
            <w:pPr>
              <w:widowControl/>
              <w:jc w:val="center"/>
              <w:textAlignment w:val="center"/>
              <w:rPr>
                <w:rFonts w:ascii="仿宋" w:hAnsi="仿宋" w:eastAsia="仿宋" w:cs="仿宋"/>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100%</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100%</w:t>
            </w:r>
          </w:p>
        </w:tc>
      </w:tr>
      <w:tr>
        <w:tblPrEx>
          <w:tblCellMar>
            <w:top w:w="0" w:type="dxa"/>
            <w:left w:w="0" w:type="dxa"/>
            <w:bottom w:w="0" w:type="dxa"/>
            <w:right w:w="0" w:type="dxa"/>
          </w:tblCellMar>
        </w:tblPrEx>
        <w:trPr>
          <w:trHeight w:val="97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117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幸福指数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提高群众的生活幸福指数</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提高群众的生活幸福指数</w:t>
            </w:r>
          </w:p>
        </w:tc>
      </w:tr>
      <w:tr>
        <w:tblPrEx>
          <w:tblCellMar>
            <w:top w:w="0" w:type="dxa"/>
            <w:left w:w="0" w:type="dxa"/>
            <w:bottom w:w="0" w:type="dxa"/>
            <w:right w:w="0" w:type="dxa"/>
          </w:tblCellMar>
        </w:tblPrEx>
        <w:trPr>
          <w:trHeight w:val="829"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117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202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年12月底前</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202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年12月底前</w:t>
            </w:r>
          </w:p>
        </w:tc>
      </w:tr>
      <w:tr>
        <w:tblPrEx>
          <w:tblCellMar>
            <w:top w:w="0" w:type="dxa"/>
            <w:left w:w="0" w:type="dxa"/>
            <w:bottom w:w="0" w:type="dxa"/>
            <w:right w:w="0" w:type="dxa"/>
          </w:tblCellMar>
        </w:tblPrEx>
        <w:trPr>
          <w:trHeight w:val="104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117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≤8万元</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≤8万元</w:t>
            </w:r>
          </w:p>
        </w:tc>
      </w:tr>
      <w:tr>
        <w:tblPrEx>
          <w:tblCellMar>
            <w:top w:w="0" w:type="dxa"/>
            <w:left w:w="0" w:type="dxa"/>
            <w:bottom w:w="0" w:type="dxa"/>
            <w:right w:w="0" w:type="dxa"/>
          </w:tblCellMar>
        </w:tblPrEx>
        <w:trPr>
          <w:trHeight w:val="104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117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color w:val="000000"/>
                <w:sz w:val="24"/>
                <w:szCs w:val="24"/>
              </w:rPr>
              <w:t>监督成效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持续优化政治生态环境，融洽干群关系，提高人民群众满意度。</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color w:val="000000"/>
                <w:sz w:val="24"/>
                <w:szCs w:val="24"/>
              </w:rPr>
              <w:t>持续优化政治生态环境，融洽干群关系，提高人民群众满意度。</w:t>
            </w:r>
          </w:p>
        </w:tc>
      </w:tr>
      <w:tr>
        <w:tblPrEx>
          <w:tblCellMar>
            <w:top w:w="0" w:type="dxa"/>
            <w:left w:w="0" w:type="dxa"/>
            <w:bottom w:w="0" w:type="dxa"/>
            <w:right w:w="0" w:type="dxa"/>
          </w:tblCellMar>
        </w:tblPrEx>
        <w:trPr>
          <w:trHeight w:val="1297"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 w:val="24"/>
                <w:szCs w:val="24"/>
              </w:rPr>
            </w:pPr>
          </w:p>
        </w:tc>
        <w:tc>
          <w:tcPr>
            <w:tcW w:w="117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≥95%</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≥95%</w:t>
            </w:r>
          </w:p>
        </w:tc>
      </w:tr>
    </w:tbl>
    <w:p>
      <w:pPr>
        <w:spacing w:line="576" w:lineRule="exact"/>
        <w:ind w:firstLine="640" w:firstLineChars="200"/>
        <w:rPr>
          <w:rFonts w:hint="eastAsia" w:ascii="楷体" w:hAnsi="楷体" w:eastAsia="楷体" w:cs="楷体"/>
          <w:sz w:val="32"/>
          <w:szCs w:val="32"/>
        </w:rPr>
      </w:pPr>
    </w:p>
    <w:p>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(三)部门开展绩效评价结果。</w:t>
      </w:r>
    </w:p>
    <w:p>
      <w:pPr>
        <w:spacing w:line="57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本单位按要求对202</w:t>
      </w:r>
      <w:r>
        <w:rPr>
          <w:rFonts w:hint="eastAsia" w:ascii="仿宋" w:hAnsi="仿宋" w:eastAsia="仿宋" w:cs="仿宋"/>
          <w:sz w:val="32"/>
          <w:szCs w:val="32"/>
          <w:lang w:val="en-US" w:eastAsia="zh-CN"/>
        </w:rPr>
        <w:t>2</w:t>
      </w:r>
      <w:r>
        <w:rPr>
          <w:rFonts w:hint="eastAsia" w:ascii="仿宋" w:hAnsi="仿宋" w:eastAsia="仿宋" w:cs="仿宋"/>
          <w:sz w:val="32"/>
          <w:szCs w:val="32"/>
        </w:rPr>
        <w:t>年部门整体支出绩效评价情况开展自评，《剑阁县武连镇人民政府202</w:t>
      </w:r>
      <w:r>
        <w:rPr>
          <w:rFonts w:hint="eastAsia" w:ascii="仿宋" w:hAnsi="仿宋" w:eastAsia="仿宋" w:cs="仿宋"/>
          <w:sz w:val="32"/>
          <w:szCs w:val="32"/>
          <w:lang w:val="en-US" w:eastAsia="zh-CN"/>
        </w:rPr>
        <w:t>2</w:t>
      </w:r>
      <w:r>
        <w:rPr>
          <w:rFonts w:hint="eastAsia" w:ascii="仿宋" w:hAnsi="仿宋" w:eastAsia="仿宋" w:cs="仿宋"/>
          <w:sz w:val="32"/>
          <w:szCs w:val="32"/>
        </w:rPr>
        <w:t>年部门整体支出绩效评价报告》见附件。</w:t>
      </w:r>
    </w:p>
    <w:p>
      <w:pPr>
        <w:spacing w:line="57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本单位自行组织对垃圾清运及处置项目开展了绩效评价，《垃圾清运及处置项目202</w:t>
      </w:r>
      <w:r>
        <w:rPr>
          <w:rFonts w:hint="eastAsia" w:ascii="仿宋" w:hAnsi="仿宋" w:eastAsia="仿宋" w:cs="仿宋"/>
          <w:sz w:val="32"/>
          <w:szCs w:val="32"/>
          <w:lang w:val="en-US" w:eastAsia="zh-CN"/>
        </w:rPr>
        <w:t>2</w:t>
      </w:r>
      <w:r>
        <w:rPr>
          <w:rFonts w:hint="eastAsia" w:ascii="仿宋" w:hAnsi="仿宋" w:eastAsia="仿宋" w:cs="仿宋"/>
          <w:sz w:val="32"/>
          <w:szCs w:val="32"/>
        </w:rPr>
        <w:t>年绩效评价报告》见附件</w:t>
      </w:r>
    </w:p>
    <w:p>
      <w:pPr>
        <w:numPr>
          <w:ilvl w:val="0"/>
          <w:numId w:val="1"/>
        </w:numPr>
        <w:spacing w:line="576" w:lineRule="exact"/>
        <w:ind w:firstLine="481" w:firstLineChars="150"/>
        <w:jc w:val="center"/>
        <w:outlineLvl w:val="0"/>
        <w:rPr>
          <w:rFonts w:ascii="仿宋" w:hAnsi="仿宋" w:eastAsia="仿宋" w:cs="仿宋"/>
          <w:bCs/>
          <w:sz w:val="32"/>
          <w:szCs w:val="32"/>
        </w:rPr>
      </w:pPr>
      <w:r>
        <w:rPr>
          <w:rStyle w:val="20"/>
          <w:rFonts w:hint="eastAsia" w:ascii="仿宋" w:hAnsi="仿宋" w:eastAsia="仿宋" w:cs="仿宋"/>
          <w:bCs w:val="0"/>
          <w:sz w:val="32"/>
          <w:szCs w:val="32"/>
        </w:rPr>
        <w:t>名词解释</w:t>
      </w:r>
      <w:bookmarkEnd w:id="45"/>
      <w:bookmarkEnd w:id="46"/>
    </w:p>
    <w:p>
      <w:pPr>
        <w:pStyle w:val="8"/>
        <w:spacing w:line="576" w:lineRule="exact"/>
        <w:ind w:firstLine="640" w:firstLineChars="200"/>
        <w:rPr>
          <w:rFonts w:ascii="仿宋" w:hAnsi="仿宋" w:eastAsia="仿宋" w:cs="仿宋"/>
          <w:b w:val="0"/>
          <w:bCs/>
          <w:szCs w:val="32"/>
        </w:rPr>
      </w:pPr>
      <w:bookmarkStart w:id="47" w:name="_Toc15377226"/>
      <w:r>
        <w:rPr>
          <w:rFonts w:hint="eastAsia" w:ascii="仿宋" w:hAnsi="仿宋" w:eastAsia="仿宋" w:cs="仿宋"/>
          <w:b w:val="0"/>
          <w:bCs/>
          <w:szCs w:val="32"/>
        </w:rPr>
        <w:t>（一）一般公共预算拨款收入：指县级财政当年拨付的资金。</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（二）上年结转：指以前年度尚未完成，结转到本年仍按原规定用途继续使用的资金。</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（三）一般公共服务（类）人大事务（款）人大会议（项）：指反映各级人大召开人民代表大会等专门会议的支出。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（四）一般公共服务（类）人大事务（款）代表工作（项）：指反映人大代表开展各类视察等方面的支出。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（五）一般公共服务（类）人大事务（款）其他人大事务（项）：指除上述项目以外的其他人大事务支出。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（六）一般公共服务（类）政府办公厅（室）及相关机构事务（款）行政运行（项）：指反映行政单位（包括实行公务员管理的事业单位）的基本支出。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（七）一般公共服务（类）政府办公厅（室）及相关机构事务（款）一般行政管理事务（项）：指反映行政单位（包括实行公务员管理的事业单位）未单独设置项级科目的其他项目支出。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（八）一般公共服务（类）政府办公厅（室）及相关机构事务（款）信访事务（项）：指反映各级政府用于接待群众来信来访方面的支出。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（九）一般公共服务（类）政府办公厅（室）及相关机构事务（款）事业运行（项）：指反映事业单位的基本支出，不包括行政单位（包括实行公务员管理的事业单位）后勤服务中心、医务室等附属事业单位。</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（十）一般公共服务（类）财政事务（款）一般行政管理事务（项）：指反映行政单位（包括实行公务员管理的事业单位）未单独设置项级科目的其他项目支出。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（十一）一般公共服务（类）纪检监察事务（款）一般行政管理事务（项）：指反映行政单位（包括实行公务员管理的事业单位）未单独设置项级科目的其他项目支出。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（十二）一般公共服务（类）纪检监察事务（款）派驻派出机构（项）：指反映由纪检监察部门负担的派驻各部门和单位的纪检监察人员的专项业务支出。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（十三）一般公共服务（类）群众团体事务（款）其他群众团体事务（项）：指反映除上述项目以外其他用于群众团体事务方面的支出。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（十四）一般公共服务（类）党委办公厅（室）及相关机构事务（款）一般行政管理事务（项）：指反映行政单位（包括实行公务员管理的事业单位）未单独设置项级科目的其他项目支出。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（十五）一般公共服务（类）组织事务（款）其他组织事务（项）：指反映除上述项目以外其他用于中国共产党组织部门的事务支出。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（十六）一般公共服务（类）宣传事务（款）其他宣传事务（项）：指反映除上述项目以外其他用于中国共产党宣传部门的事务支出。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（十七）国防（类）国防动员（款）兵役征集（项）：指反映用于兵役征集等方面的支出。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十八）公共安全（类）强制隔离戒毒（款）其他强制隔离戒毒（项）：指反映强制隔离戒毒管理部门及强制隔离戒毒所发生的强制隔离戒毒人员调遣费、突发事件处置费、安全保卫费、警察服装费、宣传及奖励费、技术辅导人员及关键要害岗位人员补助费等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（十九）文化旅游体育与传媒（类）文化和旅游（款）群众文化（项）：指反映群众文化方面的支出，包括基层文化馆（站）、群众艺术馆支出等。</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（二十）文化旅游体育与传媒（类）文化和旅游（款）文化和旅游管理事务（项）：指反映文化和旅游管理事务支出。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二十一）社会保障和就业（类）民政管理事务（款）基层政权建设和社区治理（项）：指反映开展城乡社区治理、城乡社区服务（乡村便民服务）、村（居）民自治、村（居）务公开、乡镇（街道）服务能力建设等基层政权建设和社区治理工作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（二十一）社会保障和就业（类）行政事业单位离退休（款）行政事业单位离退休（项）：指反映行政单位（包括实行公务员管理的事业单位）开支的离退休经费。</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（二十二）社会保障和就业（类）行政事业单位离退休（款）机关事业单位基本养老保险缴费支出（项）：指部门实施养老保险制度由单位缴纳的养老保险费的支出。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（二十三）社会保障和就业（类）抚恤（款）义务兵优待（项）：指反映用于义务兵优待方面的支出。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（二十四）卫生健康（类）公共卫生（款）重大公共卫生服务（项）：指反映重大疾病、重大传染病预防控制等重大公共卫生服务项目支出。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（二十五）卫生健康（类）行政事业单位医疗（款）行政单位医疗（项）：指局机关及参公管理事业单位用于缴纳单位基本医疗保险支出。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（二十六）卫生健康（类）行政事业单位医疗（款）事业单位医疗（项）：指事业单位用于缴纳单位基本医疗保险支出。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（二十七）节能环保（类）自然生态保护（款）农村环境保护（项）：反映用于农村环境保护方面重大支出。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（二十八）城乡社区（类）城乡社区管理事务（款）城管执法（项）：反映城市管理综合行政执法、加强城市市容和环境卫生管理等方面的支出。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（二十九）城乡社区（类）城乡社区规划和管理（款）城乡社区规划和管理（项）：反映城乡社区、防灾减灾、历史名城规划制定与管理等方面的支出。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（三十）城乡社区（类）城乡社区公共设施（款）其他城乡社区公共设施（项）：反映除上述项目以外其他用于城乡社区公共设施方面的支出。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（三十一）城乡社区（类）城乡社区环境卫生（款）城乡社区环境卫生（项）：反映城乡社区道路清扫、垃圾清运与处理、公厕建设与维护、园林绿化等方面的支出。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三十二）城乡社区（类）国有土地使用权出让收入安排的支出（款）征地和拆迁补偿（项）：反映新疆生产建设兵团和地方政府在征地和收购土地过程中支付的土地补偿费、安置补助费、地上附着和青苗补偿费、拆迁补偿费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（三十三）城乡社区（类）国有土地使用权出让收入安排的支出（款）其他国有土地使用权出让收入安排的支出（项）：反映土地出让收入用于其他方面的支出。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（三十四）农林水（类）农业农村（款）事业运行（项）：反映用于农业事业单位基本支出，事业单位设施、系统运行与资产维护等方面的支出。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（三十五）农林水（类）农业农村（款）农村道路建设（项）：反映用于农村公路、乡村道路建设方面的支出。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（三十六）农林水（类）林业和草原（款）林业草原防灾减灾（项）：反映用于病虫害等有害生物灾害、森林草原防火、野生动物疫病灾害等方面的支出。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（三十七）农林水（类）水利（款）防汛（项）：反映防汛业务支出。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（三十八）农林水（类）巩固脱贫衔接与乡村振兴（款）农村基础设施建设（项）：反映用于农村欠发达地区乡村道路、住房、基本农田、水利设施、人畜饮水、生态环境保护等生产生活条件改善方面的支出。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（三十九）农林水（类）巩固脱贫衔接与乡村振兴（款）生产发展（项）：反映用于农村欠发达地区发展种植业、养殖业、畜牧业、农副产品加工、林果</w:t>
      </w:r>
      <w:r>
        <w:rPr>
          <w:rFonts w:hint="eastAsia" w:ascii="仿宋" w:hAnsi="仿宋" w:eastAsia="仿宋" w:cs="仿宋"/>
          <w:b w:val="0"/>
          <w:bCs/>
          <w:szCs w:val="32"/>
          <w:lang w:eastAsia="zh-CN"/>
        </w:rPr>
        <w:t>的</w:t>
      </w:r>
      <w:r>
        <w:rPr>
          <w:rFonts w:hint="eastAsia" w:ascii="仿宋" w:hAnsi="仿宋" w:eastAsia="仿宋" w:cs="仿宋"/>
          <w:b w:val="0"/>
          <w:bCs/>
          <w:szCs w:val="32"/>
        </w:rPr>
        <w:t>建设等生产发展项目以及相关技术推广等方面的项目支出。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（四十）农林水（类）巩固脱贫衔接与乡村振兴（款）其他巩固脱贫衔接与乡村振兴（项）：反映除上述项目以外其他用于巩固拓展脱贫攻坚成果同乡村振兴有效衔接方面的支出。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（四十一）农林水（类）农村综合改革（款）对村民委员会和村党支部的补助（项）：反映各级财政对村民委员会和村党支部的补助支出，以及支持建立县级基本财力保障机制安排的村级组织运转奖补资金。</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（四十二）农林水（类）农村综合改革（款）其他农村综合改革（项）：反映上述项目以外其他用于农村综合改革方面的支出。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（四十三）交通运输（类）公路水路运输（款）公路建设（项）：反映新建公路支出，公路改建支出，特大型桥梁建设支出，公路客货运站（场）建设支出。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（四十四）住房保障（类）住房改革支出（款）住房公积金（项）：指按照《住房公积金管理条例》的规定，由单位及其在职职工缴存的长期住房储金。</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（四十五）灾害防治及应急管理（类）应急管理事务（款）应急管理（项）：指用于应急管理的法律法规制定修订，应急预案演练，协调保障等方面的支出。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（四十六）基本支出：指为保证机构正常运转，完成日常工作任务而发生的人员支出和公用支出。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（四十七）项目支出：指在基本支出之外为完成特定行政任务和事业发展目标所发生的支出。</w:t>
      </w:r>
    </w:p>
    <w:p>
      <w:pPr>
        <w:pStyle w:val="8"/>
        <w:spacing w:line="576" w:lineRule="exact"/>
        <w:ind w:firstLine="640" w:firstLineChars="200"/>
        <w:rPr>
          <w:rFonts w:ascii="仿宋" w:hAnsi="仿宋" w:eastAsia="仿宋" w:cs="仿宋"/>
          <w:b w:val="0"/>
          <w:bCs/>
          <w:szCs w:val="32"/>
        </w:rPr>
      </w:pPr>
      <w:r>
        <w:rPr>
          <w:rFonts w:hint="eastAsia" w:ascii="仿宋" w:hAnsi="仿宋" w:eastAsia="仿宋" w:cs="仿宋"/>
          <w:b w:val="0"/>
          <w:bCs/>
          <w:szCs w:val="32"/>
        </w:rPr>
        <w:t>（四十八）“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0"/>
          <w:rFonts w:ascii="方正小标宋简体" w:hAnsi="方正小标宋简体" w:eastAsia="方正小标宋简体" w:cs="方正小标宋简体"/>
          <w:b w:val="0"/>
          <w:sz w:val="32"/>
          <w:szCs w:val="32"/>
        </w:rPr>
      </w:pPr>
      <w:r>
        <w:rPr>
          <w:rFonts w:hint="eastAsia" w:ascii="宋体" w:hAnsi="宋体" w:cs="仿宋_GB2312"/>
          <w:b/>
          <w:bCs/>
          <w:sz w:val="32"/>
          <w:szCs w:val="32"/>
        </w:rPr>
        <w:br w:type="page"/>
      </w:r>
      <w:bookmarkStart w:id="48" w:name="_Toc15396614"/>
      <w:r>
        <w:rPr>
          <w:rFonts w:hint="eastAsia" w:ascii="方正小标宋简体" w:hAnsi="方正小标宋简体" w:eastAsia="方正小标宋简体" w:cs="方正小标宋简体"/>
          <w:bCs/>
          <w:sz w:val="32"/>
          <w:szCs w:val="32"/>
        </w:rPr>
        <w:t>第</w:t>
      </w:r>
      <w:r>
        <w:rPr>
          <w:rStyle w:val="20"/>
          <w:rFonts w:hint="eastAsia" w:ascii="方正小标宋简体" w:hAnsi="方正小标宋简体" w:eastAsia="方正小标宋简体" w:cs="方正小标宋简体"/>
          <w:b w:val="0"/>
          <w:sz w:val="32"/>
          <w:szCs w:val="32"/>
        </w:rPr>
        <w:t>四部分 附件</w:t>
      </w:r>
      <w:bookmarkEnd w:id="48"/>
    </w:p>
    <w:p>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附件1</w:t>
      </w:r>
    </w:p>
    <w:p>
      <w:pPr>
        <w:spacing w:line="600" w:lineRule="exact"/>
        <w:jc w:val="center"/>
        <w:rPr>
          <w:rFonts w:ascii="方正小标宋简体" w:hAnsi="方正小标宋简体" w:eastAsia="方正小标宋简体" w:cs="方正小标宋简体"/>
          <w:kern w:val="0"/>
          <w:sz w:val="36"/>
          <w:szCs w:val="36"/>
          <w:lang w:val="zh-CN"/>
        </w:rPr>
      </w:pPr>
      <w:r>
        <w:rPr>
          <w:rFonts w:hint="eastAsia" w:ascii="方正小标宋简体" w:hAnsi="方正小标宋简体" w:eastAsia="方正小标宋简体" w:cs="方正小标宋简体"/>
          <w:kern w:val="0"/>
          <w:sz w:val="36"/>
          <w:szCs w:val="36"/>
        </w:rPr>
        <w:t>武连镇</w:t>
      </w:r>
      <w:r>
        <w:rPr>
          <w:rFonts w:hint="eastAsia" w:ascii="方正小标宋简体" w:hAnsi="方正小标宋简体" w:eastAsia="方正小标宋简体" w:cs="方正小标宋简体"/>
          <w:kern w:val="0"/>
          <w:sz w:val="36"/>
          <w:szCs w:val="36"/>
          <w:lang w:val="zh-CN"/>
        </w:rPr>
        <w:t>部门</w:t>
      </w:r>
      <w:r>
        <w:rPr>
          <w:rFonts w:hint="eastAsia" w:ascii="方正小标宋简体" w:hAnsi="方正小标宋简体" w:eastAsia="方正小标宋简体" w:cs="方正小标宋简体"/>
          <w:kern w:val="0"/>
          <w:sz w:val="36"/>
          <w:szCs w:val="36"/>
        </w:rPr>
        <w:t>202</w:t>
      </w:r>
      <w:r>
        <w:rPr>
          <w:rFonts w:hint="eastAsia" w:ascii="方正小标宋简体" w:hAnsi="方正小标宋简体" w:eastAsia="方正小标宋简体" w:cs="方正小标宋简体"/>
          <w:kern w:val="0"/>
          <w:sz w:val="36"/>
          <w:szCs w:val="36"/>
          <w:lang w:val="en-US" w:eastAsia="zh-CN"/>
        </w:rPr>
        <w:t>2</w:t>
      </w:r>
      <w:r>
        <w:rPr>
          <w:rFonts w:hint="eastAsia" w:ascii="方正小标宋简体" w:hAnsi="方正小标宋简体" w:eastAsia="方正小标宋简体" w:cs="方正小标宋简体"/>
          <w:kern w:val="0"/>
          <w:sz w:val="36"/>
          <w:szCs w:val="36"/>
        </w:rPr>
        <w:t>年部门</w:t>
      </w:r>
      <w:r>
        <w:rPr>
          <w:rFonts w:hint="eastAsia" w:ascii="方正小标宋简体" w:hAnsi="方正小标宋简体" w:eastAsia="方正小标宋简体" w:cs="方正小标宋简体"/>
          <w:kern w:val="0"/>
          <w:sz w:val="36"/>
          <w:szCs w:val="36"/>
          <w:lang w:val="zh-CN"/>
        </w:rPr>
        <w:t>整体支出绩效评价报告</w:t>
      </w:r>
    </w:p>
    <w:p>
      <w:pPr>
        <w:spacing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一、部门（单位）概况</w:t>
      </w:r>
    </w:p>
    <w:p>
      <w:pPr>
        <w:pStyle w:val="14"/>
        <w:widowControl/>
        <w:spacing w:before="0" w:beforeAutospacing="0" w:after="0" w:afterAutospacing="0" w:line="390" w:lineRule="atLeast"/>
        <w:rPr>
          <w:rFonts w:ascii="宋体" w:hAnsi="宋体" w:cs="仿宋_GB2312"/>
          <w:b/>
          <w:bCs/>
          <w:sz w:val="32"/>
          <w:szCs w:val="32"/>
        </w:rPr>
      </w:pPr>
      <w:r>
        <w:rPr>
          <w:rFonts w:hint="eastAsia" w:ascii="宋体" w:hAnsi="宋体" w:cs="仿宋_GB2312"/>
          <w:b/>
          <w:bCs/>
          <w:sz w:val="32"/>
          <w:szCs w:val="32"/>
          <w:shd w:val="clear" w:color="auto" w:fill="FFFFFF"/>
        </w:rPr>
        <w:t>　</w:t>
      </w:r>
      <w:r>
        <w:rPr>
          <w:rFonts w:hint="eastAsia" w:ascii="楷体" w:hAnsi="楷体" w:eastAsia="楷体" w:cs="楷体"/>
          <w:sz w:val="32"/>
          <w:szCs w:val="32"/>
          <w:shd w:val="clear" w:color="auto" w:fill="FFFFFF"/>
        </w:rPr>
        <w:t>（一）机构、人员构成</w:t>
      </w:r>
    </w:p>
    <w:p>
      <w:pPr>
        <w:pStyle w:val="14"/>
        <w:widowControl/>
        <w:spacing w:before="0" w:beforeAutospacing="0" w:after="0" w:afterAutospacing="0" w:line="390" w:lineRule="atLeast"/>
        <w:ind w:firstLine="42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武连镇内设机构：财政所、计生办、民政办、社会事务办、党政办。202</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年总编制79名，其中行政编制2</w:t>
      </w:r>
      <w:r>
        <w:rPr>
          <w:rFonts w:ascii="仿宋" w:hAnsi="仿宋" w:eastAsia="仿宋" w:cs="仿宋"/>
          <w:sz w:val="32"/>
          <w:szCs w:val="32"/>
          <w:shd w:val="clear" w:color="auto" w:fill="FFFFFF"/>
        </w:rPr>
        <w:t>9</w:t>
      </w:r>
      <w:r>
        <w:rPr>
          <w:rFonts w:hint="eastAsia" w:ascii="仿宋" w:hAnsi="仿宋" w:eastAsia="仿宋" w:cs="仿宋"/>
          <w:sz w:val="32"/>
          <w:szCs w:val="32"/>
          <w:shd w:val="clear" w:color="auto" w:fill="FFFFFF"/>
        </w:rPr>
        <w:t>名，工勤编制</w:t>
      </w:r>
      <w:r>
        <w:rPr>
          <w:rFonts w:ascii="仿宋" w:hAnsi="仿宋" w:eastAsia="仿宋" w:cs="仿宋"/>
          <w:sz w:val="32"/>
          <w:szCs w:val="32"/>
          <w:shd w:val="clear" w:color="auto" w:fill="FFFFFF"/>
        </w:rPr>
        <w:t>3</w:t>
      </w:r>
      <w:r>
        <w:rPr>
          <w:rFonts w:hint="eastAsia" w:ascii="仿宋" w:hAnsi="仿宋" w:eastAsia="仿宋" w:cs="仿宋"/>
          <w:sz w:val="32"/>
          <w:szCs w:val="32"/>
          <w:shd w:val="clear" w:color="auto" w:fill="FFFFFF"/>
        </w:rPr>
        <w:t>名，事业编制4</w:t>
      </w:r>
      <w:r>
        <w:rPr>
          <w:rFonts w:ascii="仿宋" w:hAnsi="仿宋" w:eastAsia="仿宋" w:cs="仿宋"/>
          <w:sz w:val="32"/>
          <w:szCs w:val="32"/>
          <w:shd w:val="clear" w:color="auto" w:fill="FFFFFF"/>
        </w:rPr>
        <w:t>7</w:t>
      </w:r>
      <w:r>
        <w:rPr>
          <w:rFonts w:hint="eastAsia" w:ascii="仿宋" w:hAnsi="仿宋" w:eastAsia="仿宋" w:cs="仿宋"/>
          <w:sz w:val="32"/>
          <w:szCs w:val="32"/>
          <w:shd w:val="clear" w:color="auto" w:fill="FFFFFF"/>
        </w:rPr>
        <w:t>名。202</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年末，全镇实有在职人员</w:t>
      </w:r>
      <w:r>
        <w:rPr>
          <w:rFonts w:hint="eastAsia" w:ascii="仿宋" w:hAnsi="仿宋" w:eastAsia="仿宋" w:cs="仿宋"/>
          <w:sz w:val="32"/>
          <w:szCs w:val="32"/>
          <w:shd w:val="clear" w:color="auto" w:fill="FFFFFF"/>
          <w:lang w:val="en-US" w:eastAsia="zh-CN"/>
        </w:rPr>
        <w:t>76</w:t>
      </w:r>
      <w:r>
        <w:rPr>
          <w:rFonts w:hint="eastAsia" w:ascii="仿宋" w:hAnsi="仿宋" w:eastAsia="仿宋" w:cs="仿宋"/>
          <w:sz w:val="32"/>
          <w:szCs w:val="32"/>
          <w:shd w:val="clear" w:color="auto" w:fill="FFFFFF"/>
        </w:rPr>
        <w:t>人，其中行政人员</w:t>
      </w:r>
      <w:r>
        <w:rPr>
          <w:rFonts w:hint="eastAsia" w:ascii="仿宋" w:hAnsi="仿宋" w:eastAsia="仿宋" w:cs="仿宋"/>
          <w:sz w:val="32"/>
          <w:szCs w:val="32"/>
          <w:shd w:val="clear" w:color="auto" w:fill="FFFFFF"/>
          <w:lang w:val="en-US" w:eastAsia="zh-CN"/>
        </w:rPr>
        <w:t>23</w:t>
      </w:r>
      <w:r>
        <w:rPr>
          <w:rFonts w:hint="eastAsia" w:ascii="仿宋" w:hAnsi="仿宋" w:eastAsia="仿宋" w:cs="仿宋"/>
          <w:sz w:val="32"/>
          <w:szCs w:val="32"/>
          <w:shd w:val="clear" w:color="auto" w:fill="FFFFFF"/>
        </w:rPr>
        <w:t>人，事业人员</w:t>
      </w:r>
      <w:r>
        <w:rPr>
          <w:rFonts w:hint="eastAsia" w:ascii="仿宋" w:hAnsi="仿宋" w:eastAsia="仿宋" w:cs="仿宋"/>
          <w:sz w:val="32"/>
          <w:szCs w:val="32"/>
          <w:shd w:val="clear" w:color="auto" w:fill="FFFFFF"/>
          <w:lang w:val="en-US" w:eastAsia="zh-CN"/>
        </w:rPr>
        <w:t>51</w:t>
      </w:r>
      <w:r>
        <w:rPr>
          <w:rFonts w:hint="eastAsia" w:ascii="仿宋" w:hAnsi="仿宋" w:eastAsia="仿宋" w:cs="仿宋"/>
          <w:sz w:val="32"/>
          <w:szCs w:val="32"/>
          <w:shd w:val="clear" w:color="auto" w:fill="FFFFFF"/>
        </w:rPr>
        <w:t>人，工勤人员2人；遗</w:t>
      </w:r>
      <w:r>
        <w:rPr>
          <w:rFonts w:hint="eastAsia" w:ascii="仿宋" w:hAnsi="仿宋" w:eastAsia="仿宋" w:cs="仿宋"/>
          <w:sz w:val="32"/>
          <w:szCs w:val="32"/>
          <w:shd w:val="clear" w:color="auto" w:fill="FFFFFF"/>
          <w:lang w:eastAsia="zh-CN"/>
        </w:rPr>
        <w:t>属</w:t>
      </w:r>
      <w:r>
        <w:rPr>
          <w:rFonts w:hint="eastAsia" w:ascii="仿宋" w:hAnsi="仿宋" w:eastAsia="仿宋" w:cs="仿宋"/>
          <w:sz w:val="32"/>
          <w:szCs w:val="32"/>
          <w:shd w:val="clear" w:color="auto" w:fill="FFFFFF"/>
        </w:rPr>
        <w:t>人员</w:t>
      </w:r>
      <w:r>
        <w:rPr>
          <w:rFonts w:hint="eastAsia" w:ascii="仿宋" w:hAnsi="仿宋" w:eastAsia="仿宋" w:cs="仿宋"/>
          <w:sz w:val="32"/>
          <w:szCs w:val="32"/>
          <w:shd w:val="clear" w:color="auto" w:fill="FFFFFF"/>
          <w:lang w:val="en-US" w:eastAsia="zh-CN"/>
        </w:rPr>
        <w:t>7</w:t>
      </w:r>
      <w:r>
        <w:rPr>
          <w:rFonts w:hint="eastAsia" w:ascii="仿宋" w:hAnsi="仿宋" w:eastAsia="仿宋" w:cs="仿宋"/>
          <w:sz w:val="32"/>
          <w:szCs w:val="32"/>
          <w:shd w:val="clear" w:color="auto" w:fill="FFFFFF"/>
        </w:rPr>
        <w:t>人。</w:t>
      </w:r>
    </w:p>
    <w:p>
      <w:pPr>
        <w:pStyle w:val="14"/>
        <w:widowControl/>
        <w:spacing w:before="0" w:beforeAutospacing="0" w:after="0" w:afterAutospacing="0" w:line="390" w:lineRule="atLeast"/>
        <w:ind w:firstLine="420"/>
        <w:rPr>
          <w:rFonts w:ascii="楷体" w:hAnsi="楷体" w:eastAsia="楷体" w:cs="楷体"/>
          <w:sz w:val="32"/>
          <w:szCs w:val="32"/>
        </w:rPr>
      </w:pPr>
      <w:r>
        <w:rPr>
          <w:rFonts w:hint="eastAsia" w:ascii="楷体" w:hAnsi="楷体" w:eastAsia="楷体" w:cs="楷体"/>
          <w:sz w:val="32"/>
          <w:szCs w:val="32"/>
          <w:shd w:val="clear" w:color="auto" w:fill="FFFFFF"/>
        </w:rPr>
        <w:t>（二）单位主要职责</w:t>
      </w:r>
    </w:p>
    <w:p>
      <w:pPr>
        <w:pStyle w:val="14"/>
        <w:widowControl/>
        <w:spacing w:before="0" w:beforeAutospacing="0" w:after="0" w:afterAutospacing="0" w:line="390" w:lineRule="atLeast"/>
        <w:ind w:firstLine="42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14"/>
        <w:widowControl/>
        <w:spacing w:before="0" w:beforeAutospacing="0" w:after="0" w:afterAutospacing="0" w:line="390" w:lineRule="atLeast"/>
        <w:ind w:firstLine="42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制定并组织实施村镇建设规划，部署重点工程建设，地方道路建设及公共设施，水利设施的管理，负责土地、林木、水等自然资源和生态环境的保护，做好护林防火工作。                  </w:t>
      </w:r>
    </w:p>
    <w:p>
      <w:pPr>
        <w:pStyle w:val="14"/>
        <w:widowControl/>
        <w:spacing w:before="0" w:beforeAutospacing="0" w:after="0" w:afterAutospacing="0" w:line="390" w:lineRule="atLeast"/>
        <w:ind w:firstLine="42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负责本行政区域内的民政、计划生育、文化教育、卫生、体育等社会公益事业的综合性工作，维护一切经济单位和个人的正当经济权益，取缔非法经济活动，调解和处理民事纠纷，打击刑事犯罪维护社会稳定。</w:t>
      </w:r>
    </w:p>
    <w:p>
      <w:pPr>
        <w:pStyle w:val="14"/>
        <w:widowControl/>
        <w:spacing w:before="0" w:beforeAutospacing="0" w:after="0" w:afterAutospacing="0" w:line="390" w:lineRule="atLeast"/>
        <w:ind w:firstLine="42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4</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按计划组织本级财政收入和地方税的征收，完成国家财政计划，不断培植税源，管好财政资金，增强财政实力。  </w:t>
      </w:r>
    </w:p>
    <w:p>
      <w:pPr>
        <w:pStyle w:val="14"/>
        <w:widowControl/>
        <w:spacing w:before="0" w:beforeAutospacing="0" w:after="0" w:afterAutospacing="0" w:line="390" w:lineRule="atLeast"/>
        <w:ind w:firstLine="42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5</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抓好精神文明建设，丰富群众文化生活，提倡移风易俗，反对封建迷信，破除陈规陋习，树立社会主义新风尚。</w:t>
      </w:r>
    </w:p>
    <w:p>
      <w:pPr>
        <w:pStyle w:val="14"/>
        <w:widowControl/>
        <w:spacing w:before="0" w:beforeAutospacing="0" w:after="0" w:afterAutospacing="0" w:line="390" w:lineRule="atLeast"/>
        <w:ind w:firstLine="420"/>
        <w:rPr>
          <w:rFonts w:ascii="宋体" w:hAnsi="宋体" w:cs="仿宋_GB2312"/>
          <w:sz w:val="32"/>
          <w:szCs w:val="32"/>
        </w:rPr>
      </w:pPr>
      <w:r>
        <w:rPr>
          <w:rFonts w:hint="eastAsia" w:ascii="仿宋" w:hAnsi="仿宋" w:eastAsia="仿宋" w:cs="仿宋"/>
          <w:sz w:val="32"/>
          <w:szCs w:val="32"/>
          <w:shd w:val="clear" w:color="auto" w:fill="FFFFFF"/>
        </w:rPr>
        <w:t>6</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完成上级政府交办</w:t>
      </w:r>
      <w:r>
        <w:rPr>
          <w:rFonts w:hint="eastAsia" w:ascii="仿宋" w:hAnsi="仿宋" w:eastAsia="仿宋" w:cs="仿宋"/>
          <w:sz w:val="32"/>
          <w:szCs w:val="32"/>
          <w:shd w:val="clear" w:color="auto" w:fill="FFFFFF"/>
          <w:lang w:eastAsia="zh-CN"/>
        </w:rPr>
        <w:t>的其他事项</w:t>
      </w:r>
      <w:r>
        <w:rPr>
          <w:rFonts w:hint="eastAsia" w:ascii="仿宋" w:hAnsi="仿宋" w:eastAsia="仿宋" w:cs="仿宋"/>
          <w:sz w:val="32"/>
          <w:szCs w:val="32"/>
          <w:shd w:val="clear" w:color="auto" w:fill="FFFFFF"/>
        </w:rPr>
        <w:t>。</w:t>
      </w:r>
    </w:p>
    <w:p>
      <w:pPr>
        <w:pStyle w:val="14"/>
        <w:widowControl/>
        <w:spacing w:before="0" w:beforeAutospacing="0" w:after="0" w:afterAutospacing="0" w:line="390" w:lineRule="atLeast"/>
        <w:ind w:firstLine="42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（三）部门自评方法</w:t>
      </w:r>
    </w:p>
    <w:p>
      <w:pPr>
        <w:pStyle w:val="14"/>
        <w:widowControl/>
        <w:spacing w:before="0" w:beforeAutospacing="0" w:after="0" w:afterAutospacing="0" w:line="390" w:lineRule="atLeast"/>
        <w:rPr>
          <w:rFonts w:ascii="仿宋" w:hAnsi="仿宋" w:eastAsia="仿宋" w:cs="仿宋"/>
          <w:sz w:val="32"/>
          <w:szCs w:val="32"/>
          <w:shd w:val="clear" w:color="auto" w:fill="FFFFFF"/>
        </w:rPr>
      </w:pPr>
      <w:r>
        <w:rPr>
          <w:rFonts w:hint="eastAsia" w:ascii="宋体" w:hAnsi="宋体" w:cs="仿宋_GB2312"/>
          <w:sz w:val="32"/>
          <w:szCs w:val="32"/>
          <w:shd w:val="clear" w:color="auto" w:fill="FFFFFF"/>
        </w:rPr>
        <w:t xml:space="preserve">　  </w:t>
      </w:r>
      <w:r>
        <w:rPr>
          <w:rFonts w:hint="eastAsia" w:ascii="仿宋" w:hAnsi="仿宋" w:eastAsia="仿宋" w:cs="仿宋"/>
          <w:sz w:val="32"/>
          <w:szCs w:val="32"/>
          <w:shd w:val="clear" w:color="auto" w:fill="FFFFFF"/>
        </w:rPr>
        <w:t>1</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高度重视预算支出绩效评价工作，成立了以镇长于天鹏为组长，分管副镇长邓瑜为副组长，各部门主要负责人为成员的预算支出绩效评价领导小组。按照县财政局绩效评价规程要求，第一阶段为前期准备：由我镇政府牵头，组织有关部门制定了详细的工作方案，明确责任，确定评价指标细则；第二阶段为部门自评：根据上一阶段任务布置，各部门按照要求展开自评工作，并将评价结果报财政所；第三阶段为定性终评，并出具评价报告：财政所在各部门自评的基础上，查阅相关文件资料和财务凭证，对收集资料进行定量定性分析，综合评议后形成评价结论，出具绩效评价报告。</w:t>
      </w:r>
    </w:p>
    <w:p>
      <w:pPr>
        <w:widowControl/>
        <w:shd w:val="clear" w:color="auto" w:fill="FFFFFF"/>
        <w:spacing w:line="540" w:lineRule="atLeast"/>
        <w:ind w:firstLine="72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二、部门财政资金收支管理情况</w:t>
      </w:r>
    </w:p>
    <w:p>
      <w:pPr>
        <w:widowControl/>
        <w:shd w:val="clear" w:color="auto" w:fill="FFFFFF"/>
        <w:spacing w:line="540" w:lineRule="atLeast"/>
        <w:ind w:firstLine="720"/>
        <w:rPr>
          <w:rFonts w:ascii="楷体" w:hAnsi="楷体" w:eastAsia="楷体" w:cs="楷体"/>
          <w:bCs/>
          <w:sz w:val="32"/>
          <w:szCs w:val="32"/>
        </w:rPr>
      </w:pPr>
      <w:r>
        <w:rPr>
          <w:rFonts w:hint="eastAsia" w:ascii="楷体" w:hAnsi="楷体" w:eastAsia="楷体" w:cs="楷体"/>
          <w:bCs/>
          <w:kern w:val="0"/>
          <w:sz w:val="32"/>
          <w:szCs w:val="32"/>
          <w:shd w:val="clear" w:color="auto" w:fill="FFFFFF"/>
        </w:rPr>
        <w:t>（一）部门财政资金收入情况。</w:t>
      </w:r>
    </w:p>
    <w:p>
      <w:pPr>
        <w:widowControl/>
        <w:shd w:val="clear" w:color="auto" w:fill="FFFFFF"/>
        <w:spacing w:line="540" w:lineRule="atLeast"/>
        <w:ind w:firstLine="720"/>
        <w:rPr>
          <w:rFonts w:ascii="宋体" w:hAnsi="宋体" w:cs="仿宋_GB2312"/>
          <w:sz w:val="32"/>
          <w:szCs w:val="32"/>
        </w:rPr>
      </w:pPr>
      <w:r>
        <w:rPr>
          <w:rFonts w:hint="eastAsia" w:ascii="仿宋" w:hAnsi="仿宋" w:eastAsia="仿宋" w:cs="仿宋"/>
          <w:kern w:val="0"/>
          <w:sz w:val="32"/>
          <w:szCs w:val="32"/>
          <w:shd w:val="clear" w:color="auto" w:fill="FFFFFF"/>
        </w:rPr>
        <w:t>202</w:t>
      </w:r>
      <w:r>
        <w:rPr>
          <w:rFonts w:hint="eastAsia" w:ascii="仿宋" w:hAnsi="仿宋" w:eastAsia="仿宋" w:cs="仿宋"/>
          <w:kern w:val="0"/>
          <w:sz w:val="32"/>
          <w:szCs w:val="32"/>
          <w:shd w:val="clear" w:color="auto" w:fill="FFFFFF"/>
          <w:lang w:val="en-US" w:eastAsia="zh-CN"/>
        </w:rPr>
        <w:t>2</w:t>
      </w:r>
      <w:r>
        <w:rPr>
          <w:rFonts w:hint="eastAsia" w:ascii="仿宋" w:hAnsi="仿宋" w:eastAsia="仿宋" w:cs="仿宋"/>
          <w:kern w:val="0"/>
          <w:sz w:val="32"/>
          <w:szCs w:val="32"/>
          <w:shd w:val="clear" w:color="auto" w:fill="FFFFFF"/>
        </w:rPr>
        <w:t>年武连镇人民政府收入总额为</w:t>
      </w:r>
      <w:r>
        <w:rPr>
          <w:rFonts w:hint="eastAsia" w:ascii="仿宋" w:hAnsi="仿宋" w:eastAsia="仿宋" w:cs="仿宋"/>
          <w:kern w:val="0"/>
          <w:sz w:val="32"/>
          <w:szCs w:val="32"/>
          <w:shd w:val="clear" w:color="auto" w:fill="FFFFFF"/>
          <w:lang w:val="en-US" w:eastAsia="zh-CN"/>
        </w:rPr>
        <w:t>1618.60</w:t>
      </w:r>
      <w:r>
        <w:rPr>
          <w:rFonts w:hint="eastAsia" w:ascii="仿宋" w:hAnsi="仿宋" w:eastAsia="仿宋" w:cs="仿宋"/>
          <w:kern w:val="0"/>
          <w:sz w:val="32"/>
          <w:szCs w:val="32"/>
          <w:shd w:val="clear" w:color="auto" w:fill="FFFFFF"/>
        </w:rPr>
        <w:t>万元，其中：当年财政基本支出拨款收入</w:t>
      </w:r>
      <w:r>
        <w:rPr>
          <w:rFonts w:hint="eastAsia" w:ascii="仿宋" w:hAnsi="仿宋" w:eastAsia="仿宋" w:cs="仿宋"/>
          <w:kern w:val="0"/>
          <w:sz w:val="32"/>
          <w:szCs w:val="32"/>
          <w:shd w:val="clear" w:color="auto" w:fill="FFFFFF"/>
          <w:lang w:val="en-US" w:eastAsia="zh-CN"/>
        </w:rPr>
        <w:t>1181.72</w:t>
      </w:r>
      <w:r>
        <w:rPr>
          <w:rFonts w:hint="eastAsia" w:ascii="仿宋" w:hAnsi="仿宋" w:eastAsia="仿宋" w:cs="仿宋"/>
          <w:kern w:val="0"/>
          <w:sz w:val="32"/>
          <w:szCs w:val="32"/>
          <w:shd w:val="clear" w:color="auto" w:fill="FFFFFF"/>
        </w:rPr>
        <w:t>万元。项目支出拨款收入</w:t>
      </w:r>
      <w:r>
        <w:rPr>
          <w:rFonts w:hint="eastAsia" w:ascii="仿宋" w:hAnsi="仿宋" w:eastAsia="仿宋" w:cs="仿宋"/>
          <w:kern w:val="0"/>
          <w:sz w:val="32"/>
          <w:szCs w:val="32"/>
          <w:shd w:val="clear" w:color="auto" w:fill="FFFFFF"/>
          <w:lang w:val="en-US" w:eastAsia="zh-CN"/>
        </w:rPr>
        <w:t>436.87</w:t>
      </w:r>
      <w:r>
        <w:rPr>
          <w:rFonts w:hint="eastAsia" w:ascii="仿宋" w:hAnsi="仿宋" w:eastAsia="仿宋" w:cs="仿宋"/>
          <w:kern w:val="0"/>
          <w:sz w:val="32"/>
          <w:szCs w:val="32"/>
          <w:shd w:val="clear" w:color="auto" w:fill="FFFFFF"/>
        </w:rPr>
        <w:t>万元。</w:t>
      </w:r>
    </w:p>
    <w:p>
      <w:pPr>
        <w:widowControl/>
        <w:shd w:val="clear" w:color="auto" w:fill="FFFFFF"/>
        <w:spacing w:line="540" w:lineRule="atLeast"/>
        <w:ind w:firstLine="720"/>
        <w:rPr>
          <w:rFonts w:ascii="楷体" w:hAnsi="楷体" w:eastAsia="楷体" w:cs="楷体"/>
          <w:bCs/>
          <w:kern w:val="0"/>
          <w:sz w:val="32"/>
          <w:szCs w:val="32"/>
          <w:shd w:val="clear" w:color="auto" w:fill="FFFFFF"/>
        </w:rPr>
      </w:pPr>
      <w:r>
        <w:rPr>
          <w:rFonts w:hint="eastAsia" w:ascii="楷体" w:hAnsi="楷体" w:eastAsia="楷体" w:cs="楷体"/>
          <w:bCs/>
          <w:kern w:val="0"/>
          <w:sz w:val="32"/>
          <w:szCs w:val="32"/>
          <w:shd w:val="clear" w:color="auto" w:fill="FFFFFF"/>
        </w:rPr>
        <w:t>（二）部门财政资金支出情况。</w:t>
      </w:r>
    </w:p>
    <w:p>
      <w:pPr>
        <w:pStyle w:val="14"/>
        <w:widowControl/>
        <w:spacing w:before="0" w:beforeAutospacing="0" w:after="0" w:afterAutospacing="0" w:line="390" w:lineRule="atLeast"/>
        <w:ind w:firstLine="42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2022年武连镇人民政府支出总额为1618.60万元，其中：当年财政基本支出1181.72万元，按功能分：201一般公共服务支出414.28万元，占35.06%；207文化体育与传媒支出110.37万元，占9.34%；208社会保障和就业支出221.20万元，占18.72%；210医疗卫生支出44.05万元，占3.73%；213农林水支出325.74万元，占27.56%；221住房保障支出66.08万元，占5.60%。</w:t>
      </w:r>
    </w:p>
    <w:p>
      <w:pPr>
        <w:pStyle w:val="14"/>
        <w:widowControl/>
        <w:spacing w:before="0" w:beforeAutospacing="0" w:after="0" w:afterAutospacing="0" w:line="390" w:lineRule="atLeast"/>
        <w:ind w:firstLine="42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项目支出436.88万元，其中：当年支出436.88万元，按用途分：一般公共服务支出26.55万元，占6.08%；国防支出0.5万元，占0.11%；公共安全支出1.0万元，占0.23%；文化体育与</w:t>
      </w:r>
      <w:r>
        <w:rPr>
          <w:rFonts w:hint="eastAsia" w:ascii="仿宋" w:hAnsi="仿宋" w:eastAsia="仿宋" w:cs="仿宋"/>
          <w:sz w:val="32"/>
          <w:szCs w:val="32"/>
          <w:shd w:val="clear" w:color="auto" w:fill="FFFFFF"/>
          <w:lang w:eastAsia="zh-CN"/>
        </w:rPr>
        <w:t>传媒</w:t>
      </w:r>
      <w:r>
        <w:rPr>
          <w:rFonts w:hint="eastAsia" w:ascii="仿宋" w:hAnsi="仿宋" w:eastAsia="仿宋" w:cs="仿宋"/>
          <w:sz w:val="32"/>
          <w:szCs w:val="32"/>
          <w:shd w:val="clear" w:color="auto" w:fill="FFFFFF"/>
        </w:rPr>
        <w:t>支出0.78万元，占0.18%；社会保障和就业支出9.00万元占2.06%；城乡社区支出38.43万元，占8.80%；农林水支出360.62万元，占82.54%。</w:t>
      </w:r>
    </w:p>
    <w:p>
      <w:pPr>
        <w:pStyle w:val="14"/>
        <w:widowControl/>
        <w:spacing w:before="0" w:beforeAutospacing="0" w:after="0" w:afterAutospacing="0" w:line="390" w:lineRule="atLeast"/>
        <w:ind w:firstLine="42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2022年三公经费总额为5.00万元。其中：公务用车运行维护费0万元，公务接待费5.00万元，主要用于执行公务、开展业务活动开支的交通费、住宿费、用餐费等。因公出国（境）费0.00万元。全年安排因公出国（境）团组0次，出国（境）0人。</w:t>
      </w:r>
    </w:p>
    <w:p>
      <w:pPr>
        <w:widowControl/>
        <w:shd w:val="clear" w:color="auto" w:fill="FFFFFF"/>
        <w:spacing w:line="540" w:lineRule="atLeast"/>
        <w:ind w:firstLine="720"/>
        <w:rPr>
          <w:rFonts w:ascii="楷体" w:hAnsi="楷体" w:eastAsia="楷体" w:cs="楷体"/>
          <w:bCs/>
          <w:kern w:val="0"/>
          <w:sz w:val="32"/>
          <w:szCs w:val="32"/>
          <w:shd w:val="clear" w:color="auto" w:fill="FFFFFF"/>
        </w:rPr>
      </w:pPr>
      <w:r>
        <w:rPr>
          <w:rFonts w:hint="eastAsia" w:ascii="楷体" w:hAnsi="楷体" w:eastAsia="楷体" w:cs="楷体"/>
          <w:bCs/>
          <w:kern w:val="0"/>
          <w:sz w:val="32"/>
          <w:szCs w:val="32"/>
          <w:shd w:val="clear" w:color="auto" w:fill="FFFFFF"/>
        </w:rPr>
        <w:t>（三）预算编制及执行情况</w:t>
      </w:r>
    </w:p>
    <w:p>
      <w:pPr>
        <w:pStyle w:val="14"/>
        <w:widowControl/>
        <w:spacing w:before="0" w:beforeAutospacing="0" w:after="0" w:afterAutospacing="0" w:line="39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武连镇及时组织财务人员进行预决算的编制，对本年度相应用款进行及时清理和处理，做到账账相符、账实相符、账证相符</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按先有预算再有支出的原则，及时处理相关事务；对绩效目标进行季度梳理和年度分析，及时上报相关报表；对专项预算提前细化，分科目上报，做到收支平衡。</w:t>
      </w:r>
    </w:p>
    <w:p>
      <w:pPr>
        <w:pStyle w:val="14"/>
        <w:widowControl/>
        <w:spacing w:before="0" w:beforeAutospacing="0" w:after="0" w:afterAutospacing="0" w:line="39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预期编制：武连镇于202</w:t>
      </w:r>
      <w:r>
        <w:rPr>
          <w:rFonts w:hint="eastAsia" w:ascii="仿宋" w:hAnsi="仿宋" w:eastAsia="仿宋" w:cs="仿宋"/>
          <w:sz w:val="32"/>
          <w:szCs w:val="32"/>
          <w:shd w:val="clear" w:color="auto" w:fill="FFFFFF"/>
          <w:lang w:val="en-US" w:eastAsia="zh-CN"/>
        </w:rPr>
        <w:t>1</w:t>
      </w:r>
      <w:r>
        <w:rPr>
          <w:rFonts w:hint="eastAsia" w:ascii="仿宋" w:hAnsi="仿宋" w:eastAsia="仿宋" w:cs="仿宋"/>
          <w:sz w:val="32"/>
          <w:szCs w:val="32"/>
          <w:shd w:val="clear" w:color="auto" w:fill="FFFFFF"/>
        </w:rPr>
        <w:t>年12月对202</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年部门支出进行预算：预算支出合计</w:t>
      </w:r>
      <w:r>
        <w:rPr>
          <w:rFonts w:hint="eastAsia" w:ascii="仿宋" w:hAnsi="仿宋" w:eastAsia="仿宋" w:cs="仿宋"/>
          <w:sz w:val="32"/>
          <w:szCs w:val="32"/>
          <w:shd w:val="clear" w:color="auto" w:fill="FFFFFF"/>
          <w:lang w:val="en-US" w:eastAsia="zh-CN"/>
        </w:rPr>
        <w:t>1793.25</w:t>
      </w:r>
      <w:r>
        <w:rPr>
          <w:rFonts w:hint="eastAsia" w:ascii="仿宋" w:hAnsi="仿宋" w:eastAsia="仿宋" w:cs="仿宋"/>
          <w:sz w:val="32"/>
          <w:szCs w:val="32"/>
          <w:shd w:val="clear" w:color="auto" w:fill="FFFFFF"/>
        </w:rPr>
        <w:t>万元。一、基本支出</w:t>
      </w:r>
      <w:r>
        <w:rPr>
          <w:rFonts w:hint="eastAsia" w:ascii="仿宋" w:hAnsi="仿宋" w:eastAsia="仿宋" w:cs="仿宋"/>
          <w:sz w:val="32"/>
          <w:szCs w:val="32"/>
          <w:shd w:val="clear" w:color="auto" w:fill="FFFFFF"/>
          <w:lang w:val="en-US" w:eastAsia="zh-CN"/>
        </w:rPr>
        <w:t>1218.03</w:t>
      </w:r>
      <w:r>
        <w:rPr>
          <w:rFonts w:hint="eastAsia" w:ascii="仿宋" w:hAnsi="仿宋" w:eastAsia="仿宋" w:cs="仿宋"/>
          <w:sz w:val="32"/>
          <w:szCs w:val="32"/>
          <w:shd w:val="clear" w:color="auto" w:fill="FFFFFF"/>
          <w:lang w:eastAsia="zh-CN"/>
        </w:rPr>
        <w:t>万</w:t>
      </w:r>
      <w:r>
        <w:rPr>
          <w:rFonts w:hint="eastAsia" w:ascii="仿宋" w:hAnsi="仿宋" w:eastAsia="仿宋" w:cs="仿宋"/>
          <w:sz w:val="32"/>
          <w:szCs w:val="32"/>
          <w:shd w:val="clear" w:color="auto" w:fill="FFFFFF"/>
        </w:rPr>
        <w:t>元。其中工资福利支出</w:t>
      </w:r>
      <w:r>
        <w:rPr>
          <w:rFonts w:hint="eastAsia" w:ascii="仿宋" w:hAnsi="仿宋" w:eastAsia="仿宋" w:cs="仿宋"/>
          <w:sz w:val="32"/>
          <w:szCs w:val="32"/>
          <w:shd w:val="clear" w:color="auto" w:fill="FFFFFF"/>
          <w:lang w:val="en-US" w:eastAsia="zh-CN"/>
        </w:rPr>
        <w:t>1079.37</w:t>
      </w:r>
      <w:r>
        <w:rPr>
          <w:rFonts w:hint="eastAsia" w:ascii="仿宋" w:hAnsi="仿宋" w:eastAsia="仿宋" w:cs="仿宋"/>
          <w:sz w:val="32"/>
          <w:szCs w:val="32"/>
          <w:shd w:val="clear" w:color="auto" w:fill="FFFFFF"/>
        </w:rPr>
        <w:t>万元，对个人和家庭的补助</w:t>
      </w:r>
      <w:r>
        <w:rPr>
          <w:rFonts w:hint="eastAsia" w:ascii="仿宋" w:hAnsi="仿宋" w:eastAsia="仿宋" w:cs="仿宋"/>
          <w:sz w:val="32"/>
          <w:szCs w:val="32"/>
          <w:shd w:val="clear" w:color="auto" w:fill="FFFFFF"/>
          <w:lang w:val="en-US" w:eastAsia="zh-CN"/>
        </w:rPr>
        <w:t>6.87万元</w:t>
      </w:r>
      <w:r>
        <w:rPr>
          <w:rFonts w:hint="eastAsia" w:ascii="仿宋" w:hAnsi="仿宋" w:eastAsia="仿宋" w:cs="仿宋"/>
          <w:sz w:val="32"/>
          <w:szCs w:val="32"/>
          <w:shd w:val="clear" w:color="auto" w:fill="FFFFFF"/>
        </w:rPr>
        <w:t>，商品和服务支出</w:t>
      </w:r>
      <w:r>
        <w:rPr>
          <w:rFonts w:hint="eastAsia" w:ascii="仿宋" w:hAnsi="仿宋" w:eastAsia="仿宋" w:cs="仿宋"/>
          <w:sz w:val="32"/>
          <w:szCs w:val="32"/>
          <w:shd w:val="clear" w:color="auto" w:fill="FFFFFF"/>
          <w:lang w:val="en-US" w:eastAsia="zh-CN"/>
        </w:rPr>
        <w:t>131.79</w:t>
      </w:r>
      <w:r>
        <w:rPr>
          <w:rFonts w:hint="eastAsia" w:ascii="仿宋" w:hAnsi="仿宋" w:eastAsia="仿宋" w:cs="仿宋"/>
          <w:sz w:val="32"/>
          <w:szCs w:val="32"/>
          <w:shd w:val="clear" w:color="auto" w:fill="FFFFFF"/>
        </w:rPr>
        <w:t>万元；二、项目支出</w:t>
      </w:r>
      <w:r>
        <w:rPr>
          <w:rFonts w:hint="eastAsia" w:ascii="仿宋" w:hAnsi="仿宋" w:eastAsia="仿宋" w:cs="仿宋"/>
          <w:sz w:val="32"/>
          <w:szCs w:val="32"/>
          <w:shd w:val="clear" w:color="auto" w:fill="FFFFFF"/>
          <w:lang w:val="en-US" w:eastAsia="zh-CN"/>
        </w:rPr>
        <w:t>575.22</w:t>
      </w:r>
      <w:r>
        <w:rPr>
          <w:rFonts w:hint="eastAsia" w:ascii="仿宋" w:hAnsi="仿宋" w:eastAsia="仿宋" w:cs="仿宋"/>
          <w:sz w:val="32"/>
          <w:szCs w:val="32"/>
          <w:shd w:val="clear" w:color="auto" w:fill="FFFFFF"/>
        </w:rPr>
        <w:t>万元。</w:t>
      </w:r>
    </w:p>
    <w:p>
      <w:pPr>
        <w:pStyle w:val="14"/>
        <w:widowControl/>
        <w:spacing w:before="0" w:beforeAutospacing="0" w:after="0" w:afterAutospacing="0" w:line="390" w:lineRule="atLeas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执行管理情况：2022年人大事务支出4.06万元，主要用于主席团人员工作经费支出；行政运行422.28万元，主要用于机关干部基本工资、津补贴、绩效工资、工会、福利费支出，以及保证机关正常运转产生的其他工资、公务用车、办公费、水电费、差旅费、会议费、培训费、接待费等支出。一般行政管理事务7.00万元，主要用于机关办公维修费、办公设备购置费等支出。文化和旅游110.37万元，干部基本工资、津补贴、绩效工资、工会、福利费、办公费、水电费、差旅费、会议费支出。社会保障和就业230.20万元，主要用于死亡抚恤、义务兵优待金及机关事业单位基本养老保险费，医疗卫生与计划生育事务44.05万元，主要用于职工医疗保险等支出。环境综合治理38.43万元，主要用于环境治理劳务费、垃圾清运费、维修、基础设施等支出。村民委员会及党支部补助199.99万元，主要用于村组、社区干部工资及村办公经费。住房保障经费66.08万元，主要用于机关工作人员住房公积金支出。对于项目资金，从立项、审批、设计、建设、验收、审计全程监管，并由专人具体负责项目实施，取得了较好的经济效益和社会效益。</w:t>
      </w:r>
    </w:p>
    <w:p>
      <w:pPr>
        <w:pStyle w:val="14"/>
        <w:widowControl/>
        <w:spacing w:before="0" w:beforeAutospacing="0" w:after="0" w:afterAutospacing="0" w:line="390" w:lineRule="atLeast"/>
        <w:rPr>
          <w:rFonts w:ascii="宋体" w:hAnsi="宋体" w:cs="仿宋_GB2312"/>
          <w:b/>
          <w:bCs/>
          <w:sz w:val="32"/>
          <w:szCs w:val="32"/>
        </w:rPr>
      </w:pPr>
      <w:r>
        <w:rPr>
          <w:rFonts w:hint="eastAsia" w:ascii="宋体" w:hAnsi="宋体" w:cs="仿宋_GB2312"/>
          <w:color w:val="FF0000"/>
          <w:sz w:val="32"/>
          <w:szCs w:val="32"/>
          <w:shd w:val="clear" w:color="auto" w:fill="FFFFFF"/>
        </w:rPr>
        <w:t>　　</w:t>
      </w:r>
      <w:r>
        <w:rPr>
          <w:rFonts w:hint="eastAsia" w:ascii="黑体" w:hAnsi="黑体" w:eastAsia="黑体" w:cs="黑体"/>
          <w:kern w:val="2"/>
          <w:sz w:val="32"/>
          <w:szCs w:val="32"/>
          <w:shd w:val="clear" w:color="auto" w:fill="FFFFFF"/>
        </w:rPr>
        <w:t>三、绩效评价工作情况</w:t>
      </w:r>
    </w:p>
    <w:p>
      <w:pPr>
        <w:pStyle w:val="14"/>
        <w:widowControl/>
        <w:spacing w:before="0" w:beforeAutospacing="0" w:after="0" w:afterAutospacing="0" w:line="390" w:lineRule="atLeast"/>
        <w:rPr>
          <w:rFonts w:ascii="宋体" w:hAnsi="宋体" w:cs="仿宋_GB2312"/>
          <w:sz w:val="32"/>
          <w:szCs w:val="32"/>
        </w:rPr>
      </w:pPr>
      <w:r>
        <w:rPr>
          <w:rFonts w:hint="eastAsia" w:ascii="宋体" w:hAnsi="宋体" w:cs="仿宋_GB2312"/>
          <w:b/>
          <w:bCs/>
          <w:color w:val="FF0000"/>
          <w:sz w:val="32"/>
          <w:szCs w:val="32"/>
          <w:shd w:val="clear" w:color="auto" w:fill="FFFFFF"/>
        </w:rPr>
        <w:t xml:space="preserve">　 </w:t>
      </w:r>
      <w:r>
        <w:rPr>
          <w:rFonts w:hint="eastAsia" w:ascii="楷体" w:hAnsi="楷体" w:eastAsia="楷体" w:cs="楷体"/>
          <w:bCs/>
          <w:sz w:val="32"/>
          <w:szCs w:val="32"/>
          <w:shd w:val="clear" w:color="auto" w:fill="FFFFFF"/>
        </w:rPr>
        <w:t>(一）绩效评价目的</w:t>
      </w:r>
    </w:p>
    <w:p>
      <w:pPr>
        <w:pStyle w:val="14"/>
        <w:widowControl/>
        <w:spacing w:before="0" w:beforeAutospacing="0" w:after="0" w:afterAutospacing="0" w:line="390" w:lineRule="atLeast"/>
        <w:rPr>
          <w:rFonts w:ascii="宋体" w:hAnsi="宋体" w:cs="仿宋_GB2312"/>
          <w:sz w:val="32"/>
          <w:szCs w:val="32"/>
        </w:rPr>
      </w:pPr>
      <w:r>
        <w:rPr>
          <w:rFonts w:hint="eastAsia" w:ascii="宋体" w:hAnsi="宋体" w:cs="仿宋_GB2312"/>
          <w:sz w:val="32"/>
          <w:szCs w:val="32"/>
          <w:shd w:val="clear" w:color="auto" w:fill="FFFFFF"/>
        </w:rPr>
        <w:t>　　</w:t>
      </w:r>
      <w:r>
        <w:rPr>
          <w:rFonts w:hint="eastAsia" w:ascii="仿宋" w:hAnsi="仿宋" w:eastAsia="仿宋" w:cs="仿宋"/>
          <w:sz w:val="32"/>
          <w:szCs w:val="32"/>
          <w:shd w:val="clear" w:color="auto" w:fill="FFFFFF"/>
        </w:rPr>
        <w:t>本次绩效评价的</w:t>
      </w:r>
      <w:r>
        <w:rPr>
          <w:rFonts w:hint="eastAsia" w:ascii="仿宋" w:hAnsi="仿宋" w:eastAsia="仿宋" w:cs="仿宋"/>
          <w:sz w:val="32"/>
          <w:szCs w:val="32"/>
          <w:shd w:val="clear" w:color="auto" w:fill="FFFFFF"/>
          <w:lang w:eastAsia="zh-CN"/>
        </w:rPr>
        <w:t>目的是</w:t>
      </w:r>
      <w:r>
        <w:rPr>
          <w:rFonts w:hint="eastAsia" w:ascii="仿宋" w:hAnsi="仿宋" w:eastAsia="仿宋" w:cs="仿宋"/>
          <w:sz w:val="32"/>
          <w:szCs w:val="32"/>
          <w:shd w:val="clear" w:color="auto" w:fill="FFFFFF"/>
        </w:rPr>
        <w:t>全面分析和综合评价我镇本级财政预算资金的使用管理情况，为切实提高财政资金使用效益，强化预算支出的责任和效率提供参考依据。</w:t>
      </w:r>
      <w:r>
        <w:rPr>
          <w:rFonts w:hint="eastAsia" w:ascii="宋体" w:hAnsi="宋体" w:cs="仿宋_GB2312"/>
          <w:sz w:val="32"/>
          <w:szCs w:val="32"/>
          <w:shd w:val="clear" w:color="auto" w:fill="FFFFFF"/>
        </w:rPr>
        <w:t>　　　</w:t>
      </w:r>
    </w:p>
    <w:p>
      <w:pPr>
        <w:pStyle w:val="14"/>
        <w:widowControl/>
        <w:spacing w:before="0" w:beforeAutospacing="0" w:after="0" w:afterAutospacing="0" w:line="390" w:lineRule="atLeast"/>
        <w:rPr>
          <w:rFonts w:ascii="宋体" w:hAnsi="宋体" w:cs="仿宋_GB2312"/>
          <w:b/>
          <w:bCs/>
          <w:sz w:val="32"/>
          <w:szCs w:val="32"/>
        </w:rPr>
      </w:pPr>
      <w:r>
        <w:rPr>
          <w:rFonts w:hint="eastAsia" w:ascii="宋体" w:hAnsi="宋体" w:cs="仿宋_GB2312"/>
          <w:sz w:val="32"/>
          <w:szCs w:val="32"/>
          <w:shd w:val="clear" w:color="auto" w:fill="FFFFFF"/>
        </w:rPr>
        <w:t xml:space="preserve">　 </w:t>
      </w:r>
      <w:r>
        <w:rPr>
          <w:rFonts w:hint="eastAsia" w:ascii="楷体" w:hAnsi="楷体" w:eastAsia="楷体" w:cs="楷体"/>
          <w:bCs/>
          <w:sz w:val="32"/>
          <w:szCs w:val="32"/>
          <w:shd w:val="clear" w:color="auto" w:fill="FFFFFF"/>
        </w:rPr>
        <w:t>(二）部门整体支出绩效评价</w:t>
      </w:r>
    </w:p>
    <w:p>
      <w:pPr>
        <w:pStyle w:val="14"/>
        <w:widowControl/>
        <w:spacing w:before="0" w:beforeAutospacing="0" w:after="0" w:afterAutospacing="0" w:line="390" w:lineRule="atLeast"/>
        <w:rPr>
          <w:rFonts w:ascii="宋体" w:hAnsi="宋体" w:cs="仿宋_GB2312"/>
          <w:sz w:val="32"/>
          <w:szCs w:val="32"/>
        </w:rPr>
      </w:pPr>
      <w:r>
        <w:rPr>
          <w:rFonts w:hint="eastAsia" w:ascii="宋体" w:hAnsi="宋体" w:cs="仿宋_GB2312"/>
          <w:color w:val="FF0000"/>
          <w:sz w:val="32"/>
          <w:szCs w:val="32"/>
          <w:shd w:val="clear" w:color="auto" w:fill="FFFFFF"/>
        </w:rPr>
        <w:t>　　</w:t>
      </w:r>
      <w:r>
        <w:rPr>
          <w:rFonts w:hint="eastAsia" w:ascii="仿宋" w:hAnsi="仿宋" w:eastAsia="仿宋" w:cs="仿宋"/>
          <w:sz w:val="32"/>
          <w:szCs w:val="32"/>
          <w:shd w:val="clear" w:color="auto" w:fill="FFFFFF"/>
        </w:rPr>
        <w:t>202</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年，根据镇年初工作规划和重点性工作，围绕县政府全面建成小康社会的发展蓝图，积极履职，强化管理，较好</w:t>
      </w:r>
      <w:r>
        <w:rPr>
          <w:rFonts w:hint="eastAsia" w:ascii="仿宋" w:hAnsi="仿宋" w:eastAsia="仿宋" w:cs="仿宋"/>
          <w:sz w:val="32"/>
          <w:szCs w:val="32"/>
          <w:shd w:val="clear" w:color="auto" w:fill="FFFFFF"/>
          <w:lang w:eastAsia="zh-CN"/>
        </w:rPr>
        <w:t>地</w:t>
      </w:r>
      <w:r>
        <w:rPr>
          <w:rFonts w:hint="eastAsia" w:ascii="仿宋" w:hAnsi="仿宋" w:eastAsia="仿宋" w:cs="仿宋"/>
          <w:sz w:val="32"/>
          <w:szCs w:val="32"/>
          <w:shd w:val="clear" w:color="auto" w:fill="FFFFFF"/>
        </w:rPr>
        <w:t>完成了年度工作目标。通过加强预算收支管理，不断建立健全内部管理制度，梳理内部管理流程，部门整体支出管理情况得到提升。根据202</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年度部门整体支出状况的概述和分析，部门整体支出绩效情况如下：</w:t>
      </w:r>
    </w:p>
    <w:p>
      <w:pPr>
        <w:pStyle w:val="14"/>
        <w:widowControl/>
        <w:spacing w:before="0" w:beforeAutospacing="0" w:after="0" w:afterAutospacing="0" w:line="390" w:lineRule="atLeast"/>
        <w:rPr>
          <w:rFonts w:ascii="宋体" w:hAnsi="宋体" w:cs="仿宋_GB2312"/>
          <w:sz w:val="32"/>
          <w:szCs w:val="32"/>
        </w:rPr>
      </w:pPr>
      <w:r>
        <w:rPr>
          <w:rFonts w:hint="eastAsia" w:ascii="宋体" w:hAnsi="宋体" w:cs="仿宋_GB2312"/>
          <w:color w:val="FF0000"/>
          <w:sz w:val="32"/>
          <w:szCs w:val="32"/>
          <w:shd w:val="clear" w:color="auto" w:fill="FFFFFF"/>
        </w:rPr>
        <w:t>　</w:t>
      </w:r>
      <w:r>
        <w:rPr>
          <w:rFonts w:hint="eastAsia" w:ascii="楷体" w:hAnsi="楷体" w:eastAsia="楷体" w:cs="楷体"/>
          <w:bCs/>
          <w:sz w:val="32"/>
          <w:szCs w:val="32"/>
          <w:shd w:val="clear" w:color="auto" w:fill="FFFFFF"/>
        </w:rPr>
        <w:t>（1）经济效益评价</w:t>
      </w:r>
    </w:p>
    <w:p>
      <w:pPr>
        <w:pStyle w:val="14"/>
        <w:widowControl/>
        <w:spacing w:before="0" w:beforeAutospacing="0" w:after="0" w:afterAutospacing="0" w:line="390" w:lineRule="atLeast"/>
        <w:ind w:firstLine="420"/>
        <w:rPr>
          <w:rFonts w:ascii="仿宋" w:hAnsi="仿宋" w:eastAsia="仿宋" w:cs="仿宋"/>
          <w:sz w:val="32"/>
          <w:szCs w:val="32"/>
          <w:shd w:val="clear" w:color="auto" w:fill="FFFFFF"/>
        </w:rPr>
      </w:pPr>
      <w:r>
        <w:rPr>
          <w:rFonts w:hint="eastAsia" w:ascii="宋体" w:hAnsi="宋体" w:cs="仿宋_GB2312"/>
          <w:sz w:val="32"/>
          <w:szCs w:val="32"/>
          <w:shd w:val="clear" w:color="auto" w:fill="FFFFFF"/>
        </w:rPr>
        <w:t>　　</w:t>
      </w:r>
      <w:r>
        <w:rPr>
          <w:rFonts w:hint="eastAsia" w:ascii="仿宋" w:hAnsi="仿宋" w:eastAsia="仿宋" w:cs="仿宋"/>
          <w:sz w:val="32"/>
          <w:szCs w:val="32"/>
          <w:shd w:val="clear" w:color="auto" w:fill="FFFFFF"/>
        </w:rPr>
        <w:t>1.本年预算配置控制较好。财政供养人员控制在预算编制以内，编制内在职人员控制率小于100%；“三公”经费预算总额较上年持平。</w:t>
      </w:r>
    </w:p>
    <w:p>
      <w:pPr>
        <w:pStyle w:val="14"/>
        <w:widowControl/>
        <w:spacing w:before="0" w:beforeAutospacing="0" w:after="0" w:afterAutospacing="0" w:line="390" w:lineRule="atLeast"/>
        <w:ind w:firstLine="42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2.预算执行方面。支出总额控制在预算总额以内，预算管理方面，制度执行总体较为有效，仍需进一步强化；资金使用管理需进一步加强。</w:t>
      </w:r>
    </w:p>
    <w:p>
      <w:pPr>
        <w:pStyle w:val="14"/>
        <w:widowControl/>
        <w:spacing w:before="0" w:beforeAutospacing="0" w:after="0" w:afterAutospacing="0" w:line="390" w:lineRule="atLeast"/>
        <w:ind w:firstLine="42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w:t>
      </w: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资产管理方面，建立了资产管理制度，定期进行了盘点和资产清理，总体执行较好。</w:t>
      </w:r>
    </w:p>
    <w:p>
      <w:pPr>
        <w:pStyle w:val="14"/>
        <w:widowControl/>
        <w:spacing w:before="0" w:beforeAutospacing="0" w:after="0" w:afterAutospacing="0" w:line="390" w:lineRule="atLeast"/>
        <w:ind w:firstLine="42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w:t>
      </w:r>
      <w:r>
        <w:rPr>
          <w:rFonts w:hint="eastAsia" w:ascii="仿宋" w:hAnsi="仿宋" w:eastAsia="仿宋" w:cs="仿宋"/>
          <w:sz w:val="32"/>
          <w:szCs w:val="32"/>
          <w:shd w:val="clear" w:color="auto" w:fill="FFFFFF"/>
          <w:lang w:val="en-US" w:eastAsia="zh-CN"/>
        </w:rPr>
        <w:t>4.</w:t>
      </w:r>
      <w:r>
        <w:rPr>
          <w:rFonts w:hint="eastAsia" w:ascii="仿宋" w:hAnsi="仿宋" w:eastAsia="仿宋" w:cs="仿宋"/>
          <w:sz w:val="32"/>
          <w:szCs w:val="32"/>
          <w:shd w:val="clear" w:color="auto" w:fill="FFFFFF"/>
        </w:rPr>
        <w:t>根据部门整体支出绩效评价指标体系，本镇202</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年度评价得分为95分。</w:t>
      </w:r>
    </w:p>
    <w:p>
      <w:pPr>
        <w:pStyle w:val="14"/>
        <w:widowControl/>
        <w:spacing w:before="0" w:beforeAutospacing="0" w:after="0" w:afterAutospacing="0" w:line="390" w:lineRule="atLeast"/>
        <w:rPr>
          <w:rFonts w:ascii="宋体" w:hAnsi="宋体" w:cs="仿宋_GB2312"/>
          <w:b/>
          <w:bCs/>
          <w:sz w:val="32"/>
          <w:szCs w:val="32"/>
        </w:rPr>
      </w:pPr>
      <w:r>
        <w:rPr>
          <w:rFonts w:hint="eastAsia" w:ascii="宋体" w:hAnsi="宋体" w:cs="仿宋_GB2312"/>
          <w:color w:val="FF0000"/>
          <w:sz w:val="32"/>
          <w:szCs w:val="32"/>
          <w:shd w:val="clear" w:color="auto" w:fill="FFFFFF"/>
        </w:rPr>
        <w:t xml:space="preserve">　 </w:t>
      </w:r>
      <w:r>
        <w:rPr>
          <w:rFonts w:hint="eastAsia" w:ascii="楷体" w:hAnsi="楷体" w:eastAsia="楷体" w:cs="楷体"/>
          <w:bCs/>
          <w:sz w:val="32"/>
          <w:szCs w:val="32"/>
          <w:shd w:val="clear" w:color="auto" w:fill="FFFFFF"/>
        </w:rPr>
        <w:t>（2）效率性评价和有效性评价</w:t>
      </w:r>
    </w:p>
    <w:p>
      <w:pPr>
        <w:pStyle w:val="14"/>
        <w:widowControl/>
        <w:spacing w:before="0" w:beforeAutospacing="0" w:after="0" w:afterAutospacing="0" w:line="390" w:lineRule="atLeast"/>
        <w:rPr>
          <w:rFonts w:ascii="仿宋" w:hAnsi="仿宋" w:eastAsia="仿宋" w:cs="仿宋"/>
          <w:sz w:val="32"/>
          <w:szCs w:val="32"/>
          <w:shd w:val="clear" w:color="auto" w:fill="FFFFFF"/>
        </w:rPr>
      </w:pPr>
      <w:r>
        <w:rPr>
          <w:rFonts w:hint="eastAsia" w:ascii="宋体" w:hAnsi="宋体" w:cs="仿宋_GB2312"/>
          <w:sz w:val="32"/>
          <w:szCs w:val="32"/>
          <w:shd w:val="clear" w:color="auto" w:fill="FFFFFF"/>
        </w:rPr>
        <w:t>　　</w:t>
      </w:r>
      <w:r>
        <w:rPr>
          <w:rFonts w:hint="eastAsia" w:ascii="仿宋" w:hAnsi="仿宋" w:eastAsia="仿宋" w:cs="仿宋"/>
          <w:sz w:val="32"/>
          <w:szCs w:val="32"/>
          <w:shd w:val="clear" w:color="auto" w:fill="FFFFFF"/>
        </w:rPr>
        <w:t>我镇预算安排的基本支出保障了我镇正常的工作运转，我镇在执行上是严格遵守各项财经纪律的。我镇在资金的管理和使用上，严守法律底线、纪律底线、道德底线。</w:t>
      </w:r>
    </w:p>
    <w:p>
      <w:pPr>
        <w:widowControl/>
        <w:shd w:val="clear" w:color="auto" w:fill="FFFFFF"/>
        <w:spacing w:line="540" w:lineRule="atLeast"/>
        <w:ind w:firstLine="720"/>
        <w:rPr>
          <w:rFonts w:ascii="黑体" w:hAnsi="黑体" w:eastAsia="黑体" w:cs="黑体"/>
          <w:kern w:val="0"/>
          <w:sz w:val="32"/>
          <w:szCs w:val="32"/>
          <w:shd w:val="clear" w:color="auto" w:fill="FFFFFF"/>
        </w:rPr>
      </w:pPr>
      <w:r>
        <w:rPr>
          <w:rFonts w:hint="eastAsia" w:ascii="黑体" w:hAnsi="黑体" w:eastAsia="黑体" w:cs="黑体"/>
          <w:sz w:val="32"/>
          <w:szCs w:val="32"/>
          <w:shd w:val="clear" w:color="auto" w:fill="FFFFFF"/>
        </w:rPr>
        <w:t>四、存在的问题</w:t>
      </w:r>
    </w:p>
    <w:p>
      <w:pPr>
        <w:pStyle w:val="14"/>
        <w:widowControl/>
        <w:spacing w:before="0" w:beforeAutospacing="0" w:after="0" w:afterAutospacing="0" w:line="39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通过绩效评价工作的逐步推进，各部门逐步树立了绩效理念，对预算计算评价工作的态度由“被动接受”变为“主动实施”，但了解还不够深入，对单位绩效不重视，认为绩效评价只是财务部门的事情，相关职责部门配合不够，往往只能提供有限的财经资料或简单的工作计划、工作总结，绩效评价工作资料非常有限，内容粗浅。</w:t>
      </w:r>
    </w:p>
    <w:p>
      <w:pPr>
        <w:pStyle w:val="14"/>
        <w:widowControl/>
        <w:spacing w:before="0" w:beforeAutospacing="0" w:after="0" w:afterAutospacing="0" w:line="390" w:lineRule="atLeast"/>
        <w:ind w:firstLine="642" w:firstLineChars="200"/>
        <w:rPr>
          <w:rFonts w:ascii="宋体" w:hAnsi="宋体" w:cs="仿宋_GB2312"/>
          <w:b/>
          <w:bCs/>
          <w:sz w:val="32"/>
          <w:szCs w:val="32"/>
          <w:shd w:val="clear" w:color="auto" w:fill="FFFFFF"/>
        </w:rPr>
      </w:pPr>
    </w:p>
    <w:p>
      <w:pPr>
        <w:pStyle w:val="14"/>
        <w:widowControl/>
        <w:spacing w:before="0" w:beforeAutospacing="0" w:after="0" w:afterAutospacing="0" w:line="390" w:lineRule="atLeast"/>
        <w:ind w:firstLine="640" w:firstLineChars="200"/>
        <w:rPr>
          <w:rFonts w:ascii="黑体" w:hAnsi="黑体" w:eastAsia="黑体" w:cs="黑体"/>
          <w:sz w:val="32"/>
          <w:szCs w:val="32"/>
        </w:rPr>
      </w:pPr>
      <w:r>
        <w:rPr>
          <w:rFonts w:hint="eastAsia" w:ascii="黑体" w:hAnsi="黑体" w:eastAsia="黑体" w:cs="黑体"/>
          <w:sz w:val="32"/>
          <w:szCs w:val="32"/>
          <w:shd w:val="clear" w:color="auto" w:fill="FFFFFF"/>
        </w:rPr>
        <w:t>五、有关建议</w:t>
      </w:r>
    </w:p>
    <w:p>
      <w:pPr>
        <w:pStyle w:val="14"/>
        <w:widowControl/>
        <w:spacing w:before="0" w:beforeAutospacing="0" w:after="0" w:afterAutospacing="0" w:line="390" w:lineRule="atLeast"/>
        <w:ind w:firstLine="640" w:firstLineChars="200"/>
        <w:rPr>
          <w:rFonts w:ascii="仿宋" w:hAnsi="仿宋" w:eastAsia="仿宋" w:cs="仿宋"/>
          <w:sz w:val="32"/>
          <w:szCs w:val="32"/>
          <w:shd w:val="clear" w:color="auto" w:fill="FFFFFF"/>
        </w:rPr>
      </w:pPr>
      <w:r>
        <w:rPr>
          <w:rFonts w:hint="eastAsia" w:ascii="楷体" w:hAnsi="楷体" w:eastAsia="楷体" w:cs="楷体"/>
          <w:bCs/>
          <w:sz w:val="32"/>
          <w:szCs w:val="32"/>
          <w:shd w:val="clear" w:color="auto" w:fill="FFFFFF"/>
        </w:rPr>
        <w:t>(一）细化预算编制工作，认真做好预算的编制。</w:t>
      </w:r>
      <w:r>
        <w:rPr>
          <w:rFonts w:hint="eastAsia" w:ascii="仿宋" w:hAnsi="仿宋" w:eastAsia="仿宋" w:cs="仿宋"/>
          <w:sz w:val="32"/>
          <w:szCs w:val="32"/>
          <w:shd w:val="clear" w:color="auto" w:fill="FFFFFF"/>
        </w:rPr>
        <w:t>进一步加强镇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14"/>
        <w:widowControl/>
        <w:spacing w:before="0" w:beforeAutospacing="0" w:after="0" w:afterAutospacing="0" w:line="390" w:lineRule="atLeast"/>
        <w:rPr>
          <w:rFonts w:ascii="仿宋" w:hAnsi="仿宋" w:eastAsia="仿宋" w:cs="仿宋"/>
          <w:sz w:val="32"/>
          <w:szCs w:val="32"/>
          <w:shd w:val="clear" w:color="auto" w:fill="FFFFFF"/>
        </w:rPr>
      </w:pPr>
      <w:r>
        <w:rPr>
          <w:rFonts w:hint="eastAsia" w:ascii="宋体" w:hAnsi="宋体" w:cs="仿宋_GB2312"/>
          <w:sz w:val="32"/>
          <w:szCs w:val="32"/>
          <w:shd w:val="clear" w:color="auto" w:fill="FFFFFF"/>
        </w:rPr>
        <w:t xml:space="preserve"> </w:t>
      </w:r>
      <w:r>
        <w:rPr>
          <w:rFonts w:hint="eastAsia" w:ascii="宋体" w:hAnsi="宋体" w:cs="仿宋_GB2312"/>
          <w:sz w:val="32"/>
          <w:szCs w:val="32"/>
          <w:shd w:val="clear" w:color="auto" w:fill="FFFFFF"/>
          <w:lang w:val="en-US" w:eastAsia="zh-CN"/>
        </w:rPr>
        <w:t xml:space="preserve">  </w:t>
      </w:r>
      <w:r>
        <w:rPr>
          <w:rFonts w:hint="eastAsia" w:ascii="宋体" w:hAnsi="宋体" w:cs="仿宋_GB2312"/>
          <w:sz w:val="32"/>
          <w:szCs w:val="32"/>
          <w:shd w:val="clear" w:color="auto" w:fill="FFFFFF"/>
        </w:rPr>
        <w:t xml:space="preserve"> </w:t>
      </w:r>
      <w:r>
        <w:rPr>
          <w:rFonts w:hint="eastAsia" w:ascii="楷体" w:hAnsi="楷体" w:eastAsia="楷体" w:cs="楷体"/>
          <w:bCs/>
          <w:sz w:val="32"/>
          <w:szCs w:val="32"/>
          <w:shd w:val="clear" w:color="auto" w:fill="FFFFFF"/>
        </w:rPr>
        <w:t>(二)加强财务管理，严格财务审核。</w:t>
      </w:r>
      <w:r>
        <w:rPr>
          <w:rFonts w:hint="eastAsia" w:ascii="仿宋" w:hAnsi="仿宋" w:eastAsia="仿宋" w:cs="仿宋"/>
          <w:sz w:val="32"/>
          <w:szCs w:val="32"/>
          <w:shd w:val="clear" w:color="auto" w:fill="FFFFFF"/>
        </w:rPr>
        <w:t>在费用报账支付时，按照预算规定的费用项目和用途进行资金使用审核、列报支付、财务核算，杜绝超支现象的发生。</w:t>
      </w:r>
    </w:p>
    <w:p>
      <w:pPr>
        <w:pStyle w:val="14"/>
        <w:widowControl/>
        <w:spacing w:before="0" w:beforeAutospacing="0" w:after="0" w:afterAutospacing="0" w:line="390" w:lineRule="atLeast"/>
        <w:rPr>
          <w:rFonts w:ascii="仿宋" w:hAnsi="仿宋" w:eastAsia="仿宋" w:cs="仿宋"/>
          <w:sz w:val="32"/>
          <w:szCs w:val="32"/>
          <w:shd w:val="clear" w:color="auto" w:fill="FFFFFF"/>
        </w:rPr>
      </w:pPr>
      <w:r>
        <w:rPr>
          <w:rFonts w:hint="eastAsia" w:ascii="宋体" w:hAnsi="宋体" w:cs="仿宋_GB2312"/>
          <w:sz w:val="32"/>
          <w:szCs w:val="32"/>
          <w:shd w:val="clear" w:color="auto" w:fill="FFFFFF"/>
          <w:lang w:val="en-US" w:eastAsia="zh-CN"/>
        </w:rPr>
        <w:t xml:space="preserve">   </w:t>
      </w:r>
      <w:r>
        <w:rPr>
          <w:rFonts w:hint="eastAsia" w:ascii="宋体" w:hAnsi="宋体" w:cs="仿宋_GB2312"/>
          <w:sz w:val="32"/>
          <w:szCs w:val="32"/>
          <w:shd w:val="clear" w:color="auto" w:fill="FFFFFF"/>
        </w:rPr>
        <w:t xml:space="preserve"> </w:t>
      </w:r>
      <w:r>
        <w:rPr>
          <w:rFonts w:hint="eastAsia" w:ascii="楷体" w:hAnsi="楷体" w:eastAsia="楷体" w:cs="楷体"/>
          <w:bCs/>
          <w:sz w:val="32"/>
          <w:szCs w:val="32"/>
          <w:shd w:val="clear" w:color="auto" w:fill="FFFFFF"/>
        </w:rPr>
        <w:t>(三)持续抓好“三公”经费控制管理。</w:t>
      </w:r>
      <w:r>
        <w:rPr>
          <w:rFonts w:hint="eastAsia" w:ascii="仿宋" w:hAnsi="仿宋" w:eastAsia="仿宋" w:cs="仿宋"/>
          <w:sz w:val="32"/>
          <w:szCs w:val="32"/>
          <w:shd w:val="clear" w:color="auto" w:fill="FFFFFF"/>
        </w:rPr>
        <w:t>严格控制“三公”经费的规模和比例，把关“三公”经费支出的审核、审批，杜绝挪用和挤占其他预算资金行为；进一步细化“三公”经费的管理，合理压缩“三公”经费支出。</w:t>
      </w:r>
    </w:p>
    <w:p>
      <w:pPr>
        <w:pStyle w:val="14"/>
        <w:widowControl/>
        <w:spacing w:before="0" w:beforeAutospacing="0" w:after="0" w:afterAutospacing="0" w:line="390" w:lineRule="atLeast"/>
        <w:rPr>
          <w:rFonts w:hint="eastAsia" w:ascii="仿宋" w:hAnsi="仿宋" w:eastAsia="仿宋" w:cs="仿宋"/>
          <w:sz w:val="32"/>
          <w:szCs w:val="32"/>
        </w:rPr>
      </w:pPr>
      <w:r>
        <w:rPr>
          <w:rFonts w:hint="eastAsia" w:ascii="宋体" w:hAnsi="宋体" w:eastAsia="楷体" w:cs="仿宋_GB2312"/>
          <w:sz w:val="32"/>
          <w:szCs w:val="32"/>
          <w:shd w:val="clear" w:color="auto" w:fill="FFFFFF"/>
          <w:lang w:val="en-US" w:eastAsia="zh-CN"/>
        </w:rPr>
        <w:t xml:space="preserve">    </w:t>
      </w:r>
      <w:r>
        <w:rPr>
          <w:rFonts w:hint="eastAsia" w:ascii="楷体" w:hAnsi="楷体" w:eastAsia="楷体" w:cs="楷体"/>
          <w:bCs/>
          <w:sz w:val="32"/>
          <w:szCs w:val="32"/>
          <w:shd w:val="clear" w:color="auto" w:fill="FFFFFF"/>
        </w:rPr>
        <w:t>(四)加强项目开展进度的跟踪。</w:t>
      </w:r>
      <w:r>
        <w:rPr>
          <w:rFonts w:hint="eastAsia" w:ascii="仿宋" w:hAnsi="仿宋" w:eastAsia="仿宋" w:cs="仿宋"/>
          <w:sz w:val="32"/>
          <w:szCs w:val="32"/>
          <w:shd w:val="clear" w:color="auto" w:fill="FFFFFF"/>
        </w:rPr>
        <w:t>开展项目绩效评价，确保项目绩效目标的完成。</w:t>
      </w:r>
    </w:p>
    <w:bookmarkEnd w:id="47"/>
    <w:p>
      <w:pPr>
        <w:pStyle w:val="4"/>
        <w:rPr>
          <w:rFonts w:ascii="黑体" w:hAnsi="黑体" w:eastAsia="黑体" w:cs="黑体"/>
          <w:b w:val="0"/>
          <w:bCs w:val="0"/>
        </w:rPr>
      </w:pPr>
      <w:bookmarkStart w:id="49" w:name="_Toc15396619"/>
      <w:r>
        <w:rPr>
          <w:rFonts w:hint="eastAsia" w:ascii="黑体" w:hAnsi="黑体" w:eastAsia="黑体" w:cs="黑体"/>
          <w:b w:val="0"/>
          <w:bCs w:val="0"/>
        </w:rPr>
        <w:t>附件</w:t>
      </w:r>
    </w:p>
    <w:p>
      <w:pPr>
        <w:pStyle w:val="4"/>
        <w:spacing w:before="0" w:after="0" w:line="576"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年安全经费（森林防火）项目支出绩效自评报告</w:t>
      </w:r>
    </w:p>
    <w:p>
      <w:pPr>
        <w:pStyle w:val="4"/>
        <w:spacing w:before="0" w:after="0" w:line="576" w:lineRule="exact"/>
        <w:ind w:firstLine="480" w:firstLineChars="150"/>
        <w:rPr>
          <w:rFonts w:ascii="黑体" w:hAnsi="黑体" w:eastAsia="黑体" w:cs="黑体"/>
          <w:b w:val="0"/>
          <w:bCs w:val="0"/>
        </w:rPr>
      </w:pPr>
      <w:r>
        <w:rPr>
          <w:rFonts w:hint="eastAsia" w:ascii="黑体" w:hAnsi="黑体" w:eastAsia="黑体" w:cs="黑体"/>
          <w:b w:val="0"/>
          <w:bCs w:val="0"/>
        </w:rPr>
        <w:t>一、项目概况</w:t>
      </w:r>
    </w:p>
    <w:p>
      <w:pPr>
        <w:pStyle w:val="4"/>
        <w:spacing w:before="0" w:after="0" w:line="576" w:lineRule="exact"/>
        <w:ind w:firstLine="320" w:firstLineChars="100"/>
        <w:rPr>
          <w:rFonts w:ascii="楷体" w:hAnsi="楷体" w:eastAsia="楷体" w:cs="楷体"/>
          <w:b w:val="0"/>
          <w:bCs w:val="0"/>
        </w:rPr>
      </w:pPr>
      <w:r>
        <w:rPr>
          <w:rFonts w:hint="eastAsia" w:ascii="楷体" w:hAnsi="楷体" w:eastAsia="楷体" w:cs="楷体"/>
          <w:b w:val="0"/>
          <w:bCs w:val="0"/>
        </w:rPr>
        <w:t>（一）项目基本情况。</w:t>
      </w:r>
    </w:p>
    <w:p>
      <w:pPr>
        <w:pStyle w:val="4"/>
        <w:spacing w:before="0" w:after="0" w:line="576" w:lineRule="exact"/>
        <w:jc w:val="left"/>
        <w:rPr>
          <w:rFonts w:ascii="仿宋" w:hAnsi="仿宋" w:eastAsia="仿宋" w:cs="仿宋_GB2312"/>
          <w:b w:val="0"/>
          <w:bCs w:val="0"/>
        </w:rPr>
      </w:pPr>
      <w:r>
        <w:rPr>
          <w:rFonts w:ascii="仿宋" w:hAnsi="仿宋" w:eastAsia="仿宋" w:cs="仿宋_GB2312"/>
        </w:rPr>
        <w:t xml:space="preserve">  </w:t>
      </w:r>
      <w:r>
        <w:rPr>
          <w:rFonts w:hint="eastAsia" w:ascii="仿宋" w:hAnsi="仿宋" w:eastAsia="仿宋" w:cs="仿宋_GB2312"/>
          <w:lang w:val="en-US" w:eastAsia="zh-CN"/>
        </w:rPr>
        <w:t xml:space="preserve"> </w:t>
      </w:r>
      <w:r>
        <w:rPr>
          <w:rFonts w:ascii="仿宋" w:hAnsi="仿宋" w:eastAsia="仿宋" w:cs="仿宋_GB2312"/>
        </w:rPr>
        <w:t xml:space="preserve"> </w:t>
      </w:r>
      <w:r>
        <w:rPr>
          <w:rFonts w:hint="eastAsia" w:ascii="仿宋" w:hAnsi="仿宋" w:eastAsia="仿宋" w:cs="仿宋_GB2312"/>
          <w:b w:val="0"/>
          <w:bCs w:val="0"/>
        </w:rPr>
        <w:t>以“预防为主、积极消灭”的森林防火方针，大力开展森林防火宣传教育、严格管控野外火源</w:t>
      </w:r>
      <w:r>
        <w:rPr>
          <w:rFonts w:hint="eastAsia" w:ascii="仿宋" w:hAnsi="仿宋" w:eastAsia="仿宋" w:cs="仿宋_GB2312"/>
          <w:b w:val="0"/>
          <w:bCs w:val="0"/>
          <w:lang w:eastAsia="zh-CN"/>
        </w:rPr>
        <w:t>，</w:t>
      </w:r>
      <w:r>
        <w:rPr>
          <w:rFonts w:hint="eastAsia" w:ascii="仿宋" w:hAnsi="仿宋" w:eastAsia="仿宋" w:cs="仿宋_GB2312"/>
          <w:b w:val="0"/>
          <w:bCs w:val="0"/>
        </w:rPr>
        <w:t>确保全镇森林生态资源安全及保护社会稳定促进经济的可持续发展。全年悬挂森林防火宣传标语 276 条；发放各类宣传</w:t>
      </w:r>
      <w:r>
        <w:rPr>
          <w:rFonts w:hint="eastAsia" w:ascii="仿宋" w:hAnsi="仿宋" w:eastAsia="仿宋" w:cs="仿宋_GB2312"/>
          <w:b w:val="0"/>
          <w:bCs w:val="0"/>
          <w:lang w:eastAsia="zh-CN"/>
        </w:rPr>
        <w:t>单</w:t>
      </w:r>
      <w:r>
        <w:rPr>
          <w:rFonts w:hint="eastAsia" w:ascii="仿宋" w:hAnsi="仿宋" w:eastAsia="仿宋" w:cs="仿宋_GB2312"/>
          <w:b w:val="0"/>
          <w:bCs w:val="0"/>
        </w:rPr>
        <w:t>4000余份；出动宣传车 90 台次；</w:t>
      </w:r>
      <w:r>
        <w:rPr>
          <w:rFonts w:hint="eastAsia" w:ascii="仿宋" w:hAnsi="仿宋" w:eastAsia="仿宋" w:cs="仿宋_GB2312"/>
          <w:b w:val="0"/>
          <w:bCs w:val="0"/>
          <w:lang w:eastAsia="zh-CN"/>
        </w:rPr>
        <w:t>召开</w:t>
      </w:r>
      <w:r>
        <w:rPr>
          <w:rFonts w:hint="eastAsia" w:ascii="仿宋" w:hAnsi="仿宋" w:eastAsia="仿宋" w:cs="仿宋_GB2312"/>
          <w:b w:val="0"/>
          <w:bCs w:val="0"/>
        </w:rPr>
        <w:t>森林防火专题</w:t>
      </w:r>
      <w:r>
        <w:rPr>
          <w:rFonts w:hint="eastAsia" w:ascii="仿宋" w:hAnsi="仿宋" w:eastAsia="仿宋" w:cs="仿宋_GB2312"/>
          <w:b w:val="0"/>
          <w:bCs w:val="0"/>
          <w:lang w:eastAsia="zh-CN"/>
        </w:rPr>
        <w:t>会</w:t>
      </w:r>
      <w:r>
        <w:rPr>
          <w:rFonts w:hint="eastAsia" w:ascii="仿宋" w:hAnsi="仿宋" w:eastAsia="仿宋" w:cs="仿宋_GB2312"/>
          <w:b w:val="0"/>
          <w:bCs w:val="0"/>
        </w:rPr>
        <w:t>议20余场。</w:t>
      </w:r>
    </w:p>
    <w:p>
      <w:pPr>
        <w:pStyle w:val="4"/>
        <w:spacing w:before="0" w:after="0" w:line="576" w:lineRule="exact"/>
        <w:ind w:firstLine="320" w:firstLineChars="100"/>
        <w:rPr>
          <w:rFonts w:ascii="楷体" w:hAnsi="楷体" w:eastAsia="楷体" w:cs="楷体"/>
          <w:b w:val="0"/>
          <w:bCs w:val="0"/>
        </w:rPr>
      </w:pPr>
      <w:r>
        <w:rPr>
          <w:rFonts w:hint="eastAsia" w:ascii="楷体" w:hAnsi="楷体" w:eastAsia="楷体" w:cs="楷体"/>
          <w:b w:val="0"/>
          <w:bCs w:val="0"/>
        </w:rPr>
        <w:t>（二）项目绩效目标。</w:t>
      </w:r>
    </w:p>
    <w:p>
      <w:pPr>
        <w:pStyle w:val="4"/>
        <w:spacing w:before="0" w:after="0" w:line="576" w:lineRule="exact"/>
        <w:jc w:val="left"/>
        <w:rPr>
          <w:rFonts w:ascii="仿宋" w:hAnsi="仿宋" w:eastAsia="仿宋" w:cs="仿宋_GB2312"/>
          <w:b w:val="0"/>
          <w:bCs w:val="0"/>
        </w:rPr>
      </w:pPr>
      <w:r>
        <w:rPr>
          <w:rFonts w:ascii="仿宋" w:hAnsi="仿宋" w:eastAsia="仿宋" w:cs="仿宋_GB2312"/>
        </w:rPr>
        <w:t xml:space="preserve">    </w:t>
      </w:r>
      <w:r>
        <w:rPr>
          <w:rFonts w:hint="eastAsia" w:ascii="仿宋" w:hAnsi="仿宋" w:eastAsia="仿宋" w:cs="仿宋_GB2312"/>
          <w:b w:val="0"/>
          <w:bCs w:val="0"/>
        </w:rPr>
        <w:t>在运用各类宣传平台和宣传资源的基础上，创新宣传方式</w:t>
      </w:r>
      <w:r>
        <w:rPr>
          <w:rFonts w:hint="eastAsia" w:ascii="仿宋" w:hAnsi="仿宋" w:eastAsia="仿宋" w:cs="仿宋_GB2312"/>
          <w:b w:val="0"/>
          <w:bCs w:val="0"/>
          <w:lang w:eastAsia="zh-CN"/>
        </w:rPr>
        <w:t>，</w:t>
      </w:r>
      <w:r>
        <w:rPr>
          <w:rFonts w:hint="eastAsia" w:ascii="仿宋" w:hAnsi="仿宋" w:eastAsia="仿宋" w:cs="仿宋_GB2312"/>
          <w:b w:val="0"/>
          <w:bCs w:val="0"/>
        </w:rPr>
        <w:t>加大对责任落实、火源管控案查处的宣传力度；加强对社会舆论信息的引导和收集</w:t>
      </w:r>
      <w:r>
        <w:rPr>
          <w:rFonts w:hint="eastAsia" w:ascii="仿宋" w:hAnsi="仿宋" w:eastAsia="仿宋" w:cs="仿宋_GB2312"/>
          <w:b w:val="0"/>
          <w:bCs w:val="0"/>
          <w:lang w:eastAsia="zh-CN"/>
        </w:rPr>
        <w:t>，</w:t>
      </w:r>
      <w:r>
        <w:rPr>
          <w:rFonts w:hint="eastAsia" w:ascii="仿宋" w:hAnsi="仿宋" w:eastAsia="仿宋" w:cs="仿宋_GB2312"/>
          <w:b w:val="0"/>
          <w:bCs w:val="0"/>
        </w:rPr>
        <w:t>注重对森林防火法律法规和警示案例的宣传，强化全民防火</w:t>
      </w:r>
      <w:r>
        <w:rPr>
          <w:rFonts w:hint="eastAsia" w:ascii="仿宋" w:hAnsi="仿宋" w:eastAsia="仿宋" w:cs="仿宋_GB2312"/>
          <w:b w:val="0"/>
          <w:bCs w:val="0"/>
          <w:lang w:eastAsia="zh-CN"/>
        </w:rPr>
        <w:t>意</w:t>
      </w:r>
      <w:r>
        <w:rPr>
          <w:rFonts w:hint="eastAsia" w:ascii="仿宋" w:hAnsi="仿宋" w:eastAsia="仿宋" w:cs="仿宋_GB2312"/>
          <w:b w:val="0"/>
          <w:bCs w:val="0"/>
        </w:rPr>
        <w:t>识和责任意识，为全镇森林</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防火工作开展创造良好的社会舆论和法治氛围，人民群众森</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林防火意识增强，提高全镇森林火灾预防控能力，森林火灾</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发生次数明显下降减少，野外用火得到有效控制，巩固现有</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绿化造林成果及维护林区长治久安</w:t>
      </w:r>
      <w:r>
        <w:rPr>
          <w:rFonts w:hint="eastAsia" w:ascii="仿宋" w:hAnsi="仿宋" w:eastAsia="仿宋" w:cs="仿宋_GB2312"/>
          <w:b w:val="0"/>
          <w:bCs w:val="0"/>
          <w:lang w:eastAsia="zh-CN"/>
        </w:rPr>
        <w:t>，维护</w:t>
      </w:r>
      <w:r>
        <w:rPr>
          <w:rFonts w:hint="eastAsia" w:ascii="仿宋" w:hAnsi="仿宋" w:eastAsia="仿宋" w:cs="仿宋_GB2312"/>
          <w:b w:val="0"/>
          <w:bCs w:val="0"/>
        </w:rPr>
        <w:t>社会稳定的需要</w:t>
      </w:r>
      <w:r>
        <w:rPr>
          <w:rFonts w:hint="eastAsia" w:ascii="仿宋" w:hAnsi="仿宋" w:eastAsia="仿宋" w:cs="仿宋_GB2312"/>
          <w:b w:val="0"/>
          <w:bCs w:val="0"/>
          <w:lang w:eastAsia="zh-CN"/>
        </w:rPr>
        <w:t>，</w:t>
      </w:r>
      <w:r>
        <w:rPr>
          <w:rFonts w:hint="eastAsia" w:ascii="仿宋" w:hAnsi="仿宋" w:eastAsia="仿宋" w:cs="仿宋_GB2312"/>
          <w:b w:val="0"/>
          <w:bCs w:val="0"/>
        </w:rPr>
        <w:t>改善生态环境，促进经济可持续发展的需要</w:t>
      </w:r>
      <w:r>
        <w:rPr>
          <w:rFonts w:hint="eastAsia" w:ascii="仿宋" w:hAnsi="仿宋" w:eastAsia="仿宋" w:cs="仿宋_GB2312"/>
          <w:b w:val="0"/>
          <w:bCs w:val="0"/>
          <w:lang w:eastAsia="zh-CN"/>
        </w:rPr>
        <w:t>，</w:t>
      </w:r>
      <w:r>
        <w:rPr>
          <w:rFonts w:hint="eastAsia" w:ascii="仿宋" w:hAnsi="仿宋" w:eastAsia="仿宋" w:cs="仿宋_GB2312"/>
          <w:b w:val="0"/>
          <w:bCs w:val="0"/>
        </w:rPr>
        <w:t>使武连的山更</w:t>
      </w:r>
    </w:p>
    <w:p>
      <w:pPr>
        <w:pStyle w:val="4"/>
        <w:spacing w:before="0" w:after="0" w:line="576" w:lineRule="exact"/>
        <w:jc w:val="left"/>
        <w:rPr>
          <w:rFonts w:ascii="楷体" w:hAnsi="楷体" w:eastAsia="楷体" w:cs="楷体"/>
          <w:b w:val="0"/>
          <w:bCs w:val="0"/>
        </w:rPr>
      </w:pPr>
      <w:r>
        <w:rPr>
          <w:rFonts w:hint="eastAsia" w:ascii="仿宋" w:hAnsi="仿宋" w:eastAsia="仿宋" w:cs="仿宋_GB2312"/>
          <w:b w:val="0"/>
          <w:bCs w:val="0"/>
        </w:rPr>
        <w:t>绿、水更清、天更蓝。</w:t>
      </w:r>
    </w:p>
    <w:p>
      <w:pPr>
        <w:pStyle w:val="4"/>
        <w:spacing w:before="0" w:after="0" w:line="576" w:lineRule="exact"/>
        <w:ind w:firstLine="480" w:firstLineChars="150"/>
        <w:rPr>
          <w:rFonts w:ascii="仿宋" w:hAnsi="仿宋" w:eastAsia="仿宋" w:cs="仿宋_GB2312"/>
        </w:rPr>
      </w:pPr>
      <w:r>
        <w:rPr>
          <w:rFonts w:hint="eastAsia" w:ascii="楷体" w:hAnsi="楷体" w:eastAsia="楷体" w:cs="楷体"/>
          <w:b w:val="0"/>
          <w:bCs w:val="0"/>
        </w:rPr>
        <w:t>（三）项目自评步骤及方法。</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rPr>
        <w:t xml:space="preserve">    </w:t>
      </w:r>
      <w:r>
        <w:rPr>
          <w:rFonts w:hint="eastAsia" w:ascii="仿宋" w:hAnsi="仿宋" w:eastAsia="仿宋" w:cs="仿宋_GB2312"/>
          <w:b w:val="0"/>
          <w:bCs w:val="0"/>
        </w:rPr>
        <w:t>部门对各村森林防火宣传落实的监督考核建立了考核</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监督制度，考核细则健全，扣分项目、处罚措施明确。根据</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综合得分，组织分管领导及部门负责人对本年度森林防火项</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目进行评估，评价项目效益，并提出改进措施。</w:t>
      </w:r>
    </w:p>
    <w:p>
      <w:pPr>
        <w:pStyle w:val="4"/>
        <w:spacing w:before="0" w:after="0" w:line="576" w:lineRule="exact"/>
        <w:ind w:firstLine="640" w:firstLineChars="200"/>
        <w:rPr>
          <w:rFonts w:ascii="仿宋" w:hAnsi="仿宋" w:eastAsia="仿宋" w:cs="仿宋_GB2312"/>
        </w:rPr>
      </w:pPr>
      <w:r>
        <w:rPr>
          <w:rFonts w:hint="eastAsia" w:ascii="黑体" w:hAnsi="黑体" w:eastAsia="黑体" w:cs="黑体"/>
          <w:b w:val="0"/>
          <w:bCs w:val="0"/>
        </w:rPr>
        <w:t>二、项目资金申报及使用情况</w:t>
      </w:r>
    </w:p>
    <w:p>
      <w:pPr>
        <w:pStyle w:val="4"/>
        <w:spacing w:before="0" w:after="0" w:line="576" w:lineRule="exact"/>
        <w:ind w:firstLine="320" w:firstLineChars="100"/>
        <w:rPr>
          <w:rFonts w:ascii="楷体" w:hAnsi="楷体" w:eastAsia="楷体" w:cs="楷体"/>
          <w:b w:val="0"/>
          <w:bCs w:val="0"/>
        </w:rPr>
      </w:pPr>
      <w:r>
        <w:rPr>
          <w:rFonts w:hint="eastAsia" w:ascii="楷体" w:hAnsi="楷体" w:eastAsia="楷体" w:cs="楷体"/>
          <w:b w:val="0"/>
          <w:bCs w:val="0"/>
        </w:rPr>
        <w:t>（一）项目资金申报及批复情况。</w:t>
      </w:r>
    </w:p>
    <w:p>
      <w:pPr>
        <w:pStyle w:val="4"/>
        <w:spacing w:before="0" w:after="0" w:line="576" w:lineRule="exact"/>
        <w:jc w:val="center"/>
        <w:rPr>
          <w:rFonts w:ascii="仿宋" w:hAnsi="仿宋" w:eastAsia="仿宋" w:cs="仿宋_GB2312"/>
        </w:rPr>
      </w:pPr>
      <w:r>
        <w:rPr>
          <w:rFonts w:hint="eastAsia" w:ascii="仿宋" w:hAnsi="仿宋" w:eastAsia="仿宋" w:cs="仿宋_GB2312"/>
          <w:b w:val="0"/>
          <w:bCs w:val="0"/>
        </w:rPr>
        <w:t xml:space="preserve">在规定时间内，由部门进行申报，财政局统一批复。 </w:t>
      </w:r>
      <w:r>
        <w:rPr>
          <w:rFonts w:hint="eastAsia" w:ascii="仿宋" w:hAnsi="仿宋" w:eastAsia="仿宋" w:cs="仿宋_GB2312"/>
        </w:rPr>
        <w:t xml:space="preserve">  </w:t>
      </w:r>
    </w:p>
    <w:p>
      <w:pPr>
        <w:pStyle w:val="4"/>
        <w:spacing w:before="0" w:after="0" w:line="576" w:lineRule="exact"/>
        <w:ind w:firstLine="320" w:firstLineChars="100"/>
        <w:rPr>
          <w:rFonts w:ascii="楷体" w:hAnsi="楷体" w:eastAsia="楷体" w:cs="楷体"/>
          <w:b w:val="0"/>
          <w:bCs w:val="0"/>
        </w:rPr>
      </w:pPr>
      <w:r>
        <w:rPr>
          <w:rFonts w:hint="eastAsia" w:ascii="楷体" w:hAnsi="楷体" w:eastAsia="楷体" w:cs="楷体"/>
          <w:b w:val="0"/>
          <w:bCs w:val="0"/>
        </w:rPr>
        <w:t>（二）项目财务管理情况。</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rPr>
        <w:t xml:space="preserve">    </w:t>
      </w:r>
      <w:r>
        <w:rPr>
          <w:rFonts w:hint="eastAsia" w:ascii="仿宋" w:hAnsi="仿宋" w:eastAsia="仿宋" w:cs="仿宋_GB2312"/>
          <w:b w:val="0"/>
          <w:bCs w:val="0"/>
        </w:rPr>
        <w:t>项目实施单位财务管理制度健全，严格执行财务管理</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制度，账务处理及时，会计核算规范。</w:t>
      </w:r>
    </w:p>
    <w:p>
      <w:pPr>
        <w:pStyle w:val="4"/>
        <w:spacing w:before="0" w:after="0" w:line="576" w:lineRule="exact"/>
        <w:ind w:firstLine="480" w:firstLineChars="150"/>
        <w:rPr>
          <w:rFonts w:ascii="黑体" w:hAnsi="黑体" w:eastAsia="黑体" w:cs="黑体"/>
          <w:b w:val="0"/>
          <w:bCs w:val="0"/>
        </w:rPr>
      </w:pPr>
      <w:r>
        <w:rPr>
          <w:rFonts w:hint="eastAsia" w:ascii="黑体" w:hAnsi="黑体" w:eastAsia="黑体" w:cs="黑体"/>
          <w:b w:val="0"/>
          <w:bCs w:val="0"/>
        </w:rPr>
        <w:t>三、项目实施及管理情况</w:t>
      </w:r>
    </w:p>
    <w:p>
      <w:pPr>
        <w:pStyle w:val="4"/>
        <w:spacing w:before="0" w:after="0" w:line="576" w:lineRule="exact"/>
        <w:ind w:firstLine="320" w:firstLineChars="100"/>
        <w:rPr>
          <w:rFonts w:ascii="楷体" w:hAnsi="楷体" w:eastAsia="楷体" w:cs="楷体"/>
          <w:b w:val="0"/>
          <w:bCs w:val="0"/>
        </w:rPr>
      </w:pPr>
      <w:r>
        <w:rPr>
          <w:rFonts w:hint="eastAsia" w:ascii="楷体" w:hAnsi="楷体" w:eastAsia="楷体" w:cs="楷体"/>
          <w:b w:val="0"/>
          <w:bCs w:val="0"/>
        </w:rPr>
        <w:t>（一）项目组织架构及实施流程。</w:t>
      </w:r>
    </w:p>
    <w:p>
      <w:pPr>
        <w:pStyle w:val="4"/>
        <w:spacing w:before="0" w:after="0" w:line="576" w:lineRule="exact"/>
        <w:jc w:val="left"/>
        <w:rPr>
          <w:rFonts w:ascii="黑体" w:hAnsi="黑体" w:eastAsia="黑体" w:cs="黑体"/>
          <w:b w:val="0"/>
          <w:bCs w:val="0"/>
        </w:rPr>
      </w:pPr>
      <w:r>
        <w:rPr>
          <w:rFonts w:hint="eastAsia" w:ascii="黑体" w:hAnsi="黑体" w:eastAsia="黑体" w:cs="黑体"/>
          <w:b w:val="0"/>
          <w:bCs w:val="0"/>
        </w:rPr>
        <w:t>申报项目</w:t>
      </w:r>
      <w:r>
        <w:rPr>
          <w:rFonts w:hint="eastAsia" w:ascii="黑体" w:hAnsi="黑体" w:eastAsia="黑体" w:cs="黑体"/>
          <w:b w:val="0"/>
          <w:bCs w:val="0"/>
          <w:lang w:eastAsia="zh-CN"/>
        </w:rPr>
        <w:t>－</w:t>
      </w:r>
      <w:r>
        <w:rPr>
          <w:rFonts w:hint="eastAsia" w:ascii="黑体" w:hAnsi="黑体" w:eastAsia="黑体" w:cs="黑体"/>
          <w:b w:val="0"/>
          <w:bCs w:val="0"/>
        </w:rPr>
        <w:t>项目执行</w:t>
      </w:r>
      <w:r>
        <w:rPr>
          <w:rFonts w:hint="eastAsia" w:ascii="黑体" w:hAnsi="黑体" w:eastAsia="黑体" w:cs="黑体"/>
          <w:b w:val="0"/>
          <w:bCs w:val="0"/>
          <w:lang w:eastAsia="zh-CN"/>
        </w:rPr>
        <w:t>－</w:t>
      </w:r>
      <w:r>
        <w:rPr>
          <w:rFonts w:hint="eastAsia" w:ascii="黑体" w:hAnsi="黑体" w:eastAsia="黑体" w:cs="黑体"/>
          <w:b w:val="0"/>
          <w:bCs w:val="0"/>
        </w:rPr>
        <w:t>项目监督</w:t>
      </w:r>
      <w:r>
        <w:rPr>
          <w:rFonts w:hint="eastAsia" w:ascii="黑体" w:hAnsi="黑体" w:eastAsia="黑体" w:cs="黑体"/>
          <w:b w:val="0"/>
          <w:bCs w:val="0"/>
          <w:lang w:eastAsia="zh-CN"/>
        </w:rPr>
        <w:t>－</w:t>
      </w:r>
      <w:r>
        <w:rPr>
          <w:rFonts w:hint="eastAsia" w:ascii="黑体" w:hAnsi="黑体" w:eastAsia="黑体" w:cs="黑体"/>
          <w:b w:val="0"/>
          <w:bCs w:val="0"/>
        </w:rPr>
        <w:t>项目评价</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rPr>
        <w:t xml:space="preserve">   </w:t>
      </w:r>
      <w:r>
        <w:rPr>
          <w:rFonts w:hint="eastAsia" w:ascii="楷体" w:hAnsi="楷体" w:eastAsia="楷体" w:cs="楷体"/>
          <w:b w:val="0"/>
          <w:bCs w:val="0"/>
        </w:rPr>
        <w:t>（二）项目管理情况。</w:t>
      </w:r>
      <w:r>
        <w:rPr>
          <w:rFonts w:hint="eastAsia" w:ascii="仿宋" w:hAnsi="仿宋" w:eastAsia="仿宋" w:cs="仿宋_GB2312"/>
          <w:b w:val="0"/>
          <w:bCs w:val="0"/>
        </w:rPr>
        <w:t>结合项目特点，总体评价</w:t>
      </w:r>
      <w:r>
        <w:rPr>
          <w:rFonts w:hint="eastAsia" w:ascii="仿宋" w:hAnsi="仿宋" w:eastAsia="仿宋" w:cs="仿宋_GB2312"/>
          <w:b w:val="0"/>
          <w:bCs w:val="0"/>
          <w:lang w:eastAsia="zh-CN"/>
        </w:rPr>
        <w:t>各自</w:t>
      </w:r>
      <w:r>
        <w:rPr>
          <w:rFonts w:hint="eastAsia" w:ascii="仿宋" w:hAnsi="仿宋" w:eastAsia="仿宋" w:cs="仿宋_GB2312"/>
          <w:b w:val="0"/>
          <w:bCs w:val="0"/>
        </w:rPr>
        <w:t>实施单位执行相关法律法规及项目管理制度等情况，如招投标、政府采购、项目公示制等相关规定。</w:t>
      </w:r>
    </w:p>
    <w:p>
      <w:pPr>
        <w:pStyle w:val="4"/>
        <w:spacing w:before="0" w:after="0" w:line="576" w:lineRule="exact"/>
        <w:rPr>
          <w:rFonts w:ascii="仿宋" w:hAnsi="仿宋" w:eastAsia="仿宋" w:cs="仿宋_GB2312"/>
          <w:b w:val="0"/>
          <w:bCs w:val="0"/>
        </w:rPr>
      </w:pPr>
      <w:r>
        <w:rPr>
          <w:rFonts w:hint="eastAsia" w:ascii="仿宋" w:hAnsi="仿宋" w:eastAsia="仿宋" w:cs="仿宋_GB2312"/>
        </w:rPr>
        <w:t xml:space="preserve">   </w:t>
      </w:r>
      <w:r>
        <w:rPr>
          <w:rFonts w:hint="eastAsia" w:ascii="楷体" w:hAnsi="楷体" w:eastAsia="楷体" w:cs="楷体"/>
          <w:b w:val="0"/>
          <w:bCs w:val="0"/>
        </w:rPr>
        <w:t>（三）项目监管情况。</w:t>
      </w:r>
      <w:r>
        <w:rPr>
          <w:rFonts w:hint="eastAsia" w:ascii="仿宋" w:hAnsi="仿宋" w:eastAsia="仿宋" w:cs="仿宋_GB2312"/>
          <w:b w:val="0"/>
          <w:bCs w:val="0"/>
        </w:rPr>
        <w:t>武连镇人民政府的森林项目的实施，切实减少了辖区内火灾隐患，国有森林资源和群众生命财产安全得到有效保障，同时项目实施监督到位，产生了良好的社会环境效益。</w:t>
      </w:r>
    </w:p>
    <w:p>
      <w:pPr>
        <w:pStyle w:val="4"/>
        <w:spacing w:before="0" w:after="0" w:line="576" w:lineRule="exact"/>
        <w:ind w:firstLine="480" w:firstLineChars="150"/>
        <w:rPr>
          <w:rFonts w:ascii="黑体" w:hAnsi="黑体" w:eastAsia="黑体" w:cs="黑体"/>
          <w:b w:val="0"/>
          <w:bCs w:val="0"/>
        </w:rPr>
      </w:pPr>
      <w:r>
        <w:rPr>
          <w:rFonts w:hint="eastAsia" w:ascii="黑体" w:hAnsi="黑体" w:eastAsia="黑体" w:cs="黑体"/>
          <w:b w:val="0"/>
          <w:bCs w:val="0"/>
        </w:rPr>
        <w:t>四、项目绩效情况</w:t>
      </w:r>
    </w:p>
    <w:p>
      <w:pPr>
        <w:pStyle w:val="4"/>
        <w:spacing w:before="0" w:after="0" w:line="576" w:lineRule="exact"/>
        <w:ind w:firstLine="320" w:firstLineChars="100"/>
        <w:rPr>
          <w:rFonts w:ascii="楷体" w:hAnsi="楷体" w:eastAsia="楷体" w:cs="楷体"/>
          <w:b w:val="0"/>
          <w:bCs w:val="0"/>
        </w:rPr>
      </w:pPr>
      <w:r>
        <w:rPr>
          <w:rFonts w:hint="eastAsia" w:ascii="楷体" w:hAnsi="楷体" w:eastAsia="楷体" w:cs="楷体"/>
          <w:b w:val="0"/>
          <w:bCs w:val="0"/>
        </w:rPr>
        <w:t>（一）项目完成情况。</w:t>
      </w:r>
    </w:p>
    <w:p>
      <w:pPr>
        <w:pStyle w:val="4"/>
        <w:spacing w:before="0" w:after="0" w:line="576" w:lineRule="exact"/>
        <w:jc w:val="center"/>
        <w:rPr>
          <w:rFonts w:ascii="仿宋" w:hAnsi="仿宋" w:eastAsia="仿宋" w:cs="仿宋_GB2312"/>
          <w:b w:val="0"/>
          <w:bCs w:val="0"/>
        </w:rPr>
      </w:pPr>
      <w:r>
        <w:rPr>
          <w:rFonts w:ascii="仿宋" w:hAnsi="仿宋" w:eastAsia="仿宋" w:cs="仿宋_GB2312"/>
        </w:rPr>
        <w:t xml:space="preserve">    </w:t>
      </w:r>
      <w:r>
        <w:rPr>
          <w:rFonts w:hint="eastAsia" w:ascii="仿宋" w:hAnsi="仿宋" w:eastAsia="仿宋" w:cs="仿宋_GB2312"/>
          <w:b w:val="0"/>
          <w:bCs w:val="0"/>
        </w:rPr>
        <w:t>本项目实施组织严密，管理规范有序，资金使用管理</w:t>
      </w:r>
      <w:r>
        <w:rPr>
          <w:rFonts w:hint="eastAsia" w:ascii="仿宋" w:hAnsi="仿宋" w:eastAsia="仿宋" w:cs="仿宋_GB2312"/>
          <w:b w:val="0"/>
          <w:bCs w:val="0"/>
          <w:lang w:eastAsia="zh-CN"/>
        </w:rPr>
        <w:t>到位</w:t>
      </w:r>
    </w:p>
    <w:p>
      <w:pPr>
        <w:pStyle w:val="4"/>
        <w:spacing w:before="0" w:after="0" w:line="576" w:lineRule="exact"/>
        <w:jc w:val="center"/>
        <w:rPr>
          <w:rFonts w:ascii="仿宋" w:hAnsi="仿宋" w:eastAsia="仿宋" w:cs="仿宋_GB2312"/>
          <w:b w:val="0"/>
          <w:bCs w:val="0"/>
        </w:rPr>
      </w:pPr>
      <w:r>
        <w:rPr>
          <w:rFonts w:hint="eastAsia" w:ascii="仿宋" w:hAnsi="仿宋" w:eastAsia="仿宋" w:cs="仿宋_GB2312"/>
          <w:b w:val="0"/>
          <w:bCs w:val="0"/>
        </w:rPr>
        <w:t>位，实施后社会经济效益凸显。主管部门专门考核，配备专</w:t>
      </w:r>
    </w:p>
    <w:p>
      <w:pPr>
        <w:pStyle w:val="4"/>
        <w:spacing w:before="0" w:after="0" w:line="576" w:lineRule="exact"/>
        <w:jc w:val="center"/>
        <w:rPr>
          <w:rFonts w:ascii="仿宋" w:hAnsi="仿宋" w:eastAsia="仿宋" w:cs="仿宋_GB2312"/>
          <w:b w:val="0"/>
          <w:bCs w:val="0"/>
        </w:rPr>
      </w:pPr>
      <w:r>
        <w:rPr>
          <w:rFonts w:hint="eastAsia" w:ascii="仿宋" w:hAnsi="仿宋" w:eastAsia="仿宋" w:cs="仿宋_GB2312"/>
          <w:b w:val="0"/>
          <w:bCs w:val="0"/>
        </w:rPr>
        <w:t>职人员，对森林防火工作实施日常监督和考核。武连镇人民</w:t>
      </w:r>
    </w:p>
    <w:p>
      <w:pPr>
        <w:pStyle w:val="4"/>
        <w:spacing w:before="0" w:after="0" w:line="576" w:lineRule="exact"/>
        <w:jc w:val="center"/>
        <w:rPr>
          <w:rFonts w:ascii="仿宋" w:hAnsi="仿宋" w:eastAsia="仿宋" w:cs="仿宋_GB2312"/>
          <w:b w:val="0"/>
          <w:bCs w:val="0"/>
        </w:rPr>
      </w:pPr>
      <w:r>
        <w:rPr>
          <w:rFonts w:hint="eastAsia" w:ascii="仿宋" w:hAnsi="仿宋" w:eastAsia="仿宋" w:cs="仿宋_GB2312"/>
          <w:b w:val="0"/>
          <w:bCs w:val="0"/>
        </w:rPr>
        <w:t>政府林业站配备专职人员，对森林防火工作实施日常监督和</w:t>
      </w:r>
    </w:p>
    <w:p>
      <w:pPr>
        <w:pStyle w:val="4"/>
        <w:spacing w:before="0" w:after="0" w:line="576" w:lineRule="exact"/>
        <w:jc w:val="center"/>
        <w:rPr>
          <w:rFonts w:ascii="仿宋" w:hAnsi="仿宋" w:eastAsia="仿宋" w:cs="仿宋_GB2312"/>
          <w:b w:val="0"/>
          <w:bCs w:val="0"/>
        </w:rPr>
      </w:pPr>
      <w:r>
        <w:rPr>
          <w:rFonts w:hint="eastAsia" w:ascii="仿宋" w:hAnsi="仿宋" w:eastAsia="仿宋" w:cs="仿宋_GB2312"/>
          <w:b w:val="0"/>
          <w:bCs w:val="0"/>
        </w:rPr>
        <w:t>考核。为了加强项目的资金管理，我镇制定了重点工程项目</w:t>
      </w:r>
    </w:p>
    <w:p>
      <w:pPr>
        <w:pStyle w:val="4"/>
        <w:spacing w:before="0" w:after="0" w:line="576" w:lineRule="exact"/>
        <w:jc w:val="center"/>
        <w:rPr>
          <w:rFonts w:ascii="仿宋" w:hAnsi="仿宋" w:eastAsia="仿宋" w:cs="仿宋_GB2312"/>
          <w:b w:val="0"/>
          <w:bCs w:val="0"/>
        </w:rPr>
      </w:pPr>
      <w:r>
        <w:rPr>
          <w:rFonts w:hint="eastAsia" w:ascii="仿宋" w:hAnsi="仿宋" w:eastAsia="仿宋" w:cs="仿宋_GB2312"/>
          <w:b w:val="0"/>
          <w:bCs w:val="0"/>
        </w:rPr>
        <w:t>建设管理和财务管理制度，并将该项目纳入重点项目财务核</w:t>
      </w:r>
    </w:p>
    <w:p>
      <w:pPr>
        <w:pStyle w:val="4"/>
        <w:spacing w:before="0" w:after="0" w:line="576" w:lineRule="exact"/>
        <w:jc w:val="center"/>
        <w:rPr>
          <w:rFonts w:ascii="仿宋" w:hAnsi="仿宋" w:eastAsia="仿宋" w:cs="仿宋_GB2312"/>
          <w:b w:val="0"/>
          <w:bCs w:val="0"/>
        </w:rPr>
      </w:pPr>
      <w:r>
        <w:rPr>
          <w:rFonts w:hint="eastAsia" w:ascii="仿宋" w:hAnsi="仿宋" w:eastAsia="仿宋" w:cs="仿宋_GB2312"/>
          <w:b w:val="0"/>
          <w:bCs w:val="0"/>
        </w:rPr>
        <w:t>算，实行集中支付和报账制，确保资金封闭运行，项目实施</w:t>
      </w:r>
    </w:p>
    <w:p>
      <w:pPr>
        <w:pStyle w:val="4"/>
        <w:spacing w:before="0" w:after="0" w:line="576" w:lineRule="exact"/>
        <w:jc w:val="center"/>
        <w:rPr>
          <w:rFonts w:ascii="仿宋" w:hAnsi="仿宋" w:eastAsia="仿宋" w:cs="仿宋_GB2312"/>
          <w:b w:val="0"/>
          <w:bCs w:val="0"/>
        </w:rPr>
      </w:pPr>
      <w:r>
        <w:rPr>
          <w:rFonts w:hint="eastAsia" w:ascii="仿宋" w:hAnsi="仿宋" w:eastAsia="仿宋" w:cs="仿宋_GB2312"/>
          <w:b w:val="0"/>
          <w:bCs w:val="0"/>
        </w:rPr>
        <w:t>中县财政、县审计以及监察部门定期或不定期的实行检查、</w:t>
      </w:r>
    </w:p>
    <w:p>
      <w:pPr>
        <w:pStyle w:val="4"/>
        <w:spacing w:before="0" w:after="0" w:line="576" w:lineRule="exact"/>
        <w:rPr>
          <w:rFonts w:ascii="仿宋" w:hAnsi="仿宋" w:eastAsia="仿宋" w:cs="仿宋_GB2312"/>
          <w:b w:val="0"/>
          <w:bCs w:val="0"/>
        </w:rPr>
      </w:pPr>
      <w:r>
        <w:rPr>
          <w:rFonts w:hint="eastAsia" w:ascii="仿宋" w:hAnsi="仿宋" w:eastAsia="仿宋" w:cs="仿宋_GB2312"/>
          <w:b w:val="0"/>
          <w:bCs w:val="0"/>
        </w:rPr>
        <w:t>督察，确保项目资金的安全运行。资金使用过程中，严把监督审核关，建立健全内部审批制度。对每笔用款申请，在所附资料齐备的情况下，经审核确认后再报县财政局审批后付款。确保国有森林资源和群众生命财产安全得到有效保障，项目实施到位，产生了良好的社会环境效益。</w:t>
      </w:r>
    </w:p>
    <w:p>
      <w:pPr>
        <w:pStyle w:val="4"/>
        <w:spacing w:before="0" w:after="0" w:line="576" w:lineRule="exact"/>
        <w:ind w:firstLine="320" w:firstLineChars="100"/>
        <w:rPr>
          <w:rFonts w:ascii="楷体" w:hAnsi="楷体" w:eastAsia="楷体" w:cs="楷体"/>
          <w:b w:val="0"/>
          <w:bCs w:val="0"/>
        </w:rPr>
      </w:pPr>
      <w:r>
        <w:rPr>
          <w:rFonts w:hint="eastAsia" w:ascii="楷体" w:hAnsi="楷体" w:eastAsia="楷体" w:cs="楷体"/>
          <w:b w:val="0"/>
          <w:bCs w:val="0"/>
        </w:rPr>
        <w:t>（二）项目效益情况。</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rPr>
        <w:t xml:space="preserve">    </w:t>
      </w:r>
      <w:r>
        <w:rPr>
          <w:rFonts w:hint="eastAsia" w:ascii="仿宋" w:hAnsi="仿宋" w:eastAsia="仿宋" w:cs="仿宋_GB2312"/>
          <w:b w:val="0"/>
          <w:bCs w:val="0"/>
        </w:rPr>
        <w:t>1</w:t>
      </w:r>
      <w:r>
        <w:rPr>
          <w:rFonts w:hint="eastAsia" w:ascii="仿宋" w:hAnsi="仿宋" w:eastAsia="仿宋" w:cs="仿宋_GB2312"/>
          <w:b w:val="0"/>
          <w:bCs w:val="0"/>
          <w:lang w:val="en-US" w:eastAsia="zh-CN"/>
        </w:rPr>
        <w:t>.</w:t>
      </w:r>
      <w:r>
        <w:rPr>
          <w:rFonts w:hint="eastAsia" w:ascii="仿宋" w:hAnsi="仿宋" w:eastAsia="仿宋" w:cs="仿宋_GB2312"/>
          <w:b w:val="0"/>
          <w:bCs w:val="0"/>
        </w:rPr>
        <w:t>社会效益：通过项目的实施，有效保护森林资源，</w:t>
      </w:r>
      <w:r>
        <w:rPr>
          <w:rFonts w:hint="eastAsia" w:ascii="仿宋" w:hAnsi="仿宋" w:eastAsia="仿宋" w:cs="仿宋_GB2312"/>
          <w:b w:val="0"/>
          <w:bCs w:val="0"/>
          <w:lang w:eastAsia="zh-CN"/>
        </w:rPr>
        <w:t>增强</w:t>
      </w:r>
      <w:r>
        <w:rPr>
          <w:rFonts w:hint="eastAsia" w:ascii="仿宋" w:hAnsi="仿宋" w:eastAsia="仿宋" w:cs="仿宋_GB2312"/>
          <w:b w:val="0"/>
          <w:bCs w:val="0"/>
        </w:rPr>
        <w:t>全民森林防灭火意识，国家资源与人民群众</w:t>
      </w:r>
      <w:r>
        <w:rPr>
          <w:rFonts w:hint="eastAsia" w:ascii="仿宋" w:hAnsi="仿宋" w:eastAsia="仿宋" w:cs="仿宋_GB2312"/>
          <w:b w:val="0"/>
          <w:bCs w:val="0"/>
          <w:lang w:eastAsia="zh-CN"/>
        </w:rPr>
        <w:t>生命财产安全</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全得到有效保护。</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 xml:space="preserve">    2</w:t>
      </w:r>
      <w:r>
        <w:rPr>
          <w:rFonts w:hint="eastAsia" w:ascii="仿宋" w:hAnsi="仿宋" w:eastAsia="仿宋" w:cs="仿宋_GB2312"/>
          <w:b w:val="0"/>
          <w:bCs w:val="0"/>
          <w:lang w:val="en-US" w:eastAsia="zh-CN"/>
        </w:rPr>
        <w:t>.</w:t>
      </w:r>
      <w:r>
        <w:rPr>
          <w:rFonts w:hint="eastAsia" w:ascii="仿宋" w:hAnsi="仿宋" w:eastAsia="仿宋" w:cs="仿宋_GB2312"/>
          <w:b w:val="0"/>
          <w:bCs w:val="0"/>
        </w:rPr>
        <w:t>环境效益：通过项目的实施，强化全民防火</w:t>
      </w:r>
      <w:r>
        <w:rPr>
          <w:rFonts w:hint="eastAsia" w:ascii="仿宋" w:hAnsi="仿宋" w:eastAsia="仿宋" w:cs="仿宋_GB2312"/>
          <w:b w:val="0"/>
          <w:bCs w:val="0"/>
          <w:lang w:eastAsia="zh-CN"/>
        </w:rPr>
        <w:t>意识</w:t>
      </w:r>
      <w:r>
        <w:rPr>
          <w:rFonts w:hint="eastAsia" w:ascii="仿宋" w:hAnsi="仿宋" w:eastAsia="仿宋" w:cs="仿宋_GB2312"/>
          <w:b w:val="0"/>
          <w:bCs w:val="0"/>
        </w:rPr>
        <w:t>和</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责任意识，为全镇森林防火工作开展创造良好的社会舆论和</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法治氛围，人民群众森林防火意识增强，提高全镇森林火灾</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预防控能力，森林火灾发生次数明显下降减少，野外用火得</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到有效控制，巩固现有绿化造林成果及维护林区长治久安</w:t>
      </w:r>
      <w:r>
        <w:rPr>
          <w:rFonts w:hint="eastAsia" w:ascii="仿宋" w:hAnsi="仿宋" w:eastAsia="仿宋" w:cs="仿宋_GB2312"/>
          <w:b w:val="0"/>
          <w:bCs w:val="0"/>
          <w:lang w:eastAsia="zh-CN"/>
        </w:rPr>
        <w:t>，</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lang w:eastAsia="zh-CN"/>
        </w:rPr>
        <w:t>维护</w:t>
      </w:r>
      <w:r>
        <w:rPr>
          <w:rFonts w:hint="eastAsia" w:ascii="仿宋" w:hAnsi="仿宋" w:eastAsia="仿宋" w:cs="仿宋_GB2312"/>
          <w:b w:val="0"/>
          <w:bCs w:val="0"/>
        </w:rPr>
        <w:t>社会稳定的需要</w:t>
      </w:r>
      <w:r>
        <w:rPr>
          <w:rFonts w:hint="eastAsia" w:ascii="仿宋" w:hAnsi="仿宋" w:eastAsia="仿宋" w:cs="仿宋_GB2312"/>
          <w:b w:val="0"/>
          <w:bCs w:val="0"/>
          <w:lang w:eastAsia="zh-CN"/>
        </w:rPr>
        <w:t>，</w:t>
      </w:r>
      <w:r>
        <w:rPr>
          <w:rFonts w:hint="eastAsia" w:ascii="仿宋" w:hAnsi="仿宋" w:eastAsia="仿宋" w:cs="仿宋_GB2312"/>
          <w:b w:val="0"/>
          <w:bCs w:val="0"/>
        </w:rPr>
        <w:t>改善生态环境，促进经济可持续发展</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的需要</w:t>
      </w:r>
      <w:r>
        <w:rPr>
          <w:rFonts w:hint="eastAsia" w:ascii="仿宋" w:hAnsi="仿宋" w:eastAsia="仿宋" w:cs="仿宋_GB2312"/>
          <w:b w:val="0"/>
          <w:bCs w:val="0"/>
          <w:lang w:eastAsia="zh-CN"/>
        </w:rPr>
        <w:t>，</w:t>
      </w:r>
      <w:r>
        <w:rPr>
          <w:rFonts w:hint="eastAsia" w:ascii="仿宋" w:hAnsi="仿宋" w:eastAsia="仿宋" w:cs="仿宋_GB2312"/>
          <w:b w:val="0"/>
          <w:bCs w:val="0"/>
        </w:rPr>
        <w:t>使武连的山更绿、水更清、天更蓝。</w:t>
      </w:r>
    </w:p>
    <w:p>
      <w:pPr>
        <w:pStyle w:val="4"/>
        <w:spacing w:before="0" w:after="0" w:line="576" w:lineRule="exact"/>
        <w:jc w:val="center"/>
        <w:rPr>
          <w:rFonts w:ascii="仿宋" w:hAnsi="仿宋" w:eastAsia="仿宋" w:cs="仿宋_GB2312"/>
          <w:b w:val="0"/>
          <w:bCs w:val="0"/>
        </w:rPr>
      </w:pPr>
      <w:r>
        <w:rPr>
          <w:rFonts w:hint="eastAsia" w:ascii="仿宋" w:hAnsi="仿宋" w:eastAsia="仿宋" w:cs="仿宋_GB2312"/>
        </w:rPr>
        <w:t xml:space="preserve">    </w:t>
      </w:r>
      <w:r>
        <w:rPr>
          <w:rFonts w:hint="eastAsia" w:ascii="仿宋" w:hAnsi="仿宋" w:eastAsia="仿宋" w:cs="仿宋_GB2312"/>
          <w:b w:val="0"/>
          <w:bCs w:val="0"/>
        </w:rPr>
        <w:t>3、经济效益：森林火灾的有效控制，大幅降低救火救灾以及生态修复支出，防患于未“燃”，有效预防各种灾情</w:t>
      </w:r>
    </w:p>
    <w:p>
      <w:pPr>
        <w:pStyle w:val="4"/>
        <w:spacing w:before="0" w:after="0" w:line="576" w:lineRule="exact"/>
        <w:rPr>
          <w:rFonts w:ascii="仿宋" w:hAnsi="仿宋" w:eastAsia="仿宋" w:cs="仿宋_GB2312"/>
          <w:b w:val="0"/>
          <w:bCs w:val="0"/>
        </w:rPr>
      </w:pPr>
      <w:r>
        <w:rPr>
          <w:rFonts w:hint="eastAsia" w:ascii="仿宋" w:hAnsi="仿宋" w:eastAsia="仿宋" w:cs="仿宋_GB2312"/>
          <w:b w:val="0"/>
          <w:bCs w:val="0"/>
        </w:rPr>
        <w:t>及相关支出。</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rPr>
        <w:t xml:space="preserve">    </w:t>
      </w:r>
      <w:r>
        <w:rPr>
          <w:rFonts w:hint="eastAsia" w:ascii="仿宋" w:hAnsi="仿宋" w:eastAsia="仿宋" w:cs="仿宋_GB2312"/>
          <w:b w:val="0"/>
          <w:bCs w:val="0"/>
        </w:rPr>
        <w:t>4</w:t>
      </w:r>
      <w:r>
        <w:rPr>
          <w:rFonts w:hint="eastAsia" w:ascii="仿宋" w:hAnsi="仿宋" w:eastAsia="仿宋" w:cs="仿宋_GB2312"/>
          <w:b w:val="0"/>
          <w:bCs w:val="0"/>
          <w:lang w:val="en-US" w:eastAsia="zh-CN"/>
        </w:rPr>
        <w:t>.</w:t>
      </w:r>
      <w:r>
        <w:rPr>
          <w:rFonts w:hint="eastAsia" w:ascii="仿宋" w:hAnsi="仿宋" w:eastAsia="仿宋" w:cs="仿宋_GB2312"/>
          <w:b w:val="0"/>
          <w:bCs w:val="0"/>
        </w:rPr>
        <w:t>可持续影响：通过项目的实施，强化全民防火</w:t>
      </w:r>
      <w:r>
        <w:rPr>
          <w:rFonts w:hint="eastAsia" w:ascii="仿宋" w:hAnsi="仿宋" w:eastAsia="仿宋" w:cs="仿宋_GB2312"/>
          <w:b w:val="0"/>
          <w:bCs w:val="0"/>
          <w:lang w:eastAsia="zh-CN"/>
        </w:rPr>
        <w:t>意</w:t>
      </w:r>
      <w:r>
        <w:rPr>
          <w:rFonts w:hint="eastAsia" w:ascii="仿宋" w:hAnsi="仿宋" w:eastAsia="仿宋" w:cs="仿宋_GB2312"/>
          <w:b w:val="0"/>
          <w:bCs w:val="0"/>
        </w:rPr>
        <w:t>识和责任意识，为全镇森林防火工作开展创造良好的社会舆论和法治氛围，人民群众森林防火意识增强，提高全镇森林火灾预防控能力，森林火灾发生次数明显下降减少，野外用火得到有效控制，巩固现有绿化造林成果及维护林区长治久安，可持续提高人民生活质量，并可取得良好的社会、经济和环</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境效益，具有可持续影响。</w:t>
      </w:r>
    </w:p>
    <w:p>
      <w:pPr>
        <w:pStyle w:val="4"/>
        <w:spacing w:before="0" w:after="0" w:line="576" w:lineRule="exact"/>
        <w:ind w:firstLine="640" w:firstLineChars="200"/>
        <w:rPr>
          <w:rFonts w:ascii="黑体" w:hAnsi="黑体" w:eastAsia="黑体" w:cs="黑体"/>
          <w:b w:val="0"/>
          <w:bCs w:val="0"/>
        </w:rPr>
      </w:pPr>
      <w:r>
        <w:rPr>
          <w:rFonts w:hint="eastAsia" w:ascii="黑体" w:hAnsi="黑体" w:eastAsia="黑体" w:cs="黑体"/>
          <w:b w:val="0"/>
          <w:bCs w:val="0"/>
        </w:rPr>
        <w:t>五、评价结论及建议</w:t>
      </w:r>
    </w:p>
    <w:p>
      <w:pPr>
        <w:pStyle w:val="4"/>
        <w:spacing w:before="0" w:after="0" w:line="576" w:lineRule="exact"/>
        <w:ind w:firstLine="320" w:firstLineChars="100"/>
        <w:rPr>
          <w:rFonts w:ascii="楷体" w:hAnsi="楷体" w:eastAsia="楷体" w:cs="楷体"/>
          <w:b w:val="0"/>
          <w:bCs w:val="0"/>
        </w:rPr>
      </w:pPr>
      <w:r>
        <w:rPr>
          <w:rFonts w:hint="eastAsia" w:ascii="楷体" w:hAnsi="楷体" w:eastAsia="楷体" w:cs="楷体"/>
          <w:b w:val="0"/>
          <w:bCs w:val="0"/>
        </w:rPr>
        <w:t>（一）评价结论。</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rPr>
        <w:t xml:space="preserve">    </w:t>
      </w:r>
      <w:r>
        <w:rPr>
          <w:rFonts w:hint="eastAsia" w:ascii="仿宋" w:hAnsi="仿宋" w:eastAsia="仿宋" w:cs="仿宋_GB2312"/>
          <w:b w:val="0"/>
          <w:bCs w:val="0"/>
        </w:rPr>
        <w:t>我们认为：武连镇人民政府的森林防火项目的实施，森</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林火灾发生次数明显下降减少，野外用火得到有效控制，项</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目实施到位，产生了良好的社会环境效益。根据武连镇人民政府森林防火项目绩效评价指标表考评，此次评价指标总分值</w:t>
      </w:r>
      <w:r>
        <w:rPr>
          <w:rFonts w:hint="eastAsia" w:ascii="仿宋" w:hAnsi="仿宋" w:eastAsia="仿宋" w:cs="仿宋_GB2312"/>
          <w:b w:val="0"/>
          <w:bCs w:val="0"/>
          <w:lang w:val="en-US" w:eastAsia="zh-CN"/>
        </w:rPr>
        <w:t>100</w:t>
      </w:r>
      <w:r>
        <w:rPr>
          <w:rFonts w:hint="eastAsia" w:ascii="仿宋" w:hAnsi="仿宋" w:eastAsia="仿宋" w:cs="仿宋_GB2312"/>
          <w:b w:val="0"/>
          <w:bCs w:val="0"/>
        </w:rPr>
        <w:t>分，综合得分为 9</w:t>
      </w:r>
      <w:r>
        <w:rPr>
          <w:rFonts w:hint="eastAsia" w:ascii="仿宋" w:hAnsi="仿宋" w:eastAsia="仿宋" w:cs="仿宋_GB2312"/>
          <w:b w:val="0"/>
          <w:bCs w:val="0"/>
          <w:lang w:val="en-US" w:eastAsia="zh-CN"/>
        </w:rPr>
        <w:t>8</w:t>
      </w:r>
      <w:r>
        <w:rPr>
          <w:rFonts w:hint="eastAsia" w:ascii="仿宋" w:hAnsi="仿宋" w:eastAsia="仿宋" w:cs="仿宋_GB2312"/>
          <w:b w:val="0"/>
          <w:bCs w:val="0"/>
        </w:rPr>
        <w:t xml:space="preserve"> 分，其中：产出指标总分值 50 分，评价得分 50 分，效益指标总分值 30分，评价得分 30 分，满意度指标分值 10 分，评价得分 10分，财务指标分值 10 分，评价得分 8 分。评价等次：优。</w:t>
      </w:r>
    </w:p>
    <w:p>
      <w:pPr>
        <w:pStyle w:val="4"/>
        <w:spacing w:before="0" w:after="0" w:line="576" w:lineRule="exact"/>
        <w:ind w:firstLine="320" w:firstLineChars="100"/>
        <w:rPr>
          <w:rFonts w:ascii="楷体" w:hAnsi="楷体" w:eastAsia="楷体" w:cs="楷体"/>
          <w:b w:val="0"/>
          <w:bCs w:val="0"/>
        </w:rPr>
      </w:pPr>
      <w:r>
        <w:rPr>
          <w:rFonts w:hint="eastAsia" w:ascii="楷体" w:hAnsi="楷体" w:eastAsia="楷体" w:cs="楷体"/>
          <w:b w:val="0"/>
          <w:bCs w:val="0"/>
        </w:rPr>
        <w:t>（二）存在的问题。</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rPr>
        <w:t xml:space="preserve">    </w:t>
      </w:r>
      <w:r>
        <w:rPr>
          <w:rFonts w:hint="eastAsia" w:ascii="仿宋" w:hAnsi="仿宋" w:eastAsia="仿宋" w:cs="仿宋_GB2312"/>
          <w:b w:val="0"/>
          <w:bCs w:val="0"/>
        </w:rPr>
        <w:t>我镇森林覆盖率较高，森林防火形势十分严峻。一是我</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镇山区面积较多，频繁的农事活动，给森林防火带来了一定</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困难。野外游玩休闲的人多，极易引发森林火灾。二是森林</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防火基础设施比较薄弱。特别是各主要林区，无监控瞭望设</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施，通讯信号不强，无有效阻隔系统，不具备抵御森林大火</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lang w:eastAsia="zh-CN"/>
        </w:rPr>
        <w:t>地</w:t>
      </w:r>
      <w:r>
        <w:rPr>
          <w:rFonts w:hint="eastAsia" w:ascii="仿宋" w:hAnsi="仿宋" w:eastAsia="仿宋" w:cs="仿宋_GB2312"/>
          <w:b w:val="0"/>
          <w:bCs w:val="0"/>
        </w:rPr>
        <w:t>能力，与当前的防火需要不相适应。三是由于林区的开发</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利用，林区施工、流动人员、旅游人员增多，管理难度加大，</w:t>
      </w:r>
    </w:p>
    <w:p>
      <w:pPr>
        <w:pStyle w:val="4"/>
        <w:spacing w:before="0" w:after="0" w:line="576" w:lineRule="exact"/>
        <w:jc w:val="left"/>
        <w:rPr>
          <w:rFonts w:ascii="仿宋" w:hAnsi="仿宋" w:eastAsia="仿宋" w:cs="仿宋_GB2312"/>
          <w:b w:val="0"/>
          <w:bCs w:val="0"/>
        </w:rPr>
      </w:pPr>
      <w:r>
        <w:rPr>
          <w:rFonts w:hint="eastAsia" w:ascii="仿宋" w:hAnsi="仿宋" w:eastAsia="仿宋" w:cs="仿宋_GB2312"/>
          <w:b w:val="0"/>
          <w:bCs w:val="0"/>
        </w:rPr>
        <w:t>已成为新形势下引发森林火灾的一大隐患。</w:t>
      </w:r>
    </w:p>
    <w:p>
      <w:pPr>
        <w:pStyle w:val="4"/>
        <w:spacing w:before="0" w:after="0" w:line="576" w:lineRule="exact"/>
        <w:ind w:firstLine="320" w:firstLineChars="100"/>
        <w:rPr>
          <w:rFonts w:ascii="楷体" w:hAnsi="楷体" w:eastAsia="楷体" w:cs="楷体"/>
          <w:b w:val="0"/>
          <w:bCs w:val="0"/>
        </w:rPr>
      </w:pPr>
      <w:r>
        <w:rPr>
          <w:rFonts w:hint="eastAsia" w:ascii="楷体" w:hAnsi="楷体" w:eastAsia="楷体" w:cs="楷体"/>
          <w:b w:val="0"/>
          <w:bCs w:val="0"/>
        </w:rPr>
        <w:t>（三）相关建议。</w:t>
      </w:r>
    </w:p>
    <w:p>
      <w:pPr>
        <w:pStyle w:val="4"/>
        <w:spacing w:before="0" w:after="0" w:line="576" w:lineRule="exact"/>
        <w:jc w:val="center"/>
        <w:rPr>
          <w:rFonts w:ascii="仿宋" w:hAnsi="仿宋" w:eastAsia="仿宋" w:cs="仿宋_GB2312"/>
          <w:b w:val="0"/>
          <w:bCs w:val="0"/>
        </w:rPr>
      </w:pPr>
      <w:r>
        <w:rPr>
          <w:rFonts w:hint="eastAsia" w:ascii="仿宋" w:hAnsi="仿宋" w:eastAsia="仿宋" w:cs="仿宋_GB2312"/>
        </w:rPr>
        <w:t xml:space="preserve">    </w:t>
      </w:r>
      <w:r>
        <w:rPr>
          <w:rFonts w:hint="eastAsia" w:ascii="仿宋" w:hAnsi="仿宋" w:eastAsia="仿宋" w:cs="仿宋_GB2312"/>
          <w:b w:val="0"/>
          <w:bCs w:val="0"/>
        </w:rPr>
        <w:t>一是强化责任落实</w:t>
      </w:r>
      <w:r>
        <w:rPr>
          <w:rFonts w:hint="eastAsia" w:ascii="仿宋" w:hAnsi="仿宋" w:eastAsia="仿宋" w:cs="仿宋_GB2312"/>
          <w:b w:val="0"/>
          <w:bCs w:val="0"/>
          <w:lang w:eastAsia="zh-CN"/>
        </w:rPr>
        <w:t>，</w:t>
      </w:r>
      <w:r>
        <w:rPr>
          <w:rFonts w:hint="eastAsia" w:ascii="仿宋" w:hAnsi="仿宋" w:eastAsia="仿宋" w:cs="仿宋_GB2312"/>
          <w:b w:val="0"/>
          <w:bCs w:val="0"/>
        </w:rPr>
        <w:t>严控火源管理。二是持续加强森林</w:t>
      </w:r>
    </w:p>
    <w:p>
      <w:pPr>
        <w:pStyle w:val="4"/>
        <w:spacing w:before="0" w:after="0" w:line="576" w:lineRule="exact"/>
        <w:jc w:val="center"/>
        <w:rPr>
          <w:rFonts w:ascii="仿宋" w:hAnsi="仿宋" w:eastAsia="仿宋" w:cs="仿宋_GB2312"/>
          <w:b w:val="0"/>
          <w:bCs w:val="0"/>
        </w:rPr>
      </w:pPr>
      <w:r>
        <w:rPr>
          <w:rFonts w:hint="eastAsia" w:ascii="仿宋" w:hAnsi="仿宋" w:eastAsia="仿宋" w:cs="仿宋_GB2312"/>
          <w:b w:val="0"/>
          <w:bCs w:val="0"/>
        </w:rPr>
        <w:t>防火工作的宣传教育</w:t>
      </w:r>
      <w:r>
        <w:rPr>
          <w:rFonts w:hint="eastAsia" w:ascii="仿宋" w:hAnsi="仿宋" w:eastAsia="仿宋" w:cs="仿宋_GB2312"/>
          <w:b w:val="0"/>
          <w:bCs w:val="0"/>
          <w:lang w:eastAsia="zh-CN"/>
        </w:rPr>
        <w:t>，</w:t>
      </w:r>
      <w:r>
        <w:rPr>
          <w:rFonts w:hint="eastAsia" w:ascii="仿宋" w:hAnsi="仿宋" w:eastAsia="仿宋" w:cs="仿宋_GB2312"/>
          <w:b w:val="0"/>
          <w:bCs w:val="0"/>
        </w:rPr>
        <w:t>转变农户思想</w:t>
      </w:r>
      <w:r>
        <w:rPr>
          <w:rFonts w:hint="eastAsia" w:ascii="仿宋" w:hAnsi="仿宋" w:eastAsia="仿宋" w:cs="仿宋_GB2312"/>
          <w:b w:val="0"/>
          <w:bCs w:val="0"/>
          <w:lang w:eastAsia="zh-CN"/>
        </w:rPr>
        <w:t>，</w:t>
      </w:r>
      <w:r>
        <w:rPr>
          <w:rFonts w:hint="eastAsia" w:ascii="仿宋" w:hAnsi="仿宋" w:eastAsia="仿宋" w:cs="仿宋_GB2312"/>
          <w:b w:val="0"/>
          <w:bCs w:val="0"/>
        </w:rPr>
        <w:t>强化农户的防火意识。</w:t>
      </w:r>
    </w:p>
    <w:p>
      <w:pPr>
        <w:pStyle w:val="4"/>
        <w:spacing w:before="0" w:after="0" w:line="576" w:lineRule="exact"/>
        <w:jc w:val="center"/>
        <w:rPr>
          <w:rFonts w:ascii="仿宋" w:hAnsi="仿宋" w:eastAsia="仿宋" w:cs="仿宋_GB2312"/>
          <w:b w:val="0"/>
          <w:bCs w:val="0"/>
        </w:rPr>
      </w:pPr>
      <w:r>
        <w:rPr>
          <w:rFonts w:hint="eastAsia" w:ascii="仿宋" w:hAnsi="仿宋" w:eastAsia="仿宋" w:cs="仿宋_GB2312"/>
          <w:b w:val="0"/>
          <w:bCs w:val="0"/>
        </w:rPr>
        <w:t>三是</w:t>
      </w:r>
      <w:r>
        <w:rPr>
          <w:rFonts w:hint="eastAsia" w:ascii="仿宋" w:hAnsi="仿宋" w:eastAsia="仿宋" w:cs="仿宋_GB2312"/>
          <w:b w:val="0"/>
          <w:bCs w:val="0"/>
          <w:lang w:eastAsia="zh-CN"/>
        </w:rPr>
        <w:t>加大</w:t>
      </w:r>
      <w:r>
        <w:rPr>
          <w:rFonts w:hint="eastAsia" w:ascii="仿宋" w:hAnsi="仿宋" w:eastAsia="仿宋" w:cs="仿宋_GB2312"/>
          <w:b w:val="0"/>
          <w:bCs w:val="0"/>
        </w:rPr>
        <w:t>联合巡查执法力度</w:t>
      </w:r>
      <w:r>
        <w:rPr>
          <w:rFonts w:hint="eastAsia" w:ascii="仿宋" w:hAnsi="仿宋" w:eastAsia="仿宋" w:cs="仿宋_GB2312"/>
          <w:b w:val="0"/>
          <w:bCs w:val="0"/>
          <w:lang w:eastAsia="zh-CN"/>
        </w:rPr>
        <w:t>，</w:t>
      </w:r>
      <w:r>
        <w:rPr>
          <w:rFonts w:hint="eastAsia" w:ascii="仿宋" w:hAnsi="仿宋" w:eastAsia="仿宋" w:cs="仿宋_GB2312"/>
          <w:b w:val="0"/>
          <w:bCs w:val="0"/>
        </w:rPr>
        <w:t>环保、农业、派出所、林业公</w:t>
      </w:r>
    </w:p>
    <w:p>
      <w:pPr>
        <w:pStyle w:val="4"/>
        <w:spacing w:before="0" w:after="0" w:line="576" w:lineRule="exact"/>
        <w:jc w:val="center"/>
        <w:rPr>
          <w:rFonts w:ascii="仿宋" w:hAnsi="仿宋" w:eastAsia="仿宋" w:cs="仿宋_GB2312"/>
          <w:b w:val="0"/>
          <w:bCs w:val="0"/>
        </w:rPr>
      </w:pPr>
      <w:r>
        <w:rPr>
          <w:rFonts w:hint="eastAsia" w:ascii="仿宋" w:hAnsi="仿宋" w:eastAsia="仿宋" w:cs="仿宋_GB2312"/>
          <w:b w:val="0"/>
          <w:bCs w:val="0"/>
        </w:rPr>
        <w:t>安等部门进一步加大处置力度</w:t>
      </w:r>
      <w:r>
        <w:rPr>
          <w:rFonts w:hint="eastAsia" w:ascii="仿宋" w:hAnsi="仿宋" w:eastAsia="仿宋" w:cs="仿宋_GB2312"/>
          <w:b w:val="0"/>
          <w:bCs w:val="0"/>
          <w:lang w:eastAsia="zh-CN"/>
        </w:rPr>
        <w:t>，</w:t>
      </w:r>
      <w:r>
        <w:rPr>
          <w:rFonts w:hint="eastAsia" w:ascii="仿宋" w:hAnsi="仿宋" w:eastAsia="仿宋" w:cs="仿宋_GB2312"/>
          <w:b w:val="0"/>
          <w:bCs w:val="0"/>
        </w:rPr>
        <w:t>发现一起处置一起，形成威</w:t>
      </w:r>
    </w:p>
    <w:p>
      <w:pPr>
        <w:pStyle w:val="4"/>
        <w:spacing w:before="0" w:after="0" w:line="576" w:lineRule="exact"/>
        <w:jc w:val="center"/>
        <w:rPr>
          <w:rFonts w:ascii="仿宋" w:hAnsi="仿宋" w:eastAsia="仿宋" w:cs="仿宋_GB2312"/>
          <w:b w:val="0"/>
          <w:bCs w:val="0"/>
        </w:rPr>
      </w:pPr>
      <w:r>
        <w:rPr>
          <w:rFonts w:hint="eastAsia" w:ascii="仿宋" w:hAnsi="仿宋" w:eastAsia="仿宋" w:cs="仿宋_GB2312"/>
          <w:b w:val="0"/>
          <w:bCs w:val="0"/>
        </w:rPr>
        <w:t>慑。四是加强森林防火信息化建设上的投入，使森林防火</w:t>
      </w:r>
      <w:r>
        <w:rPr>
          <w:rFonts w:hint="eastAsia" w:ascii="仿宋" w:hAnsi="仿宋" w:eastAsia="仿宋" w:cs="仿宋_GB2312"/>
          <w:b w:val="0"/>
          <w:bCs w:val="0"/>
          <w:lang w:eastAsia="zh-CN"/>
        </w:rPr>
        <w:t>工作</w:t>
      </w:r>
    </w:p>
    <w:p>
      <w:pPr>
        <w:pStyle w:val="4"/>
        <w:spacing w:before="0" w:after="0" w:line="576" w:lineRule="exact"/>
        <w:rPr>
          <w:rFonts w:ascii="仿宋" w:hAnsi="仿宋" w:eastAsia="仿宋" w:cs="仿宋_GB2312"/>
          <w:b w:val="0"/>
          <w:bCs w:val="0"/>
        </w:rPr>
      </w:pPr>
      <w:r>
        <w:rPr>
          <w:rFonts w:hint="eastAsia" w:ascii="仿宋" w:hAnsi="仿宋" w:eastAsia="仿宋" w:cs="仿宋_GB2312"/>
          <w:b w:val="0"/>
          <w:bCs w:val="0"/>
        </w:rPr>
        <w:t>作更加高效、便捷。</w:t>
      </w:r>
    </w:p>
    <w:p>
      <w:pPr>
        <w:spacing w:line="576" w:lineRule="exact"/>
        <w:jc w:val="left"/>
        <w:rPr>
          <w:rFonts w:ascii="黑体" w:hAnsi="黑体" w:eastAsia="黑体"/>
          <w:b/>
          <w:bCs/>
          <w:sz w:val="26"/>
          <w:szCs w:val="26"/>
        </w:rPr>
      </w:pPr>
    </w:p>
    <w:p>
      <w:pPr>
        <w:spacing w:line="576" w:lineRule="exact"/>
        <w:jc w:val="left"/>
        <w:rPr>
          <w:rFonts w:ascii="黑体" w:hAnsi="黑体" w:eastAsia="黑体"/>
          <w:b/>
          <w:bCs/>
          <w:sz w:val="26"/>
          <w:szCs w:val="26"/>
        </w:rPr>
      </w:pPr>
    </w:p>
    <w:p>
      <w:pPr>
        <w:spacing w:line="576" w:lineRule="exact"/>
        <w:jc w:val="left"/>
        <w:rPr>
          <w:rFonts w:ascii="黑体" w:hAnsi="黑体" w:eastAsia="黑体"/>
          <w:b/>
          <w:bCs/>
          <w:sz w:val="26"/>
          <w:szCs w:val="26"/>
        </w:rPr>
      </w:pPr>
    </w:p>
    <w:p>
      <w:pPr>
        <w:spacing w:line="576" w:lineRule="exact"/>
        <w:jc w:val="left"/>
        <w:rPr>
          <w:rFonts w:ascii="黑体" w:hAnsi="黑体" w:eastAsia="黑体"/>
          <w:b/>
          <w:bCs/>
          <w:sz w:val="26"/>
          <w:szCs w:val="26"/>
        </w:rPr>
      </w:pPr>
    </w:p>
    <w:p>
      <w:pPr>
        <w:spacing w:line="576" w:lineRule="exact"/>
        <w:jc w:val="left"/>
        <w:rPr>
          <w:rFonts w:ascii="黑体" w:hAnsi="黑体" w:eastAsia="黑体"/>
          <w:b/>
          <w:bCs/>
          <w:sz w:val="26"/>
          <w:szCs w:val="26"/>
        </w:rPr>
      </w:pPr>
    </w:p>
    <w:p>
      <w:pPr>
        <w:spacing w:line="576" w:lineRule="exact"/>
        <w:jc w:val="left"/>
        <w:rPr>
          <w:rFonts w:ascii="黑体" w:hAnsi="黑体" w:eastAsia="黑体"/>
          <w:b/>
          <w:bCs/>
          <w:sz w:val="26"/>
          <w:szCs w:val="26"/>
        </w:rPr>
      </w:pPr>
    </w:p>
    <w:p>
      <w:pPr>
        <w:spacing w:line="576" w:lineRule="exact"/>
        <w:jc w:val="left"/>
        <w:rPr>
          <w:rFonts w:ascii="黑体" w:hAnsi="黑体" w:eastAsia="黑体"/>
          <w:b/>
          <w:bCs/>
          <w:sz w:val="26"/>
          <w:szCs w:val="26"/>
        </w:rPr>
      </w:pPr>
    </w:p>
    <w:p>
      <w:pPr>
        <w:spacing w:line="576" w:lineRule="exact"/>
        <w:jc w:val="left"/>
        <w:rPr>
          <w:rFonts w:ascii="黑体" w:hAnsi="黑体" w:eastAsia="黑体"/>
          <w:b/>
          <w:bCs/>
          <w:sz w:val="26"/>
          <w:szCs w:val="26"/>
        </w:rPr>
      </w:pPr>
    </w:p>
    <w:p>
      <w:pPr>
        <w:spacing w:line="576" w:lineRule="exact"/>
        <w:jc w:val="left"/>
        <w:rPr>
          <w:rFonts w:ascii="黑体" w:hAnsi="黑体" w:eastAsia="黑体"/>
          <w:b/>
          <w:bCs/>
          <w:sz w:val="26"/>
          <w:szCs w:val="26"/>
        </w:rPr>
      </w:pPr>
    </w:p>
    <w:p>
      <w:pPr>
        <w:spacing w:line="576" w:lineRule="exact"/>
        <w:jc w:val="left"/>
        <w:rPr>
          <w:rFonts w:ascii="黑体" w:hAnsi="黑体" w:eastAsia="黑体"/>
          <w:b/>
          <w:bCs/>
          <w:sz w:val="26"/>
          <w:szCs w:val="26"/>
        </w:rPr>
      </w:pPr>
    </w:p>
    <w:p>
      <w:pPr>
        <w:spacing w:line="576" w:lineRule="exact"/>
        <w:jc w:val="left"/>
        <w:rPr>
          <w:rFonts w:ascii="黑体" w:hAnsi="黑体" w:eastAsia="黑体"/>
          <w:b/>
          <w:bCs/>
          <w:sz w:val="26"/>
          <w:szCs w:val="26"/>
        </w:rPr>
      </w:pPr>
    </w:p>
    <w:p>
      <w:pPr>
        <w:spacing w:line="576" w:lineRule="exact"/>
        <w:jc w:val="left"/>
        <w:rPr>
          <w:rFonts w:ascii="黑体" w:hAnsi="黑体" w:eastAsia="黑体"/>
          <w:b/>
          <w:bCs/>
          <w:sz w:val="26"/>
          <w:szCs w:val="26"/>
        </w:rPr>
      </w:pPr>
    </w:p>
    <w:p>
      <w:pPr>
        <w:spacing w:line="576" w:lineRule="exact"/>
        <w:jc w:val="left"/>
        <w:rPr>
          <w:rFonts w:ascii="黑体" w:hAnsi="黑体" w:eastAsia="黑体"/>
          <w:b/>
          <w:bCs/>
          <w:sz w:val="26"/>
          <w:szCs w:val="26"/>
        </w:rPr>
      </w:pPr>
    </w:p>
    <w:p>
      <w:pPr>
        <w:pStyle w:val="2"/>
        <w:rPr>
          <w:rFonts w:ascii="黑体" w:hAnsi="黑体" w:eastAsia="黑体"/>
          <w:b/>
          <w:bCs/>
          <w:sz w:val="26"/>
          <w:szCs w:val="26"/>
        </w:rPr>
      </w:pPr>
    </w:p>
    <w:tbl>
      <w:tblPr>
        <w:tblStyle w:val="16"/>
        <w:tblW w:w="9420" w:type="dxa"/>
        <w:tblInd w:w="93" w:type="dxa"/>
        <w:tblLayout w:type="autofit"/>
        <w:tblCellMar>
          <w:top w:w="0" w:type="dxa"/>
          <w:left w:w="108" w:type="dxa"/>
          <w:bottom w:w="0" w:type="dxa"/>
          <w:right w:w="108" w:type="dxa"/>
        </w:tblCellMar>
      </w:tblPr>
      <w:tblGrid>
        <w:gridCol w:w="940"/>
        <w:gridCol w:w="800"/>
        <w:gridCol w:w="1260"/>
        <w:gridCol w:w="1320"/>
        <w:gridCol w:w="280"/>
        <w:gridCol w:w="940"/>
        <w:gridCol w:w="1440"/>
        <w:gridCol w:w="2440"/>
      </w:tblGrid>
      <w:tr>
        <w:tblPrEx>
          <w:tblCellMar>
            <w:top w:w="0" w:type="dxa"/>
            <w:left w:w="108" w:type="dxa"/>
            <w:bottom w:w="0" w:type="dxa"/>
            <w:right w:w="108" w:type="dxa"/>
          </w:tblCellMar>
        </w:tblPrEx>
        <w:trPr>
          <w:trHeight w:val="270" w:hRule="atLeast"/>
        </w:trPr>
        <w:tc>
          <w:tcPr>
            <w:tcW w:w="9420" w:type="dxa"/>
            <w:gridSpan w:val="8"/>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hint="eastAsia" w:ascii="黑体" w:hAnsi="黑体" w:eastAsia="黑体" w:cs="黑体"/>
                <w:color w:val="000000"/>
                <w:kern w:val="0"/>
                <w:sz w:val="32"/>
                <w:szCs w:val="32"/>
              </w:rPr>
              <w:t>附表：</w:t>
            </w:r>
          </w:p>
        </w:tc>
      </w:tr>
      <w:tr>
        <w:tblPrEx>
          <w:tblCellMar>
            <w:top w:w="0" w:type="dxa"/>
            <w:left w:w="108" w:type="dxa"/>
            <w:bottom w:w="0" w:type="dxa"/>
            <w:right w:w="108" w:type="dxa"/>
          </w:tblCellMar>
        </w:tblPrEx>
        <w:trPr>
          <w:trHeight w:val="480" w:hRule="atLeast"/>
        </w:trPr>
        <w:tc>
          <w:tcPr>
            <w:tcW w:w="9420" w:type="dxa"/>
            <w:gridSpan w:val="8"/>
            <w:tcBorders>
              <w:top w:val="nil"/>
              <w:left w:val="nil"/>
              <w:bottom w:val="nil"/>
              <w:right w:val="nil"/>
            </w:tcBorders>
            <w:shd w:val="clear" w:color="auto" w:fill="auto"/>
            <w:vAlign w:val="center"/>
          </w:tcPr>
          <w:p>
            <w:pPr>
              <w:widowControl/>
              <w:jc w:val="center"/>
              <w:rPr>
                <w:rFonts w:ascii="仿宋" w:hAnsi="仿宋" w:eastAsia="仿宋" w:cs="宋体"/>
                <w:b/>
                <w:bCs/>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rPr>
              <w:t>202</w:t>
            </w:r>
            <w:r>
              <w:rPr>
                <w:rFonts w:hint="eastAsia" w:ascii="方正小标宋简体" w:hAnsi="方正小标宋简体" w:eastAsia="方正小标宋简体" w:cs="方正小标宋简体"/>
                <w:b w:val="0"/>
                <w:bCs w:val="0"/>
                <w:color w:val="000000"/>
                <w:kern w:val="0"/>
                <w:sz w:val="36"/>
                <w:szCs w:val="36"/>
                <w:lang w:val="en-US" w:eastAsia="zh-CN"/>
              </w:rPr>
              <w:t>2</w:t>
            </w:r>
            <w:r>
              <w:rPr>
                <w:rFonts w:hint="eastAsia" w:ascii="方正小标宋简体" w:hAnsi="方正小标宋简体" w:eastAsia="方正小标宋简体" w:cs="方正小标宋简体"/>
                <w:b w:val="0"/>
                <w:bCs w:val="0"/>
                <w:color w:val="000000"/>
                <w:kern w:val="0"/>
                <w:sz w:val="36"/>
                <w:szCs w:val="36"/>
              </w:rPr>
              <w:t>年安全经费（森林防火）项目绩效目标自评表</w:t>
            </w:r>
            <w:r>
              <w:rPr>
                <w:rFonts w:hint="eastAsia" w:ascii="仿宋" w:hAnsi="仿宋" w:eastAsia="仿宋" w:cs="宋体"/>
                <w:b/>
                <w:bCs/>
                <w:color w:val="000000"/>
                <w:kern w:val="0"/>
                <w:sz w:val="36"/>
                <w:szCs w:val="36"/>
              </w:rPr>
              <w:t xml:space="preserve"> </w:t>
            </w:r>
          </w:p>
        </w:tc>
      </w:tr>
      <w:tr>
        <w:tblPrEx>
          <w:tblCellMar>
            <w:top w:w="0" w:type="dxa"/>
            <w:left w:w="108" w:type="dxa"/>
            <w:bottom w:w="0" w:type="dxa"/>
            <w:right w:w="108" w:type="dxa"/>
          </w:tblCellMar>
        </w:tblPrEx>
        <w:trPr>
          <w:trHeight w:val="345" w:hRule="atLeast"/>
        </w:trPr>
        <w:tc>
          <w:tcPr>
            <w:tcW w:w="9420" w:type="dxa"/>
            <w:gridSpan w:val="8"/>
            <w:tcBorders>
              <w:top w:val="nil"/>
              <w:left w:val="nil"/>
              <w:bottom w:val="single" w:color="auto" w:sz="4" w:space="0"/>
              <w:right w:val="nil"/>
            </w:tcBorders>
            <w:shd w:val="clear" w:color="auto" w:fill="auto"/>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（202</w:t>
            </w:r>
            <w:r>
              <w:rPr>
                <w:rFonts w:hint="eastAsia" w:ascii="仿宋" w:hAnsi="仿宋" w:eastAsia="仿宋" w:cs="宋体"/>
                <w:color w:val="000000"/>
                <w:kern w:val="0"/>
                <w:sz w:val="22"/>
                <w:szCs w:val="22"/>
                <w:lang w:val="en-US" w:eastAsia="zh-CN"/>
              </w:rPr>
              <w:t>2</w:t>
            </w:r>
            <w:r>
              <w:rPr>
                <w:rFonts w:hint="eastAsia" w:ascii="仿宋" w:hAnsi="仿宋" w:eastAsia="仿宋" w:cs="宋体"/>
                <w:color w:val="000000"/>
                <w:kern w:val="0"/>
                <w:sz w:val="22"/>
                <w:szCs w:val="22"/>
              </w:rPr>
              <w:t>年度）</w:t>
            </w:r>
          </w:p>
        </w:tc>
      </w:tr>
      <w:tr>
        <w:tblPrEx>
          <w:tblCellMar>
            <w:top w:w="0" w:type="dxa"/>
            <w:left w:w="108" w:type="dxa"/>
            <w:bottom w:w="0" w:type="dxa"/>
            <w:right w:w="108" w:type="dxa"/>
          </w:tblCellMar>
        </w:tblPrEx>
        <w:trPr>
          <w:trHeight w:val="675" w:hRule="atLeast"/>
        </w:trPr>
        <w:tc>
          <w:tcPr>
            <w:tcW w:w="3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项目名称</w:t>
            </w:r>
          </w:p>
        </w:tc>
        <w:tc>
          <w:tcPr>
            <w:tcW w:w="25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w:t>
            </w:r>
            <w:r>
              <w:rPr>
                <w:rFonts w:hint="eastAsia" w:ascii="仿宋" w:hAnsi="仿宋" w:eastAsia="仿宋" w:cs="宋体"/>
                <w:color w:val="000000"/>
                <w:kern w:val="0"/>
                <w:sz w:val="24"/>
                <w:szCs w:val="24"/>
                <w:lang w:val="en-US" w:eastAsia="zh-CN"/>
              </w:rPr>
              <w:t>2</w:t>
            </w:r>
            <w:r>
              <w:rPr>
                <w:rFonts w:hint="eastAsia" w:ascii="仿宋" w:hAnsi="仿宋" w:eastAsia="仿宋" w:cs="宋体"/>
                <w:color w:val="000000"/>
                <w:kern w:val="0"/>
                <w:sz w:val="24"/>
                <w:szCs w:val="24"/>
              </w:rPr>
              <w:t>年安全经费（森林防火）</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项目负责人</w:t>
            </w: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于天鹏</w:t>
            </w:r>
          </w:p>
        </w:tc>
      </w:tr>
      <w:tr>
        <w:tblPrEx>
          <w:tblCellMar>
            <w:top w:w="0" w:type="dxa"/>
            <w:left w:w="108" w:type="dxa"/>
            <w:bottom w:w="0" w:type="dxa"/>
            <w:right w:w="108" w:type="dxa"/>
          </w:tblCellMar>
        </w:tblPrEx>
        <w:trPr>
          <w:trHeight w:val="615" w:hRule="atLeast"/>
        </w:trPr>
        <w:tc>
          <w:tcPr>
            <w:tcW w:w="3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主管部门</w:t>
            </w:r>
          </w:p>
        </w:tc>
        <w:tc>
          <w:tcPr>
            <w:tcW w:w="25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剑阁县财政局</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实施单位</w:t>
            </w:r>
          </w:p>
        </w:tc>
        <w:tc>
          <w:tcPr>
            <w:tcW w:w="24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剑阁县武连镇人民政府</w:t>
            </w:r>
          </w:p>
        </w:tc>
      </w:tr>
      <w:tr>
        <w:tblPrEx>
          <w:tblCellMar>
            <w:top w:w="0" w:type="dxa"/>
            <w:left w:w="108" w:type="dxa"/>
            <w:bottom w:w="0" w:type="dxa"/>
            <w:right w:w="108" w:type="dxa"/>
          </w:tblCellMar>
        </w:tblPrEx>
        <w:trPr>
          <w:trHeight w:val="555" w:hRule="atLeast"/>
        </w:trPr>
        <w:tc>
          <w:tcPr>
            <w:tcW w:w="300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项目预算</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执行情况</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（万元）</w:t>
            </w:r>
          </w:p>
        </w:tc>
        <w:tc>
          <w:tcPr>
            <w:tcW w:w="254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全年预算数（A）</w:t>
            </w:r>
          </w:p>
        </w:tc>
        <w:tc>
          <w:tcPr>
            <w:tcW w:w="3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全年执行数（B）</w:t>
            </w:r>
          </w:p>
        </w:tc>
      </w:tr>
      <w:tr>
        <w:tblPrEx>
          <w:tblCellMar>
            <w:top w:w="0" w:type="dxa"/>
            <w:left w:w="108" w:type="dxa"/>
            <w:bottom w:w="0" w:type="dxa"/>
            <w:right w:w="108" w:type="dxa"/>
          </w:tblCellMar>
        </w:tblPrEx>
        <w:trPr>
          <w:trHeight w:val="570" w:hRule="atLeast"/>
        </w:trPr>
        <w:tc>
          <w:tcPr>
            <w:tcW w:w="30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年度资金总额：</w:t>
            </w:r>
          </w:p>
        </w:tc>
        <w:tc>
          <w:tcPr>
            <w:tcW w:w="12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年度资金总额：</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r>
      <w:tr>
        <w:tblPrEx>
          <w:tblCellMar>
            <w:top w:w="0" w:type="dxa"/>
            <w:left w:w="108" w:type="dxa"/>
            <w:bottom w:w="0" w:type="dxa"/>
            <w:right w:w="108" w:type="dxa"/>
          </w:tblCellMar>
        </w:tblPrEx>
        <w:trPr>
          <w:trHeight w:val="585" w:hRule="atLeast"/>
        </w:trPr>
        <w:tc>
          <w:tcPr>
            <w:tcW w:w="30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其中：本年财政拨款</w:t>
            </w:r>
          </w:p>
        </w:tc>
        <w:tc>
          <w:tcPr>
            <w:tcW w:w="12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其中：本年财政拨款</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r>
      <w:tr>
        <w:tblPrEx>
          <w:tblCellMar>
            <w:top w:w="0" w:type="dxa"/>
            <w:left w:w="108" w:type="dxa"/>
            <w:bottom w:w="0" w:type="dxa"/>
            <w:right w:w="108" w:type="dxa"/>
          </w:tblCellMar>
        </w:tblPrEx>
        <w:trPr>
          <w:trHeight w:val="465" w:hRule="atLeast"/>
        </w:trPr>
        <w:tc>
          <w:tcPr>
            <w:tcW w:w="30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其他资金</w:t>
            </w:r>
          </w:p>
        </w:tc>
        <w:tc>
          <w:tcPr>
            <w:tcW w:w="12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0</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其他资金</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0</w:t>
            </w:r>
          </w:p>
        </w:tc>
      </w:tr>
      <w:tr>
        <w:tblPrEx>
          <w:tblCellMar>
            <w:top w:w="0" w:type="dxa"/>
            <w:left w:w="108" w:type="dxa"/>
            <w:bottom w:w="0" w:type="dxa"/>
            <w:right w:w="108" w:type="dxa"/>
          </w:tblCellMar>
        </w:tblPrEx>
        <w:trPr>
          <w:trHeight w:val="510" w:hRule="atLeast"/>
        </w:trPr>
        <w:tc>
          <w:tcPr>
            <w:tcW w:w="9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年度总体目标完成情况</w:t>
            </w:r>
          </w:p>
        </w:tc>
        <w:tc>
          <w:tcPr>
            <w:tcW w:w="460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预期目标</w:t>
            </w:r>
          </w:p>
        </w:tc>
        <w:tc>
          <w:tcPr>
            <w:tcW w:w="38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目标实际完成情况</w:t>
            </w:r>
          </w:p>
        </w:tc>
      </w:tr>
      <w:tr>
        <w:tblPrEx>
          <w:tblCellMar>
            <w:top w:w="0" w:type="dxa"/>
            <w:left w:w="108" w:type="dxa"/>
            <w:bottom w:w="0" w:type="dxa"/>
            <w:right w:w="108" w:type="dxa"/>
          </w:tblCellMar>
        </w:tblPrEx>
        <w:trPr>
          <w:trHeight w:val="675" w:hRule="atLeast"/>
        </w:trPr>
        <w:tc>
          <w:tcPr>
            <w:tcW w:w="9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60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切实减少辖区内火灾隐患，有效预防森林火灾</w:t>
            </w:r>
          </w:p>
        </w:tc>
        <w:tc>
          <w:tcPr>
            <w:tcW w:w="38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有效预防森林火灾，202</w:t>
            </w:r>
            <w:r>
              <w:rPr>
                <w:rFonts w:hint="eastAsia" w:ascii="仿宋" w:hAnsi="仿宋" w:eastAsia="仿宋" w:cs="宋体"/>
                <w:color w:val="000000"/>
                <w:kern w:val="0"/>
                <w:sz w:val="24"/>
                <w:szCs w:val="24"/>
                <w:lang w:val="en-US" w:eastAsia="zh-CN"/>
              </w:rPr>
              <w:t>2</w:t>
            </w:r>
            <w:r>
              <w:rPr>
                <w:rFonts w:hint="eastAsia" w:ascii="仿宋" w:hAnsi="仿宋" w:eastAsia="仿宋" w:cs="宋体"/>
                <w:color w:val="000000"/>
                <w:kern w:val="0"/>
                <w:sz w:val="24"/>
                <w:szCs w:val="24"/>
              </w:rPr>
              <w:t xml:space="preserve"> 年镇内未发生火灾。</w:t>
            </w:r>
          </w:p>
        </w:tc>
      </w:tr>
      <w:tr>
        <w:tblPrEx>
          <w:tblCellMar>
            <w:top w:w="0" w:type="dxa"/>
            <w:left w:w="108" w:type="dxa"/>
            <w:bottom w:w="0" w:type="dxa"/>
            <w:right w:w="108" w:type="dxa"/>
          </w:tblCellMar>
        </w:tblPrEx>
        <w:trPr>
          <w:trHeight w:val="750" w:hRule="atLeast"/>
        </w:trPr>
        <w:tc>
          <w:tcPr>
            <w:tcW w:w="9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年度绩效指标</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完成情况</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一级</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指标</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二级指标</w:t>
            </w:r>
          </w:p>
        </w:tc>
        <w:tc>
          <w:tcPr>
            <w:tcW w:w="16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三级指标</w:t>
            </w:r>
          </w:p>
        </w:tc>
        <w:tc>
          <w:tcPr>
            <w:tcW w:w="23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预期指标值</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实际完成指标值</w:t>
            </w:r>
          </w:p>
        </w:tc>
      </w:tr>
      <w:tr>
        <w:tblPrEx>
          <w:tblCellMar>
            <w:top w:w="0" w:type="dxa"/>
            <w:left w:w="108" w:type="dxa"/>
            <w:bottom w:w="0" w:type="dxa"/>
            <w:right w:w="108" w:type="dxa"/>
          </w:tblCellMar>
        </w:tblPrEx>
        <w:trPr>
          <w:trHeight w:val="795" w:hRule="atLeast"/>
        </w:trPr>
        <w:tc>
          <w:tcPr>
            <w:tcW w:w="9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完成</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指标</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数量指标</w:t>
            </w:r>
          </w:p>
        </w:tc>
        <w:tc>
          <w:tcPr>
            <w:tcW w:w="16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消防物质</w:t>
            </w:r>
          </w:p>
        </w:tc>
        <w:tc>
          <w:tcPr>
            <w:tcW w:w="23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灭火器60个，警示牌35个，灭火弹150枚。</w:t>
            </w: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灭火器60个，警示牌35个，灭火弹150枚。</w:t>
            </w:r>
          </w:p>
        </w:tc>
      </w:tr>
      <w:tr>
        <w:tblPrEx>
          <w:tblCellMar>
            <w:top w:w="0" w:type="dxa"/>
            <w:left w:w="108" w:type="dxa"/>
            <w:bottom w:w="0" w:type="dxa"/>
            <w:right w:w="108" w:type="dxa"/>
          </w:tblCellMar>
        </w:tblPrEx>
        <w:trPr>
          <w:trHeight w:val="525" w:hRule="atLeast"/>
        </w:trPr>
        <w:tc>
          <w:tcPr>
            <w:tcW w:w="9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质量指标</w:t>
            </w:r>
          </w:p>
        </w:tc>
        <w:tc>
          <w:tcPr>
            <w:tcW w:w="160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物质合格率</w:t>
            </w:r>
          </w:p>
        </w:tc>
        <w:tc>
          <w:tcPr>
            <w:tcW w:w="23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≥100%</w:t>
            </w:r>
          </w:p>
        </w:tc>
        <w:tc>
          <w:tcPr>
            <w:tcW w:w="2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≥100%</w:t>
            </w:r>
          </w:p>
        </w:tc>
      </w:tr>
      <w:tr>
        <w:tblPrEx>
          <w:tblCellMar>
            <w:top w:w="0" w:type="dxa"/>
            <w:left w:w="108" w:type="dxa"/>
            <w:bottom w:w="0" w:type="dxa"/>
            <w:right w:w="108" w:type="dxa"/>
          </w:tblCellMar>
        </w:tblPrEx>
        <w:trPr>
          <w:trHeight w:val="600" w:hRule="atLeast"/>
        </w:trPr>
        <w:tc>
          <w:tcPr>
            <w:tcW w:w="9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时效指标</w:t>
            </w:r>
          </w:p>
        </w:tc>
        <w:tc>
          <w:tcPr>
            <w:tcW w:w="16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完成时间</w:t>
            </w:r>
          </w:p>
        </w:tc>
        <w:tc>
          <w:tcPr>
            <w:tcW w:w="23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w:t>
            </w:r>
            <w:r>
              <w:rPr>
                <w:rFonts w:hint="eastAsia" w:ascii="仿宋" w:hAnsi="仿宋" w:eastAsia="仿宋" w:cs="宋体"/>
                <w:color w:val="000000"/>
                <w:kern w:val="0"/>
                <w:sz w:val="24"/>
                <w:szCs w:val="24"/>
                <w:lang w:val="en-US" w:eastAsia="zh-CN"/>
              </w:rPr>
              <w:t>2</w:t>
            </w:r>
            <w:r>
              <w:rPr>
                <w:rFonts w:hint="eastAsia" w:ascii="仿宋" w:hAnsi="仿宋" w:eastAsia="仿宋" w:cs="宋体"/>
                <w:color w:val="000000"/>
                <w:kern w:val="0"/>
                <w:sz w:val="24"/>
                <w:szCs w:val="24"/>
              </w:rPr>
              <w:t>年12月底</w:t>
            </w: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w:t>
            </w:r>
            <w:r>
              <w:rPr>
                <w:rFonts w:hint="eastAsia" w:ascii="仿宋" w:hAnsi="仿宋" w:eastAsia="仿宋" w:cs="宋体"/>
                <w:color w:val="000000"/>
                <w:kern w:val="0"/>
                <w:sz w:val="24"/>
                <w:szCs w:val="24"/>
                <w:lang w:val="en-US" w:eastAsia="zh-CN"/>
              </w:rPr>
              <w:t>2</w:t>
            </w:r>
            <w:r>
              <w:rPr>
                <w:rFonts w:hint="eastAsia" w:ascii="仿宋" w:hAnsi="仿宋" w:eastAsia="仿宋" w:cs="宋体"/>
                <w:color w:val="000000"/>
                <w:kern w:val="0"/>
                <w:sz w:val="24"/>
                <w:szCs w:val="24"/>
              </w:rPr>
              <w:t>年12月底</w:t>
            </w:r>
          </w:p>
        </w:tc>
      </w:tr>
      <w:tr>
        <w:tblPrEx>
          <w:tblCellMar>
            <w:top w:w="0" w:type="dxa"/>
            <w:left w:w="108" w:type="dxa"/>
            <w:bottom w:w="0" w:type="dxa"/>
            <w:right w:w="108" w:type="dxa"/>
          </w:tblCellMar>
        </w:tblPrEx>
        <w:trPr>
          <w:trHeight w:val="600" w:hRule="atLeast"/>
        </w:trPr>
        <w:tc>
          <w:tcPr>
            <w:tcW w:w="9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成本指标</w:t>
            </w:r>
          </w:p>
        </w:tc>
        <w:tc>
          <w:tcPr>
            <w:tcW w:w="16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转运成本</w:t>
            </w:r>
          </w:p>
        </w:tc>
        <w:tc>
          <w:tcPr>
            <w:tcW w:w="23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≤4万元</w:t>
            </w:r>
          </w:p>
        </w:tc>
        <w:tc>
          <w:tcPr>
            <w:tcW w:w="2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≤4万元</w:t>
            </w:r>
          </w:p>
        </w:tc>
      </w:tr>
      <w:tr>
        <w:tblPrEx>
          <w:tblCellMar>
            <w:top w:w="0" w:type="dxa"/>
            <w:left w:w="108" w:type="dxa"/>
            <w:bottom w:w="0" w:type="dxa"/>
            <w:right w:w="108" w:type="dxa"/>
          </w:tblCellMar>
        </w:tblPrEx>
        <w:trPr>
          <w:trHeight w:val="600" w:hRule="atLeast"/>
        </w:trPr>
        <w:tc>
          <w:tcPr>
            <w:tcW w:w="9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效益</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指标</w:t>
            </w:r>
          </w:p>
        </w:tc>
        <w:tc>
          <w:tcPr>
            <w:tcW w:w="1260" w:type="dxa"/>
            <w:tcBorders>
              <w:top w:val="nil"/>
              <w:left w:val="nil"/>
              <w:bottom w:val="single" w:color="auto" w:sz="4" w:space="0"/>
              <w:right w:val="nil"/>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经济效益</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指标</w:t>
            </w:r>
          </w:p>
        </w:tc>
        <w:tc>
          <w:tcPr>
            <w:tcW w:w="16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3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900" w:hRule="atLeast"/>
        </w:trPr>
        <w:tc>
          <w:tcPr>
            <w:tcW w:w="9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260" w:type="dxa"/>
            <w:tcBorders>
              <w:top w:val="nil"/>
              <w:left w:val="nil"/>
              <w:bottom w:val="single" w:color="auto" w:sz="4" w:space="0"/>
              <w:right w:val="nil"/>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社会效益</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指标</w:t>
            </w:r>
          </w:p>
        </w:tc>
        <w:tc>
          <w:tcPr>
            <w:tcW w:w="16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森林火灾隐患</w:t>
            </w:r>
          </w:p>
        </w:tc>
        <w:tc>
          <w:tcPr>
            <w:tcW w:w="23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确保国有森林资源和群众生命财产安全得到有效保障。</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确保国有森林资源和</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群众生命财产安全得</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到有效保障。</w:t>
            </w:r>
          </w:p>
        </w:tc>
      </w:tr>
      <w:tr>
        <w:tblPrEx>
          <w:tblCellMar>
            <w:top w:w="0" w:type="dxa"/>
            <w:left w:w="108" w:type="dxa"/>
            <w:bottom w:w="0" w:type="dxa"/>
            <w:right w:w="108" w:type="dxa"/>
          </w:tblCellMar>
        </w:tblPrEx>
        <w:trPr>
          <w:trHeight w:val="630" w:hRule="atLeast"/>
        </w:trPr>
        <w:tc>
          <w:tcPr>
            <w:tcW w:w="9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生态效益</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指标</w:t>
            </w:r>
          </w:p>
        </w:tc>
        <w:tc>
          <w:tcPr>
            <w:tcW w:w="160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3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645" w:hRule="atLeast"/>
        </w:trPr>
        <w:tc>
          <w:tcPr>
            <w:tcW w:w="9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260" w:type="dxa"/>
            <w:tcBorders>
              <w:top w:val="nil"/>
              <w:left w:val="nil"/>
              <w:bottom w:val="single" w:color="auto" w:sz="4" w:space="0"/>
              <w:right w:val="nil"/>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可持续影响指标</w:t>
            </w:r>
          </w:p>
        </w:tc>
        <w:tc>
          <w:tcPr>
            <w:tcW w:w="1600" w:type="dxa"/>
            <w:gridSpan w:val="2"/>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3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702" w:hRule="atLeast"/>
        </w:trPr>
        <w:tc>
          <w:tcPr>
            <w:tcW w:w="9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满意度指标</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服务对象</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满意度指标</w:t>
            </w:r>
          </w:p>
        </w:tc>
        <w:tc>
          <w:tcPr>
            <w:tcW w:w="16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群众满意度</w:t>
            </w:r>
          </w:p>
        </w:tc>
        <w:tc>
          <w:tcPr>
            <w:tcW w:w="23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≥95%</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≥95%</w:t>
            </w:r>
          </w:p>
        </w:tc>
      </w:tr>
    </w:tbl>
    <w:p>
      <w:pPr>
        <w:spacing w:line="576" w:lineRule="exact"/>
        <w:jc w:val="left"/>
        <w:rPr>
          <w:rFonts w:ascii="黑体" w:hAnsi="黑体" w:eastAsia="黑体"/>
          <w:sz w:val="32"/>
          <w:szCs w:val="32"/>
        </w:rPr>
      </w:pPr>
      <w:r>
        <w:rPr>
          <w:rFonts w:hint="eastAsia" w:ascii="黑体" w:hAnsi="黑体" w:eastAsia="黑体"/>
          <w:sz w:val="32"/>
          <w:szCs w:val="32"/>
        </w:rPr>
        <w:t>附件：</w:t>
      </w:r>
    </w:p>
    <w:p>
      <w:pPr>
        <w:adjustRightInd w:val="0"/>
        <w:snapToGrid w:val="0"/>
        <w:spacing w:line="576" w:lineRule="exact"/>
        <w:ind w:firstLine="720"/>
        <w:jc w:val="center"/>
        <w:rPr>
          <w:rFonts w:ascii="Helvetica" w:hAnsi="Helvetica" w:eastAsia="Helvetica" w:cs="Helvetica"/>
          <w:color w:val="000000"/>
          <w:sz w:val="36"/>
          <w:szCs w:val="36"/>
        </w:rPr>
      </w:pPr>
    </w:p>
    <w:p>
      <w:pPr>
        <w:adjustRightInd w:val="0"/>
        <w:snapToGrid w:val="0"/>
        <w:spacing w:line="576"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color w:val="000000"/>
          <w:sz w:val="44"/>
          <w:szCs w:val="44"/>
        </w:rPr>
        <w:t>武连镇垃圾清运及处置项目支出绩效自评报    告</w:t>
      </w:r>
    </w:p>
    <w:p>
      <w:pPr>
        <w:adjustRightInd w:val="0"/>
        <w:snapToGrid w:val="0"/>
        <w:spacing w:line="576" w:lineRule="exact"/>
        <w:ind w:firstLine="720"/>
        <w:jc w:val="left"/>
        <w:rPr>
          <w:rFonts w:ascii="黑体" w:hAnsi="黑体" w:eastAsia="黑体" w:cs="黑体"/>
          <w:b/>
          <w:bCs/>
          <w:sz w:val="32"/>
          <w:szCs w:val="32"/>
          <w:lang w:val="zh-CN"/>
        </w:rPr>
      </w:pPr>
    </w:p>
    <w:p>
      <w:pPr>
        <w:adjustRightInd w:val="0"/>
        <w:snapToGrid w:val="0"/>
        <w:spacing w:line="600" w:lineRule="exact"/>
        <w:ind w:firstLine="960" w:firstLineChars="300"/>
        <w:rPr>
          <w:rFonts w:ascii="黑体" w:hAnsi="黑体" w:eastAsia="黑体" w:cs="黑体"/>
          <w:sz w:val="32"/>
          <w:szCs w:val="32"/>
          <w:lang w:val="zh-CN"/>
        </w:rPr>
      </w:pPr>
      <w:r>
        <w:rPr>
          <w:rFonts w:hint="eastAsia" w:ascii="黑体" w:hAnsi="黑体" w:eastAsia="黑体" w:cs="黑体"/>
          <w:sz w:val="32"/>
          <w:szCs w:val="32"/>
          <w:lang w:val="zh-CN"/>
        </w:rPr>
        <w:t>一、项目概况</w:t>
      </w:r>
    </w:p>
    <w:p>
      <w:pPr>
        <w:adjustRightInd w:val="0"/>
        <w:snapToGrid w:val="0"/>
        <w:spacing w:line="576" w:lineRule="exact"/>
        <w:ind w:firstLine="320" w:firstLineChars="100"/>
        <w:rPr>
          <w:rFonts w:ascii="楷体" w:hAnsi="楷体" w:eastAsia="楷体" w:cs="楷体"/>
          <w:sz w:val="32"/>
          <w:szCs w:val="32"/>
          <w:lang w:val="zh-CN"/>
        </w:rPr>
      </w:pPr>
      <w:r>
        <w:rPr>
          <w:rFonts w:hint="eastAsia" w:ascii="楷体" w:hAnsi="楷体" w:eastAsia="楷体" w:cs="楷体"/>
          <w:sz w:val="32"/>
          <w:szCs w:val="32"/>
          <w:lang w:val="zh-CN"/>
        </w:rPr>
        <w:t>（一）项目资金申报及批复情况。</w:t>
      </w:r>
    </w:p>
    <w:p>
      <w:pPr>
        <w:adjustRightInd w:val="0"/>
        <w:snapToGrid w:val="0"/>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武连镇垃圾清运及处置项目资金共</w:t>
      </w:r>
      <w:r>
        <w:rPr>
          <w:rFonts w:hint="eastAsia" w:ascii="仿宋" w:hAnsi="仿宋" w:eastAsia="仿宋" w:cs="仿宋"/>
          <w:color w:val="000000"/>
          <w:sz w:val="32"/>
          <w:szCs w:val="32"/>
          <w:lang w:val="en-US" w:eastAsia="zh-CN"/>
        </w:rPr>
        <w:t>30.38</w:t>
      </w:r>
      <w:r>
        <w:rPr>
          <w:rFonts w:hint="eastAsia" w:ascii="仿宋" w:hAnsi="仿宋" w:eastAsia="仿宋" w:cs="仿宋"/>
          <w:color w:val="000000"/>
          <w:sz w:val="32"/>
          <w:szCs w:val="32"/>
        </w:rPr>
        <w:t>万元，镇政府经过请示，县政府批复，通过项目资金申报，县财政局下达后，采取直接支付、授权支付的方式，全部用于武连镇垃圾清运及处置。经费通过申报、批复、划拨、使用，及时、规范对收支进行账务处理和会计核算，符合资金管理办法等相关规定。</w:t>
      </w:r>
    </w:p>
    <w:p>
      <w:pPr>
        <w:adjustRightInd w:val="0"/>
        <w:snapToGrid w:val="0"/>
        <w:spacing w:line="576" w:lineRule="exact"/>
        <w:ind w:firstLine="320" w:firstLineChars="100"/>
        <w:rPr>
          <w:rFonts w:ascii="楷体" w:hAnsi="楷体" w:eastAsia="楷体" w:cs="楷体"/>
          <w:sz w:val="32"/>
          <w:szCs w:val="32"/>
          <w:lang w:val="zh-CN"/>
        </w:rPr>
      </w:pPr>
      <w:r>
        <w:rPr>
          <w:rFonts w:hint="eastAsia" w:ascii="楷体" w:hAnsi="楷体" w:eastAsia="楷体" w:cs="楷体"/>
          <w:sz w:val="32"/>
          <w:szCs w:val="32"/>
          <w:lang w:val="zh-CN"/>
        </w:rPr>
        <w:t>（二）项目绩效目标。</w:t>
      </w:r>
    </w:p>
    <w:p>
      <w:pPr>
        <w:adjustRightInd w:val="0"/>
        <w:snapToGrid w:val="0"/>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武连镇，隶属于四川省广元市剑阁县，地处剑阁县三县交界处，与江油、梓潼接壤。场镇垃圾清运是为提高我镇人民生活幸福指数，有效改善城乡人居环境，保障场镇及周边环境干净整洁，给百姓和居民提供一个优美的生活、工作环境。</w:t>
      </w:r>
    </w:p>
    <w:p>
      <w:pPr>
        <w:adjustRightInd w:val="0"/>
        <w:snapToGrid w:val="0"/>
        <w:spacing w:line="576" w:lineRule="exact"/>
        <w:ind w:firstLine="640" w:firstLineChars="200"/>
        <w:rPr>
          <w:rFonts w:ascii="仿宋" w:hAnsi="仿宋" w:eastAsia="仿宋" w:cs="仿宋"/>
          <w:color w:val="000000"/>
          <w:sz w:val="32"/>
          <w:szCs w:val="32"/>
        </w:rPr>
      </w:pPr>
      <w:r>
        <w:rPr>
          <w:rFonts w:hint="eastAsia" w:ascii="楷体" w:hAnsi="楷体" w:eastAsia="楷体" w:cs="楷体"/>
          <w:sz w:val="32"/>
          <w:szCs w:val="32"/>
          <w:lang w:val="zh-CN"/>
        </w:rPr>
        <w:t>（三）项目资金申报相符性。</w:t>
      </w:r>
      <w:r>
        <w:rPr>
          <w:rFonts w:hint="eastAsia" w:ascii="仿宋" w:hAnsi="仿宋" w:eastAsia="仿宋" w:cs="仿宋"/>
          <w:color w:val="000000"/>
          <w:sz w:val="32"/>
          <w:szCs w:val="32"/>
          <w:lang w:val="zh-CN"/>
        </w:rPr>
        <w:t>该项目资金主要用于武连镇</w:t>
      </w:r>
      <w:r>
        <w:rPr>
          <w:rFonts w:hint="eastAsia" w:ascii="仿宋" w:hAnsi="仿宋" w:eastAsia="仿宋" w:cs="仿宋"/>
          <w:color w:val="000000"/>
          <w:sz w:val="32"/>
          <w:szCs w:val="32"/>
        </w:rPr>
        <w:t>垃圾清运及处置</w:t>
      </w:r>
      <w:r>
        <w:rPr>
          <w:rFonts w:hint="eastAsia" w:ascii="仿宋" w:hAnsi="仿宋" w:eastAsia="仿宋" w:cs="仿宋"/>
          <w:color w:val="000000"/>
          <w:sz w:val="32"/>
          <w:szCs w:val="32"/>
          <w:lang w:val="zh-CN"/>
        </w:rPr>
        <w:t>，包括</w:t>
      </w:r>
      <w:r>
        <w:rPr>
          <w:rFonts w:hint="eastAsia" w:ascii="仿宋" w:hAnsi="仿宋" w:eastAsia="仿宋" w:cs="仿宋"/>
          <w:color w:val="000000"/>
          <w:sz w:val="32"/>
          <w:szCs w:val="32"/>
        </w:rPr>
        <w:t>垃圾清运收集、中转压缩、转运等</w:t>
      </w:r>
      <w:r>
        <w:rPr>
          <w:rFonts w:hint="eastAsia" w:ascii="仿宋" w:hAnsi="仿宋" w:eastAsia="仿宋" w:cs="仿宋"/>
          <w:color w:val="000000"/>
          <w:sz w:val="32"/>
          <w:szCs w:val="32"/>
          <w:lang w:val="zh-CN"/>
        </w:rPr>
        <w:t>费用，</w:t>
      </w:r>
      <w:r>
        <w:rPr>
          <w:rFonts w:hint="eastAsia" w:ascii="仿宋" w:hAnsi="仿宋" w:eastAsia="仿宋" w:cs="仿宋"/>
          <w:color w:val="000000"/>
          <w:sz w:val="32"/>
          <w:szCs w:val="32"/>
        </w:rPr>
        <w:t>有效改善了我镇城乡环境面貌。</w:t>
      </w:r>
    </w:p>
    <w:p>
      <w:pPr>
        <w:adjustRightInd w:val="0"/>
        <w:snapToGrid w:val="0"/>
        <w:spacing w:line="576" w:lineRule="exact"/>
        <w:ind w:firstLine="720"/>
        <w:rPr>
          <w:rFonts w:ascii="黑体" w:hAnsi="黑体" w:eastAsia="黑体" w:cs="黑体"/>
          <w:b/>
          <w:bCs/>
          <w:sz w:val="32"/>
          <w:szCs w:val="32"/>
          <w:lang w:val="zh-CN"/>
        </w:rPr>
      </w:pPr>
    </w:p>
    <w:p>
      <w:pPr>
        <w:pStyle w:val="2"/>
        <w:rPr>
          <w:lang w:val="zh-CN"/>
        </w:rPr>
      </w:pPr>
    </w:p>
    <w:p>
      <w:pPr>
        <w:adjustRightInd w:val="0"/>
        <w:snapToGrid w:val="0"/>
        <w:spacing w:line="576" w:lineRule="exact"/>
        <w:ind w:firstLine="960" w:firstLineChars="300"/>
        <w:rPr>
          <w:rFonts w:ascii="黑体" w:hAnsi="黑体" w:eastAsia="黑体" w:cs="黑体"/>
          <w:sz w:val="32"/>
          <w:szCs w:val="32"/>
          <w:lang w:val="zh-CN"/>
        </w:rPr>
      </w:pPr>
      <w:r>
        <w:rPr>
          <w:rFonts w:hint="eastAsia" w:ascii="黑体" w:hAnsi="黑体" w:eastAsia="黑体" w:cs="黑体"/>
          <w:sz w:val="32"/>
          <w:szCs w:val="32"/>
          <w:lang w:val="zh-CN"/>
        </w:rPr>
        <w:t>二、项目实施及管理情况</w:t>
      </w:r>
    </w:p>
    <w:p>
      <w:pPr>
        <w:adjustRightInd w:val="0"/>
        <w:snapToGrid w:val="0"/>
        <w:spacing w:line="576" w:lineRule="exact"/>
        <w:rPr>
          <w:rFonts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ab/>
      </w:r>
      <w:r>
        <w:rPr>
          <w:rFonts w:hint="eastAsia" w:ascii="楷体" w:hAnsi="楷体" w:eastAsia="楷体" w:cs="楷体"/>
          <w:sz w:val="32"/>
          <w:szCs w:val="32"/>
          <w:lang w:val="zh-CN"/>
        </w:rPr>
        <w:t>（一）资金计划、到位及使用情况。</w:t>
      </w:r>
    </w:p>
    <w:p>
      <w:pPr>
        <w:adjustRightInd w:val="0"/>
        <w:snapToGrid w:val="0"/>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资金计划及到位。武连镇垃圾清运及处置项目资金共</w:t>
      </w:r>
      <w:r>
        <w:rPr>
          <w:rFonts w:hint="eastAsia" w:ascii="仿宋" w:hAnsi="仿宋" w:eastAsia="仿宋" w:cs="仿宋"/>
          <w:color w:val="000000"/>
          <w:sz w:val="32"/>
          <w:szCs w:val="32"/>
          <w:lang w:val="en-US" w:eastAsia="zh-CN"/>
        </w:rPr>
        <w:t>30.38</w:t>
      </w:r>
      <w:r>
        <w:rPr>
          <w:rFonts w:hint="eastAsia" w:ascii="仿宋" w:hAnsi="仿宋" w:eastAsia="仿宋" w:cs="仿宋"/>
          <w:color w:val="000000"/>
          <w:sz w:val="32"/>
          <w:szCs w:val="32"/>
        </w:rPr>
        <w:t>万元。在实施过程中，于202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年12月申请并批复资金共计</w:t>
      </w:r>
      <w:r>
        <w:rPr>
          <w:rFonts w:hint="eastAsia" w:ascii="仿宋" w:hAnsi="仿宋" w:eastAsia="仿宋" w:cs="仿宋"/>
          <w:color w:val="000000"/>
          <w:sz w:val="32"/>
          <w:szCs w:val="32"/>
          <w:lang w:val="en-US" w:eastAsia="zh-CN"/>
        </w:rPr>
        <w:t>30.38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截至2022年</w:t>
      </w:r>
      <w:r>
        <w:rPr>
          <w:rFonts w:hint="eastAsia" w:ascii="仿宋" w:hAnsi="仿宋" w:eastAsia="仿宋" w:cs="仿宋"/>
          <w:color w:val="000000"/>
          <w:sz w:val="32"/>
          <w:szCs w:val="32"/>
        </w:rPr>
        <w:t>3月底，所有计划资金全部到位，共计</w:t>
      </w:r>
      <w:r>
        <w:rPr>
          <w:rFonts w:hint="eastAsia" w:ascii="仿宋" w:hAnsi="仿宋" w:eastAsia="仿宋" w:cs="仿宋"/>
          <w:color w:val="000000"/>
          <w:sz w:val="32"/>
          <w:szCs w:val="32"/>
          <w:lang w:val="en-US" w:eastAsia="zh-CN"/>
        </w:rPr>
        <w:t>30.38</w:t>
      </w:r>
      <w:r>
        <w:rPr>
          <w:rFonts w:hint="eastAsia" w:ascii="仿宋" w:hAnsi="仿宋" w:eastAsia="仿宋" w:cs="仿宋"/>
          <w:color w:val="000000"/>
          <w:sz w:val="32"/>
          <w:szCs w:val="32"/>
        </w:rPr>
        <w:t>万元。资金到位率100%、到位及时。</w:t>
      </w:r>
    </w:p>
    <w:p>
      <w:pPr>
        <w:adjustRightInd w:val="0"/>
        <w:snapToGrid w:val="0"/>
        <w:spacing w:line="576" w:lineRule="exact"/>
        <w:ind w:firstLine="640" w:firstLineChars="200"/>
        <w:rPr>
          <w:rFonts w:ascii="仿宋" w:hAnsi="仿宋" w:eastAsia="仿宋" w:cs="仿宋"/>
          <w:color w:val="000000"/>
          <w:sz w:val="32"/>
          <w:szCs w:val="32"/>
          <w:lang w:val="zh-CN"/>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资金使用。</w:t>
      </w:r>
      <w:r>
        <w:rPr>
          <w:rFonts w:hint="eastAsia" w:ascii="仿宋" w:hAnsi="仿宋" w:eastAsia="仿宋" w:cs="仿宋"/>
          <w:color w:val="000000"/>
          <w:sz w:val="32"/>
          <w:szCs w:val="32"/>
          <w:lang w:eastAsia="zh-CN"/>
        </w:rPr>
        <w:t>截至2022年</w:t>
      </w:r>
      <w:r>
        <w:rPr>
          <w:rFonts w:hint="eastAsia" w:ascii="仿宋" w:hAnsi="仿宋" w:eastAsia="仿宋" w:cs="仿宋"/>
          <w:color w:val="000000"/>
          <w:sz w:val="32"/>
          <w:szCs w:val="32"/>
        </w:rPr>
        <w:t>12月底，武连镇垃圾清运及处置项目资金共计支出</w:t>
      </w:r>
      <w:r>
        <w:rPr>
          <w:rFonts w:hint="eastAsia" w:ascii="仿宋" w:hAnsi="仿宋" w:eastAsia="仿宋" w:cs="仿宋"/>
          <w:color w:val="000000"/>
          <w:sz w:val="32"/>
          <w:szCs w:val="32"/>
          <w:lang w:val="en-US" w:eastAsia="zh-CN"/>
        </w:rPr>
        <w:t>29.43</w:t>
      </w:r>
      <w:r>
        <w:rPr>
          <w:rFonts w:hint="eastAsia" w:ascii="仿宋" w:hAnsi="仿宋" w:eastAsia="仿宋" w:cs="仿宋"/>
          <w:color w:val="000000"/>
          <w:sz w:val="32"/>
          <w:szCs w:val="32"/>
        </w:rPr>
        <w:t>万元。主要用于垃圾清运收集、中转压缩、垃圾转运，经费到位并及时支付，支付依据合规合法，资金支付与预算相符。</w:t>
      </w:r>
    </w:p>
    <w:p>
      <w:pPr>
        <w:adjustRightInd w:val="0"/>
        <w:snapToGrid w:val="0"/>
        <w:spacing w:line="576" w:lineRule="exact"/>
        <w:ind w:firstLine="320" w:firstLineChars="100"/>
        <w:rPr>
          <w:rFonts w:ascii="楷体" w:hAnsi="楷体" w:eastAsia="楷体" w:cs="楷体"/>
          <w:sz w:val="32"/>
          <w:szCs w:val="32"/>
          <w:lang w:val="zh-CN"/>
        </w:rPr>
      </w:pPr>
      <w:r>
        <w:rPr>
          <w:rFonts w:hint="eastAsia" w:ascii="楷体" w:hAnsi="楷体" w:eastAsia="楷体" w:cs="楷体"/>
          <w:sz w:val="32"/>
          <w:szCs w:val="32"/>
          <w:lang w:val="zh-CN"/>
        </w:rPr>
        <w:t>（二）项目财务管理情况。</w:t>
      </w:r>
    </w:p>
    <w:p>
      <w:pPr>
        <w:adjustRightInd w:val="0"/>
        <w:snapToGrid w:val="0"/>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武连镇垃圾清运及处置项目资金采取直接支付、授权支付形式，由财政所拟定用款计划，分期严格按照项目资金管理办法对资金进行计划申请、划拨、使用，及时、规范对收支进行账务处理和会计核算。</w:t>
      </w:r>
    </w:p>
    <w:p>
      <w:pPr>
        <w:keepNext w:val="0"/>
        <w:keepLines w:val="0"/>
        <w:pageBreakBefore w:val="0"/>
        <w:widowControl w:val="0"/>
        <w:kinsoku/>
        <w:wordWrap/>
        <w:overflowPunct/>
        <w:topLinePunct w:val="0"/>
        <w:autoSpaceDE/>
        <w:autoSpaceDN/>
        <w:bidi w:val="0"/>
        <w:adjustRightInd w:val="0"/>
        <w:snapToGrid w:val="0"/>
        <w:spacing w:line="576" w:lineRule="exact"/>
        <w:ind w:left="638" w:leftChars="304" w:firstLine="0" w:firstLineChars="0"/>
        <w:textAlignment w:val="auto"/>
        <w:rPr>
          <w:rFonts w:ascii="楷体" w:hAnsi="楷体" w:eastAsia="楷体" w:cs="楷体"/>
          <w:sz w:val="32"/>
          <w:szCs w:val="32"/>
          <w:lang w:val="zh-CN"/>
        </w:rPr>
      </w:pPr>
      <w:r>
        <w:rPr>
          <w:rFonts w:hint="eastAsia" w:ascii="楷体" w:hAnsi="楷体" w:eastAsia="楷体" w:cs="楷体"/>
          <w:sz w:val="32"/>
          <w:szCs w:val="32"/>
          <w:lang w:val="zh-CN"/>
        </w:rPr>
        <w:t>（三）项目组织实施情况。</w:t>
      </w:r>
    </w:p>
    <w:p>
      <w:pPr>
        <w:pStyle w:val="15"/>
        <w:spacing w:after="0" w:line="576" w:lineRule="exact"/>
        <w:ind w:left="0" w:leftChars="0" w:firstLine="0" w:firstLineChars="0"/>
        <w:rPr>
          <w:rFonts w:ascii="仿宋" w:hAnsi="仿宋" w:eastAsia="仿宋" w:cs="仿宋"/>
          <w:color w:val="000000"/>
          <w:sz w:val="32"/>
          <w:szCs w:val="32"/>
        </w:rPr>
      </w:pPr>
      <w:r>
        <w:rPr>
          <w:rFonts w:hint="eastAsia" w:eastAsia="仿宋"/>
          <w:lang w:val="en-US" w:eastAsia="zh-CN"/>
        </w:rPr>
        <w:t xml:space="preserve">      </w:t>
      </w:r>
      <w:r>
        <w:rPr>
          <w:rFonts w:hint="eastAsia" w:ascii="仿宋" w:hAnsi="仿宋" w:eastAsia="仿宋" w:cs="仿宋"/>
          <w:color w:val="000000"/>
          <w:sz w:val="32"/>
          <w:szCs w:val="32"/>
        </w:rPr>
        <w:t>武连镇垃圾清运及处置项目资金由镇副镇长邓瑜牵头负责，202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年初拟定垃圾清运计划，签订垃圾压缩中转承包合同，对场镇环保现状实时督导，建立台账，按月考核垃圾清运及处置成效，严控成本，并按季度及时拨付垃圾清运及处置费用，保证了项目支出绩效及资金拨付率。</w:t>
      </w:r>
    </w:p>
    <w:p>
      <w:pPr>
        <w:adjustRightInd w:val="0"/>
        <w:snapToGrid w:val="0"/>
        <w:spacing w:line="576" w:lineRule="exact"/>
        <w:ind w:firstLine="960" w:firstLineChars="300"/>
        <w:rPr>
          <w:rFonts w:ascii="黑体" w:hAnsi="黑体" w:eastAsia="黑体" w:cs="黑体"/>
          <w:sz w:val="32"/>
          <w:szCs w:val="32"/>
          <w:lang w:val="zh-CN"/>
        </w:rPr>
      </w:pPr>
      <w:r>
        <w:rPr>
          <w:rFonts w:hint="eastAsia" w:ascii="黑体" w:hAnsi="黑体" w:eastAsia="黑体" w:cs="黑体"/>
          <w:sz w:val="32"/>
          <w:szCs w:val="32"/>
          <w:lang w:val="zh-CN"/>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华文楷体" w:hAnsi="华文楷体" w:eastAsia="华文楷体" w:cs="华文楷体"/>
          <w:b/>
          <w:bCs/>
          <w:sz w:val="32"/>
          <w:szCs w:val="32"/>
          <w:lang w:val="zh-CN"/>
        </w:rPr>
      </w:pPr>
      <w:r>
        <w:rPr>
          <w:rFonts w:hint="eastAsia" w:ascii="楷体" w:hAnsi="楷体" w:eastAsia="楷体" w:cs="楷体"/>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武连镇垃圾清运及处置经费的投入后，</w:t>
      </w:r>
      <w:r>
        <w:rPr>
          <w:rFonts w:hint="eastAsia" w:ascii="仿宋" w:hAnsi="仿宋" w:eastAsia="仿宋" w:cs="仿宋"/>
          <w:color w:val="000000"/>
          <w:sz w:val="32"/>
          <w:szCs w:val="32"/>
          <w:lang w:eastAsia="zh-CN"/>
        </w:rPr>
        <w:t>截至2022年</w:t>
      </w:r>
      <w:r>
        <w:rPr>
          <w:rFonts w:hint="eastAsia" w:ascii="仿宋" w:hAnsi="仿宋" w:eastAsia="仿宋" w:cs="仿宋"/>
          <w:color w:val="000000"/>
          <w:sz w:val="32"/>
          <w:szCs w:val="32"/>
        </w:rPr>
        <w:t>12月底，我镇场镇及周边垃圾清运共730车，转运成本控制在200元/车以内，垃圾清运完成率100%，城乡环境得到了有效改善，群众生活幸福指数得到了提高。</w:t>
      </w:r>
    </w:p>
    <w:p>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576" w:lineRule="exact"/>
        <w:ind w:left="0" w:leftChars="0" w:firstLine="640" w:firstLineChars="200"/>
        <w:textAlignment w:val="auto"/>
        <w:rPr>
          <w:rFonts w:ascii="仿宋" w:hAnsi="仿宋" w:eastAsia="仿宋" w:cs="仿宋"/>
          <w:color w:val="000000"/>
          <w:sz w:val="32"/>
          <w:szCs w:val="32"/>
        </w:rPr>
      </w:pPr>
      <w:r>
        <w:rPr>
          <w:rFonts w:hint="eastAsia" w:ascii="楷体" w:hAnsi="楷体" w:eastAsia="楷体" w:cs="楷体"/>
          <w:sz w:val="32"/>
          <w:szCs w:val="32"/>
          <w:lang w:val="zh-CN"/>
        </w:rPr>
        <w:t>项目效益情况。</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leftChars="0"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lang w:val="zh-CN"/>
        </w:rPr>
        <w:t>武连镇</w:t>
      </w:r>
      <w:r>
        <w:rPr>
          <w:rFonts w:hint="eastAsia" w:ascii="仿宋" w:hAnsi="仿宋" w:eastAsia="仿宋" w:cs="仿宋"/>
          <w:color w:val="000000"/>
          <w:sz w:val="32"/>
          <w:szCs w:val="32"/>
        </w:rPr>
        <w:t>垃圾清运及处置项目经费有效改善了我镇的城乡环境，保障了场镇及周边环境干净整洁，给百姓和居民提供了一个优美的生活、工作环境，提高了场镇人民生活幸福指数，群众满意度达到了96%。</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黑体"/>
          <w:sz w:val="32"/>
          <w:szCs w:val="32"/>
          <w:lang w:val="zh-CN"/>
        </w:rPr>
      </w:pPr>
      <w:r>
        <w:rPr>
          <w:rFonts w:hint="eastAsia" w:ascii="黑体" w:hAnsi="黑体" w:eastAsia="黑体" w:cs="黑体"/>
          <w:sz w:val="32"/>
          <w:szCs w:val="32"/>
          <w:lang w:val="zh-CN"/>
        </w:rPr>
        <w:t>四、问题及建议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ascii="华文楷体" w:hAnsi="华文楷体" w:eastAsia="华文楷体" w:cs="华文楷体"/>
          <w:b/>
          <w:bCs/>
          <w:sz w:val="32"/>
          <w:szCs w:val="32"/>
          <w:lang w:val="zh-CN"/>
        </w:rPr>
      </w:pPr>
      <w:r>
        <w:rPr>
          <w:rFonts w:hint="eastAsia" w:ascii="楷体" w:hAnsi="楷体" w:eastAsia="楷体" w:cs="楷体"/>
          <w:sz w:val="32"/>
          <w:szCs w:val="32"/>
          <w:lang w:val="zh-CN"/>
        </w:rPr>
        <w:t>（一）存在的问题。</w:t>
      </w:r>
    </w:p>
    <w:p>
      <w:pPr>
        <w:adjustRightInd w:val="0"/>
        <w:snapToGrid w:val="0"/>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我镇作为边远乡镇，距离广元市垃圾处理厂110多公里，垃圾清运往返成本高昂，场镇环保压力巨大，尚需财政投入更多资金以进一步改善我镇环境面貌，进一步提升我镇群众生活幸福指数。</w:t>
      </w:r>
    </w:p>
    <w:p>
      <w:pPr>
        <w:adjustRightInd w:val="0"/>
        <w:snapToGrid w:val="0"/>
        <w:spacing w:line="576" w:lineRule="exact"/>
        <w:ind w:firstLine="720"/>
        <w:rPr>
          <w:rFonts w:ascii="楷体" w:hAnsi="楷体" w:eastAsia="楷体" w:cs="楷体"/>
          <w:sz w:val="32"/>
          <w:szCs w:val="32"/>
          <w:lang w:val="zh-CN"/>
        </w:rPr>
      </w:pPr>
      <w:r>
        <w:rPr>
          <w:rFonts w:hint="eastAsia" w:ascii="楷体" w:hAnsi="楷体" w:eastAsia="楷体" w:cs="楷体"/>
          <w:sz w:val="32"/>
          <w:szCs w:val="32"/>
          <w:lang w:val="zh-CN"/>
        </w:rPr>
        <w:t>（二）相关建议。</w:t>
      </w:r>
    </w:p>
    <w:p>
      <w:pPr>
        <w:adjustRightInd w:val="0"/>
        <w:snapToGrid w:val="0"/>
        <w:spacing w:line="576" w:lineRule="exact"/>
        <w:ind w:firstLine="640" w:firstLineChars="200"/>
        <w:rPr>
          <w:rFonts w:ascii="仿宋" w:hAnsi="仿宋" w:eastAsia="仿宋" w:cs="仿宋"/>
          <w:color w:val="000000"/>
          <w:sz w:val="32"/>
          <w:szCs w:val="32"/>
          <w:lang w:val="zh-CN"/>
        </w:rPr>
      </w:pPr>
      <w:r>
        <w:rPr>
          <w:rFonts w:hint="eastAsia" w:ascii="仿宋" w:hAnsi="仿宋" w:eastAsia="仿宋" w:cs="仿宋"/>
          <w:color w:val="000000"/>
          <w:sz w:val="32"/>
          <w:szCs w:val="32"/>
        </w:rPr>
        <w:t>建议根据绩效评价结果适当增加我镇垃圾清运及处置经费的预算，进一步改善提升我镇环境面貌，以吸引更多优质企业、成功人士来我镇发展创业投资，真正改变落后偏远的面貌。</w:t>
      </w:r>
    </w:p>
    <w:p>
      <w:pPr>
        <w:adjustRightInd w:val="0"/>
        <w:snapToGrid w:val="0"/>
        <w:spacing w:line="600" w:lineRule="exact"/>
        <w:ind w:firstLine="640" w:firstLineChars="200"/>
        <w:rPr>
          <w:rFonts w:ascii="仿宋" w:hAnsi="仿宋" w:eastAsia="仿宋" w:cs="仿宋"/>
          <w:color w:val="000000"/>
          <w:sz w:val="32"/>
          <w:szCs w:val="32"/>
        </w:rPr>
      </w:pPr>
    </w:p>
    <w:p>
      <w:pPr>
        <w:pStyle w:val="4"/>
        <w:rPr>
          <w:rFonts w:ascii="宋体" w:hAnsi="宋体" w:cs="仿宋_GB2312"/>
        </w:rPr>
      </w:pPr>
    </w:p>
    <w:p>
      <w:pPr>
        <w:pStyle w:val="4"/>
        <w:rPr>
          <w:rFonts w:ascii="宋体" w:hAnsi="宋体" w:cs="仿宋_GB2312"/>
        </w:rPr>
      </w:pPr>
    </w:p>
    <w:p/>
    <w:p>
      <w:pPr>
        <w:pStyle w:val="2"/>
        <w:spacing w:before="93"/>
        <w:rPr>
          <w:rFonts w:asciiTheme="minorHAnsi" w:hAnsiTheme="minorHAnsi"/>
        </w:rPr>
      </w:pPr>
    </w:p>
    <w:tbl>
      <w:tblPr>
        <w:tblStyle w:val="16"/>
        <w:tblW w:w="9040" w:type="dxa"/>
        <w:tblInd w:w="93" w:type="dxa"/>
        <w:tblLayout w:type="autofit"/>
        <w:tblCellMar>
          <w:top w:w="0" w:type="dxa"/>
          <w:left w:w="108" w:type="dxa"/>
          <w:bottom w:w="0" w:type="dxa"/>
          <w:right w:w="108" w:type="dxa"/>
        </w:tblCellMar>
      </w:tblPr>
      <w:tblGrid>
        <w:gridCol w:w="846"/>
        <w:gridCol w:w="894"/>
        <w:gridCol w:w="1371"/>
        <w:gridCol w:w="1209"/>
        <w:gridCol w:w="396"/>
        <w:gridCol w:w="824"/>
        <w:gridCol w:w="1180"/>
        <w:gridCol w:w="2320"/>
      </w:tblGrid>
      <w:tr>
        <w:tblPrEx>
          <w:tblCellMar>
            <w:top w:w="0" w:type="dxa"/>
            <w:left w:w="108" w:type="dxa"/>
            <w:bottom w:w="0" w:type="dxa"/>
            <w:right w:w="108" w:type="dxa"/>
          </w:tblCellMar>
        </w:tblPrEx>
        <w:trPr>
          <w:trHeight w:val="270" w:hRule="atLeast"/>
        </w:trPr>
        <w:tc>
          <w:tcPr>
            <w:tcW w:w="9040" w:type="dxa"/>
            <w:gridSpan w:val="8"/>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hint="eastAsia" w:ascii="黑体" w:hAnsi="黑体" w:eastAsia="黑体" w:cs="黑体"/>
                <w:color w:val="000000"/>
                <w:kern w:val="0"/>
                <w:sz w:val="32"/>
                <w:szCs w:val="32"/>
              </w:rPr>
              <w:t>附表：</w:t>
            </w:r>
          </w:p>
        </w:tc>
      </w:tr>
      <w:tr>
        <w:tblPrEx>
          <w:tblCellMar>
            <w:top w:w="0" w:type="dxa"/>
            <w:left w:w="108" w:type="dxa"/>
            <w:bottom w:w="0" w:type="dxa"/>
            <w:right w:w="108" w:type="dxa"/>
          </w:tblCellMar>
        </w:tblPrEx>
        <w:trPr>
          <w:trHeight w:val="480" w:hRule="atLeast"/>
        </w:trPr>
        <w:tc>
          <w:tcPr>
            <w:tcW w:w="9040" w:type="dxa"/>
            <w:gridSpan w:val="8"/>
            <w:tcBorders>
              <w:top w:val="nil"/>
              <w:left w:val="nil"/>
              <w:bottom w:val="nil"/>
              <w:right w:val="nil"/>
            </w:tcBorders>
            <w:shd w:val="clear" w:color="auto" w:fill="auto"/>
            <w:vAlign w:val="center"/>
          </w:tcPr>
          <w:p>
            <w:pPr>
              <w:widowControl/>
              <w:jc w:val="center"/>
              <w:rPr>
                <w:rFonts w:ascii="仿宋" w:hAnsi="仿宋" w:eastAsia="仿宋" w:cs="宋体"/>
                <w:b/>
                <w:bCs/>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rPr>
              <w:t>202</w:t>
            </w:r>
            <w:r>
              <w:rPr>
                <w:rFonts w:hint="eastAsia" w:ascii="方正小标宋简体" w:hAnsi="方正小标宋简体" w:eastAsia="方正小标宋简体" w:cs="方正小标宋简体"/>
                <w:b w:val="0"/>
                <w:bCs w:val="0"/>
                <w:color w:val="000000"/>
                <w:kern w:val="0"/>
                <w:sz w:val="36"/>
                <w:szCs w:val="36"/>
                <w:lang w:val="en-US" w:eastAsia="zh-CN"/>
              </w:rPr>
              <w:t>2</w:t>
            </w:r>
            <w:r>
              <w:rPr>
                <w:rFonts w:hint="eastAsia" w:ascii="方正小标宋简体" w:hAnsi="方正小标宋简体" w:eastAsia="方正小标宋简体" w:cs="方正小标宋简体"/>
                <w:b w:val="0"/>
                <w:bCs w:val="0"/>
                <w:color w:val="000000"/>
                <w:kern w:val="0"/>
                <w:sz w:val="36"/>
                <w:szCs w:val="36"/>
              </w:rPr>
              <w:t>年垃圾清运及处置费项目绩效目标自评表</w:t>
            </w:r>
            <w:r>
              <w:rPr>
                <w:rFonts w:hint="eastAsia" w:ascii="仿宋" w:hAnsi="仿宋" w:eastAsia="仿宋" w:cs="宋体"/>
                <w:b/>
                <w:bCs/>
                <w:color w:val="000000"/>
                <w:kern w:val="0"/>
                <w:sz w:val="36"/>
                <w:szCs w:val="36"/>
              </w:rPr>
              <w:t xml:space="preserve"> </w:t>
            </w:r>
          </w:p>
        </w:tc>
      </w:tr>
      <w:tr>
        <w:tblPrEx>
          <w:tblCellMar>
            <w:top w:w="0" w:type="dxa"/>
            <w:left w:w="108" w:type="dxa"/>
            <w:bottom w:w="0" w:type="dxa"/>
            <w:right w:w="108" w:type="dxa"/>
          </w:tblCellMar>
        </w:tblPrEx>
        <w:trPr>
          <w:trHeight w:val="345" w:hRule="atLeast"/>
        </w:trPr>
        <w:tc>
          <w:tcPr>
            <w:tcW w:w="9040" w:type="dxa"/>
            <w:gridSpan w:val="8"/>
            <w:tcBorders>
              <w:top w:val="nil"/>
              <w:left w:val="nil"/>
              <w:bottom w:val="single" w:color="auto" w:sz="4" w:space="0"/>
              <w:right w:val="nil"/>
            </w:tcBorders>
            <w:shd w:val="clear" w:color="auto" w:fill="auto"/>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（202</w:t>
            </w:r>
            <w:r>
              <w:rPr>
                <w:rFonts w:hint="eastAsia" w:ascii="仿宋" w:hAnsi="仿宋" w:eastAsia="仿宋" w:cs="宋体"/>
                <w:color w:val="000000"/>
                <w:kern w:val="0"/>
                <w:sz w:val="22"/>
                <w:szCs w:val="22"/>
                <w:lang w:val="en-US" w:eastAsia="zh-CN"/>
              </w:rPr>
              <w:t>2</w:t>
            </w:r>
            <w:r>
              <w:rPr>
                <w:rFonts w:hint="eastAsia" w:ascii="仿宋" w:hAnsi="仿宋" w:eastAsia="仿宋" w:cs="宋体"/>
                <w:color w:val="000000"/>
                <w:kern w:val="0"/>
                <w:sz w:val="22"/>
                <w:szCs w:val="22"/>
              </w:rPr>
              <w:t>年度）</w:t>
            </w:r>
          </w:p>
        </w:tc>
      </w:tr>
      <w:tr>
        <w:tblPrEx>
          <w:tblCellMar>
            <w:top w:w="0" w:type="dxa"/>
            <w:left w:w="108" w:type="dxa"/>
            <w:bottom w:w="0" w:type="dxa"/>
            <w:right w:w="108" w:type="dxa"/>
          </w:tblCellMar>
        </w:tblPrEx>
        <w:trPr>
          <w:trHeight w:val="675" w:hRule="atLeast"/>
        </w:trPr>
        <w:tc>
          <w:tcPr>
            <w:tcW w:w="31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项目名称</w:t>
            </w:r>
          </w:p>
        </w:tc>
        <w:tc>
          <w:tcPr>
            <w:tcW w:w="242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w:t>
            </w:r>
            <w:r>
              <w:rPr>
                <w:rFonts w:hint="eastAsia" w:ascii="仿宋" w:hAnsi="仿宋" w:eastAsia="仿宋" w:cs="宋体"/>
                <w:color w:val="000000"/>
                <w:kern w:val="0"/>
                <w:sz w:val="24"/>
                <w:szCs w:val="24"/>
                <w:lang w:val="en-US" w:eastAsia="zh-CN"/>
              </w:rPr>
              <w:t>2</w:t>
            </w:r>
            <w:r>
              <w:rPr>
                <w:rFonts w:hint="eastAsia" w:ascii="仿宋" w:hAnsi="仿宋" w:eastAsia="仿宋" w:cs="宋体"/>
                <w:color w:val="000000"/>
                <w:kern w:val="0"/>
                <w:sz w:val="24"/>
                <w:szCs w:val="24"/>
              </w:rPr>
              <w:t>年垃圾清运及处置费</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项目负责人</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于天鹏</w:t>
            </w:r>
            <w:bookmarkStart w:id="50" w:name="_GoBack"/>
            <w:bookmarkEnd w:id="50"/>
          </w:p>
        </w:tc>
      </w:tr>
      <w:tr>
        <w:tblPrEx>
          <w:tblCellMar>
            <w:top w:w="0" w:type="dxa"/>
            <w:left w:w="108" w:type="dxa"/>
            <w:bottom w:w="0" w:type="dxa"/>
            <w:right w:w="108" w:type="dxa"/>
          </w:tblCellMar>
        </w:tblPrEx>
        <w:trPr>
          <w:trHeight w:val="474" w:hRule="atLeast"/>
        </w:trPr>
        <w:tc>
          <w:tcPr>
            <w:tcW w:w="31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主管部门</w:t>
            </w:r>
          </w:p>
        </w:tc>
        <w:tc>
          <w:tcPr>
            <w:tcW w:w="242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剑阁县财政局</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实施单位</w:t>
            </w:r>
          </w:p>
        </w:tc>
        <w:tc>
          <w:tcPr>
            <w:tcW w:w="23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剑阁县武连镇人民政府</w:t>
            </w:r>
          </w:p>
        </w:tc>
      </w:tr>
      <w:tr>
        <w:tblPrEx>
          <w:tblCellMar>
            <w:top w:w="0" w:type="dxa"/>
            <w:left w:w="108" w:type="dxa"/>
            <w:bottom w:w="0" w:type="dxa"/>
            <w:right w:w="108" w:type="dxa"/>
          </w:tblCellMar>
        </w:tblPrEx>
        <w:trPr>
          <w:trHeight w:val="425" w:hRule="atLeast"/>
        </w:trPr>
        <w:tc>
          <w:tcPr>
            <w:tcW w:w="311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项目预算</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执行情况</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（万元）</w:t>
            </w:r>
          </w:p>
        </w:tc>
        <w:tc>
          <w:tcPr>
            <w:tcW w:w="242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全年预算数（A）</w:t>
            </w:r>
          </w:p>
        </w:tc>
        <w:tc>
          <w:tcPr>
            <w:tcW w:w="35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全年执行数（B）</w:t>
            </w:r>
          </w:p>
        </w:tc>
      </w:tr>
      <w:tr>
        <w:tblPrEx>
          <w:tblCellMar>
            <w:top w:w="0" w:type="dxa"/>
            <w:left w:w="108" w:type="dxa"/>
            <w:bottom w:w="0" w:type="dxa"/>
            <w:right w:w="108" w:type="dxa"/>
          </w:tblCellMar>
        </w:tblPrEx>
        <w:trPr>
          <w:trHeight w:val="570" w:hRule="atLeast"/>
        </w:trPr>
        <w:tc>
          <w:tcPr>
            <w:tcW w:w="311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2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年度资金总额：</w:t>
            </w:r>
          </w:p>
        </w:tc>
        <w:tc>
          <w:tcPr>
            <w:tcW w:w="12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30.38</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年度资金总额：</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29.43</w:t>
            </w:r>
          </w:p>
        </w:tc>
      </w:tr>
      <w:tr>
        <w:tblPrEx>
          <w:tblCellMar>
            <w:top w:w="0" w:type="dxa"/>
            <w:left w:w="108" w:type="dxa"/>
            <w:bottom w:w="0" w:type="dxa"/>
            <w:right w:w="108" w:type="dxa"/>
          </w:tblCellMar>
        </w:tblPrEx>
        <w:trPr>
          <w:trHeight w:val="585" w:hRule="atLeast"/>
        </w:trPr>
        <w:tc>
          <w:tcPr>
            <w:tcW w:w="311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2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其中：本年财政拨款</w:t>
            </w:r>
          </w:p>
        </w:tc>
        <w:tc>
          <w:tcPr>
            <w:tcW w:w="12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30.38</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其中：本年财政拨款</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29.43</w:t>
            </w:r>
          </w:p>
        </w:tc>
      </w:tr>
      <w:tr>
        <w:tblPrEx>
          <w:tblCellMar>
            <w:top w:w="0" w:type="dxa"/>
            <w:left w:w="108" w:type="dxa"/>
            <w:bottom w:w="0" w:type="dxa"/>
            <w:right w:w="108" w:type="dxa"/>
          </w:tblCellMar>
        </w:tblPrEx>
        <w:trPr>
          <w:trHeight w:val="465" w:hRule="atLeast"/>
        </w:trPr>
        <w:tc>
          <w:tcPr>
            <w:tcW w:w="311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2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其他资金</w:t>
            </w:r>
          </w:p>
        </w:tc>
        <w:tc>
          <w:tcPr>
            <w:tcW w:w="12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0</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其他资金</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0</w:t>
            </w:r>
          </w:p>
        </w:tc>
      </w:tr>
      <w:tr>
        <w:tblPrEx>
          <w:tblCellMar>
            <w:top w:w="0" w:type="dxa"/>
            <w:left w:w="108" w:type="dxa"/>
            <w:bottom w:w="0" w:type="dxa"/>
            <w:right w:w="108" w:type="dxa"/>
          </w:tblCellMar>
        </w:tblPrEx>
        <w:trPr>
          <w:trHeight w:val="510" w:hRule="atLeast"/>
        </w:trPr>
        <w:tc>
          <w:tcPr>
            <w:tcW w:w="84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年度总体目标完成情况</w:t>
            </w:r>
          </w:p>
        </w:tc>
        <w:tc>
          <w:tcPr>
            <w:tcW w:w="469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预期目标</w:t>
            </w:r>
          </w:p>
        </w:tc>
        <w:tc>
          <w:tcPr>
            <w:tcW w:w="350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目标实际完成情况</w:t>
            </w:r>
          </w:p>
        </w:tc>
      </w:tr>
      <w:tr>
        <w:tblPrEx>
          <w:tblCellMar>
            <w:top w:w="0" w:type="dxa"/>
            <w:left w:w="108" w:type="dxa"/>
            <w:bottom w:w="0" w:type="dxa"/>
            <w:right w:w="108" w:type="dxa"/>
          </w:tblCellMar>
        </w:tblPrEx>
        <w:trPr>
          <w:trHeight w:val="675" w:hRule="atLeast"/>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694"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保障场镇及周边的优美环境，清运垃圾。</w:t>
            </w:r>
          </w:p>
        </w:tc>
        <w:tc>
          <w:tcPr>
            <w:tcW w:w="350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做到场镇及周边的优美环境，清运垃圾及时到位。</w:t>
            </w:r>
          </w:p>
        </w:tc>
      </w:tr>
      <w:tr>
        <w:tblPrEx>
          <w:tblCellMar>
            <w:top w:w="0" w:type="dxa"/>
            <w:left w:w="108" w:type="dxa"/>
            <w:bottom w:w="0" w:type="dxa"/>
            <w:right w:w="108" w:type="dxa"/>
          </w:tblCellMar>
        </w:tblPrEx>
        <w:trPr>
          <w:trHeight w:val="630" w:hRule="atLeast"/>
        </w:trPr>
        <w:tc>
          <w:tcPr>
            <w:tcW w:w="84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年度绩效指标</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完成情况</w:t>
            </w:r>
          </w:p>
        </w:tc>
        <w:tc>
          <w:tcPr>
            <w:tcW w:w="8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一级</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指标</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二级指标</w:t>
            </w:r>
          </w:p>
        </w:tc>
        <w:tc>
          <w:tcPr>
            <w:tcW w:w="16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三级指标</w:t>
            </w:r>
          </w:p>
        </w:tc>
        <w:tc>
          <w:tcPr>
            <w:tcW w:w="200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预期指标值</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实际完成指标值</w:t>
            </w:r>
          </w:p>
        </w:tc>
      </w:tr>
      <w:tr>
        <w:tblPrEx>
          <w:tblCellMar>
            <w:top w:w="0" w:type="dxa"/>
            <w:left w:w="108" w:type="dxa"/>
            <w:bottom w:w="0" w:type="dxa"/>
            <w:right w:w="108" w:type="dxa"/>
          </w:tblCellMar>
        </w:tblPrEx>
        <w:trPr>
          <w:trHeight w:val="525" w:hRule="atLeast"/>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完成</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指标</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数量指标</w:t>
            </w:r>
          </w:p>
        </w:tc>
        <w:tc>
          <w:tcPr>
            <w:tcW w:w="16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垃圾清运（车）</w:t>
            </w:r>
          </w:p>
        </w:tc>
        <w:tc>
          <w:tcPr>
            <w:tcW w:w="200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730</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730</w:t>
            </w:r>
          </w:p>
        </w:tc>
      </w:tr>
      <w:tr>
        <w:tblPrEx>
          <w:tblCellMar>
            <w:top w:w="0" w:type="dxa"/>
            <w:left w:w="108" w:type="dxa"/>
            <w:bottom w:w="0" w:type="dxa"/>
            <w:right w:w="108" w:type="dxa"/>
          </w:tblCellMar>
        </w:tblPrEx>
        <w:trPr>
          <w:trHeight w:val="525" w:hRule="atLeast"/>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质量指标</w:t>
            </w:r>
          </w:p>
        </w:tc>
        <w:tc>
          <w:tcPr>
            <w:tcW w:w="160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环境卫生质量</w:t>
            </w:r>
          </w:p>
        </w:tc>
        <w:tc>
          <w:tcPr>
            <w:tcW w:w="200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优</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优</w:t>
            </w:r>
          </w:p>
        </w:tc>
      </w:tr>
      <w:tr>
        <w:tblPrEx>
          <w:tblCellMar>
            <w:top w:w="0" w:type="dxa"/>
            <w:left w:w="108" w:type="dxa"/>
            <w:bottom w:w="0" w:type="dxa"/>
            <w:right w:w="108" w:type="dxa"/>
          </w:tblCellMar>
        </w:tblPrEx>
        <w:trPr>
          <w:trHeight w:val="450" w:hRule="atLeast"/>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时效指标</w:t>
            </w:r>
          </w:p>
        </w:tc>
        <w:tc>
          <w:tcPr>
            <w:tcW w:w="16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完成时间</w:t>
            </w:r>
          </w:p>
        </w:tc>
        <w:tc>
          <w:tcPr>
            <w:tcW w:w="200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w:t>
            </w:r>
            <w:r>
              <w:rPr>
                <w:rFonts w:hint="eastAsia" w:ascii="仿宋" w:hAnsi="仿宋" w:eastAsia="仿宋" w:cs="宋体"/>
                <w:color w:val="000000"/>
                <w:kern w:val="0"/>
                <w:sz w:val="24"/>
                <w:szCs w:val="24"/>
                <w:lang w:val="en-US" w:eastAsia="zh-CN"/>
              </w:rPr>
              <w:t>2</w:t>
            </w:r>
            <w:r>
              <w:rPr>
                <w:rFonts w:hint="eastAsia" w:ascii="仿宋" w:hAnsi="仿宋" w:eastAsia="仿宋" w:cs="宋体"/>
                <w:color w:val="000000"/>
                <w:kern w:val="0"/>
                <w:sz w:val="24"/>
                <w:szCs w:val="24"/>
              </w:rPr>
              <w:t>年12月底</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w:t>
            </w:r>
            <w:r>
              <w:rPr>
                <w:rFonts w:hint="eastAsia" w:ascii="仿宋" w:hAnsi="仿宋" w:eastAsia="仿宋" w:cs="宋体"/>
                <w:color w:val="000000"/>
                <w:kern w:val="0"/>
                <w:sz w:val="24"/>
                <w:szCs w:val="24"/>
                <w:lang w:val="en-US" w:eastAsia="zh-CN"/>
              </w:rPr>
              <w:t>2</w:t>
            </w:r>
            <w:r>
              <w:rPr>
                <w:rFonts w:hint="eastAsia" w:ascii="仿宋" w:hAnsi="仿宋" w:eastAsia="仿宋" w:cs="宋体"/>
                <w:color w:val="000000"/>
                <w:kern w:val="0"/>
                <w:sz w:val="24"/>
                <w:szCs w:val="24"/>
              </w:rPr>
              <w:t>年12月底</w:t>
            </w:r>
          </w:p>
        </w:tc>
      </w:tr>
      <w:tr>
        <w:tblPrEx>
          <w:tblCellMar>
            <w:top w:w="0" w:type="dxa"/>
            <w:left w:w="108" w:type="dxa"/>
            <w:bottom w:w="0" w:type="dxa"/>
            <w:right w:w="108" w:type="dxa"/>
          </w:tblCellMar>
        </w:tblPrEx>
        <w:trPr>
          <w:trHeight w:val="435" w:hRule="atLeast"/>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成本指标</w:t>
            </w:r>
          </w:p>
        </w:tc>
        <w:tc>
          <w:tcPr>
            <w:tcW w:w="16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转运成本</w:t>
            </w:r>
          </w:p>
        </w:tc>
        <w:tc>
          <w:tcPr>
            <w:tcW w:w="200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≤10.28万元</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≤10.28万元</w:t>
            </w:r>
          </w:p>
        </w:tc>
      </w:tr>
      <w:tr>
        <w:tblPrEx>
          <w:tblCellMar>
            <w:top w:w="0" w:type="dxa"/>
            <w:left w:w="108" w:type="dxa"/>
            <w:bottom w:w="0" w:type="dxa"/>
            <w:right w:w="108" w:type="dxa"/>
          </w:tblCellMar>
        </w:tblPrEx>
        <w:trPr>
          <w:trHeight w:val="384" w:hRule="atLeast"/>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效益</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指标</w:t>
            </w:r>
          </w:p>
        </w:tc>
        <w:tc>
          <w:tcPr>
            <w:tcW w:w="1371" w:type="dxa"/>
            <w:tcBorders>
              <w:top w:val="nil"/>
              <w:left w:val="nil"/>
              <w:bottom w:val="single" w:color="auto" w:sz="4" w:space="0"/>
              <w:right w:val="nil"/>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经济效益</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指标</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0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3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786" w:hRule="atLeast"/>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371" w:type="dxa"/>
            <w:tcBorders>
              <w:top w:val="nil"/>
              <w:left w:val="nil"/>
              <w:bottom w:val="single" w:color="auto" w:sz="4" w:space="0"/>
              <w:right w:val="nil"/>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社会效益</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指标</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城乡环境卫生</w:t>
            </w:r>
          </w:p>
        </w:tc>
        <w:tc>
          <w:tcPr>
            <w:tcW w:w="200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有效改善城乡</w:t>
            </w:r>
            <w:r>
              <w:rPr>
                <w:rFonts w:hint="eastAsia" w:ascii="仿宋" w:hAnsi="仿宋" w:eastAsia="仿宋" w:cs="宋体"/>
                <w:kern w:val="0"/>
                <w:sz w:val="24"/>
                <w:szCs w:val="24"/>
                <w:lang w:eastAsia="zh-CN"/>
              </w:rPr>
              <w:t>环境</w:t>
            </w:r>
            <w:r>
              <w:rPr>
                <w:rFonts w:hint="eastAsia" w:ascii="仿宋" w:hAnsi="仿宋" w:eastAsia="仿宋" w:cs="宋体"/>
                <w:kern w:val="0"/>
                <w:sz w:val="24"/>
                <w:szCs w:val="24"/>
              </w:rPr>
              <w:t>，提升群众生活幸福指数</w:t>
            </w:r>
          </w:p>
        </w:tc>
        <w:tc>
          <w:tcPr>
            <w:tcW w:w="23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有效改善城乡环境，提升群众生活幸福指数</w:t>
            </w:r>
          </w:p>
        </w:tc>
      </w:tr>
      <w:tr>
        <w:tblPrEx>
          <w:tblCellMar>
            <w:top w:w="0" w:type="dxa"/>
            <w:left w:w="108" w:type="dxa"/>
            <w:bottom w:w="0" w:type="dxa"/>
            <w:right w:w="108" w:type="dxa"/>
          </w:tblCellMar>
        </w:tblPrEx>
        <w:trPr>
          <w:trHeight w:val="495" w:hRule="atLeast"/>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生态效益</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指标</w:t>
            </w:r>
          </w:p>
        </w:tc>
        <w:tc>
          <w:tcPr>
            <w:tcW w:w="1605"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0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23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525" w:hRule="atLeast"/>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371" w:type="dxa"/>
            <w:tcBorders>
              <w:top w:val="nil"/>
              <w:left w:val="nil"/>
              <w:bottom w:val="single" w:color="auto" w:sz="4" w:space="0"/>
              <w:right w:val="nil"/>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可持续影响指标</w:t>
            </w:r>
          </w:p>
        </w:tc>
        <w:tc>
          <w:tcPr>
            <w:tcW w:w="1605" w:type="dxa"/>
            <w:gridSpan w:val="2"/>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0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3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702" w:hRule="atLeast"/>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8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满意度指标</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服务对象</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满意度指标</w:t>
            </w:r>
          </w:p>
        </w:tc>
        <w:tc>
          <w:tcPr>
            <w:tcW w:w="16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群众满意度</w:t>
            </w:r>
          </w:p>
        </w:tc>
        <w:tc>
          <w:tcPr>
            <w:tcW w:w="200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≥95%</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≥95%</w:t>
            </w:r>
          </w:p>
        </w:tc>
      </w:tr>
    </w:tbl>
    <w:p>
      <w:pPr>
        <w:pStyle w:val="4"/>
        <w:jc w:val="center"/>
        <w:rPr>
          <w:rFonts w:ascii="宋体" w:hAnsi="宋体" w:cs="仿宋_GB2312"/>
        </w:rPr>
      </w:pPr>
      <w:r>
        <w:rPr>
          <w:rFonts w:hint="eastAsia" w:ascii="宋体" w:hAnsi="宋体" w:cs="仿宋_GB2312"/>
        </w:rPr>
        <w:t>第五部分     附表</w:t>
      </w:r>
    </w:p>
    <w:bookmarkEnd w:id="49"/>
    <w:p>
      <w:pPr>
        <w:widowControl/>
        <w:shd w:val="clear" w:color="auto" w:fill="FFFFFF"/>
        <w:spacing w:line="540" w:lineRule="atLeast"/>
        <w:ind w:firstLine="720"/>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一、收入支出决算总表</w:t>
      </w:r>
    </w:p>
    <w:p>
      <w:pPr>
        <w:widowControl/>
        <w:shd w:val="clear" w:color="auto" w:fill="FFFFFF"/>
        <w:spacing w:line="540" w:lineRule="atLeast"/>
        <w:ind w:firstLine="720"/>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二、收入决算表</w:t>
      </w:r>
    </w:p>
    <w:p>
      <w:pPr>
        <w:widowControl/>
        <w:shd w:val="clear" w:color="auto" w:fill="FFFFFF"/>
        <w:spacing w:line="540" w:lineRule="atLeast"/>
        <w:ind w:firstLine="720"/>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三、支出决算表</w:t>
      </w:r>
    </w:p>
    <w:p>
      <w:pPr>
        <w:widowControl/>
        <w:shd w:val="clear" w:color="auto" w:fill="FFFFFF"/>
        <w:spacing w:line="540" w:lineRule="atLeast"/>
        <w:ind w:firstLine="720"/>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四、财政拨款收入支出决算总表</w:t>
      </w:r>
    </w:p>
    <w:p>
      <w:pPr>
        <w:widowControl/>
        <w:shd w:val="clear" w:color="auto" w:fill="FFFFFF"/>
        <w:spacing w:line="540" w:lineRule="atLeast"/>
        <w:ind w:firstLine="720"/>
        <w:rPr>
          <w:rFonts w:ascii="宋体" w:hAnsi="宋体" w:cs="仿宋_GB2312"/>
          <w:kern w:val="0"/>
          <w:sz w:val="32"/>
          <w:szCs w:val="32"/>
          <w:shd w:val="clear" w:color="auto" w:fill="FFFFFF"/>
        </w:rPr>
      </w:pPr>
      <w:r>
        <w:rPr>
          <w:rFonts w:hint="eastAsia" w:ascii="黑体" w:hAnsi="黑体" w:eastAsia="黑体" w:cs="黑体"/>
          <w:bCs/>
          <w:kern w:val="0"/>
          <w:sz w:val="32"/>
          <w:szCs w:val="32"/>
          <w:shd w:val="clear" w:color="auto" w:fill="FFFFFF"/>
        </w:rPr>
        <w:t>五、财政拨款支出决算明细表</w:t>
      </w:r>
    </w:p>
    <w:p>
      <w:pPr>
        <w:widowControl/>
        <w:shd w:val="clear" w:color="auto" w:fill="FFFFFF"/>
        <w:spacing w:line="540" w:lineRule="atLeast"/>
        <w:ind w:firstLine="720"/>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六、一般公共预算财政拨款支出决算表</w:t>
      </w:r>
    </w:p>
    <w:p>
      <w:pPr>
        <w:widowControl/>
        <w:shd w:val="clear" w:color="auto" w:fill="FFFFFF"/>
        <w:spacing w:line="540" w:lineRule="atLeast"/>
        <w:ind w:firstLine="720"/>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七、一般公共预算财政拨款支出决算明细表</w:t>
      </w:r>
    </w:p>
    <w:p>
      <w:pPr>
        <w:widowControl/>
        <w:shd w:val="clear" w:color="auto" w:fill="FFFFFF"/>
        <w:spacing w:line="540" w:lineRule="atLeast"/>
        <w:ind w:firstLine="720"/>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八、一般公共预算财政拨款基本支出决算表</w:t>
      </w:r>
    </w:p>
    <w:p>
      <w:pPr>
        <w:widowControl/>
        <w:shd w:val="clear" w:color="auto" w:fill="FFFFFF"/>
        <w:spacing w:line="540" w:lineRule="atLeast"/>
        <w:ind w:firstLine="720"/>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九、一般公共预算财政拨款项目支出决算表</w:t>
      </w:r>
    </w:p>
    <w:p>
      <w:pPr>
        <w:widowControl/>
        <w:shd w:val="clear" w:color="auto" w:fill="FFFFFF"/>
        <w:spacing w:line="540" w:lineRule="atLeast"/>
        <w:ind w:firstLine="720"/>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十、一般公共预算财政拨款“三公”经费支出决算表</w:t>
      </w:r>
    </w:p>
    <w:p>
      <w:pPr>
        <w:widowControl/>
        <w:shd w:val="clear" w:color="auto" w:fill="FFFFFF"/>
        <w:spacing w:line="540" w:lineRule="atLeast"/>
        <w:ind w:firstLine="720"/>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十一、政府性基金预算财政拨款收入支出决算表</w:t>
      </w:r>
    </w:p>
    <w:p>
      <w:pPr>
        <w:widowControl/>
        <w:shd w:val="clear" w:color="auto" w:fill="FFFFFF"/>
        <w:spacing w:line="540" w:lineRule="atLeast"/>
        <w:ind w:firstLine="720"/>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十二、政府性基金预算财政拨款“三公”经费支出决算表</w:t>
      </w:r>
    </w:p>
    <w:p>
      <w:pPr>
        <w:widowControl/>
        <w:shd w:val="clear" w:color="auto" w:fill="FFFFFF"/>
        <w:spacing w:line="540" w:lineRule="atLeast"/>
        <w:ind w:firstLine="720"/>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十三、国有资本经营预算财政拨款收入支出决算表</w:t>
      </w:r>
    </w:p>
    <w:p>
      <w:pPr>
        <w:widowControl/>
        <w:shd w:val="clear" w:color="auto" w:fill="FFFFFF"/>
        <w:spacing w:line="540" w:lineRule="atLeast"/>
        <w:ind w:firstLine="720"/>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十四、国有资本经营预算财政拨款支出决算表</w:t>
      </w:r>
    </w:p>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华文楷体">
    <w:altName w:val="方正楷体_GBK"/>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cs="Times New Roman"/>
      </w:rPr>
    </w:pPr>
  </w:p>
  <w:p>
    <w:pPr>
      <w:pStyle w:val="1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false" upright="tru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s0lY7tAA&#10;AAAFAQAADwAAAAAAAAABACAAAAA4AAAAZHJzL2Rvd25yZXYueG1sUEsBAhQAFAAAAAgAh07iQPZn&#10;F0/YAQAAkQMAAA4AAAAAAAAAAQAgAAAANQEAAGRycy9lMm9Eb2MueG1sUEsFBgAAAAAGAAYAWQEA&#10;AH8FAAAAAA==&#10;">
              <v:fill on="f" focussize="0,0"/>
              <v:stroke on="f" weight="0.5pt"/>
              <v:imagedata o:title=""/>
              <o:lock v:ext="edit" aspectratio="f"/>
              <v:textbox inset="0mm,0mm,0mm,0mm" style="mso-fit-shape-to-text:t;">
                <w:txbxContent>
                  <w:p>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1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b/>
      </w:rPr>
    </w:lvl>
  </w:abstractNum>
  <w:abstractNum w:abstractNumId="1">
    <w:nsid w:val="79CE2E01"/>
    <w:multiLevelType w:val="singleLevel"/>
    <w:tmpl w:val="79CE2E01"/>
    <w:lvl w:ilvl="0" w:tentative="0">
      <w:start w:val="2"/>
      <w:numFmt w:val="chineseCounting"/>
      <w:suff w:val="nothing"/>
      <w:lvlText w:val="（%1）"/>
      <w:lvlJc w:val="left"/>
      <w:pPr>
        <w:ind w:left="-9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HorizontalSpacing w:val="105"/>
  <w:drawingGridVerticalSpacing w:val="156"/>
  <w:noPunctuationKerning w:val="true"/>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5411A"/>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8A8"/>
    <w:rsid w:val="0011398D"/>
    <w:rsid w:val="00114E9B"/>
    <w:rsid w:val="00131095"/>
    <w:rsid w:val="00142216"/>
    <w:rsid w:val="00144D6A"/>
    <w:rsid w:val="00145DFA"/>
    <w:rsid w:val="0014729F"/>
    <w:rsid w:val="001473F7"/>
    <w:rsid w:val="00151806"/>
    <w:rsid w:val="00156C69"/>
    <w:rsid w:val="00157BAB"/>
    <w:rsid w:val="001654D1"/>
    <w:rsid w:val="00174518"/>
    <w:rsid w:val="0018106D"/>
    <w:rsid w:val="001877A7"/>
    <w:rsid w:val="00191536"/>
    <w:rsid w:val="00196687"/>
    <w:rsid w:val="001A33D4"/>
    <w:rsid w:val="001B6B1E"/>
    <w:rsid w:val="001C0962"/>
    <w:rsid w:val="001D6227"/>
    <w:rsid w:val="001D7531"/>
    <w:rsid w:val="001E737D"/>
    <w:rsid w:val="001F0592"/>
    <w:rsid w:val="001F320A"/>
    <w:rsid w:val="001F7506"/>
    <w:rsid w:val="002006CD"/>
    <w:rsid w:val="00202B36"/>
    <w:rsid w:val="00204B7A"/>
    <w:rsid w:val="00204CDE"/>
    <w:rsid w:val="00210C58"/>
    <w:rsid w:val="0021101A"/>
    <w:rsid w:val="00220536"/>
    <w:rsid w:val="00226F13"/>
    <w:rsid w:val="00235629"/>
    <w:rsid w:val="00260C38"/>
    <w:rsid w:val="00260C60"/>
    <w:rsid w:val="002616C0"/>
    <w:rsid w:val="00265372"/>
    <w:rsid w:val="002662AA"/>
    <w:rsid w:val="0027720F"/>
    <w:rsid w:val="00280496"/>
    <w:rsid w:val="00294453"/>
    <w:rsid w:val="00294DC9"/>
    <w:rsid w:val="00295495"/>
    <w:rsid w:val="002A1342"/>
    <w:rsid w:val="002A31DE"/>
    <w:rsid w:val="002B2613"/>
    <w:rsid w:val="002B2A29"/>
    <w:rsid w:val="002D19B0"/>
    <w:rsid w:val="002D6D05"/>
    <w:rsid w:val="002F1818"/>
    <w:rsid w:val="002F43DE"/>
    <w:rsid w:val="002F4E55"/>
    <w:rsid w:val="002F567B"/>
    <w:rsid w:val="003216A9"/>
    <w:rsid w:val="00335A74"/>
    <w:rsid w:val="0036561B"/>
    <w:rsid w:val="00366C02"/>
    <w:rsid w:val="0037013F"/>
    <w:rsid w:val="00380C92"/>
    <w:rsid w:val="003A1D4E"/>
    <w:rsid w:val="003A484F"/>
    <w:rsid w:val="003A4883"/>
    <w:rsid w:val="003B0BE0"/>
    <w:rsid w:val="003B0C1B"/>
    <w:rsid w:val="003B67BD"/>
    <w:rsid w:val="003B688C"/>
    <w:rsid w:val="003C0291"/>
    <w:rsid w:val="003C39AE"/>
    <w:rsid w:val="003C7B60"/>
    <w:rsid w:val="003D0C0F"/>
    <w:rsid w:val="003D1FB2"/>
    <w:rsid w:val="003D66DA"/>
    <w:rsid w:val="003E1310"/>
    <w:rsid w:val="003E6F55"/>
    <w:rsid w:val="00401CF3"/>
    <w:rsid w:val="00406254"/>
    <w:rsid w:val="00416204"/>
    <w:rsid w:val="00416CD4"/>
    <w:rsid w:val="004223DE"/>
    <w:rsid w:val="00434489"/>
    <w:rsid w:val="00437085"/>
    <w:rsid w:val="00443880"/>
    <w:rsid w:val="004464F4"/>
    <w:rsid w:val="00471401"/>
    <w:rsid w:val="00473F31"/>
    <w:rsid w:val="0048263A"/>
    <w:rsid w:val="00484162"/>
    <w:rsid w:val="00487E5D"/>
    <w:rsid w:val="004A1A0F"/>
    <w:rsid w:val="004A711F"/>
    <w:rsid w:val="004B199D"/>
    <w:rsid w:val="004B4690"/>
    <w:rsid w:val="004E0A2D"/>
    <w:rsid w:val="004E206B"/>
    <w:rsid w:val="004E5B6C"/>
    <w:rsid w:val="004E6DF7"/>
    <w:rsid w:val="004F0FBD"/>
    <w:rsid w:val="004F403E"/>
    <w:rsid w:val="00505A47"/>
    <w:rsid w:val="00512FDA"/>
    <w:rsid w:val="00520DA0"/>
    <w:rsid w:val="005342A0"/>
    <w:rsid w:val="005664BB"/>
    <w:rsid w:val="005668C7"/>
    <w:rsid w:val="00566FFA"/>
    <w:rsid w:val="0057481D"/>
    <w:rsid w:val="00575F0B"/>
    <w:rsid w:val="0058486E"/>
    <w:rsid w:val="00585B33"/>
    <w:rsid w:val="0059014D"/>
    <w:rsid w:val="005B09A7"/>
    <w:rsid w:val="005B5C64"/>
    <w:rsid w:val="005C6BD0"/>
    <w:rsid w:val="005C6C4C"/>
    <w:rsid w:val="005D1C8B"/>
    <w:rsid w:val="005D468D"/>
    <w:rsid w:val="005D5CED"/>
    <w:rsid w:val="005E7F6F"/>
    <w:rsid w:val="005F1A4C"/>
    <w:rsid w:val="00605688"/>
    <w:rsid w:val="006070AF"/>
    <w:rsid w:val="00607E6C"/>
    <w:rsid w:val="00607FA1"/>
    <w:rsid w:val="006101B1"/>
    <w:rsid w:val="00614E44"/>
    <w:rsid w:val="0062270A"/>
    <w:rsid w:val="00622830"/>
    <w:rsid w:val="00623DA0"/>
    <w:rsid w:val="00625E33"/>
    <w:rsid w:val="00630AEF"/>
    <w:rsid w:val="006325F8"/>
    <w:rsid w:val="00633463"/>
    <w:rsid w:val="00634C9A"/>
    <w:rsid w:val="006440E4"/>
    <w:rsid w:val="00650705"/>
    <w:rsid w:val="00651D51"/>
    <w:rsid w:val="0066343B"/>
    <w:rsid w:val="00663C09"/>
    <w:rsid w:val="00664777"/>
    <w:rsid w:val="006748A4"/>
    <w:rsid w:val="00681A31"/>
    <w:rsid w:val="00683E73"/>
    <w:rsid w:val="006A3141"/>
    <w:rsid w:val="006A5E34"/>
    <w:rsid w:val="006B2422"/>
    <w:rsid w:val="006B2B9A"/>
    <w:rsid w:val="006B4E85"/>
    <w:rsid w:val="006B732E"/>
    <w:rsid w:val="006C1937"/>
    <w:rsid w:val="006E0417"/>
    <w:rsid w:val="006E43C2"/>
    <w:rsid w:val="006F020C"/>
    <w:rsid w:val="006F2F08"/>
    <w:rsid w:val="00700838"/>
    <w:rsid w:val="007127B7"/>
    <w:rsid w:val="0071798E"/>
    <w:rsid w:val="00727533"/>
    <w:rsid w:val="00740052"/>
    <w:rsid w:val="007416B6"/>
    <w:rsid w:val="00746F48"/>
    <w:rsid w:val="0075404D"/>
    <w:rsid w:val="007544B3"/>
    <w:rsid w:val="0076182A"/>
    <w:rsid w:val="00767B7E"/>
    <w:rsid w:val="007704D0"/>
    <w:rsid w:val="007740C9"/>
    <w:rsid w:val="007770C3"/>
    <w:rsid w:val="00784D24"/>
    <w:rsid w:val="00785FBA"/>
    <w:rsid w:val="00786E4A"/>
    <w:rsid w:val="007875EB"/>
    <w:rsid w:val="00790072"/>
    <w:rsid w:val="0079426B"/>
    <w:rsid w:val="007B06AF"/>
    <w:rsid w:val="007B763B"/>
    <w:rsid w:val="007D1682"/>
    <w:rsid w:val="007D312A"/>
    <w:rsid w:val="007D3F19"/>
    <w:rsid w:val="007E23B0"/>
    <w:rsid w:val="007E79B6"/>
    <w:rsid w:val="007F1991"/>
    <w:rsid w:val="007F2C2F"/>
    <w:rsid w:val="007F55FC"/>
    <w:rsid w:val="007F5665"/>
    <w:rsid w:val="00800112"/>
    <w:rsid w:val="00800DA0"/>
    <w:rsid w:val="00813348"/>
    <w:rsid w:val="00816FE4"/>
    <w:rsid w:val="008253BB"/>
    <w:rsid w:val="00833962"/>
    <w:rsid w:val="0083706E"/>
    <w:rsid w:val="008408F6"/>
    <w:rsid w:val="008423A5"/>
    <w:rsid w:val="00850625"/>
    <w:rsid w:val="00853718"/>
    <w:rsid w:val="00855221"/>
    <w:rsid w:val="00860645"/>
    <w:rsid w:val="00861DAF"/>
    <w:rsid w:val="00871F71"/>
    <w:rsid w:val="00872FD8"/>
    <w:rsid w:val="00874922"/>
    <w:rsid w:val="00885AF4"/>
    <w:rsid w:val="008939CD"/>
    <w:rsid w:val="008944B9"/>
    <w:rsid w:val="008B768C"/>
    <w:rsid w:val="008C4DB1"/>
    <w:rsid w:val="008C4EAF"/>
    <w:rsid w:val="008C5176"/>
    <w:rsid w:val="008C7FD0"/>
    <w:rsid w:val="008D7D90"/>
    <w:rsid w:val="008E1DE7"/>
    <w:rsid w:val="008E4FE8"/>
    <w:rsid w:val="008E707C"/>
    <w:rsid w:val="008F55B1"/>
    <w:rsid w:val="008F63E3"/>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127D"/>
    <w:rsid w:val="0098660A"/>
    <w:rsid w:val="009931C3"/>
    <w:rsid w:val="009953E8"/>
    <w:rsid w:val="009B2C43"/>
    <w:rsid w:val="009B4EAE"/>
    <w:rsid w:val="009B7573"/>
    <w:rsid w:val="009C22F4"/>
    <w:rsid w:val="009C2E98"/>
    <w:rsid w:val="009C37FB"/>
    <w:rsid w:val="009D3226"/>
    <w:rsid w:val="009D3447"/>
    <w:rsid w:val="009D4711"/>
    <w:rsid w:val="009E162F"/>
    <w:rsid w:val="009F1185"/>
    <w:rsid w:val="009F18CD"/>
    <w:rsid w:val="009F2A13"/>
    <w:rsid w:val="009F7527"/>
    <w:rsid w:val="00A039ED"/>
    <w:rsid w:val="00A04EB0"/>
    <w:rsid w:val="00A0679A"/>
    <w:rsid w:val="00A13CC1"/>
    <w:rsid w:val="00A16847"/>
    <w:rsid w:val="00A237D8"/>
    <w:rsid w:val="00A268C4"/>
    <w:rsid w:val="00A307CD"/>
    <w:rsid w:val="00A331C8"/>
    <w:rsid w:val="00A35117"/>
    <w:rsid w:val="00A359D9"/>
    <w:rsid w:val="00A40A00"/>
    <w:rsid w:val="00A4142F"/>
    <w:rsid w:val="00A422EB"/>
    <w:rsid w:val="00A45BB7"/>
    <w:rsid w:val="00A56DF2"/>
    <w:rsid w:val="00A56E6E"/>
    <w:rsid w:val="00A66A8F"/>
    <w:rsid w:val="00A67AB5"/>
    <w:rsid w:val="00A71236"/>
    <w:rsid w:val="00A733B2"/>
    <w:rsid w:val="00A741C2"/>
    <w:rsid w:val="00A87F45"/>
    <w:rsid w:val="00A91760"/>
    <w:rsid w:val="00A93B00"/>
    <w:rsid w:val="00A93C21"/>
    <w:rsid w:val="00AA40DD"/>
    <w:rsid w:val="00AB64C9"/>
    <w:rsid w:val="00AC3C6A"/>
    <w:rsid w:val="00AD0F83"/>
    <w:rsid w:val="00AD5620"/>
    <w:rsid w:val="00AD656B"/>
    <w:rsid w:val="00AD7C1B"/>
    <w:rsid w:val="00AE16BA"/>
    <w:rsid w:val="00AE1EBE"/>
    <w:rsid w:val="00B03C9D"/>
    <w:rsid w:val="00B05649"/>
    <w:rsid w:val="00B060AE"/>
    <w:rsid w:val="00B10517"/>
    <w:rsid w:val="00B14E76"/>
    <w:rsid w:val="00B161B8"/>
    <w:rsid w:val="00B2048C"/>
    <w:rsid w:val="00B25285"/>
    <w:rsid w:val="00B310B9"/>
    <w:rsid w:val="00B35F3F"/>
    <w:rsid w:val="00B36CBB"/>
    <w:rsid w:val="00B36E0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182E"/>
    <w:rsid w:val="00BE26B3"/>
    <w:rsid w:val="00BE4287"/>
    <w:rsid w:val="00BF5BD6"/>
    <w:rsid w:val="00C03E31"/>
    <w:rsid w:val="00C0402F"/>
    <w:rsid w:val="00C17A4C"/>
    <w:rsid w:val="00C30E69"/>
    <w:rsid w:val="00C33E72"/>
    <w:rsid w:val="00C354B2"/>
    <w:rsid w:val="00C35554"/>
    <w:rsid w:val="00C42709"/>
    <w:rsid w:val="00C533CC"/>
    <w:rsid w:val="00C5751C"/>
    <w:rsid w:val="00C61BFC"/>
    <w:rsid w:val="00C62B85"/>
    <w:rsid w:val="00C65438"/>
    <w:rsid w:val="00C873EB"/>
    <w:rsid w:val="00C91CBB"/>
    <w:rsid w:val="00CB4E70"/>
    <w:rsid w:val="00CC09B6"/>
    <w:rsid w:val="00CC666F"/>
    <w:rsid w:val="00CD1E3F"/>
    <w:rsid w:val="00CE288F"/>
    <w:rsid w:val="00CE44F6"/>
    <w:rsid w:val="00CE49DA"/>
    <w:rsid w:val="00CE7B61"/>
    <w:rsid w:val="00D00095"/>
    <w:rsid w:val="00D114F0"/>
    <w:rsid w:val="00D13189"/>
    <w:rsid w:val="00D20620"/>
    <w:rsid w:val="00D254F7"/>
    <w:rsid w:val="00D26091"/>
    <w:rsid w:val="00D2685C"/>
    <w:rsid w:val="00D34E7C"/>
    <w:rsid w:val="00D35489"/>
    <w:rsid w:val="00D36AFE"/>
    <w:rsid w:val="00D50A39"/>
    <w:rsid w:val="00D51276"/>
    <w:rsid w:val="00D559E4"/>
    <w:rsid w:val="00D7035F"/>
    <w:rsid w:val="00D743FB"/>
    <w:rsid w:val="00D745AE"/>
    <w:rsid w:val="00DA634F"/>
    <w:rsid w:val="00DA65AC"/>
    <w:rsid w:val="00DB0A49"/>
    <w:rsid w:val="00DB1913"/>
    <w:rsid w:val="00DC15F2"/>
    <w:rsid w:val="00DC410D"/>
    <w:rsid w:val="00DC5A81"/>
    <w:rsid w:val="00DC68CA"/>
    <w:rsid w:val="00DC7CBA"/>
    <w:rsid w:val="00DD73B7"/>
    <w:rsid w:val="00DF28BC"/>
    <w:rsid w:val="00DF34B9"/>
    <w:rsid w:val="00E01053"/>
    <w:rsid w:val="00E03BA5"/>
    <w:rsid w:val="00E07ACF"/>
    <w:rsid w:val="00E202D7"/>
    <w:rsid w:val="00E21F0D"/>
    <w:rsid w:val="00E25005"/>
    <w:rsid w:val="00E331A1"/>
    <w:rsid w:val="00E33202"/>
    <w:rsid w:val="00E336A9"/>
    <w:rsid w:val="00E472B1"/>
    <w:rsid w:val="00E50624"/>
    <w:rsid w:val="00E568DF"/>
    <w:rsid w:val="00E60880"/>
    <w:rsid w:val="00E64269"/>
    <w:rsid w:val="00E66797"/>
    <w:rsid w:val="00E82267"/>
    <w:rsid w:val="00E853CE"/>
    <w:rsid w:val="00E867B6"/>
    <w:rsid w:val="00E87F08"/>
    <w:rsid w:val="00E9081B"/>
    <w:rsid w:val="00EA010F"/>
    <w:rsid w:val="00EA3B1A"/>
    <w:rsid w:val="00EC0578"/>
    <w:rsid w:val="00ED1B63"/>
    <w:rsid w:val="00ED3A88"/>
    <w:rsid w:val="00ED3C1F"/>
    <w:rsid w:val="00ED4085"/>
    <w:rsid w:val="00ED420E"/>
    <w:rsid w:val="00ED43BF"/>
    <w:rsid w:val="00ED6FBE"/>
    <w:rsid w:val="00EE2F57"/>
    <w:rsid w:val="00EF0325"/>
    <w:rsid w:val="00EF32BF"/>
    <w:rsid w:val="00EF4C34"/>
    <w:rsid w:val="00EF77C6"/>
    <w:rsid w:val="00F028CA"/>
    <w:rsid w:val="00F05438"/>
    <w:rsid w:val="00F1361C"/>
    <w:rsid w:val="00F1568E"/>
    <w:rsid w:val="00F156F0"/>
    <w:rsid w:val="00F160C7"/>
    <w:rsid w:val="00F2408F"/>
    <w:rsid w:val="00F240E9"/>
    <w:rsid w:val="00F25756"/>
    <w:rsid w:val="00F25C45"/>
    <w:rsid w:val="00F36D8F"/>
    <w:rsid w:val="00F417B1"/>
    <w:rsid w:val="00F45853"/>
    <w:rsid w:val="00F568AC"/>
    <w:rsid w:val="00F602DF"/>
    <w:rsid w:val="00F61004"/>
    <w:rsid w:val="00F754A1"/>
    <w:rsid w:val="00F812B0"/>
    <w:rsid w:val="00F81FD9"/>
    <w:rsid w:val="00F841AA"/>
    <w:rsid w:val="00F84A94"/>
    <w:rsid w:val="00F87E96"/>
    <w:rsid w:val="00FA23E8"/>
    <w:rsid w:val="00FA296F"/>
    <w:rsid w:val="00FC7A95"/>
    <w:rsid w:val="00FD1943"/>
    <w:rsid w:val="00FD3CC1"/>
    <w:rsid w:val="00FE1D14"/>
    <w:rsid w:val="00FF1E02"/>
    <w:rsid w:val="00FF30B4"/>
    <w:rsid w:val="014112E8"/>
    <w:rsid w:val="01617879"/>
    <w:rsid w:val="01697421"/>
    <w:rsid w:val="01DC6B71"/>
    <w:rsid w:val="0226730F"/>
    <w:rsid w:val="025E5517"/>
    <w:rsid w:val="02E87D46"/>
    <w:rsid w:val="02F724CE"/>
    <w:rsid w:val="03435002"/>
    <w:rsid w:val="03560340"/>
    <w:rsid w:val="044572EB"/>
    <w:rsid w:val="045F3BE3"/>
    <w:rsid w:val="04676686"/>
    <w:rsid w:val="04724145"/>
    <w:rsid w:val="04EC4AF6"/>
    <w:rsid w:val="050E476F"/>
    <w:rsid w:val="05404642"/>
    <w:rsid w:val="059462CB"/>
    <w:rsid w:val="064B56FF"/>
    <w:rsid w:val="06FA5C0F"/>
    <w:rsid w:val="076D064D"/>
    <w:rsid w:val="079B77E3"/>
    <w:rsid w:val="07B465DE"/>
    <w:rsid w:val="083B75E5"/>
    <w:rsid w:val="08453F63"/>
    <w:rsid w:val="085738B6"/>
    <w:rsid w:val="0950231D"/>
    <w:rsid w:val="09C01733"/>
    <w:rsid w:val="0A05754C"/>
    <w:rsid w:val="0A097515"/>
    <w:rsid w:val="0A36053C"/>
    <w:rsid w:val="0A531AE8"/>
    <w:rsid w:val="0A61123E"/>
    <w:rsid w:val="0A71425E"/>
    <w:rsid w:val="0AF31B77"/>
    <w:rsid w:val="0B312656"/>
    <w:rsid w:val="0B3E44D8"/>
    <w:rsid w:val="0B937581"/>
    <w:rsid w:val="0BB871AB"/>
    <w:rsid w:val="0BF334E3"/>
    <w:rsid w:val="0C1F61C1"/>
    <w:rsid w:val="0C8E4943"/>
    <w:rsid w:val="0D02638B"/>
    <w:rsid w:val="0D4D7610"/>
    <w:rsid w:val="0D5A2C87"/>
    <w:rsid w:val="0D6F37ED"/>
    <w:rsid w:val="0DA52E9D"/>
    <w:rsid w:val="0DEC5AA6"/>
    <w:rsid w:val="0E463A2A"/>
    <w:rsid w:val="0E9C4B8F"/>
    <w:rsid w:val="0ED37695"/>
    <w:rsid w:val="0F0B2FD1"/>
    <w:rsid w:val="0F2C10E4"/>
    <w:rsid w:val="0FEE2A67"/>
    <w:rsid w:val="103114C0"/>
    <w:rsid w:val="104D0767"/>
    <w:rsid w:val="10611F14"/>
    <w:rsid w:val="10876523"/>
    <w:rsid w:val="10C055FF"/>
    <w:rsid w:val="11112C0A"/>
    <w:rsid w:val="11EA1503"/>
    <w:rsid w:val="12024BC3"/>
    <w:rsid w:val="122059FB"/>
    <w:rsid w:val="124E7713"/>
    <w:rsid w:val="126B50D9"/>
    <w:rsid w:val="12D23ECC"/>
    <w:rsid w:val="12D85CEA"/>
    <w:rsid w:val="12EB5050"/>
    <w:rsid w:val="1360679B"/>
    <w:rsid w:val="138F266C"/>
    <w:rsid w:val="14086C75"/>
    <w:rsid w:val="14AF35E3"/>
    <w:rsid w:val="150045F8"/>
    <w:rsid w:val="15052E89"/>
    <w:rsid w:val="156922D4"/>
    <w:rsid w:val="15751A48"/>
    <w:rsid w:val="15A703A2"/>
    <w:rsid w:val="15E56355"/>
    <w:rsid w:val="15F7480C"/>
    <w:rsid w:val="16530BAB"/>
    <w:rsid w:val="16783CBC"/>
    <w:rsid w:val="16953C5D"/>
    <w:rsid w:val="16BB723D"/>
    <w:rsid w:val="16F34202"/>
    <w:rsid w:val="171C3FAD"/>
    <w:rsid w:val="176571A4"/>
    <w:rsid w:val="17855034"/>
    <w:rsid w:val="17A04EDA"/>
    <w:rsid w:val="17F43024"/>
    <w:rsid w:val="181D3017"/>
    <w:rsid w:val="18261F85"/>
    <w:rsid w:val="1844012A"/>
    <w:rsid w:val="185A6602"/>
    <w:rsid w:val="18981489"/>
    <w:rsid w:val="19536054"/>
    <w:rsid w:val="19987BFC"/>
    <w:rsid w:val="19B1094A"/>
    <w:rsid w:val="19DF01A1"/>
    <w:rsid w:val="1A3C65C1"/>
    <w:rsid w:val="1A881FBC"/>
    <w:rsid w:val="1AC97CAA"/>
    <w:rsid w:val="1B3325B6"/>
    <w:rsid w:val="1B676A91"/>
    <w:rsid w:val="1BC226CB"/>
    <w:rsid w:val="1BDC0372"/>
    <w:rsid w:val="1BE22C40"/>
    <w:rsid w:val="1C2C3AAC"/>
    <w:rsid w:val="1CD47B15"/>
    <w:rsid w:val="1CF4448C"/>
    <w:rsid w:val="1D2045DE"/>
    <w:rsid w:val="1D303B37"/>
    <w:rsid w:val="1D7C033E"/>
    <w:rsid w:val="1DA07CC0"/>
    <w:rsid w:val="1DAD28DC"/>
    <w:rsid w:val="1DBA2CF1"/>
    <w:rsid w:val="1DCB06F0"/>
    <w:rsid w:val="1E8F5859"/>
    <w:rsid w:val="1EF219EC"/>
    <w:rsid w:val="1F18659D"/>
    <w:rsid w:val="1F863938"/>
    <w:rsid w:val="1F947FB4"/>
    <w:rsid w:val="1F985472"/>
    <w:rsid w:val="203064EC"/>
    <w:rsid w:val="20F0312B"/>
    <w:rsid w:val="20FD4B31"/>
    <w:rsid w:val="219924E2"/>
    <w:rsid w:val="21BE18AC"/>
    <w:rsid w:val="22CA10E5"/>
    <w:rsid w:val="23064A00"/>
    <w:rsid w:val="23430748"/>
    <w:rsid w:val="23B37FC2"/>
    <w:rsid w:val="23F60518"/>
    <w:rsid w:val="240371BF"/>
    <w:rsid w:val="24C675B9"/>
    <w:rsid w:val="259D74B6"/>
    <w:rsid w:val="26020BD2"/>
    <w:rsid w:val="267430A3"/>
    <w:rsid w:val="273113A1"/>
    <w:rsid w:val="27A8271E"/>
    <w:rsid w:val="27BD234D"/>
    <w:rsid w:val="27C47834"/>
    <w:rsid w:val="281228D7"/>
    <w:rsid w:val="28C6090A"/>
    <w:rsid w:val="28CF5943"/>
    <w:rsid w:val="28FF6C9D"/>
    <w:rsid w:val="292F5F8E"/>
    <w:rsid w:val="29334CAB"/>
    <w:rsid w:val="296F674A"/>
    <w:rsid w:val="29B60F92"/>
    <w:rsid w:val="29C502ED"/>
    <w:rsid w:val="29FD04D3"/>
    <w:rsid w:val="2A0A194E"/>
    <w:rsid w:val="2A9503FD"/>
    <w:rsid w:val="2AFB1731"/>
    <w:rsid w:val="2B4B3414"/>
    <w:rsid w:val="2BD9218B"/>
    <w:rsid w:val="2BE81256"/>
    <w:rsid w:val="2C055DFE"/>
    <w:rsid w:val="2CFB01C8"/>
    <w:rsid w:val="2D82551F"/>
    <w:rsid w:val="2DA25A02"/>
    <w:rsid w:val="2DBC007C"/>
    <w:rsid w:val="2E2A15F2"/>
    <w:rsid w:val="2E392D23"/>
    <w:rsid w:val="2E5567E8"/>
    <w:rsid w:val="2E6F5405"/>
    <w:rsid w:val="2E732630"/>
    <w:rsid w:val="2E9B35A5"/>
    <w:rsid w:val="2EAF0DA3"/>
    <w:rsid w:val="2EBF5CD2"/>
    <w:rsid w:val="2ED56599"/>
    <w:rsid w:val="2F6A4A9A"/>
    <w:rsid w:val="31254632"/>
    <w:rsid w:val="312A26C6"/>
    <w:rsid w:val="31571E91"/>
    <w:rsid w:val="316919F7"/>
    <w:rsid w:val="31794182"/>
    <w:rsid w:val="31874287"/>
    <w:rsid w:val="319F7F4E"/>
    <w:rsid w:val="31B91CFD"/>
    <w:rsid w:val="324252D5"/>
    <w:rsid w:val="32F75F9E"/>
    <w:rsid w:val="33C824AC"/>
    <w:rsid w:val="33ED73D1"/>
    <w:rsid w:val="34F9538A"/>
    <w:rsid w:val="35557652"/>
    <w:rsid w:val="357F28FB"/>
    <w:rsid w:val="3584285C"/>
    <w:rsid w:val="35864C54"/>
    <w:rsid w:val="35B6291E"/>
    <w:rsid w:val="363E223A"/>
    <w:rsid w:val="36B57D2A"/>
    <w:rsid w:val="36CC11AC"/>
    <w:rsid w:val="36D03B1A"/>
    <w:rsid w:val="3748024C"/>
    <w:rsid w:val="37823CF3"/>
    <w:rsid w:val="378A1739"/>
    <w:rsid w:val="37AF2B41"/>
    <w:rsid w:val="37F94764"/>
    <w:rsid w:val="3840235E"/>
    <w:rsid w:val="3843106D"/>
    <w:rsid w:val="384F0210"/>
    <w:rsid w:val="38591104"/>
    <w:rsid w:val="3871297C"/>
    <w:rsid w:val="388254AC"/>
    <w:rsid w:val="388D4E2F"/>
    <w:rsid w:val="38B81CC0"/>
    <w:rsid w:val="392624CD"/>
    <w:rsid w:val="39415462"/>
    <w:rsid w:val="395931B9"/>
    <w:rsid w:val="39AA68DE"/>
    <w:rsid w:val="39BE10DC"/>
    <w:rsid w:val="39C86969"/>
    <w:rsid w:val="3A6A4737"/>
    <w:rsid w:val="3A895F72"/>
    <w:rsid w:val="3B133609"/>
    <w:rsid w:val="3B365941"/>
    <w:rsid w:val="3B4449EE"/>
    <w:rsid w:val="3B666304"/>
    <w:rsid w:val="3BA04413"/>
    <w:rsid w:val="3BB14F7A"/>
    <w:rsid w:val="3BE7769B"/>
    <w:rsid w:val="3BF00656"/>
    <w:rsid w:val="3C700C3E"/>
    <w:rsid w:val="3CA27A59"/>
    <w:rsid w:val="3D2C7FDA"/>
    <w:rsid w:val="3DAC0AB4"/>
    <w:rsid w:val="3E7A239F"/>
    <w:rsid w:val="3EA07A68"/>
    <w:rsid w:val="3F2C1DFE"/>
    <w:rsid w:val="408F6F19"/>
    <w:rsid w:val="40E53EE9"/>
    <w:rsid w:val="41041FDB"/>
    <w:rsid w:val="41A94443"/>
    <w:rsid w:val="42773DAA"/>
    <w:rsid w:val="42C7196F"/>
    <w:rsid w:val="42CD0ECB"/>
    <w:rsid w:val="42D775A2"/>
    <w:rsid w:val="42FA5840"/>
    <w:rsid w:val="430445D1"/>
    <w:rsid w:val="4354385A"/>
    <w:rsid w:val="447C5962"/>
    <w:rsid w:val="44C40839"/>
    <w:rsid w:val="4509748D"/>
    <w:rsid w:val="45140A0C"/>
    <w:rsid w:val="45306297"/>
    <w:rsid w:val="45392C19"/>
    <w:rsid w:val="45880104"/>
    <w:rsid w:val="472E523B"/>
    <w:rsid w:val="477D1F78"/>
    <w:rsid w:val="4781417E"/>
    <w:rsid w:val="480E7C93"/>
    <w:rsid w:val="48281D5B"/>
    <w:rsid w:val="48611F84"/>
    <w:rsid w:val="489414AB"/>
    <w:rsid w:val="48A87651"/>
    <w:rsid w:val="48C02D5B"/>
    <w:rsid w:val="48C1124F"/>
    <w:rsid w:val="494246CD"/>
    <w:rsid w:val="49A84E20"/>
    <w:rsid w:val="4A3C0D6F"/>
    <w:rsid w:val="4A75267F"/>
    <w:rsid w:val="4A916CD6"/>
    <w:rsid w:val="4AAB0F56"/>
    <w:rsid w:val="4ADB2DDC"/>
    <w:rsid w:val="4AEE50DE"/>
    <w:rsid w:val="4BB51CF7"/>
    <w:rsid w:val="4BE94C4D"/>
    <w:rsid w:val="4C087B35"/>
    <w:rsid w:val="4C277DFE"/>
    <w:rsid w:val="4C491A37"/>
    <w:rsid w:val="4CA51041"/>
    <w:rsid w:val="4CEC7082"/>
    <w:rsid w:val="4D1147F1"/>
    <w:rsid w:val="4D29402F"/>
    <w:rsid w:val="4DAD1B21"/>
    <w:rsid w:val="4E54082B"/>
    <w:rsid w:val="4E5B2B6C"/>
    <w:rsid w:val="4E6B11A9"/>
    <w:rsid w:val="4EC6633D"/>
    <w:rsid w:val="4ECE2238"/>
    <w:rsid w:val="4FC94135"/>
    <w:rsid w:val="50580BBF"/>
    <w:rsid w:val="50694D57"/>
    <w:rsid w:val="506C3CB5"/>
    <w:rsid w:val="50937769"/>
    <w:rsid w:val="50A256DD"/>
    <w:rsid w:val="50FA002D"/>
    <w:rsid w:val="50FC2388"/>
    <w:rsid w:val="514F6A2F"/>
    <w:rsid w:val="5192647C"/>
    <w:rsid w:val="51976518"/>
    <w:rsid w:val="51A01C50"/>
    <w:rsid w:val="52470925"/>
    <w:rsid w:val="52B35209"/>
    <w:rsid w:val="534C7ACF"/>
    <w:rsid w:val="535D1781"/>
    <w:rsid w:val="53E82E9A"/>
    <w:rsid w:val="541442D6"/>
    <w:rsid w:val="545A070B"/>
    <w:rsid w:val="54640B0D"/>
    <w:rsid w:val="54CC3AA0"/>
    <w:rsid w:val="54F732D6"/>
    <w:rsid w:val="55FC4CAC"/>
    <w:rsid w:val="56002C87"/>
    <w:rsid w:val="56BD2288"/>
    <w:rsid w:val="5702584F"/>
    <w:rsid w:val="573154BF"/>
    <w:rsid w:val="57B307DF"/>
    <w:rsid w:val="57B5329E"/>
    <w:rsid w:val="57E00829"/>
    <w:rsid w:val="57F638EE"/>
    <w:rsid w:val="57F97AC8"/>
    <w:rsid w:val="583F2F21"/>
    <w:rsid w:val="58553501"/>
    <w:rsid w:val="58C154B6"/>
    <w:rsid w:val="59293F87"/>
    <w:rsid w:val="598A1754"/>
    <w:rsid w:val="59B53A2F"/>
    <w:rsid w:val="5A21714A"/>
    <w:rsid w:val="5A427549"/>
    <w:rsid w:val="5A4A0B5E"/>
    <w:rsid w:val="5A7B6498"/>
    <w:rsid w:val="5AFA056B"/>
    <w:rsid w:val="5B677E08"/>
    <w:rsid w:val="5B68166F"/>
    <w:rsid w:val="5BB86418"/>
    <w:rsid w:val="5BE254C8"/>
    <w:rsid w:val="5C2E2250"/>
    <w:rsid w:val="5C653813"/>
    <w:rsid w:val="5CB511B1"/>
    <w:rsid w:val="5D465859"/>
    <w:rsid w:val="5E040E8E"/>
    <w:rsid w:val="5E411C7C"/>
    <w:rsid w:val="5E5C3780"/>
    <w:rsid w:val="5E6E1168"/>
    <w:rsid w:val="5F6E3227"/>
    <w:rsid w:val="5FEC1272"/>
    <w:rsid w:val="600862CB"/>
    <w:rsid w:val="60587ED0"/>
    <w:rsid w:val="60781BA9"/>
    <w:rsid w:val="61332136"/>
    <w:rsid w:val="618D2E7D"/>
    <w:rsid w:val="618F5009"/>
    <w:rsid w:val="61DE2982"/>
    <w:rsid w:val="63112FDE"/>
    <w:rsid w:val="63303E2A"/>
    <w:rsid w:val="644C5196"/>
    <w:rsid w:val="64755E6F"/>
    <w:rsid w:val="651B5911"/>
    <w:rsid w:val="65337744"/>
    <w:rsid w:val="654D45F8"/>
    <w:rsid w:val="658818B3"/>
    <w:rsid w:val="65AF6249"/>
    <w:rsid w:val="65E85193"/>
    <w:rsid w:val="660B77D0"/>
    <w:rsid w:val="663A2040"/>
    <w:rsid w:val="667628F3"/>
    <w:rsid w:val="669300A8"/>
    <w:rsid w:val="66A07432"/>
    <w:rsid w:val="67307403"/>
    <w:rsid w:val="6751281B"/>
    <w:rsid w:val="67806FEE"/>
    <w:rsid w:val="67CF6146"/>
    <w:rsid w:val="67D933E9"/>
    <w:rsid w:val="68010A0C"/>
    <w:rsid w:val="680C577B"/>
    <w:rsid w:val="68196433"/>
    <w:rsid w:val="68253406"/>
    <w:rsid w:val="683309C9"/>
    <w:rsid w:val="6851590E"/>
    <w:rsid w:val="688A5D00"/>
    <w:rsid w:val="68BC0623"/>
    <w:rsid w:val="68FB4499"/>
    <w:rsid w:val="68FE0283"/>
    <w:rsid w:val="6974761A"/>
    <w:rsid w:val="697C54CD"/>
    <w:rsid w:val="69A21D0F"/>
    <w:rsid w:val="69F248F5"/>
    <w:rsid w:val="6A447039"/>
    <w:rsid w:val="6AC20FA8"/>
    <w:rsid w:val="6B3B3678"/>
    <w:rsid w:val="6B4A39B7"/>
    <w:rsid w:val="6B8502CA"/>
    <w:rsid w:val="6BE64B76"/>
    <w:rsid w:val="6C6C61BA"/>
    <w:rsid w:val="6D177FCA"/>
    <w:rsid w:val="6DF54D37"/>
    <w:rsid w:val="6DF63528"/>
    <w:rsid w:val="6E013268"/>
    <w:rsid w:val="6E422452"/>
    <w:rsid w:val="6E80735C"/>
    <w:rsid w:val="6E9543B1"/>
    <w:rsid w:val="6E9F2C18"/>
    <w:rsid w:val="6F2C6030"/>
    <w:rsid w:val="6F9E620F"/>
    <w:rsid w:val="6FC42FB3"/>
    <w:rsid w:val="6FE675CB"/>
    <w:rsid w:val="702B2557"/>
    <w:rsid w:val="702B3A60"/>
    <w:rsid w:val="70EB70D3"/>
    <w:rsid w:val="710C62E8"/>
    <w:rsid w:val="71415E53"/>
    <w:rsid w:val="72734D90"/>
    <w:rsid w:val="73C69F59"/>
    <w:rsid w:val="741C4427"/>
    <w:rsid w:val="7448105E"/>
    <w:rsid w:val="74B67C2C"/>
    <w:rsid w:val="74BD520C"/>
    <w:rsid w:val="751C586C"/>
    <w:rsid w:val="75AE5137"/>
    <w:rsid w:val="760159D2"/>
    <w:rsid w:val="763B1356"/>
    <w:rsid w:val="764B3C7B"/>
    <w:rsid w:val="76C02483"/>
    <w:rsid w:val="76C26D41"/>
    <w:rsid w:val="76CA5260"/>
    <w:rsid w:val="77225526"/>
    <w:rsid w:val="77B35A43"/>
    <w:rsid w:val="77DC72E7"/>
    <w:rsid w:val="77F8607E"/>
    <w:rsid w:val="786542F4"/>
    <w:rsid w:val="789013E3"/>
    <w:rsid w:val="79017FE8"/>
    <w:rsid w:val="79211ED0"/>
    <w:rsid w:val="799A7D5E"/>
    <w:rsid w:val="79F177E7"/>
    <w:rsid w:val="7A5726BD"/>
    <w:rsid w:val="7ABD263C"/>
    <w:rsid w:val="7AD859E0"/>
    <w:rsid w:val="7B1B4941"/>
    <w:rsid w:val="7B4B61DA"/>
    <w:rsid w:val="7BA306F7"/>
    <w:rsid w:val="7BA80A6F"/>
    <w:rsid w:val="7BE84BB8"/>
    <w:rsid w:val="7C102C30"/>
    <w:rsid w:val="7CA22FFA"/>
    <w:rsid w:val="7CF4732A"/>
    <w:rsid w:val="7E8A202B"/>
    <w:rsid w:val="7E9A7EDA"/>
    <w:rsid w:val="7F5D40B4"/>
    <w:rsid w:val="7F5E1951"/>
    <w:rsid w:val="7F661619"/>
    <w:rsid w:val="7F877DEE"/>
    <w:rsid w:val="7FDC7A09"/>
    <w:rsid w:val="7FEB107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99"/>
    <w:pPr>
      <w:keepNext/>
      <w:keepLines/>
      <w:spacing w:before="260" w:after="260" w:line="416" w:lineRule="auto"/>
      <w:outlineLvl w:val="1"/>
    </w:pPr>
    <w:rPr>
      <w:rFonts w:ascii="Cambria" w:hAnsi="Cambria" w:cs="Cambria"/>
      <w:b/>
      <w:bCs/>
      <w:sz w:val="32"/>
      <w:szCs w:val="32"/>
    </w:rPr>
  </w:style>
  <w:style w:type="paragraph" w:styleId="5">
    <w:name w:val="heading 3"/>
    <w:basedOn w:val="1"/>
    <w:next w:val="1"/>
    <w:link w:val="22"/>
    <w:qFormat/>
    <w:uiPriority w:val="9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9"/>
    <w:qFormat/>
    <w:uiPriority w:val="99"/>
    <w:pPr>
      <w:spacing w:beforeLines="30"/>
    </w:pPr>
    <w:rPr>
      <w:rFonts w:ascii="仿宋_GB2312" w:eastAsia="仿宋_GB2312" w:cs="仿宋_GB2312"/>
      <w:kern w:val="0"/>
      <w:sz w:val="24"/>
      <w:szCs w:val="24"/>
    </w:rPr>
  </w:style>
  <w:style w:type="paragraph" w:styleId="6">
    <w:name w:val="Body Text Indent"/>
    <w:basedOn w:val="1"/>
    <w:link w:val="34"/>
    <w:semiHidden/>
    <w:unhideWhenUsed/>
    <w:qFormat/>
    <w:locked/>
    <w:uiPriority w:val="99"/>
    <w:pPr>
      <w:spacing w:after="120"/>
      <w:ind w:left="420" w:leftChars="200"/>
    </w:pPr>
  </w:style>
  <w:style w:type="paragraph" w:styleId="7">
    <w:name w:val="toc 3"/>
    <w:basedOn w:val="1"/>
    <w:next w:val="1"/>
    <w:semiHidden/>
    <w:qFormat/>
    <w:uiPriority w:val="99"/>
    <w:pPr>
      <w:tabs>
        <w:tab w:val="right" w:leader="dot" w:pos="8296"/>
      </w:tabs>
      <w:ind w:left="840" w:leftChars="400"/>
    </w:pPr>
  </w:style>
  <w:style w:type="paragraph" w:styleId="8">
    <w:name w:val="Plain Text"/>
    <w:basedOn w:val="1"/>
    <w:qFormat/>
    <w:locked/>
    <w:uiPriority w:val="0"/>
    <w:rPr>
      <w:rFonts w:ascii="宋体" w:hAnsi="Courier New" w:eastAsia="仿宋_GB2312" w:cs="Courier New"/>
      <w:b/>
      <w:sz w:val="32"/>
    </w:rPr>
  </w:style>
  <w:style w:type="paragraph" w:styleId="9">
    <w:name w:val="Balloon Text"/>
    <w:basedOn w:val="1"/>
    <w:link w:val="24"/>
    <w:semiHidden/>
    <w:qFormat/>
    <w:uiPriority w:val="99"/>
    <w:rPr>
      <w:sz w:val="18"/>
      <w:szCs w:val="18"/>
    </w:rPr>
  </w:style>
  <w:style w:type="paragraph" w:styleId="10">
    <w:name w:val="footer"/>
    <w:basedOn w:val="1"/>
    <w:link w:val="28"/>
    <w:qFormat/>
    <w:uiPriority w:val="99"/>
    <w:pPr>
      <w:tabs>
        <w:tab w:val="center" w:pos="4153"/>
        <w:tab w:val="right" w:pos="8306"/>
      </w:tabs>
      <w:snapToGrid w:val="0"/>
      <w:jc w:val="left"/>
    </w:pPr>
    <w:rPr>
      <w:rFonts w:ascii="Calibri" w:hAnsi="Calibri" w:cs="Calibri"/>
      <w:kern w:val="0"/>
      <w:sz w:val="18"/>
      <w:szCs w:val="18"/>
    </w:rPr>
  </w:style>
  <w:style w:type="paragraph" w:styleId="11">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2">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3">
    <w:name w:val="toc 2"/>
    <w:basedOn w:val="1"/>
    <w:next w:val="1"/>
    <w:semiHidden/>
    <w:qFormat/>
    <w:uiPriority w:val="99"/>
    <w:pPr>
      <w:tabs>
        <w:tab w:val="right" w:leader="dot" w:pos="8296"/>
      </w:tabs>
      <w:ind w:left="420" w:leftChars="200"/>
    </w:pPr>
  </w:style>
  <w:style w:type="paragraph" w:styleId="14">
    <w:name w:val="Normal (Web)"/>
    <w:basedOn w:val="1"/>
    <w:qFormat/>
    <w:locked/>
    <w:uiPriority w:val="0"/>
    <w:pPr>
      <w:spacing w:before="100" w:beforeAutospacing="1" w:after="100" w:afterAutospacing="1"/>
      <w:jc w:val="left"/>
    </w:pPr>
    <w:rPr>
      <w:kern w:val="0"/>
      <w:sz w:val="24"/>
    </w:rPr>
  </w:style>
  <w:style w:type="paragraph" w:styleId="15">
    <w:name w:val="Body Text First Indent 2"/>
    <w:basedOn w:val="6"/>
    <w:link w:val="35"/>
    <w:semiHidden/>
    <w:unhideWhenUsed/>
    <w:qFormat/>
    <w:locked/>
    <w:uiPriority w:val="99"/>
    <w:pPr>
      <w:ind w:firstLine="420" w:firstLineChars="200"/>
    </w:pPr>
  </w:style>
  <w:style w:type="character" w:styleId="18">
    <w:name w:val="Strong"/>
    <w:basedOn w:val="17"/>
    <w:qFormat/>
    <w:uiPriority w:val="99"/>
    <w:rPr>
      <w:b/>
      <w:bCs/>
    </w:rPr>
  </w:style>
  <w:style w:type="character" w:styleId="19">
    <w:name w:val="Hyperlink"/>
    <w:basedOn w:val="17"/>
    <w:qFormat/>
    <w:uiPriority w:val="99"/>
    <w:rPr>
      <w:color w:val="0000FF"/>
      <w:u w:val="single"/>
    </w:rPr>
  </w:style>
  <w:style w:type="character" w:customStyle="1" w:styleId="20">
    <w:name w:val="标题 1 Char"/>
    <w:basedOn w:val="17"/>
    <w:link w:val="3"/>
    <w:qFormat/>
    <w:locked/>
    <w:uiPriority w:val="99"/>
    <w:rPr>
      <w:rFonts w:ascii="Times New Roman" w:hAnsi="Times New Roman" w:cs="Times New Roman"/>
      <w:b/>
      <w:bCs/>
      <w:kern w:val="44"/>
      <w:sz w:val="44"/>
      <w:szCs w:val="44"/>
    </w:rPr>
  </w:style>
  <w:style w:type="character" w:customStyle="1" w:styleId="21">
    <w:name w:val="标题 2 Char"/>
    <w:basedOn w:val="17"/>
    <w:link w:val="4"/>
    <w:qFormat/>
    <w:locked/>
    <w:uiPriority w:val="99"/>
    <w:rPr>
      <w:rFonts w:ascii="Cambria" w:hAnsi="Cambria" w:eastAsia="宋体" w:cs="Cambria"/>
      <w:b/>
      <w:bCs/>
      <w:kern w:val="2"/>
      <w:sz w:val="32"/>
      <w:szCs w:val="32"/>
    </w:rPr>
  </w:style>
  <w:style w:type="character" w:customStyle="1" w:styleId="22">
    <w:name w:val="标题 3 Char"/>
    <w:basedOn w:val="17"/>
    <w:link w:val="5"/>
    <w:qFormat/>
    <w:locked/>
    <w:uiPriority w:val="99"/>
    <w:rPr>
      <w:rFonts w:ascii="Times New Roman" w:hAnsi="Times New Roman" w:cs="Times New Roman"/>
      <w:b/>
      <w:bCs/>
      <w:kern w:val="2"/>
      <w:sz w:val="32"/>
      <w:szCs w:val="32"/>
    </w:rPr>
  </w:style>
  <w:style w:type="character" w:customStyle="1" w:styleId="23">
    <w:name w:val="Body Text Char"/>
    <w:basedOn w:val="17"/>
    <w:link w:val="2"/>
    <w:semiHidden/>
    <w:qFormat/>
    <w:locked/>
    <w:uiPriority w:val="99"/>
    <w:rPr>
      <w:rFonts w:ascii="Times New Roman" w:hAnsi="Times New Roman" w:cs="Times New Roman"/>
      <w:sz w:val="24"/>
      <w:szCs w:val="24"/>
    </w:rPr>
  </w:style>
  <w:style w:type="character" w:customStyle="1" w:styleId="24">
    <w:name w:val="批注框文本 Char"/>
    <w:basedOn w:val="17"/>
    <w:link w:val="9"/>
    <w:semiHidden/>
    <w:qFormat/>
    <w:locked/>
    <w:uiPriority w:val="99"/>
    <w:rPr>
      <w:rFonts w:ascii="Times New Roman" w:hAnsi="Times New Roman" w:cs="Times New Roman"/>
      <w:kern w:val="2"/>
      <w:sz w:val="18"/>
      <w:szCs w:val="18"/>
    </w:rPr>
  </w:style>
  <w:style w:type="character" w:customStyle="1" w:styleId="25">
    <w:name w:val="Footer Char"/>
    <w:basedOn w:val="17"/>
    <w:link w:val="10"/>
    <w:semiHidden/>
    <w:qFormat/>
    <w:locked/>
    <w:uiPriority w:val="99"/>
    <w:rPr>
      <w:rFonts w:ascii="Times New Roman" w:hAnsi="Times New Roman" w:cs="Times New Roman"/>
      <w:sz w:val="18"/>
      <w:szCs w:val="18"/>
    </w:rPr>
  </w:style>
  <w:style w:type="character" w:customStyle="1" w:styleId="26">
    <w:name w:val="Header Char"/>
    <w:basedOn w:val="17"/>
    <w:link w:val="11"/>
    <w:semiHidden/>
    <w:qFormat/>
    <w:locked/>
    <w:uiPriority w:val="99"/>
    <w:rPr>
      <w:rFonts w:ascii="Times New Roman" w:hAnsi="Times New Roman" w:cs="Times New Roman"/>
      <w:sz w:val="18"/>
      <w:szCs w:val="18"/>
    </w:rPr>
  </w:style>
  <w:style w:type="character" w:customStyle="1" w:styleId="27">
    <w:name w:val="页眉 Char"/>
    <w:link w:val="11"/>
    <w:semiHidden/>
    <w:qFormat/>
    <w:locked/>
    <w:uiPriority w:val="99"/>
    <w:rPr>
      <w:sz w:val="18"/>
      <w:szCs w:val="18"/>
    </w:rPr>
  </w:style>
  <w:style w:type="character" w:customStyle="1" w:styleId="28">
    <w:name w:val="页脚 Char"/>
    <w:link w:val="10"/>
    <w:qFormat/>
    <w:locked/>
    <w:uiPriority w:val="99"/>
    <w:rPr>
      <w:sz w:val="18"/>
      <w:szCs w:val="18"/>
    </w:rPr>
  </w:style>
  <w:style w:type="character" w:customStyle="1" w:styleId="29">
    <w:name w:val="正文文本 Char"/>
    <w:link w:val="2"/>
    <w:qFormat/>
    <w:locked/>
    <w:uiPriority w:val="99"/>
    <w:rPr>
      <w:rFonts w:ascii="仿宋_GB2312" w:hAnsi="Times New Roman" w:eastAsia="仿宋_GB2312" w:cs="仿宋_GB2312"/>
      <w:sz w:val="24"/>
      <w:szCs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99"/>
    <w:pPr>
      <w:ind w:firstLine="420" w:firstLineChars="200"/>
    </w:pPr>
  </w:style>
  <w:style w:type="paragraph" w:customStyle="1" w:styleId="32">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3">
    <w:name w:val="TOC 标题2"/>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34">
    <w:name w:val="正文文本缩进 Char"/>
    <w:basedOn w:val="17"/>
    <w:link w:val="6"/>
    <w:semiHidden/>
    <w:qFormat/>
    <w:uiPriority w:val="99"/>
    <w:rPr>
      <w:kern w:val="2"/>
      <w:sz w:val="21"/>
      <w:szCs w:val="21"/>
    </w:rPr>
  </w:style>
  <w:style w:type="character" w:customStyle="1" w:styleId="35">
    <w:name w:val="正文首行缩进 2 Char"/>
    <w:basedOn w:val="34"/>
    <w:link w:val="15"/>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42</Pages>
  <Words>18440</Words>
  <Characters>20036</Characters>
  <Lines>22</Lines>
  <Paragraphs>42</Paragraphs>
  <TotalTime>12</TotalTime>
  <ScaleCrop>false</ScaleCrop>
  <LinksUpToDate>false</LinksUpToDate>
  <CharactersWithSpaces>20320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2020-07-23T10:58:00Z</cp:lastPrinted>
  <dcterms:modified xsi:type="dcterms:W3CDTF">2023-12-13T16:17:30Z</dcterms:modified>
  <dc:title>四川省***</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A71CA74B73624215B6C4C7D7793B14AC_13</vt:lpwstr>
  </property>
</Properties>
</file>