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475"/>
      <w:bookmarkStart w:id="1" w:name="_Toc15378441"/>
      <w:bookmarkStart w:id="2" w:name="_Toc15377193"/>
      <w:bookmarkStart w:id="3" w:name="_Toc15377425"/>
      <w:bookmarkStart w:id="4" w:name="_Toc15396597"/>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1460"/>
      <w:bookmarkStart w:id="7" w:name="_Toc29731"/>
      <w:bookmarkStart w:id="8" w:name="_Toc3999"/>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bookmarkEnd w:id="7"/>
      <w:bookmarkEnd w:id="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9" w:name="_Toc13756"/>
      <w:bookmarkStart w:id="10" w:name="_Toc15377194"/>
      <w:bookmarkStart w:id="11" w:name="_Toc32589"/>
      <w:bookmarkStart w:id="12" w:name="_Toc15377426"/>
      <w:bookmarkStart w:id="13" w:name="_Toc13874"/>
      <w:bookmarkStart w:id="14" w:name="_Toc15396476"/>
      <w:bookmarkStart w:id="15" w:name="_Toc15378442"/>
      <w:bookmarkStart w:id="16" w:name="_Toc15396598"/>
      <w:r>
        <w:rPr>
          <w:rFonts w:hint="eastAsia" w:ascii="方正小标宋简体" w:hAnsi="方正小标宋简体" w:eastAsia="方正小标宋简体" w:cs="方正小标宋简体"/>
          <w:sz w:val="72"/>
          <w:szCs w:val="72"/>
        </w:rPr>
        <w:t>剑阁县</w:t>
      </w:r>
      <w:bookmarkEnd w:id="5"/>
      <w:bookmarkStart w:id="17" w:name="_Toc15306268"/>
      <w:r>
        <w:rPr>
          <w:rFonts w:hint="eastAsia" w:ascii="方正小标宋简体" w:hAnsi="方正小标宋简体" w:eastAsia="方正小标宋简体" w:cs="方正小标宋简体"/>
          <w:sz w:val="72"/>
          <w:szCs w:val="72"/>
          <w:lang w:val="en-US" w:eastAsia="zh-CN"/>
        </w:rPr>
        <w:t>义兴镇人民政府</w:t>
      </w:r>
      <w:r>
        <w:rPr>
          <w:rFonts w:hint="eastAsia" w:ascii="方正小标宋简体" w:hAnsi="方正小标宋简体" w:eastAsia="方正小标宋简体" w:cs="方正小标宋简体"/>
          <w:sz w:val="72"/>
          <w:szCs w:val="72"/>
        </w:rPr>
        <w:t>部门决算</w:t>
      </w:r>
      <w:bookmarkEnd w:id="9"/>
      <w:bookmarkEnd w:id="10"/>
      <w:bookmarkEnd w:id="11"/>
      <w:bookmarkEnd w:id="12"/>
      <w:bookmarkEnd w:id="13"/>
      <w:bookmarkEnd w:id="14"/>
      <w:bookmarkEnd w:id="15"/>
      <w:bookmarkEnd w:id="16"/>
      <w:bookmarkEnd w:id="17"/>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widowControl/>
        <w:jc w:val="center"/>
        <w:rPr>
          <w:rFonts w:ascii="黑体" w:hAnsi="黑体" w:eastAsia="黑体"/>
          <w:sz w:val="48"/>
          <w:szCs w:val="48"/>
        </w:rPr>
      </w:pPr>
      <w:bookmarkStart w:id="18" w:name="_Toc11137"/>
      <w:bookmarkStart w:id="19" w:name="_Toc15396599"/>
      <w:bookmarkStart w:id="20" w:name="_Toc15377196"/>
      <w:bookmarkStart w:id="21" w:name="_Toc8811"/>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sdt>
      <w:sdtPr>
        <w:rPr>
          <w:rFonts w:ascii="宋体" w:hAnsi="宋体" w:eastAsia="宋体" w:cs="Times New Roman"/>
          <w:kern w:val="2"/>
          <w:sz w:val="21"/>
          <w:szCs w:val="24"/>
          <w:lang w:val="en-US" w:eastAsia="zh-CN" w:bidi="ar-SA"/>
        </w:rPr>
        <w:id w:val="147459230"/>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0"/>
            <w:tabs>
              <w:tab w:val="right" w:leader="dot" w:pos="8306"/>
            </w:tabs>
            <w:rPr>
              <w:b/>
            </w:rPr>
          </w:pPr>
          <w:r>
            <w:fldChar w:fldCharType="begin"/>
          </w:r>
          <w:r>
            <w:instrText xml:space="preserve">TOC \o "1-2" \h \u </w:instrText>
          </w:r>
          <w:r>
            <w:fldChar w:fldCharType="separate"/>
          </w:r>
        </w:p>
        <w:p>
          <w:pPr>
            <w:pStyle w:val="40"/>
            <w:tabs>
              <w:tab w:val="right" w:leader="dot" w:pos="8306"/>
            </w:tabs>
            <w:rPr>
              <w:b/>
            </w:rPr>
          </w:pPr>
          <w:r>
            <w:rPr>
              <w:b/>
            </w:rPr>
            <w:fldChar w:fldCharType="begin"/>
          </w:r>
          <w:r>
            <w:rPr>
              <w:b/>
            </w:rPr>
            <w:instrText xml:space="preserve"> HYPERLINK \l _Toc27665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b/>
            </w:rPr>
            <w:fldChar w:fldCharType="begin"/>
          </w:r>
          <w:r>
            <w:rPr>
              <w:b/>
            </w:rPr>
            <w:instrText xml:space="preserve"> PAGEREF _Toc27665 \h </w:instrText>
          </w:r>
          <w:r>
            <w:rPr>
              <w:b/>
            </w:rPr>
            <w:fldChar w:fldCharType="separate"/>
          </w:r>
          <w:r>
            <w:rPr>
              <w:b/>
            </w:rPr>
            <w:t>3</w:t>
          </w:r>
          <w:r>
            <w:rPr>
              <w:b/>
            </w:rPr>
            <w:fldChar w:fldCharType="end"/>
          </w:r>
          <w:r>
            <w:rPr>
              <w:b/>
            </w:rPr>
            <w:fldChar w:fldCharType="end"/>
          </w:r>
        </w:p>
        <w:p>
          <w:pPr>
            <w:pStyle w:val="41"/>
            <w:tabs>
              <w:tab w:val="right" w:leader="dot" w:pos="8306"/>
            </w:tabs>
          </w:pPr>
          <w:r>
            <w:fldChar w:fldCharType="begin"/>
          </w:r>
          <w:r>
            <w:instrText xml:space="preserve"> HYPERLINK \l _Toc28452 </w:instrText>
          </w:r>
          <w:r>
            <w:fldChar w:fldCharType="separate"/>
          </w:r>
          <w:r>
            <w:rPr>
              <w:rFonts w:hint="eastAsia" w:ascii="黑体" w:hAnsi="黑体" w:eastAsia="黑体"/>
            </w:rPr>
            <w:t>一、 部门职责</w:t>
          </w:r>
          <w:r>
            <w:rPr>
              <w:rFonts w:hint="eastAsia" w:ascii="黑体" w:hAnsi="黑体" w:eastAsia="黑体"/>
              <w:lang w:val="en-US" w:eastAsia="zh-CN"/>
            </w:rPr>
            <w:t>及重点工作</w:t>
          </w:r>
          <w:r>
            <w:tab/>
          </w:r>
          <w:r>
            <w:fldChar w:fldCharType="begin"/>
          </w:r>
          <w:r>
            <w:instrText xml:space="preserve"> PAGEREF _Toc28452 \h </w:instrText>
          </w:r>
          <w:r>
            <w:fldChar w:fldCharType="separate"/>
          </w:r>
          <w:r>
            <w:t>3</w:t>
          </w:r>
          <w:r>
            <w:fldChar w:fldCharType="end"/>
          </w:r>
          <w:r>
            <w:fldChar w:fldCharType="end"/>
          </w:r>
        </w:p>
        <w:p>
          <w:pPr>
            <w:pStyle w:val="41"/>
            <w:tabs>
              <w:tab w:val="right" w:leader="dot" w:pos="8306"/>
            </w:tabs>
          </w:pPr>
          <w:r>
            <w:fldChar w:fldCharType="begin"/>
          </w:r>
          <w:r>
            <w:instrText xml:space="preserve"> HYPERLINK \l _Toc31586 </w:instrText>
          </w:r>
          <w:r>
            <w:fldChar w:fldCharType="separate"/>
          </w:r>
          <w:r>
            <w:rPr>
              <w:rFonts w:hint="eastAsia" w:ascii="黑体" w:hAnsi="黑体" w:eastAsia="黑体"/>
              <w:bCs w:val="0"/>
            </w:rPr>
            <w:t xml:space="preserve">二、 </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_Toc31586 \h </w:instrText>
          </w:r>
          <w:r>
            <w:fldChar w:fldCharType="separate"/>
          </w:r>
          <w:r>
            <w:t>5</w:t>
          </w:r>
          <w:r>
            <w:fldChar w:fldCharType="end"/>
          </w:r>
          <w:r>
            <w:fldChar w:fldCharType="end"/>
          </w:r>
        </w:p>
        <w:p>
          <w:pPr>
            <w:pStyle w:val="40"/>
            <w:tabs>
              <w:tab w:val="right" w:leader="dot" w:pos="8306"/>
            </w:tabs>
            <w:rPr>
              <w:b/>
            </w:rPr>
          </w:pPr>
          <w:r>
            <w:rPr>
              <w:b/>
            </w:rPr>
            <w:fldChar w:fldCharType="begin"/>
          </w:r>
          <w:r>
            <w:rPr>
              <w:b/>
            </w:rPr>
            <w:instrText xml:space="preserve"> HYPERLINK \l _Toc19571 </w:instrText>
          </w:r>
          <w:r>
            <w:rPr>
              <w:b/>
            </w:rPr>
            <w:fldChar w:fldCharType="separate"/>
          </w:r>
          <w:r>
            <w:rPr>
              <w:rFonts w:hint="eastAsia" w:ascii="黑体" w:hAnsi="黑体" w:eastAsia="黑体"/>
              <w:b/>
            </w:rPr>
            <w:t>第二部分 2022年度</w:t>
          </w:r>
          <w:r>
            <w:rPr>
              <w:rFonts w:hint="eastAsia" w:ascii="黑体" w:hAnsi="黑体" w:eastAsia="黑体"/>
              <w:b/>
              <w:bCs/>
            </w:rPr>
            <w:t>部门决算情况说明</w:t>
          </w:r>
          <w:r>
            <w:rPr>
              <w:b/>
            </w:rPr>
            <w:tab/>
          </w:r>
          <w:r>
            <w:rPr>
              <w:b/>
            </w:rPr>
            <w:fldChar w:fldCharType="begin"/>
          </w:r>
          <w:r>
            <w:rPr>
              <w:b/>
            </w:rPr>
            <w:instrText xml:space="preserve"> PAGEREF _Toc19571 \h </w:instrText>
          </w:r>
          <w:r>
            <w:rPr>
              <w:b/>
            </w:rPr>
            <w:fldChar w:fldCharType="separate"/>
          </w:r>
          <w:r>
            <w:rPr>
              <w:b/>
            </w:rPr>
            <w:t>6</w:t>
          </w:r>
          <w:r>
            <w:rPr>
              <w:b/>
            </w:rPr>
            <w:fldChar w:fldCharType="end"/>
          </w:r>
          <w:r>
            <w:rPr>
              <w:b/>
            </w:rPr>
            <w:fldChar w:fldCharType="end"/>
          </w:r>
        </w:p>
        <w:p>
          <w:pPr>
            <w:pStyle w:val="41"/>
            <w:tabs>
              <w:tab w:val="right" w:leader="dot" w:pos="8306"/>
            </w:tabs>
          </w:pPr>
          <w:r>
            <w:fldChar w:fldCharType="begin"/>
          </w:r>
          <w:r>
            <w:instrText xml:space="preserve"> HYPERLINK \l _Toc14583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_Toc14583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_Toc4661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_Toc4661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_Toc11328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_Toc11328 \h </w:instrText>
          </w:r>
          <w:r>
            <w:fldChar w:fldCharType="separate"/>
          </w:r>
          <w:r>
            <w:t>7</w:t>
          </w:r>
          <w:r>
            <w:fldChar w:fldCharType="end"/>
          </w:r>
          <w:r>
            <w:fldChar w:fldCharType="end"/>
          </w:r>
        </w:p>
        <w:p>
          <w:pPr>
            <w:pStyle w:val="41"/>
            <w:tabs>
              <w:tab w:val="right" w:leader="dot" w:pos="8306"/>
            </w:tabs>
          </w:pPr>
          <w:r>
            <w:fldChar w:fldCharType="begin"/>
          </w:r>
          <w:r>
            <w:instrText xml:space="preserve"> HYPERLINK \l _Toc23358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_Toc23358 \h </w:instrText>
          </w:r>
          <w:r>
            <w:fldChar w:fldCharType="separate"/>
          </w:r>
          <w:r>
            <w:t>8</w:t>
          </w:r>
          <w:r>
            <w:fldChar w:fldCharType="end"/>
          </w:r>
          <w:r>
            <w:fldChar w:fldCharType="end"/>
          </w:r>
        </w:p>
        <w:p>
          <w:pPr>
            <w:pStyle w:val="41"/>
            <w:tabs>
              <w:tab w:val="right" w:leader="dot" w:pos="8306"/>
            </w:tabs>
          </w:pPr>
          <w:r>
            <w:fldChar w:fldCharType="begin"/>
          </w:r>
          <w:r>
            <w:instrText xml:space="preserve"> HYPERLINK \l _Toc4729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_Toc4729 \h </w:instrText>
          </w:r>
          <w:r>
            <w:fldChar w:fldCharType="separate"/>
          </w:r>
          <w:r>
            <w:t>8</w:t>
          </w:r>
          <w:r>
            <w:fldChar w:fldCharType="end"/>
          </w:r>
          <w:r>
            <w:fldChar w:fldCharType="end"/>
          </w:r>
        </w:p>
        <w:p>
          <w:pPr>
            <w:pStyle w:val="41"/>
            <w:tabs>
              <w:tab w:val="right" w:leader="dot" w:pos="8306"/>
            </w:tabs>
          </w:pPr>
          <w:r>
            <w:fldChar w:fldCharType="begin"/>
          </w:r>
          <w:r>
            <w:instrText xml:space="preserve"> HYPERLINK \l _Toc17119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_Toc17119 \h </w:instrText>
          </w:r>
          <w:r>
            <w:fldChar w:fldCharType="separate"/>
          </w:r>
          <w:r>
            <w:t>12</w:t>
          </w:r>
          <w:r>
            <w:fldChar w:fldCharType="end"/>
          </w:r>
          <w:r>
            <w:fldChar w:fldCharType="end"/>
          </w:r>
        </w:p>
        <w:p>
          <w:pPr>
            <w:pStyle w:val="41"/>
            <w:tabs>
              <w:tab w:val="right" w:leader="dot" w:pos="8306"/>
            </w:tabs>
          </w:pPr>
          <w:r>
            <w:fldChar w:fldCharType="begin"/>
          </w:r>
          <w:r>
            <w:instrText xml:space="preserve"> HYPERLINK \l _Toc9826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_Toc9826 \h </w:instrText>
          </w:r>
          <w:r>
            <w:fldChar w:fldCharType="separate"/>
          </w:r>
          <w:r>
            <w:t>13</w:t>
          </w:r>
          <w:r>
            <w:fldChar w:fldCharType="end"/>
          </w:r>
          <w:r>
            <w:fldChar w:fldCharType="end"/>
          </w:r>
        </w:p>
        <w:p>
          <w:pPr>
            <w:pStyle w:val="41"/>
            <w:tabs>
              <w:tab w:val="right" w:leader="dot" w:pos="8306"/>
            </w:tabs>
          </w:pPr>
          <w:r>
            <w:fldChar w:fldCharType="begin"/>
          </w:r>
          <w:r>
            <w:instrText xml:space="preserve"> HYPERLINK \l _Toc19466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_Toc19466 \h </w:instrText>
          </w:r>
          <w:r>
            <w:fldChar w:fldCharType="separate"/>
          </w:r>
          <w:r>
            <w:t>15</w:t>
          </w:r>
          <w:r>
            <w:fldChar w:fldCharType="end"/>
          </w:r>
          <w:r>
            <w:fldChar w:fldCharType="end"/>
          </w:r>
        </w:p>
        <w:p>
          <w:pPr>
            <w:pStyle w:val="41"/>
            <w:tabs>
              <w:tab w:val="right" w:leader="dot" w:pos="8306"/>
            </w:tabs>
          </w:pPr>
          <w:r>
            <w:fldChar w:fldCharType="begin"/>
          </w:r>
          <w:r>
            <w:instrText xml:space="preserve"> HYPERLINK \l _Toc8236 </w:instrText>
          </w:r>
          <w:r>
            <w:fldChar w:fldCharType="separate"/>
          </w:r>
          <w:r>
            <w:rPr>
              <w:rFonts w:hint="eastAsia" w:ascii="黑体" w:hAnsi="黑体" w:eastAsia="黑体"/>
            </w:rPr>
            <w:t>九、 国有资本经营预算支出决算情况说明</w:t>
          </w:r>
          <w:r>
            <w:tab/>
          </w:r>
          <w:r>
            <w:fldChar w:fldCharType="begin"/>
          </w:r>
          <w:r>
            <w:instrText xml:space="preserve"> PAGEREF _Toc8236 \h </w:instrText>
          </w:r>
          <w:r>
            <w:fldChar w:fldCharType="separate"/>
          </w:r>
          <w:r>
            <w:t>15</w:t>
          </w:r>
          <w:r>
            <w:fldChar w:fldCharType="end"/>
          </w:r>
          <w:r>
            <w:fldChar w:fldCharType="end"/>
          </w:r>
        </w:p>
        <w:p>
          <w:pPr>
            <w:pStyle w:val="41"/>
            <w:tabs>
              <w:tab w:val="right" w:leader="dot" w:pos="8306"/>
            </w:tabs>
          </w:pPr>
          <w:r>
            <w:fldChar w:fldCharType="begin"/>
          </w:r>
          <w:r>
            <w:instrText xml:space="preserve"> HYPERLINK \l _Toc29540 </w:instrText>
          </w:r>
          <w:r>
            <w:fldChar w:fldCharType="separate"/>
          </w:r>
          <w:r>
            <w:rPr>
              <w:rFonts w:hint="eastAsia" w:ascii="黑体" w:hAnsi="黑体" w:eastAsia="黑体"/>
            </w:rPr>
            <w:t>十、 其他重要事项的情况说明</w:t>
          </w:r>
          <w:r>
            <w:tab/>
          </w:r>
          <w:r>
            <w:fldChar w:fldCharType="begin"/>
          </w:r>
          <w:r>
            <w:instrText xml:space="preserve"> PAGEREF _Toc29540 \h </w:instrText>
          </w:r>
          <w:r>
            <w:fldChar w:fldCharType="separate"/>
          </w:r>
          <w:r>
            <w:t>15</w:t>
          </w:r>
          <w:r>
            <w:fldChar w:fldCharType="end"/>
          </w:r>
          <w:r>
            <w:fldChar w:fldCharType="end"/>
          </w:r>
        </w:p>
        <w:p>
          <w:pPr>
            <w:pStyle w:val="40"/>
            <w:tabs>
              <w:tab w:val="right" w:leader="dot" w:pos="8306"/>
            </w:tabs>
            <w:rPr>
              <w:b/>
            </w:rPr>
          </w:pPr>
          <w:r>
            <w:rPr>
              <w:b/>
            </w:rPr>
            <w:fldChar w:fldCharType="begin"/>
          </w:r>
          <w:r>
            <w:rPr>
              <w:b/>
            </w:rPr>
            <w:instrText xml:space="preserve"> HYPERLINK \l _Toc28175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_Toc28175 \h </w:instrText>
          </w:r>
          <w:r>
            <w:rPr>
              <w:b/>
            </w:rPr>
            <w:fldChar w:fldCharType="separate"/>
          </w:r>
          <w:r>
            <w:rPr>
              <w:b/>
            </w:rPr>
            <w:t>17</w:t>
          </w:r>
          <w:r>
            <w:rPr>
              <w:b/>
            </w:rPr>
            <w:fldChar w:fldCharType="end"/>
          </w:r>
          <w:r>
            <w:rPr>
              <w:b/>
            </w:rPr>
            <w:fldChar w:fldCharType="end"/>
          </w:r>
        </w:p>
        <w:p>
          <w:pPr>
            <w:pStyle w:val="40"/>
            <w:tabs>
              <w:tab w:val="right" w:leader="dot" w:pos="8306"/>
            </w:tabs>
            <w:rPr>
              <w:rFonts w:hint="default" w:eastAsia="宋体"/>
              <w:b/>
              <w:lang w:val="en-US" w:eastAsia="zh-CN"/>
            </w:rPr>
          </w:pPr>
          <w:r>
            <w:rPr>
              <w:rFonts w:hint="eastAsia"/>
              <w:b/>
              <w:lang w:val="en-US" w:eastAsia="zh-CN"/>
            </w:rPr>
            <w:t>第四部分 附件</w:t>
          </w:r>
          <w:r>
            <w:rPr>
              <w:b/>
            </w:rPr>
            <w:tab/>
          </w:r>
          <w:r>
            <w:rPr>
              <w:rFonts w:hint="eastAsia"/>
              <w:b/>
              <w:lang w:val="en-US" w:eastAsia="zh-CN"/>
            </w:rPr>
            <w:t>21</w:t>
          </w:r>
        </w:p>
        <w:p>
          <w:pPr>
            <w:pStyle w:val="40"/>
            <w:tabs>
              <w:tab w:val="right" w:leader="dot" w:pos="8306"/>
            </w:tabs>
            <w:rPr>
              <w:b/>
            </w:rPr>
          </w:pPr>
          <w:r>
            <w:rPr>
              <w:b/>
            </w:rPr>
            <w:fldChar w:fldCharType="begin"/>
          </w:r>
          <w:r>
            <w:rPr>
              <w:b/>
            </w:rPr>
            <w:instrText xml:space="preserve"> HYPERLINK \l _Toc18680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_Toc18680 \h </w:instrText>
          </w:r>
          <w:r>
            <w:rPr>
              <w:b/>
            </w:rPr>
            <w:fldChar w:fldCharType="separate"/>
          </w:r>
          <w:r>
            <w:rPr>
              <w:b/>
            </w:rPr>
            <w:t>44</w:t>
          </w:r>
          <w:r>
            <w:rPr>
              <w:b/>
            </w:rPr>
            <w:fldChar w:fldCharType="end"/>
          </w:r>
          <w:r>
            <w:rPr>
              <w:b/>
            </w:rPr>
            <w:fldChar w:fldCharType="end"/>
          </w:r>
        </w:p>
        <w:p>
          <w:pPr>
            <w:pStyle w:val="41"/>
            <w:tabs>
              <w:tab w:val="right" w:leader="dot" w:pos="8306"/>
            </w:tabs>
          </w:pPr>
          <w:r>
            <w:fldChar w:fldCharType="begin"/>
          </w:r>
          <w:r>
            <w:instrText xml:space="preserve"> HYPERLINK \l _Toc13804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_Toc13804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_Toc18766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_Toc18766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_Toc28828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_Toc28828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_Toc17858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_Toc17858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_Toc22223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_Toc22223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_Toc23838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_Toc23838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_Toc7422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_Toc7422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_Toc10084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_Toc10084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_Toc8911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_Toc8911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_Toc13994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_Toc13994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_Toc9979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_Toc9979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_Toc22478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_Toc22478 \h </w:instrText>
          </w:r>
          <w:r>
            <w:fldChar w:fldCharType="separate"/>
          </w:r>
          <w:r>
            <w:t>44</w:t>
          </w:r>
          <w:r>
            <w:fldChar w:fldCharType="end"/>
          </w:r>
          <w:r>
            <w:fldChar w:fldCharType="end"/>
          </w:r>
        </w:p>
        <w:p>
          <w:pPr>
            <w:pStyle w:val="41"/>
            <w:tabs>
              <w:tab w:val="right" w:leader="dot" w:pos="8306"/>
            </w:tabs>
          </w:pPr>
          <w:r>
            <w:fldChar w:fldCharType="begin"/>
          </w:r>
          <w:r>
            <w:instrText xml:space="preserve"> HYPERLINK \l _Toc28588 </w:instrText>
          </w:r>
          <w:r>
            <w:fldChar w:fldCharType="separate"/>
          </w:r>
          <w:r>
            <w:rPr>
              <w:rFonts w:hint="eastAsia" w:ascii="仿宋" w:hAnsi="仿宋" w:eastAsia="仿宋"/>
              <w:bCs w:val="0"/>
            </w:rPr>
            <w:t>十三、财政拨款“三公”经费支出决算表</w:t>
          </w:r>
          <w:r>
            <w:tab/>
          </w:r>
          <w:r>
            <w:fldChar w:fldCharType="begin"/>
          </w:r>
          <w:r>
            <w:instrText xml:space="preserve"> PAGEREF _Toc28588 \h </w:instrText>
          </w:r>
          <w:r>
            <w:fldChar w:fldCharType="separate"/>
          </w:r>
          <w:r>
            <w:t>44</w:t>
          </w:r>
          <w:r>
            <w:fldChar w:fldCharType="end"/>
          </w:r>
          <w:r>
            <w:fldChar w:fldCharType="end"/>
          </w:r>
        </w:p>
        <w:p>
          <w:pPr>
            <w:rPr>
              <w:rFonts w:hint="eastAsia" w:ascii="黑体" w:hAnsi="黑体" w:eastAsia="黑体"/>
              <w:b w:val="0"/>
            </w:rPr>
          </w:pPr>
          <w:r>
            <w:rPr>
              <w:b/>
            </w:rPr>
            <w:fldChar w:fldCharType="end"/>
          </w:r>
          <w:bookmarkStart w:id="22" w:name="_Toc27665"/>
        </w:p>
      </w:sdtContent>
    </w:sdt>
    <w:p>
      <w:pPr>
        <w:pStyle w:val="3"/>
        <w:jc w:val="center"/>
        <w:rPr>
          <w:rFonts w:ascii="黑体" w:eastAsia="黑体"/>
          <w:sz w:val="32"/>
          <w:szCs w:val="32"/>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8"/>
      <w:bookmarkEnd w:id="19"/>
      <w:bookmarkEnd w:id="20"/>
      <w:bookmarkEnd w:id="21"/>
      <w:bookmarkEnd w:id="22"/>
    </w:p>
    <w:p>
      <w:pPr>
        <w:pStyle w:val="4"/>
        <w:numPr>
          <w:ilvl w:val="0"/>
          <w:numId w:val="1"/>
        </w:numPr>
        <w:rPr>
          <w:rFonts w:hint="eastAsia" w:ascii="黑体" w:hAnsi="黑体" w:eastAsia="黑体"/>
          <w:b w:val="0"/>
        </w:rPr>
      </w:pPr>
      <w:bookmarkStart w:id="23" w:name="_Toc28452"/>
      <w:bookmarkStart w:id="24" w:name="_Toc22088"/>
      <w:r>
        <w:rPr>
          <w:rFonts w:hint="eastAsia" w:ascii="黑体" w:hAnsi="黑体" w:eastAsia="黑体"/>
          <w:b w:val="0"/>
        </w:rPr>
        <w:t>部门职责</w:t>
      </w:r>
      <w:r>
        <w:rPr>
          <w:rFonts w:hint="eastAsia" w:ascii="黑体" w:hAnsi="黑体" w:eastAsia="黑体"/>
          <w:b w:val="0"/>
          <w:lang w:val="en-US" w:eastAsia="zh-CN"/>
        </w:rPr>
        <w:t>及重点工作</w:t>
      </w:r>
      <w:bookmarkEnd w:id="23"/>
      <w:bookmarkEnd w:id="24"/>
    </w:p>
    <w:p>
      <w:pPr>
        <w:pStyle w:val="4"/>
        <w:numPr>
          <w:ilvl w:val="0"/>
          <w:numId w:val="2"/>
        </w:numPr>
        <w:ind w:firstLine="803" w:firstLineChars="250"/>
        <w:outlineLvl w:val="2"/>
        <w:rPr>
          <w:rFonts w:hint="eastAsia" w:ascii="仿宋" w:hAnsi="仿宋" w:eastAsia="仿宋" w:cs="仿宋"/>
          <w:b/>
          <w:bCs/>
          <w:kern w:val="2"/>
          <w:sz w:val="32"/>
          <w:szCs w:val="32"/>
          <w:lang w:val="en-US" w:eastAsia="zh-CN" w:bidi="ar-SA"/>
        </w:rPr>
      </w:pPr>
      <w:bookmarkStart w:id="25" w:name="_Toc28003"/>
      <w:bookmarkStart w:id="26" w:name="_Toc25409"/>
      <w:bookmarkStart w:id="27" w:name="_Toc15377200"/>
      <w:bookmarkStart w:id="28" w:name="_Toc15396601"/>
      <w:r>
        <w:rPr>
          <w:rFonts w:hint="eastAsia" w:ascii="仿宋" w:hAnsi="仿宋" w:eastAsia="仿宋" w:cs="仿宋"/>
          <w:b/>
          <w:bCs/>
          <w:sz w:val="32"/>
          <w:szCs w:val="32"/>
        </w:rPr>
        <w:t>部门职责</w:t>
      </w:r>
      <w:bookmarkEnd w:id="25"/>
      <w:bookmarkEnd w:id="26"/>
    </w:p>
    <w:p>
      <w:pPr>
        <w:pStyle w:val="4"/>
        <w:numPr>
          <w:ilvl w:val="0"/>
          <w:numId w:val="0"/>
        </w:numPr>
        <w:ind w:firstLine="560" w:firstLineChars="200"/>
        <w:rPr>
          <w:rFonts w:hint="eastAsia" w:ascii="仿宋_GB2312" w:hAnsi="仿宋_GB2312" w:eastAsia="仿宋_GB2312" w:cs="仿宋_GB2312"/>
          <w:b w:val="0"/>
          <w:bCs/>
          <w:kern w:val="2"/>
          <w:sz w:val="28"/>
          <w:szCs w:val="28"/>
          <w:lang w:val="en-US" w:eastAsia="zh-CN" w:bidi="ar-SA"/>
        </w:rPr>
      </w:pPr>
      <w:bookmarkStart w:id="29" w:name="_Toc30937"/>
      <w:bookmarkStart w:id="30" w:name="_Toc12079"/>
      <w:r>
        <w:rPr>
          <w:rFonts w:hint="eastAsia" w:ascii="仿宋_GB2312" w:hAnsi="仿宋_GB2312" w:eastAsia="仿宋_GB2312" w:cs="仿宋_GB2312"/>
          <w:b w:val="0"/>
          <w:bCs/>
          <w:kern w:val="2"/>
          <w:sz w:val="28"/>
          <w:szCs w:val="28"/>
          <w:lang w:val="en-US" w:eastAsia="zh-CN" w:bidi="ar-SA"/>
        </w:rPr>
        <w:t>党委工作职责：（1）保证党的路线、方针、政策的坚决贯彻执行。（2）保证监督职能。（3）教育和管理职能。（4）服从和服务于经济建设的职能。（5）负责抓好本镇党建工作、群团工作、精神文明建设工作、新闻宣传工作。（6）完成县委、县政府交给的其他工作任务。</w:t>
      </w:r>
      <w:bookmarkEnd w:id="29"/>
      <w:bookmarkEnd w:id="30"/>
    </w:p>
    <w:p>
      <w:pPr>
        <w:pStyle w:val="8"/>
        <w:ind w:firstLine="560" w:firstLineChars="200"/>
      </w:pPr>
      <w:r>
        <w:rPr>
          <w:rFonts w:hint="eastAsia" w:ascii="仿宋_GB2312" w:hAnsi="仿宋_GB2312" w:cs="仿宋_GB2312"/>
          <w:b w:val="0"/>
          <w:bCs/>
          <w:sz w:val="28"/>
          <w:szCs w:val="28"/>
          <w:lang w:val="en-US" w:eastAsia="zh-CN"/>
        </w:rPr>
        <w:t>政府职能：（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的其他事项。</w:t>
      </w:r>
    </w:p>
    <w:p>
      <w:pPr>
        <w:pStyle w:val="13"/>
        <w:adjustRightInd w:val="0"/>
        <w:snapToGrid w:val="0"/>
        <w:spacing w:line="440" w:lineRule="exact"/>
        <w:jc w:val="left"/>
        <w:outlineLvl w:val="2"/>
        <w:rPr>
          <w:rFonts w:hint="eastAsia" w:ascii="仿宋" w:hAnsi="仿宋" w:eastAsia="仿宋" w:cs="仿宋"/>
          <w:b/>
          <w:bCs/>
          <w:sz w:val="32"/>
          <w:szCs w:val="32"/>
        </w:rPr>
      </w:pPr>
      <w:r>
        <w:rPr>
          <w:rFonts w:hint="eastAsia" w:ascii="仿宋" w:hAnsi="仿宋" w:eastAsia="仿宋" w:cs="仿宋"/>
          <w:b/>
          <w:bCs/>
          <w:sz w:val="32"/>
          <w:szCs w:val="32"/>
        </w:rPr>
        <w:t>（二）2022年重点工作完成情况</w:t>
      </w:r>
    </w:p>
    <w:p>
      <w:pPr>
        <w:pStyle w:val="8"/>
        <w:ind w:firstLine="560" w:firstLineChars="200"/>
        <w:rPr>
          <w:rFonts w:hint="eastAsia"/>
        </w:rPr>
      </w:pPr>
      <w:r>
        <w:rPr>
          <w:rFonts w:hint="eastAsia" w:ascii="仿宋_GB2312" w:hAnsi="仿宋_GB2312" w:cs="仿宋_GB2312"/>
          <w:b w:val="0"/>
          <w:bCs/>
          <w:sz w:val="28"/>
          <w:szCs w:val="28"/>
          <w:lang w:val="en-US" w:eastAsia="zh-CN"/>
        </w:rPr>
        <w:t>2022年，义兴镇将坚持以习近平新时代中国特色社会主义思想为指导，坚定贯彻实施县委“1233”执政兴县战略，统筹推进疫情防控和经济社会发展。2022年着重抓好党的十九届六中全会和即将召开党的二十大精神学习贯彻、巩固党史学习教育成果、走深走实“我为群众办实事”活动、持续推进巩固拓展脱贫攻坚成果同乡村振兴有效衔接、乡镇行政区划和村级建制调整改革“后半篇”文章、全力打造优质营商环境、持续开展纪律作风整顿等大事要事。聚焦聚力“项目提速”“转型升级”“绿色低碳”“改革增效”“民生改善”“从严从实”六大方面，在把握大势中谋篇布局，在保持定力中精准发力，在破解难题中狠抓落实，团结担当、攻坚克难、勇争一流，经济社会发展和党的建设取得新成效，努力实现1233执政兴县</w:t>
      </w:r>
      <w:r>
        <w:rPr>
          <w:rFonts w:hint="default" w:ascii="仿宋_GB2312" w:hAnsi="仿宋_GB2312" w:cs="仿宋_GB2312"/>
          <w:b w:val="0"/>
          <w:bCs/>
          <w:sz w:val="28"/>
          <w:szCs w:val="28"/>
          <w:lang w:val="en-US" w:eastAsia="zh-CN"/>
        </w:rPr>
        <w:t>战略</w:t>
      </w:r>
      <w:r>
        <w:rPr>
          <w:rFonts w:hint="eastAsia" w:ascii="仿宋_GB2312" w:hAnsi="仿宋_GB2312" w:cs="仿宋_GB2312"/>
          <w:b w:val="0"/>
          <w:bCs/>
          <w:sz w:val="28"/>
          <w:szCs w:val="28"/>
          <w:lang w:val="en-US" w:eastAsia="zh-CN"/>
        </w:rPr>
        <w:t>义兴实践。</w:t>
      </w:r>
    </w:p>
    <w:p>
      <w:pPr>
        <w:pStyle w:val="4"/>
        <w:numPr>
          <w:ilvl w:val="0"/>
          <w:numId w:val="1"/>
        </w:numPr>
        <w:ind w:left="0" w:leftChars="0" w:firstLine="0" w:firstLineChars="0"/>
        <w:rPr>
          <w:rStyle w:val="31"/>
          <w:rFonts w:hint="eastAsia" w:ascii="黑体" w:hAnsi="黑体" w:eastAsia="黑体"/>
          <w:b w:val="0"/>
          <w:bCs w:val="0"/>
        </w:rPr>
      </w:pPr>
      <w:bookmarkStart w:id="31" w:name="_Toc5427"/>
      <w:bookmarkStart w:id="32" w:name="_Toc31586"/>
      <w:r>
        <w:rPr>
          <w:rFonts w:hint="eastAsia" w:ascii="黑体" w:hAnsi="黑体" w:eastAsia="黑体"/>
          <w:b w:val="0"/>
        </w:rPr>
        <w:t>机</w:t>
      </w:r>
      <w:r>
        <w:rPr>
          <w:rStyle w:val="31"/>
          <w:rFonts w:hint="eastAsia" w:ascii="黑体" w:hAnsi="黑体" w:eastAsia="黑体"/>
          <w:b w:val="0"/>
          <w:bCs w:val="0"/>
        </w:rPr>
        <w:t>构设置</w:t>
      </w:r>
      <w:bookmarkEnd w:id="27"/>
      <w:bookmarkEnd w:id="28"/>
      <w:bookmarkEnd w:id="31"/>
      <w:bookmarkEnd w:id="32"/>
    </w:p>
    <w:p>
      <w:pPr>
        <w:pStyle w:val="16"/>
        <w:ind w:left="0" w:leftChars="0" w:firstLine="640" w:firstLineChars="200"/>
        <w:rPr>
          <w:rFonts w:ascii="仿宋" w:hAnsi="仿宋" w:eastAsia="仿宋"/>
          <w:kern w:val="0"/>
          <w:sz w:val="32"/>
          <w:szCs w:val="32"/>
        </w:rPr>
      </w:pPr>
      <w:r>
        <w:rPr>
          <w:rFonts w:hint="eastAsia" w:ascii="仿宋" w:hAnsi="仿宋" w:eastAsia="仿宋"/>
          <w:sz w:val="32"/>
          <w:szCs w:val="32"/>
          <w:highlight w:val="none"/>
        </w:rPr>
        <w:t>剑阁县</w:t>
      </w:r>
      <w:r>
        <w:rPr>
          <w:rFonts w:hint="eastAsia" w:ascii="仿宋" w:hAnsi="仿宋" w:eastAsia="仿宋"/>
          <w:sz w:val="32"/>
          <w:szCs w:val="32"/>
          <w:highlight w:val="none"/>
          <w:lang w:eastAsia="zh-CN"/>
        </w:rPr>
        <w:t>义兴镇人民政府无</w:t>
      </w:r>
      <w:r>
        <w:rPr>
          <w:rFonts w:hint="eastAsia" w:ascii="仿宋" w:hAnsi="仿宋" w:eastAsia="仿宋"/>
          <w:sz w:val="32"/>
          <w:szCs w:val="32"/>
          <w:highlight w:val="none"/>
        </w:rPr>
        <w:t>下属二级单位，无纳入202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年度部门</w:t>
      </w:r>
      <w:r>
        <w:rPr>
          <w:rFonts w:hint="eastAsia" w:ascii="仿宋" w:hAnsi="仿宋" w:eastAsia="仿宋"/>
          <w:sz w:val="32"/>
          <w:szCs w:val="32"/>
          <w:highlight w:val="none"/>
          <w:lang w:val="en-US" w:eastAsia="zh-CN"/>
        </w:rPr>
        <w:t>决</w:t>
      </w:r>
      <w:r>
        <w:rPr>
          <w:rFonts w:hint="eastAsia" w:ascii="仿宋" w:hAnsi="仿宋" w:eastAsia="仿宋"/>
          <w:sz w:val="32"/>
          <w:szCs w:val="32"/>
          <w:highlight w:val="none"/>
          <w:lang w:eastAsia="zh-CN"/>
        </w:rPr>
        <w:t>算</w:t>
      </w:r>
      <w:r>
        <w:rPr>
          <w:rFonts w:hint="eastAsia" w:ascii="仿宋" w:hAnsi="仿宋" w:eastAsia="仿宋"/>
          <w:sz w:val="32"/>
          <w:szCs w:val="32"/>
          <w:highlight w:val="none"/>
        </w:rPr>
        <w:t>编制范围的二级预算单位。</w:t>
      </w:r>
      <w:r>
        <w:rPr>
          <w:rFonts w:ascii="仿宋" w:hAnsi="仿宋" w:eastAsia="仿宋"/>
          <w:sz w:val="32"/>
          <w:szCs w:val="32"/>
        </w:rPr>
        <w:br w:type="page"/>
      </w:r>
    </w:p>
    <w:p>
      <w:pPr>
        <w:pStyle w:val="3"/>
        <w:ind w:right="440"/>
        <w:jc w:val="center"/>
      </w:pPr>
      <w:bookmarkStart w:id="33" w:name="_Toc15377204"/>
      <w:bookmarkStart w:id="34" w:name="_Toc12467"/>
      <w:bookmarkStart w:id="35" w:name="_Toc15396602"/>
      <w:bookmarkStart w:id="36" w:name="_Toc19571"/>
      <w:bookmarkStart w:id="37" w:name="_Toc10073"/>
      <w:r>
        <w:rPr>
          <w:rFonts w:hint="eastAsia" w:ascii="黑体" w:hAnsi="黑体" w:eastAsia="黑体"/>
          <w:b w:val="0"/>
        </w:rPr>
        <w:t>第二部分 2022年度</w:t>
      </w:r>
      <w:r>
        <w:rPr>
          <w:rStyle w:val="30"/>
          <w:rFonts w:hint="eastAsia" w:ascii="黑体" w:hAnsi="黑体" w:eastAsia="黑体"/>
          <w:b w:val="0"/>
          <w:bCs/>
        </w:rPr>
        <w:t>部门决算情况说明</w:t>
      </w:r>
      <w:bookmarkEnd w:id="33"/>
      <w:bookmarkEnd w:id="34"/>
      <w:bookmarkEnd w:id="35"/>
      <w:bookmarkEnd w:id="36"/>
      <w:bookmarkEnd w:id="37"/>
    </w:p>
    <w:p>
      <w:pPr>
        <w:pStyle w:val="29"/>
        <w:numPr>
          <w:ilvl w:val="0"/>
          <w:numId w:val="3"/>
        </w:numPr>
        <w:spacing w:line="600" w:lineRule="exact"/>
        <w:ind w:firstLineChars="0"/>
        <w:outlineLvl w:val="1"/>
        <w:rPr>
          <w:rStyle w:val="31"/>
          <w:rFonts w:ascii="黑体" w:hAnsi="黑体" w:eastAsia="黑体"/>
          <w:b w:val="0"/>
        </w:rPr>
      </w:pPr>
      <w:bookmarkStart w:id="38" w:name="_Toc15396603"/>
      <w:bookmarkStart w:id="39" w:name="_Toc13501"/>
      <w:bookmarkStart w:id="40" w:name="_Toc14583"/>
      <w:bookmarkStart w:id="41"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38"/>
      <w:bookmarkEnd w:id="39"/>
      <w:bookmarkEnd w:id="40"/>
      <w:bookmarkEnd w:id="4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807.45</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3.86</w:t>
      </w:r>
      <w:r>
        <w:rPr>
          <w:rFonts w:hint="eastAsia" w:ascii="仿宋" w:hAnsi="仿宋" w:eastAsia="仿宋"/>
          <w:sz w:val="32"/>
          <w:szCs w:val="32"/>
        </w:rPr>
        <w:t>万元，下降</w:t>
      </w:r>
      <w:r>
        <w:rPr>
          <w:rFonts w:hint="eastAsia" w:ascii="仿宋" w:hAnsi="仿宋" w:eastAsia="仿宋"/>
          <w:sz w:val="32"/>
          <w:szCs w:val="32"/>
          <w:lang w:val="en-US" w:eastAsia="zh-CN"/>
        </w:rPr>
        <w:t>0.48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经费的压减</w:t>
      </w:r>
      <w:r>
        <w:rPr>
          <w:rFonts w:hint="eastAsia" w:ascii="仿宋" w:hAnsi="仿宋" w:eastAsia="仿宋"/>
          <w:sz w:val="32"/>
          <w:szCs w:val="32"/>
        </w:rPr>
        <w:t>。</w:t>
      </w:r>
    </w:p>
    <w:p>
      <w:pPr>
        <w:pStyle w:val="16"/>
        <w:rPr>
          <w:rFonts w:hint="eastAsia" w:eastAsia="仿宋"/>
          <w:lang w:eastAsia="zh-CN"/>
        </w:rPr>
      </w:pPr>
      <w:r>
        <w:rPr>
          <w:rFonts w:hint="eastAsia" w:eastAsia="仿宋"/>
          <w:lang w:eastAsia="zh-CN"/>
        </w:rPr>
        <w:drawing>
          <wp:inline distT="0" distB="0" distL="114300" distR="114300">
            <wp:extent cx="4584065" cy="2755265"/>
            <wp:effectExtent l="0" t="0" r="6985" b="6985"/>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7"/>
                    <a:stretch>
                      <a:fillRect/>
                    </a:stretch>
                  </pic:blipFill>
                  <pic:spPr>
                    <a:xfrm>
                      <a:off x="0" y="0"/>
                      <a:ext cx="4584065" cy="2755265"/>
                    </a:xfrm>
                    <a:prstGeom prst="rect">
                      <a:avLst/>
                    </a:prstGeom>
                  </pic:spPr>
                </pic:pic>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9"/>
        <w:numPr>
          <w:ilvl w:val="0"/>
          <w:numId w:val="3"/>
        </w:numPr>
        <w:spacing w:line="600" w:lineRule="exact"/>
        <w:ind w:firstLineChars="0"/>
        <w:outlineLvl w:val="1"/>
        <w:rPr>
          <w:rStyle w:val="31"/>
          <w:rFonts w:ascii="黑体" w:hAnsi="黑体" w:eastAsia="黑体"/>
          <w:b w:val="0"/>
        </w:rPr>
      </w:pPr>
      <w:bookmarkStart w:id="42" w:name="_Toc15396604"/>
      <w:bookmarkStart w:id="43" w:name="_Toc27759"/>
      <w:bookmarkStart w:id="44" w:name="_Toc15377206"/>
      <w:bookmarkStart w:id="45" w:name="_Toc4661"/>
      <w:r>
        <w:rPr>
          <w:rFonts w:hint="eastAsia" w:ascii="黑体" w:hAnsi="黑体" w:eastAsia="黑体"/>
          <w:sz w:val="32"/>
          <w:szCs w:val="32"/>
        </w:rPr>
        <w:t>收</w:t>
      </w:r>
      <w:r>
        <w:rPr>
          <w:rStyle w:val="31"/>
          <w:rFonts w:hint="eastAsia" w:ascii="黑体" w:hAnsi="黑体" w:eastAsia="黑体"/>
          <w:b w:val="0"/>
        </w:rPr>
        <w:t>入决算情况说明</w:t>
      </w:r>
      <w:bookmarkEnd w:id="42"/>
      <w:bookmarkEnd w:id="43"/>
      <w:bookmarkEnd w:id="44"/>
      <w:bookmarkEnd w:id="45"/>
    </w:p>
    <w:p>
      <w:pPr>
        <w:spacing w:line="600" w:lineRule="exact"/>
        <w:ind w:firstLine="640" w:firstLineChars="200"/>
        <w:outlineLvl w:val="1"/>
        <w:rPr>
          <w:rFonts w:ascii="仿宋" w:hAnsi="仿宋" w:eastAsia="仿宋"/>
          <w:sz w:val="32"/>
          <w:szCs w:val="32"/>
        </w:rPr>
      </w:pPr>
      <w:bookmarkStart w:id="46" w:name="_Toc1558"/>
      <w:bookmarkStart w:id="47" w:name="_Toc25500"/>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807.45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807.45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46"/>
      <w:bookmarkEnd w:id="47"/>
    </w:p>
    <w:p>
      <w:pPr>
        <w:spacing w:line="240" w:lineRule="auto"/>
        <w:ind w:firstLine="640" w:firstLineChars="200"/>
        <w:outlineLvl w:val="9"/>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2"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true"/>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w:t>
      </w:r>
    </w:p>
    <w:p>
      <w:pPr>
        <w:pStyle w:val="29"/>
        <w:numPr>
          <w:ilvl w:val="0"/>
          <w:numId w:val="3"/>
        </w:numPr>
        <w:spacing w:line="600" w:lineRule="exact"/>
        <w:ind w:firstLineChars="0"/>
        <w:outlineLvl w:val="1"/>
        <w:rPr>
          <w:rStyle w:val="31"/>
          <w:rFonts w:ascii="黑体" w:hAnsi="黑体" w:eastAsia="黑体"/>
          <w:b w:val="0"/>
        </w:rPr>
      </w:pPr>
      <w:bookmarkStart w:id="48" w:name="_Toc15377207"/>
      <w:bookmarkStart w:id="49" w:name="_Toc9786"/>
      <w:bookmarkStart w:id="50" w:name="_Toc15396605"/>
      <w:bookmarkStart w:id="51" w:name="_Toc11328"/>
      <w:r>
        <w:rPr>
          <w:rFonts w:hint="eastAsia" w:ascii="黑体" w:hAnsi="黑体" w:eastAsia="黑体"/>
          <w:sz w:val="32"/>
          <w:szCs w:val="32"/>
        </w:rPr>
        <w:t>支</w:t>
      </w:r>
      <w:r>
        <w:rPr>
          <w:rStyle w:val="31"/>
          <w:rFonts w:hint="eastAsia" w:ascii="黑体" w:hAnsi="黑体" w:eastAsia="黑体"/>
          <w:b w:val="0"/>
        </w:rPr>
        <w:t>出决算情况说明</w:t>
      </w:r>
      <w:bookmarkEnd w:id="48"/>
      <w:bookmarkEnd w:id="49"/>
      <w:bookmarkEnd w:id="50"/>
      <w:bookmarkEnd w:id="51"/>
    </w:p>
    <w:p>
      <w:pPr>
        <w:spacing w:line="600" w:lineRule="exact"/>
        <w:ind w:firstLine="640" w:firstLineChars="200"/>
        <w:outlineLvl w:val="1"/>
        <w:rPr>
          <w:rFonts w:ascii="仿宋" w:hAnsi="仿宋" w:eastAsia="仿宋"/>
          <w:sz w:val="32"/>
          <w:szCs w:val="32"/>
        </w:rPr>
      </w:pPr>
      <w:bookmarkStart w:id="52" w:name="_Toc7460"/>
      <w:bookmarkStart w:id="53" w:name="_Toc23551"/>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807.45</w:t>
      </w:r>
      <w:r>
        <w:rPr>
          <w:rFonts w:hint="eastAsia" w:ascii="仿宋" w:hAnsi="仿宋" w:eastAsia="仿宋"/>
          <w:sz w:val="32"/>
          <w:szCs w:val="32"/>
        </w:rPr>
        <w:t>万元，其中：基本支出</w:t>
      </w:r>
      <w:r>
        <w:rPr>
          <w:rFonts w:hint="eastAsia" w:ascii="仿宋" w:hAnsi="仿宋" w:eastAsia="仿宋"/>
          <w:sz w:val="32"/>
          <w:szCs w:val="32"/>
          <w:lang w:val="en-US" w:eastAsia="zh-CN"/>
        </w:rPr>
        <w:t>611.42</w:t>
      </w:r>
      <w:r>
        <w:rPr>
          <w:rFonts w:hint="eastAsia" w:ascii="仿宋" w:hAnsi="仿宋" w:eastAsia="仿宋"/>
          <w:sz w:val="32"/>
          <w:szCs w:val="32"/>
        </w:rPr>
        <w:t>万元，占</w:t>
      </w:r>
      <w:r>
        <w:rPr>
          <w:rFonts w:hint="eastAsia" w:ascii="仿宋" w:hAnsi="仿宋" w:eastAsia="仿宋"/>
          <w:sz w:val="32"/>
          <w:szCs w:val="32"/>
          <w:lang w:val="en-US" w:eastAsia="zh-CN"/>
        </w:rPr>
        <w:t>75.72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196.03</w:t>
      </w:r>
      <w:r>
        <w:rPr>
          <w:rFonts w:hint="eastAsia" w:ascii="仿宋" w:hAnsi="仿宋" w:eastAsia="仿宋"/>
          <w:sz w:val="32"/>
          <w:szCs w:val="32"/>
        </w:rPr>
        <w:t>万元，占</w:t>
      </w:r>
      <w:r>
        <w:rPr>
          <w:rFonts w:hint="eastAsia" w:ascii="仿宋" w:hAnsi="仿宋" w:eastAsia="仿宋"/>
          <w:sz w:val="32"/>
          <w:szCs w:val="32"/>
          <w:lang w:val="en-US" w:eastAsia="zh-CN"/>
        </w:rPr>
        <w:t>24.28</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52"/>
      <w:bookmarkEnd w:id="53"/>
    </w:p>
    <w:p>
      <w:pPr>
        <w:spacing w:line="240" w:lineRule="auto"/>
        <w:ind w:firstLine="640"/>
        <w:rPr>
          <w:rFonts w:hint="eastAsia" w:ascii="仿宋" w:hAnsi="仿宋" w:eastAsia="仿宋"/>
          <w:sz w:val="32"/>
          <w:szCs w:val="32"/>
          <w:shd w:val="pct10" w:color="auto" w:fill="FFFFFF"/>
          <w:lang w:eastAsia="zh-CN"/>
        </w:rPr>
      </w:pPr>
      <w:r>
        <w:rPr>
          <w:rFonts w:hint="eastAsia" w:ascii="仿宋" w:hAnsi="仿宋" w:eastAsia="仿宋"/>
          <w:sz w:val="32"/>
          <w:szCs w:val="32"/>
          <w:shd w:val="pct10" w:color="auto" w:fill="FFFFFF"/>
          <w:lang w:eastAsia="zh-CN"/>
        </w:rPr>
        <w:drawing>
          <wp:inline distT="0" distB="0" distL="114300" distR="114300">
            <wp:extent cx="4584065" cy="2755265"/>
            <wp:effectExtent l="0" t="0" r="6985" b="6985"/>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54" w:name="_Toc15377208"/>
      <w:bookmarkStart w:id="55" w:name="_Toc15396606"/>
      <w:bookmarkStart w:id="56" w:name="_Toc23358"/>
      <w:bookmarkStart w:id="57" w:name="_Toc5769"/>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54"/>
      <w:bookmarkEnd w:id="55"/>
      <w:bookmarkEnd w:id="56"/>
      <w:bookmarkEnd w:id="57"/>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807.45</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3.86</w:t>
      </w:r>
      <w:r>
        <w:rPr>
          <w:rFonts w:hint="eastAsia" w:ascii="仿宋" w:hAnsi="仿宋" w:eastAsia="仿宋"/>
          <w:sz w:val="32"/>
          <w:szCs w:val="32"/>
        </w:rPr>
        <w:t>万元，下降</w:t>
      </w:r>
      <w:r>
        <w:rPr>
          <w:rFonts w:hint="eastAsia" w:ascii="仿宋" w:hAnsi="仿宋" w:eastAsia="仿宋"/>
          <w:sz w:val="32"/>
          <w:szCs w:val="32"/>
          <w:lang w:val="en-US" w:eastAsia="zh-CN"/>
        </w:rPr>
        <w:t>0.48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经费的压减。</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4" name="图片 4"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true"/>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0" w:firstLineChars="200"/>
        <w:jc w:val="center"/>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1"/>
          <w:rFonts w:ascii="黑体" w:hAnsi="黑体" w:eastAsia="黑体"/>
          <w:b w:val="0"/>
        </w:rPr>
      </w:pPr>
      <w:bookmarkStart w:id="58" w:name="_Toc15377209"/>
      <w:bookmarkStart w:id="59" w:name="_Toc4729"/>
      <w:bookmarkStart w:id="60" w:name="_Toc15396607"/>
      <w:bookmarkStart w:id="61" w:name="_Toc157"/>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58"/>
      <w:bookmarkEnd w:id="59"/>
      <w:bookmarkEnd w:id="60"/>
      <w:bookmarkEnd w:id="61"/>
    </w:p>
    <w:p>
      <w:pPr>
        <w:spacing w:line="600" w:lineRule="exact"/>
        <w:ind w:firstLine="642" w:firstLineChars="200"/>
        <w:outlineLvl w:val="2"/>
        <w:rPr>
          <w:rFonts w:ascii="仿宋" w:hAnsi="仿宋" w:eastAsia="仿宋"/>
          <w:b/>
          <w:sz w:val="32"/>
          <w:szCs w:val="32"/>
        </w:rPr>
      </w:pPr>
      <w:bookmarkStart w:id="62" w:name="_Toc15377210"/>
      <w:r>
        <w:rPr>
          <w:rFonts w:hint="eastAsia" w:ascii="仿宋" w:hAnsi="仿宋" w:eastAsia="仿宋"/>
          <w:b/>
          <w:sz w:val="32"/>
          <w:szCs w:val="32"/>
        </w:rPr>
        <w:t>（一）一般公共预算财政拨款支出决算总体情况</w:t>
      </w:r>
      <w:bookmarkEnd w:id="62"/>
    </w:p>
    <w:p>
      <w:pPr>
        <w:spacing w:line="600" w:lineRule="exact"/>
        <w:ind w:firstLine="640" w:firstLineChars="200"/>
        <w:rPr>
          <w:rFonts w:hint="default" w:ascii="仿宋" w:hAnsi="仿宋" w:eastAsia="仿宋"/>
          <w:sz w:val="32"/>
          <w:szCs w:val="32"/>
          <w:lang w:val="en-US"/>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807.45</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3.86</w:t>
      </w:r>
      <w:r>
        <w:rPr>
          <w:rFonts w:hint="eastAsia" w:ascii="仿宋" w:hAnsi="仿宋" w:eastAsia="仿宋"/>
          <w:sz w:val="32"/>
          <w:szCs w:val="32"/>
        </w:rPr>
        <w:t>万元，下降</w:t>
      </w:r>
      <w:r>
        <w:rPr>
          <w:rFonts w:hint="eastAsia" w:ascii="仿宋" w:hAnsi="仿宋" w:eastAsia="仿宋"/>
          <w:sz w:val="32"/>
          <w:szCs w:val="32"/>
          <w:lang w:val="en-US" w:eastAsia="zh-CN"/>
        </w:rPr>
        <w:t>0.48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经费的压减。</w:t>
      </w:r>
    </w:p>
    <w:p>
      <w:pPr>
        <w:spacing w:line="24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5" name="图片 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true"/>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2" w:firstLineChars="200"/>
        <w:outlineLvl w:val="2"/>
        <w:rPr>
          <w:rFonts w:ascii="仿宋" w:hAnsi="仿宋" w:eastAsia="仿宋"/>
          <w:b/>
          <w:sz w:val="32"/>
          <w:szCs w:val="32"/>
        </w:rPr>
      </w:pPr>
      <w:bookmarkStart w:id="63" w:name="_Toc15377211"/>
      <w:r>
        <w:rPr>
          <w:rFonts w:hint="eastAsia" w:ascii="仿宋" w:hAnsi="仿宋" w:eastAsia="仿宋"/>
          <w:b/>
          <w:sz w:val="32"/>
          <w:szCs w:val="32"/>
        </w:rPr>
        <w:t>（二）一般公共预算财政拨款支出决算结构情况</w:t>
      </w:r>
      <w:bookmarkEnd w:id="6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807.45</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294.36</w:t>
      </w:r>
      <w:r>
        <w:rPr>
          <w:rFonts w:hint="eastAsia" w:ascii="仿宋" w:hAnsi="仿宋" w:eastAsia="仿宋"/>
          <w:sz w:val="32"/>
          <w:szCs w:val="32"/>
        </w:rPr>
        <w:t>万元，占</w:t>
      </w:r>
      <w:r>
        <w:rPr>
          <w:rFonts w:hint="eastAsia" w:ascii="仿宋" w:hAnsi="仿宋" w:eastAsia="仿宋"/>
          <w:sz w:val="32"/>
          <w:szCs w:val="32"/>
          <w:lang w:val="en-US" w:eastAsia="zh-CN"/>
        </w:rPr>
        <w:t>36.46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0.5万元，占0.06%；</w:t>
      </w:r>
      <w:r>
        <w:rPr>
          <w:rFonts w:hint="eastAsia" w:ascii="仿宋" w:hAnsi="仿宋" w:eastAsia="仿宋"/>
          <w:b/>
          <w:bCs/>
          <w:sz w:val="32"/>
          <w:szCs w:val="32"/>
        </w:rPr>
        <w:t>文化旅游体育与传媒支出</w:t>
      </w:r>
      <w:r>
        <w:rPr>
          <w:rFonts w:hint="eastAsia" w:ascii="仿宋" w:hAnsi="仿宋" w:eastAsia="仿宋"/>
          <w:b w:val="0"/>
          <w:bCs w:val="0"/>
          <w:sz w:val="32"/>
          <w:szCs w:val="32"/>
          <w:lang w:val="en-US" w:eastAsia="zh-CN"/>
        </w:rPr>
        <w:t>57.06</w:t>
      </w:r>
      <w:r>
        <w:rPr>
          <w:rFonts w:hint="eastAsia" w:ascii="仿宋" w:hAnsi="仿宋" w:eastAsia="仿宋"/>
          <w:b w:val="0"/>
          <w:bCs w:val="0"/>
          <w:sz w:val="32"/>
          <w:szCs w:val="32"/>
        </w:rPr>
        <w:t>万元，占</w:t>
      </w:r>
      <w:r>
        <w:rPr>
          <w:rFonts w:hint="eastAsia" w:ascii="仿宋" w:hAnsi="仿宋" w:eastAsia="仿宋"/>
          <w:b w:val="0"/>
          <w:bCs w:val="0"/>
          <w:sz w:val="32"/>
          <w:szCs w:val="32"/>
          <w:lang w:val="en-US" w:eastAsia="zh-CN"/>
        </w:rPr>
        <w:t>7.07</w:t>
      </w:r>
      <w:r>
        <w:rPr>
          <w:rFonts w:ascii="仿宋" w:hAnsi="仿宋" w:eastAsia="仿宋"/>
          <w:b w:val="0"/>
          <w:bCs w:val="0"/>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93.35</w:t>
      </w:r>
      <w:r>
        <w:rPr>
          <w:rFonts w:hint="eastAsia" w:ascii="仿宋" w:hAnsi="仿宋" w:eastAsia="仿宋"/>
          <w:sz w:val="32"/>
          <w:szCs w:val="32"/>
        </w:rPr>
        <w:t>万元，占</w:t>
      </w:r>
      <w:r>
        <w:rPr>
          <w:rFonts w:hint="eastAsia" w:ascii="仿宋" w:hAnsi="仿宋" w:eastAsia="仿宋"/>
          <w:sz w:val="32"/>
          <w:szCs w:val="32"/>
          <w:lang w:val="en-US" w:eastAsia="zh-CN"/>
        </w:rPr>
        <w:t>11.56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23.33</w:t>
      </w:r>
      <w:r>
        <w:rPr>
          <w:rFonts w:hint="eastAsia" w:ascii="仿宋" w:hAnsi="仿宋" w:eastAsia="仿宋"/>
          <w:sz w:val="32"/>
          <w:szCs w:val="32"/>
        </w:rPr>
        <w:t>万元，占</w:t>
      </w:r>
      <w:r>
        <w:rPr>
          <w:rFonts w:hint="eastAsia" w:ascii="仿宋" w:hAnsi="仿宋" w:eastAsia="仿宋"/>
          <w:sz w:val="32"/>
          <w:szCs w:val="32"/>
          <w:lang w:val="en-US" w:eastAsia="zh-CN"/>
        </w:rPr>
        <w:t>2.89</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sz w:val="32"/>
          <w:szCs w:val="32"/>
          <w:shd w:val="clear" w:color="auto" w:fill="auto"/>
        </w:rPr>
        <w:t>城乡社区（类）</w:t>
      </w:r>
      <w:r>
        <w:rPr>
          <w:rFonts w:hint="eastAsia" w:ascii="仿宋_GB2312" w:hAnsi="仿宋_GB2312" w:eastAsia="仿宋_GB2312" w:cs="仿宋_GB2312"/>
          <w:sz w:val="32"/>
          <w:szCs w:val="32"/>
          <w:shd w:val="clear" w:color="auto" w:fill="auto"/>
        </w:rPr>
        <w:t>支出</w:t>
      </w:r>
      <w:r>
        <w:rPr>
          <w:rFonts w:hint="eastAsia" w:ascii="仿宋_GB2312" w:hAnsi="仿宋_GB2312" w:eastAsia="仿宋_GB2312" w:cs="仿宋_GB2312"/>
          <w:sz w:val="32"/>
          <w:szCs w:val="32"/>
          <w:shd w:val="clear" w:color="auto" w:fill="auto"/>
          <w:lang w:val="en-US" w:eastAsia="zh-CN"/>
        </w:rPr>
        <w:t>9.77</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b/>
          <w:bCs/>
          <w:sz w:val="32"/>
          <w:szCs w:val="32"/>
          <w:shd w:val="clear" w:color="auto" w:fill="auto"/>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1.21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b/>
          <w:sz w:val="32"/>
          <w:szCs w:val="32"/>
          <w:shd w:val="clear" w:color="auto" w:fill="auto"/>
        </w:rPr>
        <w:t>农林水（类）</w:t>
      </w:r>
      <w:r>
        <w:rPr>
          <w:rFonts w:hint="eastAsia" w:ascii="仿宋_GB2312" w:hAnsi="仿宋_GB2312" w:eastAsia="仿宋_GB2312" w:cs="仿宋_GB2312"/>
          <w:b w:val="0"/>
          <w:bCs w:val="0"/>
          <w:sz w:val="32"/>
          <w:szCs w:val="32"/>
          <w:shd w:val="clear" w:color="auto" w:fill="auto"/>
        </w:rPr>
        <w:t>支出</w:t>
      </w:r>
      <w:r>
        <w:rPr>
          <w:rFonts w:hint="eastAsia" w:ascii="仿宋_GB2312" w:hAnsi="仿宋_GB2312" w:eastAsia="仿宋_GB2312" w:cs="仿宋_GB2312"/>
          <w:b w:val="0"/>
          <w:bCs w:val="0"/>
          <w:sz w:val="32"/>
          <w:szCs w:val="32"/>
          <w:shd w:val="clear" w:color="auto" w:fill="auto"/>
          <w:lang w:val="en-US" w:eastAsia="zh-CN"/>
        </w:rPr>
        <w:t>294.08</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36.42</w:t>
      </w:r>
      <w:r>
        <w:rPr>
          <w:rFonts w:hint="eastAsia" w:ascii="仿宋_GB2312" w:hAnsi="仿宋_GB2312" w:eastAsia="仿宋_GB2312" w:cs="仿宋_GB2312"/>
          <w:sz w:val="32"/>
          <w:szCs w:val="32"/>
          <w:shd w:val="clear" w:color="auto" w:fill="auto"/>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35</w:t>
      </w:r>
      <w:r>
        <w:rPr>
          <w:rFonts w:hint="eastAsia" w:ascii="仿宋" w:hAnsi="仿宋" w:eastAsia="仿宋"/>
          <w:sz w:val="32"/>
          <w:szCs w:val="32"/>
        </w:rPr>
        <w:t>万元，占</w:t>
      </w:r>
      <w:r>
        <w:rPr>
          <w:rFonts w:hint="eastAsia" w:ascii="仿宋" w:hAnsi="仿宋" w:eastAsia="仿宋"/>
          <w:sz w:val="32"/>
          <w:szCs w:val="32"/>
          <w:lang w:val="en-US" w:eastAsia="zh-CN"/>
        </w:rPr>
        <w:t>4.33</w:t>
      </w:r>
      <w:r>
        <w:rPr>
          <w:rFonts w:ascii="仿宋" w:hAnsi="仿宋" w:eastAsia="仿宋"/>
          <w:sz w:val="32"/>
          <w:szCs w:val="32"/>
        </w:rPr>
        <w:t>%</w:t>
      </w:r>
      <w:r>
        <w:rPr>
          <w:rFonts w:hint="eastAsia" w:ascii="仿宋" w:hAnsi="仿宋" w:eastAsia="仿宋"/>
          <w:sz w:val="32"/>
          <w:szCs w:val="32"/>
        </w:rPr>
        <w:t>。</w:t>
      </w:r>
    </w:p>
    <w:p>
      <w:pPr>
        <w:spacing w:line="240" w:lineRule="auto"/>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4584065" cy="2755265"/>
            <wp:effectExtent l="0" t="0" r="6985" b="6985"/>
            <wp:docPr id="6" name="图片 6"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true"/>
                    </pic:cNvPicPr>
                  </pic:nvPicPr>
                  <pic:blipFill>
                    <a:blip r:embed="rId12"/>
                    <a:stretch>
                      <a:fillRect/>
                    </a:stretch>
                  </pic:blipFill>
                  <pic:spPr>
                    <a:xfrm>
                      <a:off x="0" y="0"/>
                      <a:ext cx="4584065" cy="2755265"/>
                    </a:xfrm>
                    <a:prstGeom prst="rect">
                      <a:avLst/>
                    </a:prstGeom>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2" w:firstLineChars="200"/>
        <w:outlineLvl w:val="2"/>
        <w:rPr>
          <w:rFonts w:ascii="仿宋" w:hAnsi="仿宋" w:eastAsia="仿宋"/>
          <w:b/>
          <w:sz w:val="32"/>
          <w:szCs w:val="32"/>
        </w:rPr>
      </w:pPr>
      <w:bookmarkStart w:id="64" w:name="_Toc15377212"/>
      <w:r>
        <w:rPr>
          <w:rFonts w:hint="eastAsia" w:ascii="仿宋" w:hAnsi="仿宋" w:eastAsia="仿宋"/>
          <w:b/>
          <w:sz w:val="32"/>
          <w:szCs w:val="32"/>
        </w:rPr>
        <w:t>（三）一般公共预算财政拨款支出决算具体情况</w:t>
      </w:r>
      <w:bookmarkEnd w:id="64"/>
    </w:p>
    <w:p>
      <w:pPr>
        <w:spacing w:line="600" w:lineRule="exact"/>
        <w:ind w:firstLine="642" w:firstLineChars="200"/>
        <w:outlineLvl w:val="1"/>
        <w:rPr>
          <w:rFonts w:ascii="仿宋" w:hAnsi="仿宋" w:eastAsia="仿宋"/>
          <w:sz w:val="32"/>
          <w:szCs w:val="32"/>
        </w:rPr>
      </w:pPr>
      <w:bookmarkStart w:id="65" w:name="_Toc15377213"/>
      <w:bookmarkStart w:id="66" w:name="_Toc11656"/>
      <w:bookmarkStart w:id="67" w:name="_Toc15378460"/>
      <w:bookmarkStart w:id="68" w:name="_Toc27794"/>
      <w:bookmarkStart w:id="6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807.45万元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65"/>
      <w:bookmarkEnd w:id="66"/>
      <w:bookmarkEnd w:id="67"/>
      <w:bookmarkEnd w:id="68"/>
      <w:bookmarkEnd w:id="69"/>
    </w:p>
    <w:p>
      <w:pPr>
        <w:numPr>
          <w:ilvl w:val="0"/>
          <w:numId w:val="0"/>
        </w:numPr>
        <w:spacing w:line="600" w:lineRule="exact"/>
        <w:ind w:firstLine="642" w:firstLineChars="200"/>
        <w:rPr>
          <w:rStyle w:val="19"/>
          <w:rFonts w:hint="eastAsia" w:ascii="仿宋_GB2312" w:hAnsi="仿宋_GB2312" w:eastAsia="仿宋_GB2312" w:cs="仿宋_GB2312"/>
          <w:b w:val="0"/>
          <w:bCs/>
          <w:color w:val="auto"/>
          <w:sz w:val="32"/>
          <w:szCs w:val="32"/>
          <w:highlight w:val="yellow"/>
          <w:shd w:val="clear" w:color="auto" w:fill="auto"/>
        </w:rPr>
      </w:pPr>
      <w:r>
        <w:rPr>
          <w:rStyle w:val="19"/>
          <w:rFonts w:hint="eastAsia" w:ascii="仿宋_GB2312" w:hAnsi="仿宋_GB2312" w:eastAsia="仿宋_GB2312" w:cs="仿宋_GB2312"/>
          <w:bCs/>
          <w:color w:val="auto"/>
          <w:sz w:val="32"/>
          <w:szCs w:val="32"/>
          <w:highlight w:val="none"/>
          <w:shd w:val="clear" w:color="auto" w:fill="auto"/>
          <w:lang w:val="en-US" w:eastAsia="zh-CN"/>
        </w:rPr>
        <w:t>1.</w:t>
      </w:r>
      <w:r>
        <w:rPr>
          <w:rStyle w:val="19"/>
          <w:rFonts w:hint="eastAsia" w:ascii="仿宋_GB2312" w:hAnsi="仿宋_GB2312" w:eastAsia="仿宋_GB2312" w:cs="仿宋_GB2312"/>
          <w:bCs/>
          <w:color w:val="auto"/>
          <w:sz w:val="32"/>
          <w:szCs w:val="32"/>
          <w:highlight w:val="none"/>
          <w:shd w:val="clear" w:color="auto" w:fill="auto"/>
        </w:rPr>
        <w:t>一般公共服务（类）人大事务（款）人大会议（项）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3.56</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一般公共服务（类）政府办公厅（室）及相关机构事务（款）行政运行（项）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266.25</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一般公共服务（类）政府办公厅（室）及相关机构事务（款）一般行政管理事务（项）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10.83</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一般公共服务（类）政府办公厅（室）及相关机构事务（款）信访事务（项）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0.5</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一般公共服务（类）政府办公厅（室）及相关机构事务（款）</w:t>
      </w:r>
      <w:r>
        <w:rPr>
          <w:rStyle w:val="19"/>
          <w:rFonts w:hint="eastAsia" w:ascii="仿宋_GB2312" w:hAnsi="仿宋_GB2312" w:eastAsia="仿宋_GB2312" w:cs="仿宋_GB2312"/>
          <w:bCs/>
          <w:color w:val="auto"/>
          <w:sz w:val="32"/>
          <w:szCs w:val="32"/>
          <w:highlight w:val="none"/>
          <w:shd w:val="clear" w:color="auto" w:fill="auto"/>
          <w:lang w:val="en-US" w:eastAsia="zh-CN"/>
        </w:rPr>
        <w:t>事业运行</w:t>
      </w:r>
      <w:r>
        <w:rPr>
          <w:rStyle w:val="19"/>
          <w:rFonts w:hint="eastAsia" w:ascii="仿宋_GB2312" w:hAnsi="仿宋_GB2312" w:eastAsia="仿宋_GB2312" w:cs="仿宋_GB2312"/>
          <w:bCs/>
          <w:color w:val="auto"/>
          <w:sz w:val="32"/>
          <w:szCs w:val="32"/>
          <w:highlight w:val="none"/>
          <w:shd w:val="clear" w:color="auto" w:fill="auto"/>
        </w:rPr>
        <w:t>（项）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3.6</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val="0"/>
          <w:bCs/>
          <w:color w:val="auto"/>
          <w:sz w:val="32"/>
          <w:szCs w:val="32"/>
          <w:highlight w:val="none"/>
          <w:shd w:val="clear" w:color="auto" w:fill="auto"/>
          <w:lang w:eastAsia="zh-CN"/>
        </w:rPr>
        <w:t>。</w:t>
      </w:r>
      <w:r>
        <w:rPr>
          <w:rStyle w:val="19"/>
          <w:rFonts w:hint="eastAsia" w:ascii="仿宋" w:hAnsi="仿宋" w:eastAsia="仿宋"/>
          <w:bCs/>
          <w:color w:val="000000" w:themeColor="text1"/>
          <w:sz w:val="30"/>
          <w:szCs w:val="30"/>
          <w:highlight w:val="none"/>
          <w14:textFill>
            <w14:solidFill>
              <w14:schemeClr w14:val="tx1"/>
            </w14:solidFill>
          </w14:textFill>
        </w:rPr>
        <w:t>一般公共服务（类）纪检监察事务（款）一般行政管理事务（项）：</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0.5</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val="0"/>
          <w:bCs/>
          <w:color w:val="auto"/>
          <w:sz w:val="32"/>
          <w:szCs w:val="32"/>
          <w:highlight w:val="none"/>
          <w:shd w:val="clear" w:color="auto" w:fill="auto"/>
          <w:lang w:eastAsia="zh-CN"/>
        </w:rPr>
        <w:t>。</w:t>
      </w:r>
      <w:r>
        <w:rPr>
          <w:rStyle w:val="19"/>
          <w:rFonts w:hint="eastAsia" w:ascii="仿宋" w:hAnsi="仿宋" w:eastAsia="仿宋"/>
          <w:bCs/>
          <w:color w:val="000000" w:themeColor="text1"/>
          <w:sz w:val="30"/>
          <w:szCs w:val="30"/>
          <w:highlight w:val="none"/>
          <w14:textFill>
            <w14:solidFill>
              <w14:schemeClr w14:val="tx1"/>
            </w14:solidFill>
          </w14:textFill>
        </w:rPr>
        <w:t>一般公共服务（类）纪检监察事务（款）</w:t>
      </w:r>
      <w:r>
        <w:rPr>
          <w:rStyle w:val="19"/>
          <w:rFonts w:hint="eastAsia" w:ascii="仿宋" w:hAnsi="仿宋" w:eastAsia="仿宋"/>
          <w:bCs/>
          <w:color w:val="000000" w:themeColor="text1"/>
          <w:sz w:val="30"/>
          <w:szCs w:val="30"/>
          <w:highlight w:val="none"/>
          <w:lang w:val="en-US" w:eastAsia="zh-CN"/>
          <w14:textFill>
            <w14:solidFill>
              <w14:schemeClr w14:val="tx1"/>
            </w14:solidFill>
          </w14:textFill>
        </w:rPr>
        <w:t>其他纪检监察事务支出（</w:t>
      </w:r>
      <w:r>
        <w:rPr>
          <w:rStyle w:val="19"/>
          <w:rFonts w:hint="eastAsia" w:ascii="仿宋" w:hAnsi="仿宋" w:eastAsia="仿宋"/>
          <w:bCs/>
          <w:color w:val="000000" w:themeColor="text1"/>
          <w:sz w:val="30"/>
          <w:szCs w:val="30"/>
          <w:highlight w:val="none"/>
          <w14:textFill>
            <w14:solidFill>
              <w14:schemeClr w14:val="tx1"/>
            </w14:solidFill>
          </w14:textFill>
        </w:rPr>
        <w:t>项）：</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4.6</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val="0"/>
          <w:bCs/>
          <w:color w:val="auto"/>
          <w:sz w:val="32"/>
          <w:szCs w:val="32"/>
          <w:highlight w:val="none"/>
          <w:shd w:val="clear" w:color="auto" w:fill="auto"/>
          <w:lang w:eastAsia="zh-CN"/>
        </w:rPr>
        <w:t>。</w:t>
      </w:r>
      <w:r>
        <w:rPr>
          <w:rStyle w:val="19"/>
          <w:rFonts w:hint="eastAsia" w:ascii="仿宋_GB2312" w:hAnsi="仿宋_GB2312" w:eastAsia="仿宋_GB2312" w:cs="仿宋_GB2312"/>
          <w:bCs/>
          <w:color w:val="auto"/>
          <w:sz w:val="32"/>
          <w:szCs w:val="32"/>
          <w:highlight w:val="none"/>
          <w:shd w:val="clear" w:color="auto" w:fill="auto"/>
        </w:rPr>
        <w:t>一般公共服务（类）群众团体事务（款）其他群众团体事务支出（项）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支出决算为0.50万元，完成预算100%。</w:t>
      </w:r>
      <w:r>
        <w:rPr>
          <w:rStyle w:val="19"/>
          <w:rFonts w:hint="eastAsia" w:ascii="仿宋" w:hAnsi="仿宋" w:eastAsia="仿宋"/>
          <w:bCs/>
          <w:color w:val="000000" w:themeColor="text1"/>
          <w:sz w:val="30"/>
          <w:szCs w:val="30"/>
          <w:highlight w:val="none"/>
          <w14:textFill>
            <w14:solidFill>
              <w14:schemeClr w14:val="tx1"/>
            </w14:solidFill>
          </w14:textFill>
        </w:rPr>
        <w:t>一般公共服务（类）党委办公厅（室）及相关机构事务（款）一般行政管理事务（项）</w:t>
      </w:r>
      <w:r>
        <w:rPr>
          <w:rStyle w:val="19"/>
          <w:rFonts w:hint="eastAsia" w:ascii="仿宋" w:hAnsi="仿宋" w:eastAsia="仿宋"/>
          <w:bCs/>
          <w:color w:val="000000" w:themeColor="text1"/>
          <w:sz w:val="30"/>
          <w:szCs w:val="30"/>
          <w:highlight w:val="none"/>
          <w:lang w:eastAsia="zh-CN"/>
          <w14:textFill>
            <w14:solidFill>
              <w14:schemeClr w14:val="tx1"/>
            </w14:solidFill>
          </w14:textFill>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2.82</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一般公共服务（类）宣传事务（款）其他宣传事务支出（项）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1.2</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numPr>
          <w:ilvl w:val="0"/>
          <w:numId w:val="0"/>
        </w:numPr>
        <w:spacing w:line="600" w:lineRule="exact"/>
        <w:ind w:firstLine="642" w:firstLineChars="200"/>
        <w:rPr>
          <w:rFonts w:hint="eastAsia" w:ascii="仿宋_GB2312" w:hAnsi="仿宋_GB2312" w:eastAsia="仿宋_GB2312" w:cs="仿宋_GB2312"/>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2.国防支出（类）国防动员（款）民兵（项）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支出决算为0.50万元，完成预算100%。</w:t>
      </w:r>
    </w:p>
    <w:p>
      <w:pPr>
        <w:spacing w:line="600" w:lineRule="exact"/>
        <w:ind w:firstLine="642" w:firstLineChars="200"/>
        <w:rPr>
          <w:rStyle w:val="19"/>
          <w:rFonts w:hint="eastAsia" w:ascii="仿宋_GB2312" w:hAnsi="仿宋_GB2312" w:eastAsia="仿宋_GB2312" w:cs="仿宋_GB2312"/>
          <w:b w:val="0"/>
          <w:bCs/>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3.</w:t>
      </w:r>
      <w:r>
        <w:rPr>
          <w:rStyle w:val="19"/>
          <w:rFonts w:hint="eastAsia" w:ascii="仿宋" w:hAnsi="仿宋" w:eastAsia="仿宋"/>
          <w:bCs/>
          <w:color w:val="auto"/>
          <w:sz w:val="30"/>
          <w:szCs w:val="30"/>
          <w:highlight w:val="none"/>
        </w:rPr>
        <w:t>文化旅游体育与传媒支出（类）文化和旅游（款）群众文化（项）</w:t>
      </w:r>
      <w:r>
        <w:rPr>
          <w:rStyle w:val="19"/>
          <w:rFonts w:hint="eastAsia" w:ascii="仿宋" w:hAnsi="仿宋" w:eastAsia="仿宋"/>
          <w:bCs/>
          <w:color w:val="auto"/>
          <w:sz w:val="30"/>
          <w:szCs w:val="30"/>
          <w:highlight w:val="none"/>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0.42万元</w:t>
      </w:r>
      <w:r>
        <w:rPr>
          <w:rStyle w:val="19"/>
          <w:rFonts w:hint="eastAsia" w:ascii="仿宋_GB2312" w:hAnsi="仿宋_GB2312" w:eastAsia="仿宋_GB2312" w:cs="仿宋_GB2312"/>
          <w:b w:val="0"/>
          <w:bCs/>
          <w:color w:val="auto"/>
          <w:sz w:val="32"/>
          <w:szCs w:val="32"/>
          <w:highlight w:val="none"/>
          <w:shd w:val="clear" w:color="auto" w:fill="auto"/>
        </w:rPr>
        <w:t>，完成预算100%。</w:t>
      </w:r>
      <w:r>
        <w:rPr>
          <w:rStyle w:val="19"/>
          <w:rFonts w:hint="eastAsia" w:ascii="仿宋_GB2312" w:hAnsi="仿宋_GB2312" w:eastAsia="仿宋_GB2312" w:cs="仿宋_GB2312"/>
          <w:bCs/>
          <w:color w:val="auto"/>
          <w:sz w:val="32"/>
          <w:szCs w:val="32"/>
          <w:highlight w:val="none"/>
          <w:shd w:val="clear" w:color="auto" w:fill="auto"/>
        </w:rPr>
        <w:t>文化旅游体育与传媒支出（类）文化和旅游（款）</w:t>
      </w:r>
      <w:r>
        <w:rPr>
          <w:rStyle w:val="19"/>
          <w:rFonts w:hint="eastAsia" w:ascii="仿宋_GB2312" w:hAnsi="仿宋_GB2312" w:eastAsia="仿宋_GB2312" w:cs="仿宋_GB2312"/>
          <w:bCs/>
          <w:color w:val="auto"/>
          <w:sz w:val="32"/>
          <w:szCs w:val="32"/>
          <w:highlight w:val="none"/>
          <w:shd w:val="clear" w:color="auto" w:fill="auto"/>
          <w:lang w:val="en-US" w:eastAsia="zh-CN"/>
        </w:rPr>
        <w:t>文化和旅游管理事务</w:t>
      </w:r>
      <w:r>
        <w:rPr>
          <w:rStyle w:val="19"/>
          <w:rFonts w:hint="eastAsia" w:ascii="仿宋_GB2312" w:hAnsi="仿宋_GB2312" w:eastAsia="仿宋_GB2312" w:cs="仿宋_GB2312"/>
          <w:bCs/>
          <w:color w:val="auto"/>
          <w:sz w:val="32"/>
          <w:szCs w:val="32"/>
          <w:highlight w:val="none"/>
          <w:shd w:val="clear" w:color="auto" w:fill="auto"/>
        </w:rPr>
        <w:t>（项）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56.64</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2" w:firstLineChars="200"/>
        <w:rPr>
          <w:rStyle w:val="19"/>
          <w:rFonts w:hint="eastAsia" w:ascii="仿宋_GB2312" w:hAnsi="仿宋_GB2312" w:eastAsia="仿宋_GB2312" w:cs="仿宋_GB2312"/>
          <w:b w:val="0"/>
          <w:bCs/>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4.社会保障和就业支出（类）</w:t>
      </w:r>
      <w:r>
        <w:rPr>
          <w:rStyle w:val="19"/>
          <w:rFonts w:hint="eastAsia" w:ascii="仿宋_GB2312" w:hAnsi="仿宋_GB2312" w:eastAsia="仿宋_GB2312" w:cs="仿宋_GB2312"/>
          <w:bCs/>
          <w:color w:val="auto"/>
          <w:sz w:val="32"/>
          <w:szCs w:val="32"/>
          <w:highlight w:val="none"/>
          <w:shd w:val="clear" w:color="auto" w:fill="auto"/>
          <w:lang w:val="en-US" w:eastAsia="zh-CN"/>
        </w:rPr>
        <w:t>民政管理事务</w:t>
      </w:r>
      <w:r>
        <w:rPr>
          <w:rStyle w:val="19"/>
          <w:rFonts w:hint="eastAsia" w:ascii="仿宋_GB2312" w:hAnsi="仿宋_GB2312" w:eastAsia="仿宋_GB2312" w:cs="仿宋_GB2312"/>
          <w:bCs/>
          <w:color w:val="auto"/>
          <w:sz w:val="32"/>
          <w:szCs w:val="32"/>
          <w:highlight w:val="none"/>
          <w:shd w:val="clear" w:color="auto" w:fill="auto"/>
        </w:rPr>
        <w:t>（款）</w:t>
      </w:r>
      <w:r>
        <w:rPr>
          <w:rStyle w:val="19"/>
          <w:rFonts w:hint="eastAsia" w:ascii="仿宋_GB2312" w:hAnsi="仿宋_GB2312" w:eastAsia="仿宋_GB2312" w:cs="仿宋_GB2312"/>
          <w:bCs/>
          <w:color w:val="auto"/>
          <w:sz w:val="32"/>
          <w:szCs w:val="32"/>
          <w:highlight w:val="none"/>
          <w:shd w:val="clear" w:color="auto" w:fill="auto"/>
          <w:lang w:val="en-US" w:eastAsia="zh-CN"/>
        </w:rPr>
        <w:t>基层政权建设和社区治理</w:t>
      </w:r>
      <w:r>
        <w:rPr>
          <w:rStyle w:val="19"/>
          <w:rFonts w:hint="eastAsia" w:ascii="仿宋_GB2312" w:hAnsi="仿宋_GB2312" w:eastAsia="仿宋_GB2312" w:cs="仿宋_GB2312"/>
          <w:bCs/>
          <w:color w:val="auto"/>
          <w:sz w:val="32"/>
          <w:szCs w:val="32"/>
          <w:highlight w:val="none"/>
          <w:shd w:val="clear" w:color="auto" w:fill="auto"/>
        </w:rPr>
        <w:t>（项）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49.62</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社会保障和就业支出（类）行政事业单位养老支出（款）机关事业单位基本养老保险缴费支出（项）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43.73</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2" w:firstLineChars="200"/>
        <w:rPr>
          <w:rFonts w:hint="eastAsia" w:ascii="仿宋_GB2312" w:hAnsi="仿宋_GB2312" w:eastAsia="仿宋_GB2312" w:cs="仿宋_GB2312"/>
          <w:b/>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5.卫生健康支出（类）行政事业单位医疗（款）行政单位医疗（项）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11.45</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卫生健康支出（类）行政事业单位医疗（款）事业单位医疗（项）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11.88</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2" w:firstLineChars="200"/>
        <w:rPr>
          <w:rStyle w:val="19"/>
          <w:rFonts w:hint="eastAsia" w:ascii="仿宋_GB2312" w:hAnsi="仿宋_GB2312" w:eastAsia="仿宋_GB2312" w:cs="仿宋_GB2312"/>
          <w:b w:val="0"/>
          <w:bCs/>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6.城乡社区支出（类）城乡社区环境卫生（款）城乡社区环境卫生（项）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支出决算为9.</w:t>
      </w:r>
      <w:r>
        <w:rPr>
          <w:rStyle w:val="19"/>
          <w:rFonts w:hint="eastAsia" w:ascii="仿宋_GB2312" w:hAnsi="仿宋_GB2312" w:eastAsia="仿宋_GB2312" w:cs="仿宋_GB2312"/>
          <w:b w:val="0"/>
          <w:bCs/>
          <w:color w:val="auto"/>
          <w:sz w:val="32"/>
          <w:szCs w:val="32"/>
          <w:highlight w:val="none"/>
          <w:shd w:val="clear" w:color="auto" w:fill="auto"/>
          <w:lang w:val="en-US" w:eastAsia="zh-CN"/>
        </w:rPr>
        <w:t>77</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2" w:firstLineChars="200"/>
        <w:rPr>
          <w:rStyle w:val="19"/>
          <w:rFonts w:hint="eastAsia" w:ascii="仿宋_GB2312" w:hAnsi="仿宋_GB2312" w:eastAsia="仿宋_GB2312" w:cs="仿宋_GB2312"/>
          <w:b w:val="0"/>
          <w:bCs/>
          <w:color w:val="auto"/>
          <w:sz w:val="32"/>
          <w:szCs w:val="32"/>
          <w:highlight w:val="none"/>
          <w:shd w:val="clear" w:color="auto" w:fill="auto"/>
        </w:rPr>
      </w:pPr>
      <w:r>
        <w:rPr>
          <w:rStyle w:val="19"/>
          <w:rFonts w:hint="eastAsia" w:ascii="仿宋_GB2312" w:hAnsi="仿宋_GB2312" w:eastAsia="仿宋_GB2312" w:cs="仿宋_GB2312"/>
          <w:bCs/>
          <w:color w:val="auto"/>
          <w:sz w:val="32"/>
          <w:szCs w:val="32"/>
          <w:highlight w:val="none"/>
          <w:shd w:val="clear" w:color="auto" w:fill="auto"/>
        </w:rPr>
        <w:t>7.农林水支出（类）农业农村（款）</w:t>
      </w:r>
      <w:r>
        <w:rPr>
          <w:rStyle w:val="19"/>
          <w:rFonts w:hint="eastAsia" w:ascii="仿宋_GB2312" w:hAnsi="仿宋_GB2312" w:eastAsia="仿宋_GB2312" w:cs="仿宋_GB2312"/>
          <w:bCs/>
          <w:color w:val="auto"/>
          <w:sz w:val="32"/>
          <w:szCs w:val="32"/>
          <w:highlight w:val="none"/>
          <w:shd w:val="clear" w:color="auto" w:fill="auto"/>
          <w:lang w:val="en-US" w:eastAsia="zh-CN"/>
        </w:rPr>
        <w:t>事业运行</w:t>
      </w:r>
      <w:r>
        <w:rPr>
          <w:rStyle w:val="19"/>
          <w:rFonts w:hint="eastAsia" w:ascii="仿宋_GB2312" w:hAnsi="仿宋_GB2312" w:eastAsia="仿宋_GB2312" w:cs="仿宋_GB2312"/>
          <w:bCs/>
          <w:color w:val="auto"/>
          <w:sz w:val="32"/>
          <w:szCs w:val="32"/>
          <w:highlight w:val="none"/>
          <w:shd w:val="clear" w:color="auto" w:fill="auto"/>
        </w:rPr>
        <w:t>（项）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133.25</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val="0"/>
          <w:bCs/>
          <w:color w:val="auto"/>
          <w:sz w:val="32"/>
          <w:szCs w:val="32"/>
          <w:highlight w:val="none"/>
          <w:shd w:val="clear" w:color="auto" w:fill="auto"/>
          <w:lang w:eastAsia="zh-CN"/>
        </w:rPr>
        <w:t>。</w:t>
      </w:r>
      <w:r>
        <w:rPr>
          <w:rStyle w:val="19"/>
          <w:rFonts w:hint="eastAsia" w:ascii="仿宋_GB2312" w:hAnsi="仿宋_GB2312" w:eastAsia="仿宋_GB2312" w:cs="仿宋_GB2312"/>
          <w:bCs/>
          <w:color w:val="auto"/>
          <w:sz w:val="32"/>
          <w:szCs w:val="32"/>
          <w:highlight w:val="none"/>
          <w:shd w:val="clear" w:color="auto" w:fill="auto"/>
        </w:rPr>
        <w:t>农林水支出（类）农业农村（款）</w:t>
      </w:r>
      <w:r>
        <w:rPr>
          <w:rStyle w:val="19"/>
          <w:rFonts w:hint="eastAsia" w:ascii="仿宋_GB2312" w:hAnsi="仿宋_GB2312" w:eastAsia="仿宋_GB2312" w:cs="仿宋_GB2312"/>
          <w:bCs/>
          <w:color w:val="auto"/>
          <w:sz w:val="32"/>
          <w:szCs w:val="32"/>
          <w:highlight w:val="none"/>
          <w:shd w:val="clear" w:color="auto" w:fill="auto"/>
          <w:lang w:val="en-US" w:eastAsia="zh-CN"/>
        </w:rPr>
        <w:t>防灾减灾</w:t>
      </w:r>
      <w:r>
        <w:rPr>
          <w:rStyle w:val="19"/>
          <w:rFonts w:hint="eastAsia" w:ascii="仿宋_GB2312" w:hAnsi="仿宋_GB2312" w:eastAsia="仿宋_GB2312" w:cs="仿宋_GB2312"/>
          <w:bCs/>
          <w:color w:val="auto"/>
          <w:sz w:val="32"/>
          <w:szCs w:val="32"/>
          <w:highlight w:val="none"/>
          <w:shd w:val="clear" w:color="auto" w:fill="auto"/>
        </w:rPr>
        <w:t>（项）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12.2</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农林水支出（类）林业和草原（款）林业草原防灾减灾（项）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2</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bCs w:val="0"/>
          <w:color w:val="auto"/>
          <w:sz w:val="32"/>
          <w:szCs w:val="32"/>
          <w:highlight w:val="none"/>
          <w:shd w:val="clear" w:color="auto" w:fill="auto"/>
        </w:rPr>
        <w:t>农业水支出（类）</w:t>
      </w:r>
      <w:r>
        <w:rPr>
          <w:rFonts w:hint="eastAsia" w:ascii="仿宋" w:hAnsi="仿宋" w:eastAsia="仿宋"/>
          <w:b/>
          <w:bCs w:val="0"/>
          <w:color w:val="auto"/>
          <w:sz w:val="32"/>
          <w:szCs w:val="32"/>
          <w:highlight w:val="none"/>
        </w:rPr>
        <w:t>巩固</w:t>
      </w:r>
      <w:r>
        <w:rPr>
          <w:rFonts w:hint="eastAsia" w:ascii="仿宋" w:hAnsi="仿宋" w:eastAsia="仿宋"/>
          <w:b/>
          <w:bCs w:val="0"/>
          <w:color w:val="auto"/>
          <w:sz w:val="32"/>
          <w:szCs w:val="32"/>
          <w:highlight w:val="none"/>
          <w:lang w:eastAsia="zh-CN"/>
        </w:rPr>
        <w:t>脱贫攻坚</w:t>
      </w:r>
      <w:r>
        <w:rPr>
          <w:rFonts w:hint="eastAsia" w:ascii="仿宋" w:hAnsi="仿宋" w:eastAsia="仿宋"/>
          <w:b/>
          <w:color w:val="auto"/>
          <w:sz w:val="32"/>
          <w:szCs w:val="32"/>
          <w:highlight w:val="none"/>
          <w:lang w:eastAsia="zh-CN"/>
        </w:rPr>
        <w:t>成果</w:t>
      </w:r>
      <w:r>
        <w:rPr>
          <w:rFonts w:hint="eastAsia" w:ascii="仿宋" w:hAnsi="仿宋" w:eastAsia="仿宋"/>
          <w:b/>
          <w:color w:val="auto"/>
          <w:sz w:val="32"/>
          <w:szCs w:val="32"/>
          <w:highlight w:val="none"/>
        </w:rPr>
        <w:t>衔接乡村振兴</w:t>
      </w:r>
      <w:r>
        <w:rPr>
          <w:rStyle w:val="19"/>
          <w:rFonts w:hint="eastAsia" w:ascii="仿宋" w:hAnsi="仿宋" w:eastAsia="仿宋"/>
          <w:bCs/>
          <w:color w:val="auto"/>
          <w:sz w:val="30"/>
          <w:szCs w:val="30"/>
          <w:highlight w:val="none"/>
        </w:rPr>
        <w:t>（款）</w:t>
      </w:r>
      <w:r>
        <w:rPr>
          <w:rStyle w:val="19"/>
          <w:rFonts w:hint="eastAsia" w:ascii="仿宋" w:hAnsi="仿宋" w:eastAsia="仿宋"/>
          <w:bCs/>
          <w:color w:val="auto"/>
          <w:sz w:val="30"/>
          <w:szCs w:val="30"/>
          <w:highlight w:val="none"/>
          <w:lang w:val="en-US" w:eastAsia="zh-CN"/>
        </w:rPr>
        <w:t>生产发展</w:t>
      </w:r>
      <w:r>
        <w:rPr>
          <w:rStyle w:val="19"/>
          <w:rFonts w:hint="eastAsia" w:ascii="仿宋" w:hAnsi="仿宋" w:eastAsia="仿宋"/>
          <w:bCs/>
          <w:color w:val="auto"/>
          <w:sz w:val="30"/>
          <w:szCs w:val="30"/>
          <w:highlight w:val="none"/>
        </w:rPr>
        <w:t>（项）：</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9.39</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
          <w:bCs w:val="0"/>
          <w:color w:val="auto"/>
          <w:sz w:val="32"/>
          <w:szCs w:val="32"/>
          <w:highlight w:val="none"/>
          <w:shd w:val="clear" w:color="auto" w:fill="auto"/>
        </w:rPr>
        <w:t>农业水支出（类）</w:t>
      </w:r>
      <w:r>
        <w:rPr>
          <w:rFonts w:hint="eastAsia" w:ascii="仿宋" w:hAnsi="仿宋" w:eastAsia="仿宋"/>
          <w:b/>
          <w:bCs w:val="0"/>
          <w:color w:val="auto"/>
          <w:sz w:val="32"/>
          <w:szCs w:val="32"/>
          <w:highlight w:val="none"/>
        </w:rPr>
        <w:t>巩固</w:t>
      </w:r>
      <w:r>
        <w:rPr>
          <w:rFonts w:hint="eastAsia" w:ascii="仿宋" w:hAnsi="仿宋" w:eastAsia="仿宋"/>
          <w:b/>
          <w:bCs w:val="0"/>
          <w:color w:val="auto"/>
          <w:sz w:val="32"/>
          <w:szCs w:val="32"/>
          <w:highlight w:val="none"/>
          <w:lang w:eastAsia="zh-CN"/>
        </w:rPr>
        <w:t>脱贫攻坚</w:t>
      </w:r>
      <w:r>
        <w:rPr>
          <w:rFonts w:hint="eastAsia" w:ascii="仿宋" w:hAnsi="仿宋" w:eastAsia="仿宋"/>
          <w:b/>
          <w:color w:val="auto"/>
          <w:sz w:val="32"/>
          <w:szCs w:val="32"/>
          <w:highlight w:val="none"/>
          <w:lang w:eastAsia="zh-CN"/>
        </w:rPr>
        <w:t>成果</w:t>
      </w:r>
      <w:r>
        <w:rPr>
          <w:rFonts w:hint="eastAsia" w:ascii="仿宋" w:hAnsi="仿宋" w:eastAsia="仿宋"/>
          <w:b/>
          <w:color w:val="auto"/>
          <w:sz w:val="32"/>
          <w:szCs w:val="32"/>
          <w:highlight w:val="none"/>
        </w:rPr>
        <w:t>衔接乡村振兴</w:t>
      </w:r>
      <w:r>
        <w:rPr>
          <w:rStyle w:val="19"/>
          <w:rFonts w:hint="eastAsia" w:ascii="仿宋" w:hAnsi="仿宋" w:eastAsia="仿宋"/>
          <w:bCs/>
          <w:color w:val="auto"/>
          <w:sz w:val="30"/>
          <w:szCs w:val="30"/>
          <w:highlight w:val="none"/>
        </w:rPr>
        <w:t>（款）其他巩固脱贫攻坚成果衔接乡村振兴支出（项）：</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13</w:t>
      </w:r>
      <w:r>
        <w:rPr>
          <w:rStyle w:val="19"/>
          <w:rFonts w:hint="eastAsia" w:ascii="仿宋_GB2312" w:hAnsi="仿宋_GB2312" w:eastAsia="仿宋_GB2312" w:cs="仿宋_GB2312"/>
          <w:b w:val="0"/>
          <w:bCs/>
          <w:color w:val="auto"/>
          <w:sz w:val="32"/>
          <w:szCs w:val="32"/>
          <w:highlight w:val="none"/>
          <w:shd w:val="clear" w:color="auto" w:fill="auto"/>
        </w:rPr>
        <w:t>万元，完成预算100%。</w:t>
      </w:r>
      <w:r>
        <w:rPr>
          <w:rStyle w:val="19"/>
          <w:rFonts w:hint="eastAsia" w:ascii="仿宋_GB2312" w:hAnsi="仿宋_GB2312" w:eastAsia="仿宋_GB2312" w:cs="仿宋_GB2312"/>
          <w:bCs/>
          <w:color w:val="auto"/>
          <w:sz w:val="32"/>
          <w:szCs w:val="32"/>
          <w:highlight w:val="none"/>
          <w:shd w:val="clear" w:color="auto" w:fill="auto"/>
        </w:rPr>
        <w:t>农林水支出（类）农村综合改革（款）对村民委员会和村党支部的补助（项）</w:t>
      </w:r>
      <w:r>
        <w:rPr>
          <w:rStyle w:val="19"/>
          <w:rFonts w:hint="eastAsia" w:ascii="仿宋_GB2312" w:hAnsi="仿宋_GB2312" w:eastAsia="仿宋_GB2312" w:cs="仿宋_GB2312"/>
          <w:bCs/>
          <w:color w:val="auto"/>
          <w:sz w:val="32"/>
          <w:szCs w:val="32"/>
          <w:highlight w:val="none"/>
          <w:shd w:val="clear" w:color="auto" w:fill="auto"/>
          <w:lang w:eastAsia="zh-CN"/>
        </w:rPr>
        <w:t>：</w:t>
      </w:r>
      <w:r>
        <w:rPr>
          <w:rStyle w:val="19"/>
          <w:rFonts w:hint="eastAsia" w:ascii="仿宋_GB2312" w:hAnsi="仿宋_GB2312" w:eastAsia="仿宋_GB2312" w:cs="仿宋_GB2312"/>
          <w:b w:val="0"/>
          <w:bCs/>
          <w:color w:val="auto"/>
          <w:sz w:val="32"/>
          <w:szCs w:val="32"/>
          <w:highlight w:val="none"/>
          <w:shd w:val="clear" w:color="auto" w:fill="auto"/>
        </w:rPr>
        <w:t>支出决算为</w:t>
      </w:r>
      <w:r>
        <w:rPr>
          <w:rStyle w:val="19"/>
          <w:rFonts w:hint="eastAsia" w:ascii="仿宋_GB2312" w:hAnsi="仿宋_GB2312" w:eastAsia="仿宋_GB2312" w:cs="仿宋_GB2312"/>
          <w:b w:val="0"/>
          <w:bCs/>
          <w:color w:val="auto"/>
          <w:sz w:val="32"/>
          <w:szCs w:val="32"/>
          <w:highlight w:val="none"/>
          <w:shd w:val="clear" w:color="auto" w:fill="auto"/>
          <w:lang w:val="en-US" w:eastAsia="zh-CN"/>
        </w:rPr>
        <w:t>124.19</w:t>
      </w:r>
      <w:r>
        <w:rPr>
          <w:rStyle w:val="19"/>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2" w:firstLineChars="200"/>
        <w:rPr>
          <w:rFonts w:ascii="仿宋" w:hAnsi="仿宋" w:eastAsia="仿宋"/>
          <w:b/>
          <w:sz w:val="32"/>
          <w:szCs w:val="32"/>
        </w:rPr>
      </w:pPr>
      <w:r>
        <w:rPr>
          <w:rStyle w:val="19"/>
          <w:rFonts w:hint="eastAsia" w:ascii="仿宋_GB2312" w:hAnsi="仿宋_GB2312" w:eastAsia="仿宋_GB2312" w:cs="仿宋_GB2312"/>
          <w:bCs/>
          <w:color w:val="auto"/>
          <w:sz w:val="32"/>
          <w:szCs w:val="32"/>
          <w:highlight w:val="none"/>
          <w:shd w:val="clear" w:color="auto" w:fill="auto"/>
        </w:rPr>
        <w:t>8.住房保障支出（类）住房改革支出（款）住房</w:t>
      </w:r>
      <w:r>
        <w:rPr>
          <w:rStyle w:val="19"/>
          <w:rFonts w:hint="eastAsia" w:ascii="仿宋_GB2312" w:hAnsi="仿宋_GB2312" w:eastAsia="仿宋_GB2312" w:cs="仿宋_GB2312"/>
          <w:bCs/>
          <w:color w:val="auto"/>
          <w:sz w:val="32"/>
          <w:szCs w:val="32"/>
          <w:shd w:val="clear" w:color="auto" w:fill="auto"/>
        </w:rPr>
        <w:t>公积金</w:t>
      </w:r>
      <w:r>
        <w:rPr>
          <w:rStyle w:val="19"/>
          <w:rFonts w:hint="eastAsia" w:ascii="仿宋_GB2312" w:hAnsi="仿宋_GB2312" w:eastAsia="仿宋_GB2312" w:cs="仿宋_GB2312"/>
          <w:bCs/>
          <w:color w:val="auto"/>
          <w:sz w:val="32"/>
          <w:szCs w:val="32"/>
        </w:rPr>
        <w:t>（项）</w:t>
      </w:r>
      <w:r>
        <w:rPr>
          <w:rStyle w:val="19"/>
          <w:rFonts w:hint="eastAsia" w:ascii="仿宋_GB2312" w:hAnsi="仿宋_GB2312" w:eastAsia="仿宋_GB2312" w:cs="仿宋_GB2312"/>
          <w:bCs/>
          <w:color w:val="auto"/>
          <w:sz w:val="32"/>
          <w:szCs w:val="32"/>
          <w:lang w:eastAsia="zh-CN"/>
        </w:rPr>
        <w:t>：</w:t>
      </w:r>
      <w:r>
        <w:rPr>
          <w:rStyle w:val="19"/>
          <w:rFonts w:hint="eastAsia" w:ascii="仿宋_GB2312" w:hAnsi="仿宋_GB2312" w:eastAsia="仿宋_GB2312" w:cs="仿宋_GB2312"/>
          <w:b w:val="0"/>
          <w:bCs/>
          <w:color w:val="auto"/>
          <w:sz w:val="32"/>
          <w:szCs w:val="32"/>
        </w:rPr>
        <w:t>支出决算为</w:t>
      </w:r>
      <w:r>
        <w:rPr>
          <w:rStyle w:val="19"/>
          <w:rFonts w:hint="eastAsia" w:ascii="仿宋_GB2312" w:hAnsi="仿宋_GB2312" w:eastAsia="仿宋_GB2312" w:cs="仿宋_GB2312"/>
          <w:b w:val="0"/>
          <w:bCs/>
          <w:color w:val="auto"/>
          <w:sz w:val="32"/>
          <w:szCs w:val="32"/>
          <w:lang w:val="en-US" w:eastAsia="zh-CN"/>
        </w:rPr>
        <w:t>35</w:t>
      </w:r>
      <w:r>
        <w:rPr>
          <w:rStyle w:val="19"/>
          <w:rFonts w:hint="eastAsia" w:ascii="仿宋_GB2312" w:hAnsi="仿宋_GB2312" w:eastAsia="仿宋_GB2312" w:cs="仿宋_GB2312"/>
          <w:b w:val="0"/>
          <w:bCs/>
          <w:color w:val="auto"/>
          <w:sz w:val="32"/>
          <w:szCs w:val="32"/>
        </w:rPr>
        <w:t>万元，完成预算100%。</w:t>
      </w:r>
    </w:p>
    <w:p>
      <w:pPr>
        <w:tabs>
          <w:tab w:val="right" w:pos="8306"/>
        </w:tabs>
        <w:spacing w:line="600" w:lineRule="exact"/>
        <w:ind w:firstLine="640"/>
        <w:outlineLvl w:val="1"/>
        <w:rPr>
          <w:rStyle w:val="31"/>
        </w:rPr>
      </w:pPr>
      <w:bookmarkStart w:id="70" w:name="_Toc15377214"/>
      <w:bookmarkStart w:id="71" w:name="_Toc23423"/>
      <w:bookmarkStart w:id="72" w:name="_Toc15396608"/>
      <w:bookmarkStart w:id="73" w:name="_Toc17119"/>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70"/>
      <w:bookmarkEnd w:id="71"/>
      <w:bookmarkEnd w:id="72"/>
      <w:bookmarkEnd w:id="73"/>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611.42</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538.31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73.11</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74" w:name="_Toc9826"/>
      <w:bookmarkStart w:id="75" w:name="_Toc15396609"/>
      <w:bookmarkStart w:id="76" w:name="_Toc15377215"/>
      <w:bookmarkStart w:id="77" w:name="_Toc4321"/>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74"/>
      <w:bookmarkEnd w:id="75"/>
      <w:bookmarkEnd w:id="76"/>
      <w:bookmarkEnd w:id="77"/>
    </w:p>
    <w:p>
      <w:pPr>
        <w:spacing w:line="600" w:lineRule="exact"/>
        <w:ind w:firstLine="640"/>
        <w:outlineLvl w:val="2"/>
        <w:rPr>
          <w:rFonts w:ascii="仿宋" w:hAnsi="仿宋" w:eastAsia="仿宋"/>
          <w:b/>
          <w:sz w:val="32"/>
          <w:szCs w:val="32"/>
        </w:rPr>
      </w:pPr>
      <w:bookmarkStart w:id="78" w:name="_Toc15377216"/>
      <w:r>
        <w:rPr>
          <w:rFonts w:hint="eastAsia" w:ascii="仿宋" w:hAnsi="仿宋" w:eastAsia="仿宋"/>
          <w:b/>
          <w:sz w:val="32"/>
          <w:szCs w:val="32"/>
        </w:rPr>
        <w:t>（一）“三公”经费财政拨款支出决算总体情况说明</w:t>
      </w:r>
      <w:bookmarkEnd w:id="7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0.21</w:t>
      </w:r>
      <w:r>
        <w:rPr>
          <w:rFonts w:hint="eastAsia" w:ascii="仿宋" w:hAnsi="仿宋" w:eastAsia="仿宋"/>
          <w:sz w:val="32"/>
          <w:szCs w:val="32"/>
        </w:rPr>
        <w:t>万元，下降</w:t>
      </w:r>
      <w:r>
        <w:rPr>
          <w:rFonts w:hint="eastAsia" w:ascii="仿宋" w:hAnsi="仿宋" w:eastAsia="仿宋"/>
          <w:sz w:val="32"/>
          <w:szCs w:val="32"/>
          <w:lang w:val="en-US" w:eastAsia="zh-CN"/>
        </w:rPr>
        <w:t>7</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79" w:name="_Toc15377217"/>
      <w:r>
        <w:rPr>
          <w:rFonts w:hint="eastAsia" w:ascii="仿宋" w:hAnsi="仿宋" w:eastAsia="仿宋"/>
          <w:b/>
          <w:sz w:val="32"/>
          <w:szCs w:val="32"/>
        </w:rPr>
        <w:t>（二）“三公”经费财政拨款支出决算具体情况说明</w:t>
      </w:r>
      <w:bookmarkEnd w:id="79"/>
    </w:p>
    <w:p>
      <w:pPr>
        <w:spacing w:line="240" w:lineRule="auto"/>
        <w:ind w:firstLine="640"/>
        <w:jc w:val="center"/>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4081145" cy="2273935"/>
            <wp:effectExtent l="0" t="0" r="14605" b="12065"/>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3"/>
                    <a:stretch>
                      <a:fillRect/>
                    </a:stretch>
                  </pic:blipFill>
                  <pic:spPr>
                    <a:xfrm>
                      <a:off x="0" y="0"/>
                      <a:ext cx="4081145" cy="2273935"/>
                    </a:xfrm>
                    <a:prstGeom prst="rect">
                      <a:avLst/>
                    </a:prstGeom>
                  </pic:spPr>
                </pic:pic>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lang w:eastAsia="zh-CN"/>
        </w:rPr>
        <w:t>，</w:t>
      </w:r>
      <w:r>
        <w:rPr>
          <w:rFonts w:hint="eastAsia" w:ascii="仿宋_GB2312" w:eastAsia="仿宋_GB2312"/>
          <w:sz w:val="32"/>
          <w:szCs w:val="32"/>
        </w:rPr>
        <w:t>主要原因是无因公出国（境）安排。</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未</w:t>
      </w:r>
      <w:r>
        <w:rPr>
          <w:rFonts w:hint="eastAsia" w:ascii="仿宋_GB2312" w:eastAsia="仿宋_GB2312"/>
          <w:sz w:val="32"/>
          <w:szCs w:val="32"/>
        </w:rPr>
        <w:t>用于所需的公务用车燃料费、维修费、过路过桥费、保险费等支出。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0.21</w:t>
      </w:r>
      <w:r>
        <w:rPr>
          <w:rFonts w:hint="eastAsia" w:ascii="仿宋_GB2312" w:eastAsia="仿宋_GB2312"/>
          <w:sz w:val="32"/>
          <w:szCs w:val="32"/>
        </w:rPr>
        <w:t>万元，下降</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经费的压减</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66</w:t>
      </w:r>
      <w:r>
        <w:rPr>
          <w:rFonts w:hint="eastAsia" w:ascii="仿宋_GB2312" w:eastAsia="仿宋_GB2312"/>
          <w:sz w:val="32"/>
          <w:szCs w:val="32"/>
        </w:rPr>
        <w:t>批次，</w:t>
      </w:r>
      <w:r>
        <w:rPr>
          <w:rFonts w:hint="eastAsia" w:ascii="仿宋_GB2312" w:eastAsia="仿宋_GB2312"/>
          <w:sz w:val="32"/>
          <w:szCs w:val="32"/>
          <w:lang w:val="en-US" w:eastAsia="zh-CN"/>
        </w:rPr>
        <w:t>594</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w:t>
      </w:r>
      <w:r>
        <w:rPr>
          <w:rFonts w:hint="eastAsia" w:ascii="仿宋_GB2312" w:eastAsia="仿宋_GB2312"/>
          <w:sz w:val="32"/>
          <w:szCs w:val="32"/>
        </w:rPr>
        <w:t>万元，具体内容包括：</w:t>
      </w:r>
      <w:r>
        <w:rPr>
          <w:rFonts w:hint="eastAsia" w:ascii="仿宋_GB2312" w:eastAsia="仿宋_GB2312"/>
          <w:sz w:val="32"/>
          <w:szCs w:val="32"/>
          <w:lang w:val="en-US" w:eastAsia="zh-CN"/>
        </w:rPr>
        <w:t>市、县两级单位到我单位检查、视察工作等事项的伙食费、住宿费等费用，共计3万元</w:t>
      </w:r>
      <w:r>
        <w:rPr>
          <w:rFonts w:hint="eastAsia" w:ascii="仿宋_GB2312" w:eastAsia="仿宋_GB2312"/>
          <w:sz w:val="32"/>
          <w:szCs w:val="32"/>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80" w:name="_Toc15396610"/>
      <w:bookmarkStart w:id="81" w:name="_Toc15377218"/>
    </w:p>
    <w:p>
      <w:pPr>
        <w:spacing w:line="600" w:lineRule="exact"/>
        <w:ind w:firstLine="640"/>
        <w:outlineLvl w:val="1"/>
        <w:rPr>
          <w:rStyle w:val="31"/>
          <w:rFonts w:ascii="黑体" w:hAnsi="黑体" w:eastAsia="黑体"/>
        </w:rPr>
      </w:pPr>
      <w:bookmarkStart w:id="82" w:name="_Toc19466"/>
      <w:bookmarkStart w:id="83" w:name="_Toc23194"/>
      <w:r>
        <w:rPr>
          <w:rFonts w:hint="eastAsia" w:ascii="黑体" w:eastAsia="黑体"/>
          <w:sz w:val="32"/>
          <w:szCs w:val="32"/>
        </w:rPr>
        <w:t>八、</w:t>
      </w:r>
      <w:r>
        <w:rPr>
          <w:rStyle w:val="31"/>
          <w:rFonts w:hint="eastAsia" w:ascii="黑体" w:hAnsi="黑体" w:eastAsia="黑体"/>
          <w:b w:val="0"/>
        </w:rPr>
        <w:t>政府性基金预算支出决算情况说明</w:t>
      </w:r>
      <w:bookmarkEnd w:id="80"/>
      <w:bookmarkEnd w:id="81"/>
      <w:bookmarkEnd w:id="82"/>
      <w:bookmarkEnd w:id="8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31"/>
          <w:rFonts w:ascii="黑体" w:hAnsi="黑体" w:eastAsia="黑体"/>
          <w:b w:val="0"/>
        </w:rPr>
      </w:pPr>
      <w:bookmarkStart w:id="84" w:name="_Toc8236"/>
      <w:bookmarkStart w:id="85" w:name="_Toc15396611"/>
      <w:bookmarkStart w:id="86" w:name="_Toc2246"/>
      <w:bookmarkStart w:id="87" w:name="_Toc15377219"/>
      <w:r>
        <w:rPr>
          <w:rStyle w:val="31"/>
          <w:rFonts w:hint="eastAsia" w:ascii="黑体" w:hAnsi="黑体" w:eastAsia="黑体"/>
          <w:b w:val="0"/>
        </w:rPr>
        <w:t>国有资本经营预算支出决算情况说明</w:t>
      </w:r>
      <w:bookmarkEnd w:id="84"/>
      <w:bookmarkEnd w:id="85"/>
      <w:bookmarkEnd w:id="86"/>
      <w:bookmarkEnd w:id="8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0万</w:t>
      </w:r>
      <w:r>
        <w:rPr>
          <w:rFonts w:hint="eastAsia" w:ascii="仿宋_GB2312" w:eastAsia="仿宋_GB2312"/>
          <w:sz w:val="32"/>
          <w:szCs w:val="32"/>
        </w:rPr>
        <w:t>元。</w:t>
      </w:r>
    </w:p>
    <w:p>
      <w:pPr>
        <w:numPr>
          <w:ilvl w:val="0"/>
          <w:numId w:val="4"/>
        </w:numPr>
        <w:spacing w:line="600" w:lineRule="exact"/>
        <w:ind w:firstLine="640"/>
        <w:outlineLvl w:val="1"/>
        <w:rPr>
          <w:rStyle w:val="31"/>
          <w:rFonts w:ascii="黑体" w:hAnsi="黑体" w:eastAsia="黑体"/>
          <w:b w:val="0"/>
        </w:rPr>
      </w:pPr>
      <w:bookmarkStart w:id="88" w:name="_Toc15396612"/>
      <w:bookmarkStart w:id="89" w:name="_Toc29540"/>
      <w:bookmarkStart w:id="90" w:name="_Toc16746"/>
      <w:bookmarkStart w:id="91" w:name="_Toc15377221"/>
      <w:r>
        <w:rPr>
          <w:rStyle w:val="31"/>
          <w:rFonts w:hint="eastAsia" w:ascii="黑体" w:hAnsi="黑体" w:eastAsia="黑体"/>
          <w:b w:val="0"/>
        </w:rPr>
        <w:t>其他重要事项的情况说明</w:t>
      </w:r>
      <w:bookmarkEnd w:id="88"/>
      <w:bookmarkEnd w:id="89"/>
      <w:bookmarkEnd w:id="90"/>
      <w:bookmarkEnd w:id="91"/>
    </w:p>
    <w:p>
      <w:pPr>
        <w:spacing w:line="600" w:lineRule="exact"/>
        <w:ind w:firstLine="642" w:firstLineChars="200"/>
        <w:outlineLvl w:val="2"/>
        <w:rPr>
          <w:rFonts w:ascii="仿宋" w:hAnsi="仿宋" w:eastAsia="仿宋"/>
          <w:sz w:val="32"/>
          <w:szCs w:val="32"/>
        </w:rPr>
      </w:pPr>
      <w:bookmarkStart w:id="92" w:name="_Toc15377222"/>
      <w:r>
        <w:rPr>
          <w:rFonts w:hint="eastAsia" w:ascii="仿宋" w:hAnsi="仿宋" w:eastAsia="仿宋"/>
          <w:b/>
          <w:sz w:val="32"/>
          <w:szCs w:val="32"/>
        </w:rPr>
        <w:t>（一）机关运行经费支出情况</w:t>
      </w:r>
      <w:bookmarkEnd w:id="9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义兴镇</w:t>
      </w:r>
      <w:r>
        <w:rPr>
          <w:rFonts w:hint="eastAsia" w:ascii="仿宋_GB2312" w:eastAsia="仿宋_GB2312"/>
          <w:sz w:val="32"/>
          <w:szCs w:val="32"/>
        </w:rPr>
        <w:t>机关运行经费支出</w:t>
      </w:r>
      <w:r>
        <w:rPr>
          <w:rFonts w:hint="eastAsia" w:ascii="仿宋_GB2312" w:eastAsia="仿宋_GB2312"/>
          <w:sz w:val="32"/>
          <w:szCs w:val="32"/>
          <w:lang w:val="en-US" w:eastAsia="zh-CN"/>
        </w:rPr>
        <w:t>73.11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73.95</w:t>
      </w:r>
      <w:r>
        <w:rPr>
          <w:rFonts w:hint="eastAsia" w:ascii="仿宋_GB2312" w:eastAsia="仿宋_GB2312"/>
          <w:sz w:val="32"/>
          <w:szCs w:val="32"/>
        </w:rPr>
        <w:t>万元，下降</w:t>
      </w:r>
      <w:r>
        <w:rPr>
          <w:rFonts w:hint="eastAsia" w:ascii="仿宋_GB2312" w:eastAsia="仿宋_GB2312"/>
          <w:sz w:val="32"/>
          <w:szCs w:val="32"/>
          <w:lang w:val="en-US" w:eastAsia="zh-CN"/>
        </w:rPr>
        <w:t>50.29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机关运行精简开支、预算追减</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3" w:name="_Toc15377223"/>
      <w:r>
        <w:rPr>
          <w:rFonts w:hint="eastAsia" w:ascii="仿宋" w:hAnsi="仿宋" w:eastAsia="仿宋"/>
          <w:b/>
          <w:sz w:val="32"/>
          <w:szCs w:val="32"/>
        </w:rPr>
        <w:t>（二）政府采购支出情况</w:t>
      </w:r>
      <w:bookmarkEnd w:id="9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义兴镇</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4" w:name="_Toc15377224"/>
      <w:r>
        <w:rPr>
          <w:rFonts w:hint="eastAsia" w:ascii="仿宋" w:hAnsi="仿宋" w:eastAsia="仿宋"/>
          <w:b/>
          <w:sz w:val="32"/>
          <w:szCs w:val="32"/>
        </w:rPr>
        <w:t>（三）国有资产占有使用情况</w:t>
      </w:r>
      <w:bookmarkEnd w:id="9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义兴镇</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根据预算绩效管理要求，本部门在2022年度预算编制阶段，组织对项目</w:t>
      </w:r>
      <w:r>
        <w:rPr>
          <w:rFonts w:hint="eastAsia" w:ascii="仿宋_GB2312" w:hAnsi="仿宋_GB2312" w:eastAsia="仿宋_GB2312" w:cs="仿宋_GB2312"/>
          <w:sz w:val="32"/>
          <w:szCs w:val="32"/>
          <w:lang w:val="en-US" w:eastAsia="zh-CN"/>
        </w:rPr>
        <w:t>垃圾清运及处置费</w:t>
      </w:r>
      <w:r>
        <w:rPr>
          <w:rFonts w:hint="eastAsia" w:ascii="仿宋_GB2312" w:hAnsi="仿宋_GB2312" w:eastAsia="仿宋_GB2312" w:cs="仿宋_GB2312"/>
          <w:sz w:val="32"/>
          <w:szCs w:val="32"/>
        </w:rPr>
        <w:t>等项目开展了预算事前绩效评估，预算执行过程中，选取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lang w:val="en-US" w:eastAsia="zh-CN"/>
        </w:rPr>
        <w:t>义兴</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整体绩效评价报告》见附件（第四部分）</w:t>
      </w: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30"/>
          <w:rFonts w:ascii="黑体" w:hAnsi="黑体" w:eastAsia="黑体"/>
          <w:b w:val="0"/>
        </w:rPr>
      </w:pPr>
      <w:bookmarkStart w:id="95" w:name="_Toc24179"/>
      <w:bookmarkStart w:id="96" w:name="_Toc18432"/>
      <w:bookmarkStart w:id="97" w:name="_Toc15396613"/>
      <w:bookmarkStart w:id="98" w:name="_Toc15377225"/>
      <w:bookmarkStart w:id="99" w:name="_Toc28175"/>
      <w:r>
        <w:rPr>
          <w:rFonts w:hint="eastAsia" w:ascii="黑体" w:hAnsi="黑体" w:eastAsia="黑体"/>
          <w:sz w:val="44"/>
          <w:szCs w:val="44"/>
        </w:rPr>
        <w:t>名</w:t>
      </w:r>
      <w:r>
        <w:rPr>
          <w:rStyle w:val="30"/>
          <w:rFonts w:hint="eastAsia" w:ascii="黑体" w:hAnsi="黑体" w:eastAsia="黑体"/>
          <w:b w:val="0"/>
        </w:rPr>
        <w:t>词解释</w:t>
      </w:r>
      <w:bookmarkEnd w:id="95"/>
      <w:bookmarkEnd w:id="96"/>
      <w:bookmarkEnd w:id="97"/>
      <w:bookmarkEnd w:id="98"/>
      <w:bookmarkEnd w:id="99"/>
    </w:p>
    <w:p>
      <w:pPr>
        <w:spacing w:line="600" w:lineRule="exact"/>
        <w:jc w:val="left"/>
        <w:rPr>
          <w:rFonts w:ascii="宋体"/>
          <w:b/>
          <w:sz w:val="44"/>
          <w:szCs w:val="44"/>
        </w:rPr>
      </w:pPr>
    </w:p>
    <w:p>
      <w:pPr>
        <w:pStyle w:val="8"/>
        <w:ind w:firstLine="640" w:firstLineChars="200"/>
        <w:outlineLvl w:val="1"/>
        <w:rPr>
          <w:rFonts w:hint="eastAsia" w:ascii="仿宋_GB2312" w:hAnsi="仿宋_GB2312" w:cs="仿宋_GB2312"/>
          <w:b w:val="0"/>
          <w:bCs/>
          <w:szCs w:val="32"/>
          <w:lang w:val="en-US" w:eastAsia="zh-CN"/>
        </w:rPr>
      </w:pPr>
      <w:bookmarkStart w:id="100" w:name="_Toc14213"/>
      <w:bookmarkStart w:id="101" w:name="_Toc16683"/>
      <w:r>
        <w:rPr>
          <w:rFonts w:hint="eastAsia" w:ascii="仿宋_GB2312" w:hAnsi="仿宋_GB2312" w:cs="仿宋_GB2312"/>
          <w:b w:val="0"/>
          <w:bCs/>
          <w:szCs w:val="32"/>
          <w:lang w:val="en-US" w:eastAsia="zh-CN"/>
        </w:rPr>
        <w:t>1.一般公共预算拨款收入：指县级财政当年拨付的资金。</w:t>
      </w:r>
      <w:bookmarkEnd w:id="100"/>
      <w:bookmarkEnd w:id="101"/>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）人大事务</w:t>
      </w:r>
      <w:r>
        <w:rPr>
          <w:rFonts w:ascii="仿宋_GB2312" w:hAnsi="仿宋_GB2312" w:cs="仿宋_GB2312"/>
          <w:b w:val="0"/>
          <w:bCs/>
          <w:szCs w:val="32"/>
        </w:rPr>
        <w:t>（款）</w:t>
      </w:r>
      <w:r>
        <w:rPr>
          <w:rFonts w:hint="eastAsia" w:ascii="仿宋_GB2312" w:hAnsi="仿宋_GB2312" w:cs="仿宋_GB2312"/>
          <w:b w:val="0"/>
          <w:bCs/>
          <w:szCs w:val="32"/>
        </w:rPr>
        <w:t>人大会议</w:t>
      </w:r>
      <w:r>
        <w:rPr>
          <w:rFonts w:ascii="仿宋_GB2312" w:hAnsi="仿宋_GB2312" w:cs="仿宋_GB2312"/>
          <w:b w:val="0"/>
          <w:bCs/>
          <w:szCs w:val="32"/>
        </w:rPr>
        <w:t>（项）：指</w:t>
      </w:r>
      <w:r>
        <w:rPr>
          <w:rFonts w:hint="eastAsia" w:ascii="仿宋_GB2312" w:hAnsi="仿宋_GB2312" w:cs="仿宋_GB2312"/>
          <w:b w:val="0"/>
          <w:bCs/>
          <w:szCs w:val="32"/>
        </w:rPr>
        <w:t>反映各级人大召开人民代表大会等专门会议的支出</w:t>
      </w:r>
      <w:r>
        <w:rPr>
          <w:rFonts w:ascii="仿宋_GB2312" w:hAnsi="仿宋_GB2312" w:cs="仿宋_GB2312"/>
          <w:b w:val="0"/>
          <w:bCs/>
          <w:szCs w:val="32"/>
        </w:rPr>
        <w:t>。</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3.</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）人大事务</w:t>
      </w:r>
      <w:r>
        <w:rPr>
          <w:rFonts w:ascii="仿宋_GB2312" w:hAnsi="仿宋_GB2312" w:cs="仿宋_GB2312"/>
          <w:b w:val="0"/>
          <w:bCs/>
          <w:szCs w:val="32"/>
        </w:rPr>
        <w:t>（款）</w:t>
      </w:r>
      <w:r>
        <w:rPr>
          <w:rFonts w:hint="eastAsia" w:ascii="仿宋_GB2312" w:hAnsi="仿宋_GB2312" w:cs="仿宋_GB2312"/>
          <w:b w:val="0"/>
          <w:bCs/>
          <w:szCs w:val="32"/>
        </w:rPr>
        <w:t>代表工作</w:t>
      </w:r>
      <w:r>
        <w:rPr>
          <w:rFonts w:ascii="仿宋_GB2312" w:hAnsi="仿宋_GB2312" w:cs="仿宋_GB2312"/>
          <w:b w:val="0"/>
          <w:bCs/>
          <w:szCs w:val="32"/>
        </w:rPr>
        <w:t>（项）：指</w:t>
      </w:r>
      <w:r>
        <w:rPr>
          <w:rFonts w:hint="eastAsia" w:ascii="仿宋_GB2312" w:hAnsi="仿宋_GB2312" w:cs="仿宋_GB2312"/>
          <w:b w:val="0"/>
          <w:bCs/>
          <w:szCs w:val="32"/>
        </w:rPr>
        <w:t>反映人大代表开展各类视察等方面的支出</w:t>
      </w:r>
      <w:r>
        <w:rPr>
          <w:rFonts w:ascii="仿宋_GB2312" w:hAnsi="仿宋_GB2312" w:cs="仿宋_GB2312"/>
          <w:b w:val="0"/>
          <w:bCs/>
          <w:szCs w:val="32"/>
        </w:rPr>
        <w:t>。</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4.</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）人大事务</w:t>
      </w:r>
      <w:r>
        <w:rPr>
          <w:rFonts w:ascii="仿宋_GB2312" w:hAnsi="仿宋_GB2312" w:cs="仿宋_GB2312"/>
          <w:b w:val="0"/>
          <w:bCs/>
          <w:szCs w:val="32"/>
        </w:rPr>
        <w:t>（款）</w:t>
      </w:r>
      <w:r>
        <w:rPr>
          <w:rFonts w:hint="eastAsia" w:ascii="仿宋_GB2312" w:hAnsi="仿宋_GB2312" w:cs="仿宋_GB2312"/>
          <w:b w:val="0"/>
          <w:bCs/>
          <w:szCs w:val="32"/>
        </w:rPr>
        <w:t>其他人大事务</w:t>
      </w:r>
      <w:r>
        <w:rPr>
          <w:rFonts w:ascii="仿宋_GB2312" w:hAnsi="仿宋_GB2312" w:cs="仿宋_GB2312"/>
          <w:b w:val="0"/>
          <w:bCs/>
          <w:szCs w:val="32"/>
        </w:rPr>
        <w:t>（项）：</w:t>
      </w:r>
      <w:r>
        <w:rPr>
          <w:rFonts w:hint="eastAsia" w:ascii="仿宋_GB2312" w:hAnsi="仿宋_GB2312" w:cs="仿宋_GB2312"/>
          <w:b w:val="0"/>
          <w:bCs/>
          <w:szCs w:val="32"/>
        </w:rPr>
        <w:t>指除上述项目以外的其他人大事务支出。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5.</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行政运行</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指反映行政单位（包括实行公务员管理的事业单位）的基本支出。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6.</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7.</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信访事务</w:t>
      </w:r>
      <w:r>
        <w:rPr>
          <w:rFonts w:ascii="仿宋_GB2312" w:hAnsi="仿宋_GB2312" w:cs="仿宋_GB2312"/>
          <w:b w:val="0"/>
          <w:bCs/>
          <w:szCs w:val="32"/>
        </w:rPr>
        <w:t>（项）：</w:t>
      </w:r>
      <w:r>
        <w:rPr>
          <w:rFonts w:hint="eastAsia" w:ascii="仿宋_GB2312" w:hAnsi="仿宋_GB2312" w:cs="仿宋_GB2312"/>
          <w:b w:val="0"/>
          <w:bCs/>
          <w:szCs w:val="32"/>
        </w:rPr>
        <w:t>指反映各级政府用于接待群众来信来访方面的支出。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8.</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事业运行</w:t>
      </w:r>
      <w:r>
        <w:rPr>
          <w:rFonts w:ascii="仿宋_GB2312" w:hAnsi="仿宋_GB2312" w:cs="仿宋_GB2312"/>
          <w:b w:val="0"/>
          <w:bCs/>
          <w:szCs w:val="32"/>
        </w:rPr>
        <w:t>（项）：</w:t>
      </w:r>
      <w:r>
        <w:rPr>
          <w:rFonts w:hint="eastAsia" w:ascii="仿宋_GB2312" w:hAnsi="仿宋_GB2312" w:cs="仿宋_GB2312"/>
          <w:b w:val="0"/>
          <w:bCs/>
          <w:szCs w:val="32"/>
        </w:rPr>
        <w:t>指反映事业单位的基本支出，不包括行政单位（包括实行公务员管理的事业单位）后勤服务中心、医务室等附属事业单位。</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9.</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）纪检监察事务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10.</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）纪检监察事务</w:t>
      </w:r>
      <w:r>
        <w:rPr>
          <w:rFonts w:ascii="仿宋_GB2312" w:hAnsi="仿宋_GB2312" w:cs="仿宋_GB2312"/>
          <w:b w:val="0"/>
          <w:bCs/>
          <w:szCs w:val="32"/>
        </w:rPr>
        <w:t>（款）</w:t>
      </w:r>
      <w:r>
        <w:rPr>
          <w:rFonts w:hint="eastAsia" w:ascii="仿宋_GB2312" w:hAnsi="仿宋_GB2312" w:cs="仿宋_GB2312"/>
          <w:b w:val="0"/>
          <w:bCs/>
          <w:szCs w:val="32"/>
          <w:lang w:val="en-US" w:eastAsia="zh-CN"/>
        </w:rPr>
        <w:t>其他纪检监察事务支出</w:t>
      </w:r>
      <w:r>
        <w:rPr>
          <w:rFonts w:ascii="仿宋_GB2312" w:hAnsi="仿宋_GB2312" w:cs="仿宋_GB2312"/>
          <w:b w:val="0"/>
          <w:bCs/>
          <w:szCs w:val="32"/>
        </w:rPr>
        <w:t>（项）：</w:t>
      </w:r>
      <w:r>
        <w:rPr>
          <w:rFonts w:hint="eastAsia" w:ascii="仿宋_GB2312" w:hAnsi="仿宋_GB2312" w:cs="仿宋_GB2312"/>
          <w:b w:val="0"/>
          <w:bCs/>
          <w:szCs w:val="32"/>
        </w:rPr>
        <w:t>指反映由纪检监察部门负担的派驻各部门和单位的纪检监察人员的专项业务支出。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11.</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）群众团体事务</w:t>
      </w:r>
      <w:r>
        <w:rPr>
          <w:rFonts w:ascii="仿宋_GB2312" w:hAnsi="仿宋_GB2312" w:cs="仿宋_GB2312"/>
          <w:b w:val="0"/>
          <w:bCs/>
          <w:szCs w:val="32"/>
        </w:rPr>
        <w:t>（款）</w:t>
      </w:r>
      <w:r>
        <w:rPr>
          <w:rFonts w:hint="eastAsia" w:ascii="仿宋_GB2312" w:hAnsi="仿宋_GB2312" w:cs="仿宋_GB2312"/>
          <w:b w:val="0"/>
          <w:bCs/>
          <w:szCs w:val="32"/>
        </w:rPr>
        <w:t>其他群众团体事务</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指反映除上述项目以外其他用于群众团体事务方面的支出。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12.</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）党委办公厅（室）及相关机构事务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13.</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）宣传事务</w:t>
      </w:r>
      <w:r>
        <w:rPr>
          <w:rFonts w:ascii="仿宋_GB2312" w:hAnsi="仿宋_GB2312" w:cs="仿宋_GB2312"/>
          <w:b w:val="0"/>
          <w:bCs/>
          <w:szCs w:val="32"/>
        </w:rPr>
        <w:t>（款）</w:t>
      </w:r>
      <w:r>
        <w:rPr>
          <w:rFonts w:hint="eastAsia" w:ascii="仿宋_GB2312" w:hAnsi="仿宋_GB2312" w:cs="仿宋_GB2312"/>
          <w:b w:val="0"/>
          <w:bCs/>
          <w:szCs w:val="32"/>
        </w:rPr>
        <w:t>其他宣传事务</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指反映除上述项目以外其他用于中国共产党宣传部门的事务支出。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14.</w:t>
      </w:r>
      <w:r>
        <w:rPr>
          <w:rFonts w:hint="eastAsia" w:ascii="仿宋_GB2312" w:hAnsi="仿宋_GB2312" w:cs="仿宋_GB2312"/>
          <w:b w:val="0"/>
          <w:bCs/>
          <w:szCs w:val="32"/>
        </w:rPr>
        <w:t>国防</w:t>
      </w:r>
      <w:r>
        <w:rPr>
          <w:rFonts w:ascii="仿宋_GB2312" w:hAnsi="仿宋_GB2312" w:cs="仿宋_GB2312"/>
          <w:b w:val="0"/>
          <w:bCs/>
          <w:szCs w:val="32"/>
        </w:rPr>
        <w:t>（类</w:t>
      </w:r>
      <w:r>
        <w:rPr>
          <w:rFonts w:hint="eastAsia" w:ascii="仿宋_GB2312" w:hAnsi="仿宋_GB2312" w:cs="仿宋_GB2312"/>
          <w:b w:val="0"/>
          <w:bCs/>
          <w:szCs w:val="32"/>
        </w:rPr>
        <w:t>）国防动员</w:t>
      </w:r>
      <w:r>
        <w:rPr>
          <w:rFonts w:ascii="仿宋_GB2312" w:hAnsi="仿宋_GB2312" w:cs="仿宋_GB2312"/>
          <w:b w:val="0"/>
          <w:bCs/>
          <w:szCs w:val="32"/>
        </w:rPr>
        <w:t>（款）</w:t>
      </w:r>
      <w:r>
        <w:rPr>
          <w:rFonts w:hint="eastAsia" w:ascii="仿宋_GB2312" w:hAnsi="仿宋_GB2312" w:cs="仿宋_GB2312"/>
          <w:b w:val="0"/>
          <w:bCs/>
          <w:szCs w:val="32"/>
        </w:rPr>
        <w:t>兵役征集</w:t>
      </w:r>
      <w:r>
        <w:rPr>
          <w:rFonts w:ascii="仿宋_GB2312" w:hAnsi="仿宋_GB2312" w:cs="仿宋_GB2312"/>
          <w:b w:val="0"/>
          <w:bCs/>
          <w:szCs w:val="32"/>
        </w:rPr>
        <w:t>（项）：</w:t>
      </w:r>
      <w:r>
        <w:rPr>
          <w:rFonts w:hint="eastAsia" w:ascii="仿宋_GB2312" w:hAnsi="仿宋_GB2312" w:cs="仿宋_GB2312"/>
          <w:b w:val="0"/>
          <w:bCs/>
          <w:szCs w:val="32"/>
        </w:rPr>
        <w:t>指反映用于兵役征集等方面的支出。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15.</w:t>
      </w:r>
      <w:r>
        <w:rPr>
          <w:rFonts w:hint="eastAsia" w:ascii="仿宋_GB2312" w:hAnsi="仿宋_GB2312" w:cs="仿宋_GB2312"/>
          <w:b w:val="0"/>
          <w:bCs/>
          <w:szCs w:val="32"/>
        </w:rPr>
        <w:t>文化旅游体育与传媒</w:t>
      </w:r>
      <w:r>
        <w:rPr>
          <w:rFonts w:ascii="仿宋_GB2312" w:hAnsi="仿宋_GB2312" w:cs="仿宋_GB2312"/>
          <w:b w:val="0"/>
          <w:bCs/>
          <w:szCs w:val="32"/>
        </w:rPr>
        <w:t>（类</w:t>
      </w:r>
      <w:r>
        <w:rPr>
          <w:rFonts w:hint="eastAsia" w:ascii="仿宋_GB2312" w:hAnsi="仿宋_GB2312" w:cs="仿宋_GB2312"/>
          <w:b w:val="0"/>
          <w:bCs/>
          <w:szCs w:val="32"/>
        </w:rPr>
        <w:t>）文化和旅游</w:t>
      </w:r>
      <w:r>
        <w:rPr>
          <w:rFonts w:ascii="仿宋_GB2312" w:hAnsi="仿宋_GB2312" w:cs="仿宋_GB2312"/>
          <w:b w:val="0"/>
          <w:bCs/>
          <w:szCs w:val="32"/>
        </w:rPr>
        <w:t>（款）</w:t>
      </w:r>
      <w:r>
        <w:rPr>
          <w:rFonts w:hint="eastAsia" w:ascii="仿宋_GB2312" w:hAnsi="仿宋_GB2312" w:cs="仿宋_GB2312"/>
          <w:b w:val="0"/>
          <w:bCs/>
          <w:szCs w:val="32"/>
        </w:rPr>
        <w:t>群众文化</w:t>
      </w:r>
      <w:r>
        <w:rPr>
          <w:rFonts w:ascii="仿宋_GB2312" w:hAnsi="仿宋_GB2312" w:cs="仿宋_GB2312"/>
          <w:b w:val="0"/>
          <w:bCs/>
          <w:szCs w:val="32"/>
        </w:rPr>
        <w:t>（项）：</w:t>
      </w:r>
      <w:r>
        <w:rPr>
          <w:rFonts w:hint="eastAsia" w:ascii="仿宋_GB2312" w:hAnsi="仿宋_GB2312" w:cs="仿宋_GB2312"/>
          <w:b w:val="0"/>
          <w:bCs/>
          <w:szCs w:val="32"/>
        </w:rPr>
        <w:t>指反映群众文化方面的支出，包括基层文化馆（站）、群众艺术馆支出等。</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16.</w:t>
      </w:r>
      <w:r>
        <w:rPr>
          <w:rFonts w:hint="eastAsia" w:ascii="仿宋_GB2312" w:hAnsi="仿宋_GB2312" w:cs="仿宋_GB2312"/>
          <w:b w:val="0"/>
          <w:bCs/>
          <w:szCs w:val="32"/>
        </w:rPr>
        <w:t>文化旅游体育与传媒</w:t>
      </w:r>
      <w:r>
        <w:rPr>
          <w:rFonts w:ascii="仿宋_GB2312" w:hAnsi="仿宋_GB2312" w:cs="仿宋_GB2312"/>
          <w:b w:val="0"/>
          <w:bCs/>
          <w:szCs w:val="32"/>
        </w:rPr>
        <w:t>（类</w:t>
      </w:r>
      <w:r>
        <w:rPr>
          <w:rFonts w:hint="eastAsia" w:ascii="仿宋_GB2312" w:hAnsi="仿宋_GB2312" w:cs="仿宋_GB2312"/>
          <w:b w:val="0"/>
          <w:bCs/>
          <w:szCs w:val="32"/>
        </w:rPr>
        <w:t>）文化和旅游</w:t>
      </w:r>
      <w:r>
        <w:rPr>
          <w:rFonts w:ascii="仿宋_GB2312" w:hAnsi="仿宋_GB2312" w:cs="仿宋_GB2312"/>
          <w:b w:val="0"/>
          <w:bCs/>
          <w:szCs w:val="32"/>
        </w:rPr>
        <w:t>（款）</w:t>
      </w:r>
      <w:r>
        <w:rPr>
          <w:rFonts w:hint="eastAsia" w:ascii="仿宋_GB2312" w:hAnsi="仿宋_GB2312" w:cs="仿宋_GB2312"/>
          <w:b w:val="0"/>
          <w:bCs/>
          <w:szCs w:val="32"/>
        </w:rPr>
        <w:t>文化和旅游管理事务</w:t>
      </w:r>
      <w:r>
        <w:rPr>
          <w:rFonts w:ascii="仿宋_GB2312" w:hAnsi="仿宋_GB2312" w:cs="仿宋_GB2312"/>
          <w:b w:val="0"/>
          <w:bCs/>
          <w:szCs w:val="32"/>
        </w:rPr>
        <w:t>（项）：</w:t>
      </w:r>
      <w:r>
        <w:rPr>
          <w:rFonts w:hint="eastAsia" w:ascii="仿宋_GB2312" w:hAnsi="仿宋_GB2312" w:cs="仿宋_GB2312"/>
          <w:b w:val="0"/>
          <w:bCs/>
          <w:szCs w:val="32"/>
        </w:rPr>
        <w:t>指反映文化和旅游管理事务支出。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17.</w:t>
      </w:r>
      <w:r>
        <w:rPr>
          <w:rFonts w:ascii="仿宋_GB2312" w:hAnsi="仿宋_GB2312" w:cs="仿宋_GB2312"/>
          <w:b w:val="0"/>
          <w:bCs/>
          <w:szCs w:val="32"/>
        </w:rPr>
        <w:t>社会保障和就业（类</w:t>
      </w:r>
      <w:r>
        <w:rPr>
          <w:rFonts w:hint="eastAsia" w:ascii="仿宋_GB2312" w:hAnsi="仿宋_GB2312" w:cs="仿宋_GB2312"/>
          <w:b w:val="0"/>
          <w:bCs/>
          <w:szCs w:val="32"/>
        </w:rPr>
        <w:t>）民政管理事务</w:t>
      </w:r>
      <w:r>
        <w:rPr>
          <w:rFonts w:ascii="仿宋_GB2312" w:hAnsi="仿宋_GB2312" w:cs="仿宋_GB2312"/>
          <w:b w:val="0"/>
          <w:bCs/>
          <w:szCs w:val="32"/>
        </w:rPr>
        <w:t>（款）</w:t>
      </w:r>
      <w:r>
        <w:rPr>
          <w:rFonts w:hint="eastAsia" w:ascii="仿宋_GB2312" w:hAnsi="仿宋_GB2312" w:cs="仿宋_GB2312"/>
          <w:b w:val="0"/>
          <w:bCs/>
          <w:szCs w:val="32"/>
        </w:rPr>
        <w:t>基层政权建设和社区治理</w:t>
      </w:r>
      <w:r>
        <w:rPr>
          <w:rFonts w:ascii="仿宋_GB2312" w:hAnsi="仿宋_GB2312" w:cs="仿宋_GB2312"/>
          <w:b w:val="0"/>
          <w:bCs/>
          <w:szCs w:val="32"/>
        </w:rPr>
        <w:t>（项）：</w:t>
      </w:r>
      <w:r>
        <w:rPr>
          <w:rFonts w:hint="eastAsia" w:ascii="仿宋_GB2312" w:hAnsi="仿宋_GB2312" w:cs="仿宋_GB2312"/>
          <w:b w:val="0"/>
          <w:bCs/>
          <w:szCs w:val="32"/>
        </w:rPr>
        <w:t>指反映开展城乡社区治理、城乡社区服务（乡村便民服务）、村（居）民自治、村（居）务公开、乡镇（街道）服务能力建设等基层政权建设和社区治理工作的支出。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18.</w:t>
      </w:r>
      <w:r>
        <w:rPr>
          <w:rFonts w:ascii="仿宋_GB2312" w:hAnsi="仿宋_GB2312" w:cs="仿宋_GB2312"/>
          <w:b w:val="0"/>
          <w:bCs/>
          <w:szCs w:val="32"/>
        </w:rPr>
        <w:t>社会保障和就业（类</w:t>
      </w:r>
      <w:r>
        <w:rPr>
          <w:rFonts w:hint="eastAsia" w:ascii="仿宋_GB2312" w:hAnsi="仿宋_GB2312" w:cs="仿宋_GB2312"/>
          <w:b w:val="0"/>
          <w:bCs/>
          <w:szCs w:val="32"/>
        </w:rPr>
        <w:t>）</w:t>
      </w:r>
      <w:r>
        <w:rPr>
          <w:rFonts w:ascii="仿宋_GB2312" w:hAnsi="仿宋_GB2312" w:cs="仿宋_GB2312"/>
          <w:b w:val="0"/>
          <w:bCs/>
          <w:szCs w:val="32"/>
        </w:rPr>
        <w:t>行政事业单位</w:t>
      </w:r>
      <w:r>
        <w:rPr>
          <w:rFonts w:hint="eastAsia" w:ascii="仿宋_GB2312" w:hAnsi="仿宋_GB2312" w:cs="仿宋_GB2312"/>
          <w:b w:val="0"/>
          <w:bCs/>
          <w:szCs w:val="32"/>
          <w:lang w:val="en-US" w:eastAsia="zh-CN"/>
        </w:rPr>
        <w:t>养老支出</w:t>
      </w:r>
      <w:r>
        <w:rPr>
          <w:rFonts w:ascii="仿宋_GB2312" w:hAnsi="仿宋_GB2312" w:cs="仿宋_GB2312"/>
          <w:b w:val="0"/>
          <w:bCs/>
          <w:szCs w:val="32"/>
        </w:rPr>
        <w:t>（款）机关事业单位基本养老保险缴费支出（项）：指部门实施养老保险制度由单位缴纳的养老保险费的支出。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19.</w:t>
      </w:r>
      <w:r>
        <w:rPr>
          <w:rFonts w:ascii="仿宋_GB2312" w:hAnsi="仿宋_GB2312" w:cs="仿宋_GB2312"/>
          <w:b w:val="0"/>
          <w:bCs/>
          <w:szCs w:val="32"/>
        </w:rPr>
        <w:t>卫生健康（类）行政事业单位医疗（款）行政单位医疗（项）：指局机关及参公管理事业单位用于缴纳单位基本医疗保险支出。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20.</w:t>
      </w:r>
      <w:r>
        <w:rPr>
          <w:rFonts w:ascii="仿宋_GB2312" w:hAnsi="仿宋_GB2312" w:cs="仿宋_GB2312"/>
          <w:b w:val="0"/>
          <w:bCs/>
          <w:szCs w:val="32"/>
        </w:rPr>
        <w:t>卫生健康（类）行政事业单位医疗（款）事业单位医疗（项）：指事业单位用于缴纳单位基本医疗保险支出。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21.</w:t>
      </w:r>
      <w:r>
        <w:rPr>
          <w:rFonts w:hint="eastAsia" w:ascii="仿宋_GB2312" w:hAnsi="仿宋_GB2312" w:cs="仿宋_GB2312"/>
          <w:b w:val="0"/>
          <w:bCs/>
          <w:szCs w:val="32"/>
        </w:rPr>
        <w:t>城乡社区</w:t>
      </w:r>
      <w:r>
        <w:rPr>
          <w:rFonts w:ascii="仿宋_GB2312" w:hAnsi="仿宋_GB2312" w:cs="仿宋_GB2312"/>
          <w:b w:val="0"/>
          <w:bCs/>
          <w:szCs w:val="32"/>
        </w:rPr>
        <w:t>（类）</w:t>
      </w:r>
      <w:r>
        <w:rPr>
          <w:rFonts w:hint="eastAsia" w:ascii="仿宋_GB2312" w:hAnsi="仿宋_GB2312" w:cs="仿宋_GB2312"/>
          <w:b w:val="0"/>
          <w:bCs/>
          <w:szCs w:val="32"/>
        </w:rPr>
        <w:t>城乡社区环境卫生</w:t>
      </w:r>
      <w:r>
        <w:rPr>
          <w:rFonts w:ascii="仿宋_GB2312" w:hAnsi="仿宋_GB2312" w:cs="仿宋_GB2312"/>
          <w:b w:val="0"/>
          <w:bCs/>
          <w:szCs w:val="32"/>
        </w:rPr>
        <w:t>（款）</w:t>
      </w:r>
      <w:r>
        <w:rPr>
          <w:rFonts w:hint="eastAsia" w:ascii="仿宋_GB2312" w:hAnsi="仿宋_GB2312" w:cs="仿宋_GB2312"/>
          <w:b w:val="0"/>
          <w:bCs/>
          <w:szCs w:val="32"/>
        </w:rPr>
        <w:t>城乡社区环境卫生</w:t>
      </w:r>
      <w:r>
        <w:rPr>
          <w:rFonts w:ascii="仿宋_GB2312" w:hAnsi="仿宋_GB2312" w:cs="仿宋_GB2312"/>
          <w:b w:val="0"/>
          <w:bCs/>
          <w:szCs w:val="32"/>
        </w:rPr>
        <w:t>（项）：</w:t>
      </w:r>
      <w:r>
        <w:rPr>
          <w:rFonts w:hint="eastAsia" w:ascii="仿宋_GB2312" w:hAnsi="仿宋_GB2312" w:cs="仿宋_GB2312"/>
          <w:b w:val="0"/>
          <w:bCs/>
          <w:szCs w:val="32"/>
        </w:rPr>
        <w:t>反映城乡社区道路清扫、垃圾清运与处理、公厕建设与维护、园林绿化等方面的支出。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22.</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农业农村</w:t>
      </w:r>
      <w:r>
        <w:rPr>
          <w:rFonts w:ascii="仿宋_GB2312" w:hAnsi="仿宋_GB2312" w:cs="仿宋_GB2312"/>
          <w:b w:val="0"/>
          <w:bCs/>
          <w:szCs w:val="32"/>
        </w:rPr>
        <w:t>（款）</w:t>
      </w:r>
      <w:r>
        <w:rPr>
          <w:rFonts w:hint="eastAsia" w:ascii="仿宋_GB2312" w:hAnsi="仿宋_GB2312" w:cs="仿宋_GB2312"/>
          <w:b w:val="0"/>
          <w:bCs/>
          <w:szCs w:val="32"/>
        </w:rPr>
        <w:t>事业运行</w:t>
      </w:r>
      <w:r>
        <w:rPr>
          <w:rFonts w:ascii="仿宋_GB2312" w:hAnsi="仿宋_GB2312" w:cs="仿宋_GB2312"/>
          <w:b w:val="0"/>
          <w:bCs/>
          <w:szCs w:val="32"/>
        </w:rPr>
        <w:t>（项）：</w:t>
      </w:r>
      <w:r>
        <w:rPr>
          <w:rFonts w:hint="eastAsia" w:ascii="仿宋_GB2312" w:hAnsi="仿宋_GB2312" w:cs="仿宋_GB2312"/>
          <w:b w:val="0"/>
          <w:bCs/>
          <w:szCs w:val="32"/>
        </w:rPr>
        <w:t>反映用于农业事业单位基本支出，事业单位设施、系统运行与资产维护等方面的支出。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23.</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农业农村</w:t>
      </w:r>
      <w:r>
        <w:rPr>
          <w:rFonts w:ascii="仿宋_GB2312" w:hAnsi="仿宋_GB2312" w:cs="仿宋_GB2312"/>
          <w:b w:val="0"/>
          <w:bCs/>
          <w:szCs w:val="32"/>
        </w:rPr>
        <w:t>（款）</w:t>
      </w:r>
      <w:r>
        <w:rPr>
          <w:rFonts w:hint="eastAsia" w:ascii="仿宋_GB2312" w:hAnsi="仿宋_GB2312" w:cs="仿宋_GB2312"/>
          <w:b w:val="0"/>
          <w:bCs/>
          <w:szCs w:val="32"/>
          <w:lang w:val="en-US" w:eastAsia="zh-CN"/>
        </w:rPr>
        <w:t>防灾减灾</w:t>
      </w:r>
      <w:r>
        <w:rPr>
          <w:rFonts w:ascii="仿宋_GB2312" w:hAnsi="仿宋_GB2312" w:cs="仿宋_GB2312"/>
          <w:b w:val="0"/>
          <w:bCs/>
          <w:szCs w:val="32"/>
        </w:rPr>
        <w:t>（项）：</w:t>
      </w:r>
      <w:r>
        <w:rPr>
          <w:rFonts w:hint="eastAsia" w:ascii="仿宋_GB2312" w:hAnsi="仿宋_GB2312" w:cs="仿宋_GB2312"/>
          <w:b w:val="0"/>
          <w:bCs/>
          <w:szCs w:val="32"/>
        </w:rPr>
        <w:t>反映用于农村公路、乡村道路建设方面的支出。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24.</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林业和草原</w:t>
      </w:r>
      <w:r>
        <w:rPr>
          <w:rFonts w:ascii="仿宋_GB2312" w:hAnsi="仿宋_GB2312" w:cs="仿宋_GB2312"/>
          <w:b w:val="0"/>
          <w:bCs/>
          <w:szCs w:val="32"/>
        </w:rPr>
        <w:t>（款）</w:t>
      </w:r>
      <w:r>
        <w:rPr>
          <w:rFonts w:hint="eastAsia" w:ascii="仿宋_GB2312" w:hAnsi="仿宋_GB2312" w:cs="仿宋_GB2312"/>
          <w:b w:val="0"/>
          <w:bCs/>
          <w:szCs w:val="32"/>
        </w:rPr>
        <w:t>林业草原防灾减灾</w:t>
      </w:r>
      <w:r>
        <w:rPr>
          <w:rFonts w:ascii="仿宋_GB2312" w:hAnsi="仿宋_GB2312" w:cs="仿宋_GB2312"/>
          <w:b w:val="0"/>
          <w:bCs/>
          <w:szCs w:val="32"/>
        </w:rPr>
        <w:t>（项）：</w:t>
      </w:r>
      <w:r>
        <w:rPr>
          <w:rFonts w:hint="eastAsia" w:ascii="仿宋_GB2312" w:hAnsi="仿宋_GB2312" w:cs="仿宋_GB2312"/>
          <w:b w:val="0"/>
          <w:bCs/>
          <w:szCs w:val="32"/>
        </w:rPr>
        <w:t>反映用于病虫害等有害生物灾害、森林草原防火、野生动物疫病灾害等方面的支出。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25.</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巩固脱贫衔接与乡村振兴</w:t>
      </w:r>
      <w:r>
        <w:rPr>
          <w:rFonts w:ascii="仿宋_GB2312" w:hAnsi="仿宋_GB2312" w:cs="仿宋_GB2312"/>
          <w:b w:val="0"/>
          <w:bCs/>
          <w:szCs w:val="32"/>
        </w:rPr>
        <w:t>（款）</w:t>
      </w:r>
      <w:r>
        <w:rPr>
          <w:rFonts w:hint="eastAsia" w:ascii="仿宋_GB2312" w:hAnsi="仿宋_GB2312" w:cs="仿宋_GB2312"/>
          <w:b w:val="0"/>
          <w:bCs/>
          <w:szCs w:val="32"/>
        </w:rPr>
        <w:t>生产发展</w:t>
      </w:r>
      <w:r>
        <w:rPr>
          <w:rFonts w:ascii="仿宋_GB2312" w:hAnsi="仿宋_GB2312" w:cs="仿宋_GB2312"/>
          <w:b w:val="0"/>
          <w:bCs/>
          <w:szCs w:val="32"/>
        </w:rPr>
        <w:t>（项）：</w:t>
      </w:r>
      <w:r>
        <w:rPr>
          <w:rFonts w:hint="eastAsia" w:ascii="仿宋_GB2312" w:hAnsi="仿宋_GB2312" w:cs="仿宋_GB2312"/>
          <w:b w:val="0"/>
          <w:bCs/>
          <w:szCs w:val="32"/>
        </w:rPr>
        <w:t>反映用于农村欠发达地区发展种植业、养殖业、畜牧业、农副产品加工、林果</w:t>
      </w:r>
      <w:r>
        <w:rPr>
          <w:rFonts w:hint="eastAsia" w:ascii="仿宋_GB2312" w:hAnsi="仿宋_GB2312" w:cs="仿宋_GB2312"/>
          <w:b w:val="0"/>
          <w:bCs/>
          <w:szCs w:val="32"/>
          <w:lang w:eastAsia="zh-CN"/>
        </w:rPr>
        <w:t>的</w:t>
      </w:r>
      <w:r>
        <w:rPr>
          <w:rFonts w:hint="eastAsia" w:ascii="仿宋_GB2312" w:hAnsi="仿宋_GB2312" w:cs="仿宋_GB2312"/>
          <w:b w:val="0"/>
          <w:bCs/>
          <w:szCs w:val="32"/>
        </w:rPr>
        <w:t>建设等生产发展项目以及相关技术推广等方面的项目支出。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26.</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巩固脱贫衔接与乡村振兴</w:t>
      </w:r>
      <w:r>
        <w:rPr>
          <w:rFonts w:ascii="仿宋_GB2312" w:hAnsi="仿宋_GB2312" w:cs="仿宋_GB2312"/>
          <w:b w:val="0"/>
          <w:bCs/>
          <w:szCs w:val="32"/>
        </w:rPr>
        <w:t>（款）</w:t>
      </w:r>
      <w:r>
        <w:rPr>
          <w:rFonts w:hint="eastAsia" w:ascii="仿宋_GB2312" w:hAnsi="仿宋_GB2312" w:cs="仿宋_GB2312"/>
          <w:b w:val="0"/>
          <w:bCs/>
          <w:szCs w:val="32"/>
        </w:rPr>
        <w:t>其他巩固脱贫衔接与乡村振兴</w:t>
      </w:r>
      <w:r>
        <w:rPr>
          <w:rFonts w:ascii="仿宋_GB2312" w:hAnsi="仿宋_GB2312" w:cs="仿宋_GB2312"/>
          <w:b w:val="0"/>
          <w:bCs/>
          <w:szCs w:val="32"/>
        </w:rPr>
        <w:t>（项）：</w:t>
      </w:r>
      <w:r>
        <w:rPr>
          <w:rFonts w:hint="eastAsia" w:ascii="仿宋_GB2312" w:hAnsi="仿宋_GB2312" w:cs="仿宋_GB2312"/>
          <w:b w:val="0"/>
          <w:bCs/>
          <w:szCs w:val="32"/>
        </w:rPr>
        <w:t>反映除上述项目以外其他用于巩固拓展脱贫攻坚成果同乡村振兴有效衔接方面的支出。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lang w:val="en-US" w:eastAsia="zh-CN"/>
        </w:rPr>
        <w:t>27.</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农村综合改革</w:t>
      </w:r>
      <w:r>
        <w:rPr>
          <w:rFonts w:ascii="仿宋_GB2312" w:hAnsi="仿宋_GB2312" w:cs="仿宋_GB2312"/>
          <w:b w:val="0"/>
          <w:bCs/>
          <w:szCs w:val="32"/>
        </w:rPr>
        <w:t>（款）</w:t>
      </w:r>
      <w:r>
        <w:rPr>
          <w:rFonts w:hint="eastAsia" w:ascii="仿宋_GB2312" w:hAnsi="仿宋_GB2312" w:cs="仿宋_GB2312"/>
          <w:b w:val="0"/>
          <w:bCs/>
          <w:szCs w:val="32"/>
        </w:rPr>
        <w:t>对村民委员会和村党支部的补助</w:t>
      </w:r>
      <w:r>
        <w:rPr>
          <w:rFonts w:ascii="仿宋_GB2312" w:hAnsi="仿宋_GB2312" w:cs="仿宋_GB2312"/>
          <w:b w:val="0"/>
          <w:bCs/>
          <w:szCs w:val="32"/>
        </w:rPr>
        <w:t>（项）：</w:t>
      </w:r>
      <w:r>
        <w:rPr>
          <w:rFonts w:hint="eastAsia" w:ascii="仿宋_GB2312" w:hAnsi="仿宋_GB2312" w:cs="仿宋_GB2312"/>
          <w:b w:val="0"/>
          <w:bCs/>
          <w:szCs w:val="32"/>
        </w:rPr>
        <w:t>反映各级财政对村民委员会和村党支部的补助支出，以及支持建立县级基本财力保障机制安排的村级组织运转奖补资金。</w:t>
      </w:r>
    </w:p>
    <w:p>
      <w:pPr>
        <w:pStyle w:val="8"/>
        <w:ind w:firstLine="640" w:firstLineChars="200"/>
        <w:rPr>
          <w:rFonts w:ascii="仿宋_GB2312" w:eastAsia="仿宋_GB2312"/>
          <w:sz w:val="32"/>
          <w:szCs w:val="32"/>
        </w:rPr>
      </w:pPr>
      <w:r>
        <w:rPr>
          <w:rFonts w:hint="eastAsia" w:ascii="仿宋_GB2312" w:hAnsi="仿宋_GB2312" w:cs="仿宋_GB2312"/>
          <w:b w:val="0"/>
          <w:bCs/>
          <w:szCs w:val="32"/>
          <w:lang w:val="en-US" w:eastAsia="zh-CN"/>
        </w:rPr>
        <w:t>28.</w:t>
      </w:r>
      <w:r>
        <w:rPr>
          <w:rFonts w:ascii="仿宋_GB2312" w:hAnsi="仿宋_GB2312" w:cs="仿宋_GB2312"/>
          <w:b w:val="0"/>
          <w:bCs/>
          <w:szCs w:val="32"/>
        </w:rPr>
        <w:t>住房保障（类）住房改革支出（款）住房公积金（项）：指按照《住房公积金管理条例》的规定，由单位及其在职职工缴存的长期住房储金。</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30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lang w:val="en-US" w:eastAsia="zh-CN"/>
        </w:rPr>
        <w:t>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jc w:val="center"/>
        <w:rPr>
          <w:rStyle w:val="30"/>
          <w:rFonts w:ascii="黑体" w:hAnsi="黑体" w:eastAsia="黑体"/>
          <w:b w:val="0"/>
        </w:rPr>
      </w:pPr>
      <w:r>
        <w:rPr>
          <w:rFonts w:ascii="仿宋_GB2312" w:eastAsia="仿宋_GB2312"/>
          <w:color w:val="auto"/>
          <w:sz w:val="32"/>
          <w:szCs w:val="32"/>
        </w:rPr>
        <w:t>3</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102" w:name="_Toc15377226"/>
      <w:r>
        <w:rPr>
          <w:rFonts w:ascii="宋体"/>
          <w:b/>
          <w:sz w:val="44"/>
          <w:szCs w:val="44"/>
        </w:rPr>
        <w:br w:type="page"/>
      </w:r>
      <w:bookmarkStart w:id="103" w:name="_Toc15396614"/>
      <w:r>
        <w:rPr>
          <w:rFonts w:hint="eastAsia" w:ascii="黑体" w:hAnsi="黑体" w:eastAsia="黑体"/>
          <w:sz w:val="44"/>
          <w:szCs w:val="44"/>
        </w:rPr>
        <w:t>第</w:t>
      </w:r>
      <w:r>
        <w:rPr>
          <w:rStyle w:val="30"/>
          <w:rFonts w:hint="eastAsia" w:ascii="黑体" w:hAnsi="黑体" w:eastAsia="黑体"/>
          <w:b w:val="0"/>
        </w:rPr>
        <w:t>四部分 附件</w:t>
      </w:r>
      <w:bookmarkEnd w:id="103"/>
    </w:p>
    <w:p>
      <w:pPr>
        <w:spacing w:line="572" w:lineRule="exact"/>
        <w:jc w:val="left"/>
        <w:outlineLvl w:val="2"/>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60" w:lineRule="exact"/>
        <w:contextualSpacing/>
        <w:jc w:val="center"/>
        <w:rPr>
          <w:rFonts w:hint="eastAsia"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年剑阁县义兴镇人民政府</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6"/>
        </w:numPr>
        <w:adjustRightInd w:val="0"/>
        <w:snapToGrid w:val="0"/>
        <w:spacing w:line="560" w:lineRule="exact"/>
        <w:ind w:firstLine="640" w:firstLineChars="200"/>
        <w:contextualSpacing/>
        <w:jc w:val="left"/>
        <w:outlineLvl w:val="2"/>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numPr>
          <w:ilvl w:val="0"/>
          <w:numId w:val="7"/>
        </w:numPr>
        <w:spacing w:line="560" w:lineRule="exact"/>
        <w:ind w:firstLine="642" w:firstLineChars="200"/>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numPr>
          <w:ilvl w:val="0"/>
          <w:numId w:val="0"/>
        </w:numPr>
        <w:spacing w:line="560" w:lineRule="exact"/>
        <w:ind w:firstLine="640" w:firstLineChars="200"/>
        <w:rPr>
          <w:rFonts w:ascii="楷体_GB2312" w:hAnsi="楷体_GB2312" w:eastAsia="楷体_GB2312" w:cs="楷体_GB2312"/>
          <w:b/>
          <w:bCs/>
          <w:kern w:val="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义兴镇内设党政综合办事机构五和镇直属事业机构四中心。</w:t>
      </w:r>
      <w:r>
        <w:rPr>
          <w:rFonts w:hint="eastAsia" w:ascii="楷体" w:hAnsi="楷体" w:eastAsia="楷体" w:cs="楷体"/>
          <w:b/>
          <w:bCs/>
          <w:color w:val="000000"/>
          <w:sz w:val="32"/>
          <w:szCs w:val="32"/>
          <w:shd w:val="clear" w:color="auto" w:fill="FFFFFF"/>
        </w:rPr>
        <w:t>五办指</w:t>
      </w:r>
      <w:r>
        <w:rPr>
          <w:rFonts w:hint="eastAsia" w:ascii="仿宋_GB2312" w:hAnsi="仿宋_GB2312" w:eastAsia="仿宋_GB2312" w:cs="仿宋_GB2312"/>
          <w:color w:val="000000"/>
          <w:sz w:val="32"/>
          <w:szCs w:val="32"/>
          <w:shd w:val="clear" w:color="auto" w:fill="FFFFFF"/>
        </w:rPr>
        <w:t>党政综合与乡村振兴办公室（农业农村办公室）、党建工作办公室、综合行政执法办公室（应急办公室）、社会事务办公室、经济发展办公室（生态环境保护办公室）。</w:t>
      </w:r>
      <w:r>
        <w:rPr>
          <w:rFonts w:hint="eastAsia" w:ascii="楷体" w:hAnsi="楷体" w:eastAsia="楷体" w:cs="楷体"/>
          <w:b/>
          <w:bCs/>
          <w:color w:val="000000"/>
          <w:sz w:val="32"/>
          <w:szCs w:val="32"/>
          <w:shd w:val="clear" w:color="auto" w:fill="FFFFFF"/>
        </w:rPr>
        <w:t>四中心指</w:t>
      </w:r>
      <w:r>
        <w:rPr>
          <w:rFonts w:hint="eastAsia" w:ascii="仿宋_GB2312" w:hAnsi="仿宋_GB2312" w:eastAsia="仿宋_GB2312" w:cs="仿宋_GB2312"/>
          <w:color w:val="000000"/>
          <w:sz w:val="32"/>
          <w:szCs w:val="32"/>
          <w:shd w:val="clear" w:color="auto" w:fill="FFFFFF"/>
        </w:rPr>
        <w:t>便民服务中心（退役军人服务站）、农业综合服务中心（畜牧兽医站、林业工作站、水利服务站）、乡村建设和文化服务中心、农民工服务中心（社会治安综合治理中心、人力资源和社会保障服务所）。</w:t>
      </w:r>
    </w:p>
    <w:p>
      <w:pPr>
        <w:widowControl/>
        <w:numPr>
          <w:ilvl w:val="0"/>
          <w:numId w:val="7"/>
        </w:numPr>
        <w:adjustRightInd w:val="0"/>
        <w:snapToGrid w:val="0"/>
        <w:spacing w:line="560" w:lineRule="exact"/>
        <w:ind w:left="0" w:leftChars="0"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spacing w:line="560" w:lineRule="exact"/>
        <w:ind w:firstLine="642" w:firstLineChars="200"/>
        <w:outlineLvl w:val="1"/>
        <w:rPr>
          <w:rFonts w:ascii="仿宋_GB2312" w:hAnsi="仿宋_GB2312" w:eastAsia="仿宋_GB2312" w:cs="仿宋_GB2312"/>
          <w:b/>
          <w:bCs/>
          <w:color w:val="000000"/>
          <w:sz w:val="32"/>
          <w:szCs w:val="32"/>
          <w:shd w:val="clear" w:color="auto" w:fill="FFFFFF"/>
        </w:rPr>
      </w:pPr>
      <w:bookmarkStart w:id="104" w:name="_Toc11118"/>
      <w:bookmarkStart w:id="105" w:name="_Toc32632"/>
      <w:r>
        <w:rPr>
          <w:rFonts w:hint="eastAsia" w:ascii="仿宋_GB2312" w:hAnsi="仿宋_GB2312" w:eastAsia="仿宋_GB2312" w:cs="仿宋_GB2312"/>
          <w:b/>
          <w:bCs/>
          <w:color w:val="000000"/>
          <w:sz w:val="32"/>
          <w:szCs w:val="32"/>
          <w:shd w:val="clear" w:color="auto" w:fill="FFFFFF"/>
        </w:rPr>
        <w:t>1、党政综合与乡村振兴办公室（农业农村办公室）：</w:t>
      </w:r>
      <w:bookmarkEnd w:id="104"/>
      <w:bookmarkEnd w:id="105"/>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招商引资规划并组织实施；负责项目规划的编制、申报、实施、建设等相关工作；完成党委、政府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2、党建工作办公室：</w:t>
      </w:r>
      <w:r>
        <w:rPr>
          <w:rFonts w:hint="eastAsia" w:ascii="仿宋_GB2312" w:hAnsi="仿宋_GB2312" w:eastAsia="仿宋_GB2312" w:cs="仿宋_GB2312"/>
          <w:color w:val="000000"/>
          <w:sz w:val="32"/>
          <w:szCs w:val="32"/>
          <w:shd w:val="clear" w:color="auto" w:fill="FFFFFF"/>
        </w:rPr>
        <w:t>负责基层党组织建设工作，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3、综合行政执法办公室（应急办公室）：</w:t>
      </w:r>
      <w:r>
        <w:rPr>
          <w:rFonts w:hint="eastAsia" w:ascii="仿宋_GB2312" w:hAnsi="仿宋_GB2312" w:eastAsia="仿宋_GB2312" w:cs="仿宋_GB2312"/>
          <w:color w:val="000000"/>
          <w:sz w:val="32"/>
          <w:szCs w:val="32"/>
          <w:shd w:val="clear" w:color="auto" w:fill="FFFFFF"/>
        </w:rPr>
        <w:t>负责统筹协调、监督管理辖区内综合行政执法相关工作，并对综合行政执法人员行使职权情况</w:t>
      </w:r>
      <w:r>
        <w:rPr>
          <w:rFonts w:hint="eastAsia" w:ascii="仿宋_GB2312" w:hAnsi="仿宋_GB2312" w:eastAsia="仿宋_GB2312" w:cs="仿宋_GB2312"/>
          <w:color w:val="000000"/>
          <w:sz w:val="32"/>
          <w:szCs w:val="32"/>
          <w:shd w:val="clear" w:color="auto" w:fill="FFFFFF"/>
          <w:lang w:eastAsia="zh-CN"/>
        </w:rPr>
        <w:t>进项</w:t>
      </w:r>
      <w:r>
        <w:rPr>
          <w:rFonts w:hint="eastAsia" w:ascii="仿宋_GB2312" w:hAnsi="仿宋_GB2312" w:eastAsia="仿宋_GB2312" w:cs="仿宋_GB2312"/>
          <w:color w:val="000000"/>
          <w:sz w:val="32"/>
          <w:szCs w:val="32"/>
          <w:shd w:val="clear" w:color="auto" w:fill="FFFFFF"/>
        </w:rPr>
        <w:t>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4、社会事务办公室：</w:t>
      </w:r>
      <w:r>
        <w:rPr>
          <w:rFonts w:hint="eastAsia" w:ascii="仿宋_GB2312" w:hAnsi="仿宋_GB2312" w:eastAsia="仿宋_GB2312" w:cs="仿宋_GB2312"/>
          <w:color w:val="000000"/>
          <w:sz w:val="32"/>
          <w:szCs w:val="32"/>
          <w:shd w:val="clear" w:color="auto" w:fill="FFFFFF"/>
        </w:rPr>
        <w:t>负责教育、科学技术、卫生健康、职业健康、老龄、人力资源和社会保障、医疗保障、民政、文化、旅游、体育、广播电视、人民防空、退役军人、残疾人事业等领导的管理、指导和监督；完成党委、政府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5、经济发展办公室（生态环境保护办公室）：</w:t>
      </w:r>
      <w:r>
        <w:rPr>
          <w:rFonts w:hint="eastAsia" w:ascii="仿宋_GB2312" w:hAnsi="仿宋_GB2312" w:eastAsia="仿宋_GB2312" w:cs="仿宋_GB2312"/>
          <w:color w:val="000000"/>
          <w:sz w:val="32"/>
          <w:szCs w:val="32"/>
          <w:shd w:val="clear" w:color="auto" w:fill="FFFFFF"/>
        </w:rPr>
        <w:t>负责辖区经济发展、扶贫开发、生态环境保护等工作；负责工业经济、科技通信、能源管理、民营经济、文旅经济、商务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6、便民服务中心（退役军人服务站）：</w:t>
      </w:r>
      <w:r>
        <w:rPr>
          <w:rFonts w:hint="eastAsia" w:ascii="仿宋_GB2312" w:hAnsi="仿宋_GB2312" w:eastAsia="仿宋_GB2312" w:cs="仿宋_GB2312"/>
          <w:color w:val="000000"/>
          <w:sz w:val="32"/>
          <w:szCs w:val="32"/>
          <w:shd w:val="clear" w:color="auto" w:fill="FFFFFF"/>
        </w:rPr>
        <w:t>负责集中受理涉及经济发展、公共管理以及与群众密切相关的政务服务、公共服务、便民服务事项；负责教育、卫生健康、救灾救济、退役军人、残疾人事业等各类社会事务的服务性工作；负责辖区内居民医疗保险参保、缴费、医疗救助等相关事务性工作；负责便民服务中心各窗口的日常运行管理，指导村（社区）便民服务站工作；完成党委、政府和上级业务主管部门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7、农业综合服务中心（畜牧兽医站、林业工作站、水利服务站）：</w:t>
      </w:r>
      <w:r>
        <w:rPr>
          <w:rFonts w:hint="eastAsia" w:ascii="仿宋_GB2312" w:hAnsi="仿宋_GB2312" w:eastAsia="仿宋_GB2312" w:cs="仿宋_GB2312"/>
          <w:color w:val="000000"/>
          <w:sz w:val="32"/>
          <w:szCs w:val="32"/>
          <w:shd w:val="clear" w:color="auto" w:fill="FFFFFF"/>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w:t>
      </w:r>
      <w:r>
        <w:rPr>
          <w:rFonts w:hint="eastAsia" w:ascii="仿宋_GB2312" w:hAnsi="仿宋_GB2312" w:eastAsia="仿宋_GB2312" w:cs="仿宋_GB2312"/>
          <w:color w:val="000000"/>
          <w:sz w:val="32"/>
          <w:szCs w:val="32"/>
          <w:shd w:val="clear" w:color="auto" w:fill="FFFFFF"/>
          <w:lang w:eastAsia="zh-CN"/>
        </w:rPr>
        <w:t>监测</w:t>
      </w:r>
      <w:r>
        <w:rPr>
          <w:rFonts w:hint="eastAsia" w:ascii="仿宋_GB2312" w:hAnsi="仿宋_GB2312" w:eastAsia="仿宋_GB2312" w:cs="仿宋_GB2312"/>
          <w:color w:val="000000"/>
          <w:sz w:val="32"/>
          <w:szCs w:val="32"/>
          <w:shd w:val="clear" w:color="auto" w:fill="FFFFFF"/>
        </w:rPr>
        <w:t>预警等相关事务性工作；完成党委、政府和上级业务主管部门交办的其他工作。</w:t>
      </w:r>
    </w:p>
    <w:p>
      <w:pPr>
        <w:spacing w:line="560" w:lineRule="exact"/>
        <w:ind w:firstLine="64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8、乡村建设和文化服务中心：</w:t>
      </w:r>
      <w:r>
        <w:rPr>
          <w:rFonts w:hint="eastAsia" w:ascii="仿宋_GB2312" w:hAnsi="仿宋_GB2312" w:eastAsia="仿宋_GB2312" w:cs="仿宋_GB2312"/>
          <w:color w:val="000000"/>
          <w:sz w:val="32"/>
          <w:szCs w:val="32"/>
          <w:shd w:val="clear" w:color="auto" w:fill="FFFFFF"/>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spacing w:line="560" w:lineRule="exact"/>
        <w:ind w:firstLine="642"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9、农民工服务中心（社会治安综合治理中心、人力资源和社会保障服务所）：</w:t>
      </w:r>
      <w:r>
        <w:rPr>
          <w:rFonts w:hint="eastAsia" w:ascii="仿宋_GB2312" w:hAnsi="仿宋_GB2312" w:eastAsia="仿宋_GB2312" w:cs="仿宋_GB2312"/>
          <w:color w:val="000000"/>
          <w:sz w:val="32"/>
          <w:szCs w:val="32"/>
          <w:shd w:val="clear" w:color="auto" w:fill="FFFFFF"/>
        </w:rPr>
        <w:t>负责农民工输出、培训、维权、回引及返乡创业等服务性工作；负责社会治安综合治理、矛盾纠纷调解、信访维稳、安全生产、应急管理等事务性工作；负责就业、社会保障等服务性工作；完成党委、政府和上级业务主管部门交办的其他工作。</w:t>
      </w:r>
    </w:p>
    <w:p>
      <w:pPr>
        <w:spacing w:line="560" w:lineRule="exact"/>
        <w:ind w:firstLine="640" w:firstLineChars="200"/>
        <w:rPr>
          <w:highlight w:val="none"/>
          <w:lang w:val="zh-CN"/>
        </w:rPr>
      </w:pPr>
      <w:r>
        <w:rPr>
          <w:rFonts w:hint="eastAsia" w:ascii="仿宋_GB2312" w:hAnsi="仿宋_GB2312" w:eastAsia="仿宋_GB2312" w:cs="仿宋_GB2312"/>
          <w:color w:val="000000"/>
          <w:kern w:val="0"/>
          <w:sz w:val="32"/>
          <w:szCs w:val="32"/>
          <w:highlight w:val="none"/>
        </w:rPr>
        <w:t>剑阁县义兴镇人民政府总编制38名，其中行政编制17名，参公编制0名，事业编制20名，工勤编制1名。202</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kern w:val="0"/>
          <w:sz w:val="32"/>
          <w:szCs w:val="32"/>
          <w:highlight w:val="none"/>
        </w:rPr>
        <w:t>年初预算在职人员总数4</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人，其中行政人员</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行政工勤</w:t>
      </w:r>
      <w:r>
        <w:rPr>
          <w:rFonts w:hint="eastAsia" w:ascii="仿宋_GB2312" w:hAnsi="仿宋_GB2312" w:eastAsia="仿宋_GB2312" w:cs="仿宋_GB2312"/>
          <w:kern w:val="0"/>
          <w:sz w:val="32"/>
          <w:szCs w:val="32"/>
          <w:highlight w:val="none"/>
        </w:rPr>
        <w:t>人员</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人，事业人员2</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事业</w:t>
      </w:r>
      <w:r>
        <w:rPr>
          <w:rFonts w:hint="eastAsia" w:ascii="仿宋_GB2312" w:hAnsi="仿宋_GB2312" w:eastAsia="仿宋_GB2312" w:cs="仿宋_GB2312"/>
          <w:kern w:val="0"/>
          <w:sz w:val="32"/>
          <w:szCs w:val="32"/>
          <w:highlight w:val="none"/>
        </w:rPr>
        <w:t>工勤人员</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人。202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年末，全镇实有在职人员</w:t>
      </w:r>
      <w:r>
        <w:rPr>
          <w:rFonts w:hint="eastAsia" w:ascii="仿宋_GB2312" w:hAnsi="仿宋_GB2312" w:eastAsia="仿宋_GB2312" w:cs="仿宋_GB2312"/>
          <w:kern w:val="0"/>
          <w:sz w:val="32"/>
          <w:szCs w:val="32"/>
          <w:highlight w:val="none"/>
          <w:lang w:val="en-US" w:eastAsia="zh-CN"/>
        </w:rPr>
        <w:t>37</w:t>
      </w:r>
      <w:r>
        <w:rPr>
          <w:rFonts w:hint="eastAsia" w:ascii="仿宋_GB2312" w:hAnsi="仿宋_GB2312" w:eastAsia="仿宋_GB2312" w:cs="仿宋_GB2312"/>
          <w:kern w:val="0"/>
          <w:sz w:val="32"/>
          <w:szCs w:val="32"/>
          <w:highlight w:val="none"/>
        </w:rPr>
        <w:t>人，其中行政人员</w:t>
      </w:r>
      <w:r>
        <w:rPr>
          <w:rFonts w:hint="eastAsia" w:ascii="仿宋_GB2312" w:hAnsi="仿宋_GB2312" w:eastAsia="仿宋_GB2312" w:cs="仿宋_GB2312"/>
          <w:kern w:val="0"/>
          <w:sz w:val="32"/>
          <w:szCs w:val="32"/>
          <w:highlight w:val="none"/>
          <w:lang w:val="en-US" w:eastAsia="zh-CN"/>
        </w:rPr>
        <w:t>15</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行政工勤</w:t>
      </w:r>
      <w:r>
        <w:rPr>
          <w:rFonts w:hint="eastAsia" w:ascii="仿宋_GB2312" w:hAnsi="仿宋_GB2312" w:eastAsia="仿宋_GB2312" w:cs="仿宋_GB2312"/>
          <w:kern w:val="0"/>
          <w:sz w:val="32"/>
          <w:szCs w:val="32"/>
          <w:highlight w:val="none"/>
        </w:rPr>
        <w:t>人员</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事业人员</w:t>
      </w:r>
      <w:r>
        <w:rPr>
          <w:rFonts w:hint="eastAsia" w:ascii="仿宋_GB2312" w:hAnsi="仿宋_GB2312" w:eastAsia="仿宋_GB2312" w:cs="仿宋_GB2312"/>
          <w:kern w:val="0"/>
          <w:sz w:val="32"/>
          <w:szCs w:val="32"/>
          <w:highlight w:val="none"/>
          <w:lang w:val="en-US" w:eastAsia="zh-CN"/>
        </w:rPr>
        <w:t>17</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事业</w:t>
      </w:r>
      <w:r>
        <w:rPr>
          <w:rFonts w:hint="eastAsia" w:ascii="仿宋_GB2312" w:hAnsi="仿宋_GB2312" w:eastAsia="仿宋_GB2312" w:cs="仿宋_GB2312"/>
          <w:kern w:val="0"/>
          <w:sz w:val="32"/>
          <w:szCs w:val="32"/>
          <w:highlight w:val="none"/>
        </w:rPr>
        <w:t>工勤人员</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三支一扶人员1人</w:t>
      </w:r>
      <w:r>
        <w:rPr>
          <w:rFonts w:hint="eastAsia" w:ascii="仿宋_GB2312" w:hAnsi="仿宋_GB2312" w:eastAsia="仿宋_GB2312" w:cs="仿宋_GB2312"/>
          <w:kern w:val="0"/>
          <w:sz w:val="32"/>
          <w:szCs w:val="32"/>
          <w:highlight w:val="none"/>
        </w:rPr>
        <w:t>。</w:t>
      </w:r>
    </w:p>
    <w:p>
      <w:pPr>
        <w:widowControl/>
        <w:adjustRightInd w:val="0"/>
        <w:snapToGrid w:val="0"/>
        <w:spacing w:line="560" w:lineRule="exact"/>
        <w:ind w:firstLine="640" w:firstLineChars="200"/>
        <w:contextualSpacing/>
        <w:jc w:val="left"/>
        <w:outlineLvl w:val="2"/>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outlineLvl w:val="1"/>
        <w:rPr>
          <w:rFonts w:hint="eastAsia" w:ascii="仿宋_GB2312" w:hAnsi="仿宋_GB2312" w:eastAsia="仿宋_GB2312" w:cs="仿宋_GB2312"/>
          <w:kern w:val="0"/>
          <w:sz w:val="32"/>
          <w:szCs w:val="32"/>
          <w:shd w:val="clear" w:color="auto" w:fill="FFFFFF"/>
        </w:rPr>
      </w:pPr>
      <w:bookmarkStart w:id="106" w:name="_Toc5480"/>
      <w:bookmarkStart w:id="107" w:name="_Toc10439"/>
      <w:r>
        <w:rPr>
          <w:rFonts w:hint="eastAsia" w:ascii="仿宋_GB2312" w:hAnsi="仿宋_GB2312" w:eastAsia="仿宋_GB2312" w:cs="仿宋_GB2312"/>
          <w:kern w:val="0"/>
          <w:sz w:val="32"/>
          <w:szCs w:val="32"/>
          <w:shd w:val="clear" w:color="auto" w:fill="FFFFFF"/>
        </w:rPr>
        <w:t>1.部门总体收入情况</w:t>
      </w:r>
      <w:bookmarkEnd w:id="106"/>
      <w:bookmarkEnd w:id="107"/>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年义兴镇人民政府收入总额为</w:t>
      </w:r>
      <w:r>
        <w:rPr>
          <w:rFonts w:hint="eastAsia" w:ascii="仿宋_GB2312" w:hAnsi="仿宋_GB2312" w:eastAsia="仿宋_GB2312" w:cs="仿宋_GB2312"/>
          <w:kern w:val="0"/>
          <w:sz w:val="32"/>
          <w:szCs w:val="32"/>
          <w:shd w:val="clear" w:color="auto" w:fill="FFFFFF"/>
          <w:lang w:val="en-US" w:eastAsia="zh-CN"/>
        </w:rPr>
        <w:t>807.45</w:t>
      </w:r>
      <w:r>
        <w:rPr>
          <w:rFonts w:hint="eastAsia" w:ascii="仿宋_GB2312" w:hAnsi="仿宋_GB2312" w:eastAsia="仿宋_GB2312" w:cs="仿宋_GB2312"/>
          <w:kern w:val="0"/>
          <w:sz w:val="32"/>
          <w:szCs w:val="32"/>
          <w:shd w:val="clear" w:color="auto" w:fill="FFFFFF"/>
        </w:rPr>
        <w:t>万元，其中：一般公共预算拨款收入</w:t>
      </w:r>
      <w:r>
        <w:rPr>
          <w:rFonts w:hint="eastAsia" w:ascii="仿宋_GB2312" w:hAnsi="仿宋_GB2312" w:eastAsia="仿宋_GB2312" w:cs="仿宋_GB2312"/>
          <w:kern w:val="0"/>
          <w:sz w:val="32"/>
          <w:szCs w:val="32"/>
          <w:shd w:val="clear" w:color="auto" w:fill="FFFFFF"/>
          <w:lang w:val="en-US" w:eastAsia="zh-CN"/>
        </w:rPr>
        <w:t>807.45</w:t>
      </w:r>
      <w:r>
        <w:rPr>
          <w:rFonts w:hint="eastAsia" w:ascii="仿宋_GB2312" w:hAnsi="仿宋_GB2312" w:eastAsia="仿宋_GB2312" w:cs="仿宋_GB2312"/>
          <w:kern w:val="0"/>
          <w:sz w:val="32"/>
          <w:szCs w:val="32"/>
          <w:shd w:val="clear" w:color="auto" w:fill="FFFFFF"/>
        </w:rPr>
        <w:t>万元，政府性基金预算财政拨款收入0万元。</w:t>
      </w:r>
    </w:p>
    <w:p>
      <w:pPr>
        <w:widowControl/>
        <w:numPr>
          <w:ilvl w:val="0"/>
          <w:numId w:val="0"/>
        </w:numPr>
        <w:adjustRightInd w:val="0"/>
        <w:snapToGrid w:val="0"/>
        <w:spacing w:line="560" w:lineRule="exact"/>
        <w:ind w:leftChars="200" w:firstLine="320" w:firstLineChars="100"/>
        <w:contextualSpacing/>
        <w:jc w:val="left"/>
        <w:outlineLvl w:val="1"/>
        <w:rPr>
          <w:rFonts w:hint="eastAsia" w:ascii="仿宋_GB2312" w:hAnsi="仿宋_GB2312" w:eastAsia="仿宋_GB2312" w:cs="仿宋_GB2312"/>
          <w:kern w:val="0"/>
          <w:sz w:val="32"/>
          <w:szCs w:val="32"/>
          <w:shd w:val="clear" w:color="auto" w:fill="FFFFFF"/>
        </w:rPr>
      </w:pPr>
      <w:bookmarkStart w:id="108" w:name="_Toc1972"/>
      <w:bookmarkStart w:id="109" w:name="_Toc5253"/>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部门总体支出情况</w:t>
      </w:r>
      <w:bookmarkEnd w:id="108"/>
      <w:bookmarkEnd w:id="109"/>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2022年一般公共预算财政拨款支出807.45万元，主要用于以下方面</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一般公共服务支出294.36万元，占36.46%；国防支出0.5万元，占0.06%；文化旅游体育与传媒支出57.06万元，占7.07%；社会保障和就业支出93.35万元，占11.56%；卫生健康支出23.33万元，占2.89%；城乡社区（类）支出9.77万元，占1.21%；农林水（类）支出294.08万元，占36.42%；住房保障支出35万元，占4.33%。</w:t>
      </w:r>
    </w:p>
    <w:p>
      <w:pPr>
        <w:snapToGrid w:val="0"/>
        <w:spacing w:line="520" w:lineRule="exact"/>
        <w:ind w:firstLine="640" w:firstLineChars="200"/>
        <w:rPr>
          <w:rFonts w:hint="eastAsia"/>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年“三公”经费支出情况：</w:t>
      </w:r>
      <w:r>
        <w:rPr>
          <w:rFonts w:hint="eastAsia" w:ascii="仿宋_GB2312" w:eastAsia="仿宋_GB2312"/>
          <w:color w:val="333333"/>
          <w:sz w:val="32"/>
          <w:szCs w:val="32"/>
        </w:rPr>
        <w:t>因公出国（境）费支出决算0万元，</w:t>
      </w:r>
      <w:r>
        <w:rPr>
          <w:rFonts w:hint="eastAsia" w:ascii="仿宋_GB2312" w:eastAsia="仿宋_GB2312"/>
          <w:color w:val="000000"/>
          <w:sz w:val="32"/>
          <w:szCs w:val="32"/>
        </w:rPr>
        <w:t>占0%</w:t>
      </w:r>
      <w:r>
        <w:rPr>
          <w:rFonts w:hint="eastAsia" w:ascii="仿宋_GB2312" w:eastAsia="仿宋_GB2312"/>
          <w:color w:val="333333"/>
          <w:sz w:val="32"/>
          <w:szCs w:val="32"/>
        </w:rPr>
        <w:t>；公务用车购置及运行维护费支出决算0万元，</w:t>
      </w:r>
      <w:r>
        <w:rPr>
          <w:rFonts w:hint="eastAsia" w:ascii="仿宋_GB2312" w:eastAsia="仿宋_GB2312"/>
          <w:color w:val="000000"/>
          <w:sz w:val="32"/>
          <w:szCs w:val="32"/>
        </w:rPr>
        <w:t>占0%</w:t>
      </w:r>
      <w:r>
        <w:rPr>
          <w:rFonts w:hint="eastAsia" w:ascii="仿宋_GB2312" w:eastAsia="仿宋_GB2312"/>
          <w:color w:val="333333"/>
          <w:sz w:val="32"/>
          <w:szCs w:val="32"/>
        </w:rPr>
        <w:t>；公务接待费支出决算3万元，</w:t>
      </w:r>
      <w:r>
        <w:rPr>
          <w:rFonts w:hint="eastAsia" w:ascii="仿宋_GB2312" w:eastAsia="仿宋_GB2312"/>
          <w:color w:val="000000"/>
          <w:sz w:val="32"/>
          <w:szCs w:val="32"/>
        </w:rPr>
        <w:t>占100%。</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年“三公”经费财政拨款支出决算数为</w:t>
      </w:r>
      <w:r>
        <w:rPr>
          <w:rFonts w:hint="eastAsia" w:ascii="仿宋_GB2312" w:eastAsia="仿宋_GB2312"/>
          <w:color w:val="333333"/>
          <w:sz w:val="32"/>
          <w:szCs w:val="32"/>
        </w:rPr>
        <w:t>3.21</w:t>
      </w:r>
      <w:r>
        <w:rPr>
          <w:rFonts w:hint="eastAsia" w:ascii="仿宋_GB2312" w:hAnsi="仿宋" w:eastAsia="仿宋_GB2312"/>
          <w:sz w:val="32"/>
          <w:szCs w:val="32"/>
        </w:rPr>
        <w:t>万元。</w:t>
      </w:r>
      <w:r>
        <w:rPr>
          <w:rFonts w:hint="eastAsia" w:ascii="仿宋_GB2312" w:hAnsi="仿宋" w:eastAsia="仿宋_GB2312"/>
          <w:color w:val="000000"/>
          <w:sz w:val="32"/>
          <w:szCs w:val="32"/>
        </w:rPr>
        <w:t xml:space="preserve"> 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年“三公”经费财政拨款支出决算数为3万元，完成预算100%，</w:t>
      </w:r>
      <w:r>
        <w:rPr>
          <w:rFonts w:hint="eastAsia" w:ascii="仿宋_GB2312" w:hAnsi="仿宋" w:eastAsia="仿宋_GB2312"/>
          <w:color w:val="000000"/>
          <w:sz w:val="32"/>
          <w:szCs w:val="32"/>
          <w:lang w:val="en-US" w:eastAsia="zh-CN"/>
        </w:rPr>
        <w:t>较</w:t>
      </w:r>
      <w:r>
        <w:rPr>
          <w:rFonts w:hint="eastAsia" w:ascii="仿宋_GB2312" w:hAnsi="仿宋" w:eastAsia="仿宋_GB2312"/>
          <w:color w:val="000000"/>
          <w:sz w:val="32"/>
          <w:szCs w:val="32"/>
        </w:rPr>
        <w:t>去年</w:t>
      </w:r>
      <w:r>
        <w:rPr>
          <w:rFonts w:hint="eastAsia" w:ascii="仿宋_GB2312" w:hAnsi="仿宋" w:eastAsia="仿宋_GB2312"/>
          <w:color w:val="000000"/>
          <w:sz w:val="32"/>
          <w:szCs w:val="32"/>
          <w:lang w:val="en-US" w:eastAsia="zh-CN"/>
        </w:rPr>
        <w:t>减少0.21万元</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下降7%。</w:t>
      </w:r>
      <w:r>
        <w:rPr>
          <w:rFonts w:hint="eastAsia" w:ascii="仿宋_GB2312" w:hAnsi="仿宋" w:eastAsia="仿宋_GB2312"/>
          <w:color w:val="000000"/>
          <w:sz w:val="32"/>
          <w:szCs w:val="32"/>
        </w:rPr>
        <w:t>主要用于执行公务、开展业务活动开支的交</w:t>
      </w:r>
      <w:r>
        <w:rPr>
          <w:rFonts w:hint="eastAsia" w:ascii="仿宋_GB2312" w:hAnsi="仿宋" w:eastAsia="仿宋_GB2312"/>
          <w:sz w:val="32"/>
          <w:szCs w:val="32"/>
        </w:rPr>
        <w:t>通费、住宿费、用餐费等，国内公务接待</w:t>
      </w:r>
      <w:r>
        <w:rPr>
          <w:rFonts w:hint="eastAsia" w:ascii="仿宋_GB2312" w:hAnsi="仿宋" w:eastAsia="仿宋_GB2312"/>
          <w:sz w:val="32"/>
          <w:szCs w:val="32"/>
          <w:lang w:val="en-US" w:eastAsia="zh-CN"/>
        </w:rPr>
        <w:t>66</w:t>
      </w:r>
      <w:r>
        <w:rPr>
          <w:rFonts w:hint="eastAsia" w:ascii="仿宋_GB2312" w:hAnsi="仿宋" w:eastAsia="仿宋_GB2312"/>
          <w:sz w:val="32"/>
          <w:szCs w:val="32"/>
        </w:rPr>
        <w:t>批次，</w:t>
      </w:r>
      <w:r>
        <w:rPr>
          <w:rFonts w:hint="eastAsia" w:ascii="仿宋_GB2312" w:hAnsi="仿宋" w:eastAsia="仿宋_GB2312"/>
          <w:sz w:val="32"/>
          <w:szCs w:val="32"/>
          <w:lang w:val="en-US" w:eastAsia="zh-CN"/>
        </w:rPr>
        <w:t>594</w:t>
      </w:r>
      <w:r>
        <w:rPr>
          <w:rFonts w:hint="eastAsia" w:ascii="仿宋_GB2312" w:hAnsi="仿宋" w:eastAsia="仿宋_GB2312"/>
          <w:sz w:val="32"/>
          <w:szCs w:val="32"/>
        </w:rPr>
        <w:t>人次（不包括陪同人员），具体内容包括：上级检查、督查等工作。主要变动原因是迎检次数</w:t>
      </w:r>
      <w:r>
        <w:rPr>
          <w:rFonts w:hint="eastAsia" w:ascii="仿宋_GB2312" w:hAnsi="仿宋" w:eastAsia="仿宋_GB2312"/>
          <w:sz w:val="32"/>
          <w:szCs w:val="32"/>
          <w:lang w:val="en-US" w:eastAsia="zh-CN"/>
        </w:rPr>
        <w:t>减少</w:t>
      </w:r>
      <w:r>
        <w:rPr>
          <w:rFonts w:hint="eastAsia" w:ascii="仿宋_GB2312" w:hAnsi="仿宋" w:eastAsia="仿宋_GB2312"/>
          <w:sz w:val="32"/>
          <w:szCs w:val="32"/>
        </w:rPr>
        <w:t>，检查较</w:t>
      </w:r>
      <w:r>
        <w:rPr>
          <w:rFonts w:hint="eastAsia" w:ascii="仿宋_GB2312" w:hAnsi="仿宋" w:eastAsia="仿宋_GB2312"/>
          <w:sz w:val="32"/>
          <w:szCs w:val="32"/>
          <w:lang w:val="en-US" w:eastAsia="zh-CN"/>
        </w:rPr>
        <w:t>少</w:t>
      </w:r>
      <w:r>
        <w:rPr>
          <w:rFonts w:hint="eastAsia" w:ascii="仿宋_GB2312" w:hAnsi="仿宋" w:eastAsia="仿宋_GB2312"/>
          <w:sz w:val="32"/>
          <w:szCs w:val="32"/>
        </w:rPr>
        <w:t>。</w:t>
      </w:r>
    </w:p>
    <w:p>
      <w:pPr>
        <w:widowControl/>
        <w:adjustRightInd w:val="0"/>
        <w:snapToGrid w:val="0"/>
        <w:spacing w:line="560" w:lineRule="exact"/>
        <w:ind w:firstLine="640" w:firstLineChars="200"/>
        <w:contextualSpacing/>
        <w:jc w:val="left"/>
        <w:outlineLvl w:val="2"/>
        <w:rPr>
          <w:rFonts w:ascii="黑体" w:hAnsi="宋体" w:eastAsia="黑体" w:cs="宋体"/>
          <w:kern w:val="0"/>
          <w:sz w:val="32"/>
          <w:szCs w:val="32"/>
          <w:highlight w:val="none"/>
          <w:shd w:val="clear" w:color="auto" w:fill="FFFFFF"/>
        </w:rPr>
      </w:pPr>
      <w:r>
        <w:rPr>
          <w:rFonts w:hint="eastAsia" w:ascii="黑体" w:hAnsi="宋体" w:eastAsia="黑体" w:cs="宋体"/>
          <w:kern w:val="0"/>
          <w:sz w:val="32"/>
          <w:szCs w:val="32"/>
          <w:highlight w:val="none"/>
          <w:shd w:val="clear" w:color="auto" w:fill="FFFFFF"/>
        </w:rPr>
        <w:t>三、部门整体绩效分析</w:t>
      </w:r>
    </w:p>
    <w:p>
      <w:pPr>
        <w:widowControl/>
        <w:adjustRightInd w:val="0"/>
        <w:snapToGrid w:val="0"/>
        <w:spacing w:line="560" w:lineRule="exact"/>
        <w:ind w:firstLine="642" w:firstLineChars="200"/>
        <w:contextualSpacing/>
        <w:jc w:val="left"/>
        <w:rPr>
          <w:rFonts w:ascii="仿宋_GB2312" w:hAnsi="仿宋_GB2312" w:eastAsia="仿宋_GB2312" w:cs="仿宋_GB2312"/>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（一）部门预算项目绩效分析。</w:t>
      </w:r>
    </w:p>
    <w:p>
      <w:pPr>
        <w:widowControl/>
        <w:adjustRightInd w:val="0"/>
        <w:snapToGrid w:val="0"/>
        <w:spacing w:line="560" w:lineRule="exact"/>
        <w:ind w:firstLine="640" w:firstLineChars="200"/>
        <w:contextualSpacing/>
        <w:jc w:val="left"/>
        <w:outlineLvl w:val="1"/>
        <w:rPr>
          <w:rFonts w:ascii="仿宋_GB2312" w:hAnsi="仿宋_GB2312" w:eastAsia="仿宋_GB2312" w:cs="仿宋_GB2312"/>
          <w:kern w:val="0"/>
          <w:sz w:val="32"/>
          <w:szCs w:val="32"/>
          <w:highlight w:val="none"/>
          <w:shd w:val="clear" w:color="auto" w:fill="FFFFFF"/>
        </w:rPr>
      </w:pPr>
      <w:bookmarkStart w:id="110" w:name="_Toc32629"/>
      <w:bookmarkStart w:id="111" w:name="_Toc31252"/>
      <w:r>
        <w:rPr>
          <w:rFonts w:hint="eastAsia" w:ascii="仿宋_GB2312" w:hAnsi="仿宋_GB2312" w:eastAsia="仿宋_GB2312" w:cs="仿宋_GB2312"/>
          <w:kern w:val="0"/>
          <w:sz w:val="32"/>
          <w:szCs w:val="32"/>
          <w:highlight w:val="none"/>
          <w:shd w:val="clear" w:color="auto" w:fill="FFFFFF"/>
        </w:rPr>
        <w:t>1.人员类项目绩效分析</w:t>
      </w:r>
      <w:bookmarkEnd w:id="110"/>
      <w:bookmarkEnd w:id="111"/>
    </w:p>
    <w:p>
      <w:pPr>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val="zh-CN" w:eastAsia="zh-CN"/>
        </w:rPr>
        <w:t>人员类项目保障职工工资待遇及五险一金正常发放，促进机关职能运转。我单位</w:t>
      </w:r>
      <w:r>
        <w:rPr>
          <w:rFonts w:hint="eastAsia" w:ascii="仿宋_GB2312" w:hAnsi="仿宋" w:eastAsia="仿宋_GB2312"/>
          <w:color w:val="000000"/>
          <w:sz w:val="32"/>
          <w:szCs w:val="32"/>
          <w:lang w:val="en-US" w:eastAsia="zh-CN"/>
        </w:rPr>
        <w:t>2022年人员类项目预算538.31万元，实际支付538.31万元，资金执行100%，执行情况较好。</w:t>
      </w:r>
    </w:p>
    <w:p>
      <w:pPr>
        <w:widowControl/>
        <w:adjustRightInd w:val="0"/>
        <w:snapToGrid w:val="0"/>
        <w:spacing w:line="560" w:lineRule="exact"/>
        <w:ind w:firstLine="640" w:firstLineChars="200"/>
        <w:contextualSpacing/>
        <w:jc w:val="left"/>
        <w:outlineLvl w:val="1"/>
        <w:rPr>
          <w:rFonts w:ascii="仿宋_GB2312" w:hAnsi="仿宋_GB2312" w:eastAsia="仿宋_GB2312" w:cs="仿宋_GB2312"/>
          <w:kern w:val="0"/>
          <w:sz w:val="32"/>
          <w:szCs w:val="32"/>
          <w:highlight w:val="none"/>
          <w:shd w:val="clear" w:color="auto" w:fill="FFFFFF"/>
        </w:rPr>
      </w:pPr>
      <w:bookmarkStart w:id="112" w:name="_Toc20038"/>
      <w:bookmarkStart w:id="113" w:name="_Toc28577"/>
      <w:r>
        <w:rPr>
          <w:rFonts w:hint="eastAsia" w:ascii="仿宋_GB2312" w:hAnsi="仿宋_GB2312" w:eastAsia="仿宋_GB2312" w:cs="仿宋_GB2312"/>
          <w:kern w:val="0"/>
          <w:sz w:val="32"/>
          <w:szCs w:val="32"/>
          <w:highlight w:val="none"/>
          <w:shd w:val="clear" w:color="auto" w:fill="FFFFFF"/>
        </w:rPr>
        <w:t>2.运转类项目绩效分析</w:t>
      </w:r>
      <w:bookmarkEnd w:id="112"/>
      <w:bookmarkEnd w:id="11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en-US" w:eastAsia="zh-CN"/>
        </w:rPr>
      </w:pPr>
      <w:r>
        <w:rPr>
          <w:rFonts w:hint="eastAsia" w:ascii="仿宋_GB2312" w:hAnsi="仿宋" w:eastAsia="仿宋_GB2312"/>
          <w:color w:val="000000"/>
          <w:sz w:val="32"/>
          <w:szCs w:val="32"/>
          <w:lang w:val="zh-CN" w:eastAsia="zh-CN"/>
        </w:rPr>
        <w:t>运转类项目保障机关运转，日常水电气、办公费、差旅费等开销。我单位</w:t>
      </w:r>
      <w:r>
        <w:rPr>
          <w:rFonts w:hint="eastAsia" w:ascii="仿宋_GB2312" w:hAnsi="仿宋" w:eastAsia="仿宋_GB2312"/>
          <w:color w:val="000000"/>
          <w:sz w:val="32"/>
          <w:szCs w:val="32"/>
          <w:lang w:val="en-US" w:eastAsia="zh-CN"/>
        </w:rPr>
        <w:t>2022年运转类项目预算73.11万元，实际支付73.11万元，资金执行率100%，机关日常事务运转得到充分保障，预算执行情况较好。</w:t>
      </w:r>
    </w:p>
    <w:p>
      <w:pPr>
        <w:widowControl/>
        <w:adjustRightInd w:val="0"/>
        <w:snapToGrid w:val="0"/>
        <w:spacing w:line="560" w:lineRule="exact"/>
        <w:ind w:firstLine="640" w:firstLineChars="200"/>
        <w:contextualSpacing/>
        <w:jc w:val="left"/>
        <w:outlineLvl w:val="1"/>
        <w:rPr>
          <w:rFonts w:ascii="仿宋_GB2312" w:hAnsi="仿宋_GB2312" w:eastAsia="仿宋_GB2312" w:cs="仿宋_GB2312"/>
          <w:kern w:val="0"/>
          <w:sz w:val="32"/>
          <w:szCs w:val="32"/>
          <w:highlight w:val="none"/>
          <w:shd w:val="clear" w:color="auto" w:fill="FFFFFF"/>
        </w:rPr>
      </w:pPr>
      <w:bookmarkStart w:id="114" w:name="_Toc28537"/>
      <w:bookmarkStart w:id="115" w:name="_Toc9349"/>
      <w:r>
        <w:rPr>
          <w:rFonts w:hint="eastAsia" w:ascii="仿宋_GB2312" w:hAnsi="仿宋_GB2312" w:eastAsia="仿宋_GB2312" w:cs="仿宋_GB2312"/>
          <w:kern w:val="0"/>
          <w:sz w:val="32"/>
          <w:szCs w:val="32"/>
          <w:highlight w:val="none"/>
          <w:shd w:val="clear" w:color="auto" w:fill="FFFFFF"/>
        </w:rPr>
        <w:t>3.特定目标类项目绩效分析</w:t>
      </w:r>
      <w:bookmarkEnd w:id="114"/>
      <w:bookmarkEnd w:id="11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zh-CN" w:eastAsia="zh-CN"/>
        </w:rPr>
      </w:pPr>
      <w:r>
        <w:rPr>
          <w:rFonts w:hint="eastAsia" w:ascii="仿宋_GB2312" w:hAnsi="仿宋" w:eastAsia="仿宋_GB2312"/>
          <w:color w:val="000000"/>
          <w:sz w:val="32"/>
          <w:szCs w:val="32"/>
          <w:lang w:val="en-US" w:eastAsia="zh-CN"/>
        </w:rPr>
        <w:t>特定目标类</w:t>
      </w:r>
      <w:r>
        <w:rPr>
          <w:rFonts w:hint="eastAsia" w:ascii="仿宋_GB2312" w:hAnsi="仿宋" w:eastAsia="仿宋_GB2312"/>
          <w:color w:val="000000"/>
          <w:sz w:val="32"/>
          <w:szCs w:val="32"/>
          <w:lang w:val="zh-CN" w:eastAsia="zh-CN"/>
        </w:rPr>
        <w:t>项目用于保障村级支出，及其他项目支出。我单位</w:t>
      </w:r>
      <w:r>
        <w:rPr>
          <w:rFonts w:hint="eastAsia" w:ascii="仿宋_GB2312" w:hAnsi="仿宋" w:eastAsia="仿宋_GB2312"/>
          <w:color w:val="000000"/>
          <w:sz w:val="32"/>
          <w:szCs w:val="32"/>
          <w:lang w:val="en-US" w:eastAsia="zh-CN"/>
        </w:rPr>
        <w:t>2022年特定目标类项目预算196.03万元，实际支付196.03万元，资金执行率96.76%，执行情况较好，未使用部分资金系国库未及时审核支付村组干部报酬、村运行费、维护费等，将结转至下年使用。存在问题：资金到位不及时，导致部分项目推进缓慢，无法最大限度实现预期目标。</w:t>
      </w:r>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spacing w:line="54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我镇及时组织财务人员进行预决算的编制，对本年度相应用款进行及时清理和处理，做到账账相符、账实相符、账证相符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先有预算再有支出的原则，及时处理相关事务；对绩效目标进行季度梳理和年度分析，及时上报相关报表；对专项预算提前细化，分科目上报，做到收支平衡。预算动态调整及时、执行及时，预算完成情况良好，无违规记录。</w:t>
      </w:r>
    </w:p>
    <w:p>
      <w:pPr>
        <w:spacing w:line="600" w:lineRule="exact"/>
        <w:ind w:firstLine="640" w:firstLineChars="200"/>
        <w:outlineLvl w:val="1"/>
        <w:rPr>
          <w:rFonts w:hint="eastAsia" w:ascii="仿宋_GB2312" w:hAnsi="仿宋_GB2312" w:eastAsia="仿宋_GB2312" w:cs="仿宋_GB2312"/>
          <w:color w:val="000000"/>
          <w:sz w:val="32"/>
          <w:szCs w:val="32"/>
        </w:rPr>
      </w:pPr>
      <w:bookmarkStart w:id="116" w:name="_Toc27360"/>
      <w:bookmarkStart w:id="117" w:name="_Toc5349"/>
      <w:r>
        <w:rPr>
          <w:rFonts w:hint="eastAsia" w:ascii="仿宋_GB2312" w:hAnsi="仿宋_GB2312" w:eastAsia="仿宋_GB2312" w:cs="仿宋_GB2312"/>
          <w:color w:val="000000"/>
          <w:kern w:val="0"/>
          <w:sz w:val="32"/>
          <w:szCs w:val="32"/>
        </w:rPr>
        <w:t>预期编制：我镇对202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年部门支出进行预算：</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sz w:val="32"/>
          <w:szCs w:val="32"/>
          <w:lang w:val="en-US" w:eastAsia="zh-CN"/>
        </w:rPr>
        <w:t>807.45</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807.45</w:t>
      </w:r>
      <w:r>
        <w:rPr>
          <w:rFonts w:hint="eastAsia" w:ascii="仿宋_GB2312" w:hAnsi="仿宋_GB2312" w:eastAsia="仿宋_GB2312" w:cs="仿宋_GB2312"/>
          <w:color w:val="000000"/>
          <w:sz w:val="32"/>
          <w:szCs w:val="32"/>
        </w:rPr>
        <w:t>万元，占100%；政府性基金预算财政拨款收入0万元，占0%；上级补助收入0万元；事业收入0万元；经营收入0万元；附属单位上缴收入0万元；其他收入0万元。</w:t>
      </w:r>
      <w:bookmarkEnd w:id="116"/>
      <w:bookmarkEnd w:id="117"/>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pStyle w:val="14"/>
        <w:shd w:val="clear" w:color="auto" w:fill="FFFFFF"/>
        <w:spacing w:before="0" w:beforeAutospacing="0" w:after="0" w:afterAutospacing="0" w:line="600" w:lineRule="exact"/>
        <w:ind w:firstLine="640" w:firstLineChars="200"/>
        <w:jc w:val="both"/>
        <w:rPr>
          <w:rFonts w:ascii="仿宋" w:hAnsi="仿宋" w:eastAsia="仿宋" w:cs="仿宋"/>
          <w:color w:val="333333"/>
          <w:sz w:val="32"/>
          <w:szCs w:val="32"/>
          <w:shd w:val="clear" w:color="auto" w:fill="FFFFFF"/>
        </w:rPr>
      </w:pPr>
      <w:r>
        <w:rPr>
          <w:rFonts w:hint="eastAsia" w:ascii="仿宋_GB2312" w:hAnsi="仿宋_GB2312" w:eastAsia="仿宋_GB2312" w:cs="仿宋_GB2312"/>
          <w:sz w:val="32"/>
          <w:szCs w:val="32"/>
        </w:rPr>
        <w:t>通过对本部门202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年部门整体支出绩效自评，能够严格执行预算管理，达到了预期目的，通过对部门整体支出绩效的自评，有利于更好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加强对202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年部门整体支出的管理，合理分配各项支出，保障了重点工作的开展。</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2"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95</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widowControl/>
        <w:numPr>
          <w:ilvl w:val="0"/>
          <w:numId w:val="8"/>
        </w:numPr>
        <w:adjustRightInd w:val="0"/>
        <w:snapToGrid w:val="0"/>
        <w:spacing w:line="560" w:lineRule="exact"/>
        <w:ind w:firstLine="642"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pStyle w:val="14"/>
        <w:shd w:val="clear" w:color="auto" w:fill="FFFFFF"/>
        <w:spacing w:before="0" w:beforeAutospacing="0" w:after="0" w:afterAutospacing="0" w:line="600" w:lineRule="exact"/>
        <w:ind w:firstLine="615"/>
        <w:jc w:val="both"/>
        <w:rPr>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了解还不够深入，对单位绩效不重视，认为绩效评价只是财务部门的事情，相关职责部门配合不够，往往只能提供有限的财经资料或简单的工作计划、工作总结，绩效评价工作资料非常有限，内容粗浅。</w:t>
      </w:r>
    </w:p>
    <w:p>
      <w:pPr>
        <w:widowControl/>
        <w:adjustRightInd w:val="0"/>
        <w:snapToGrid w:val="0"/>
        <w:spacing w:line="560" w:lineRule="exact"/>
        <w:ind w:firstLine="642"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pStyle w:val="14"/>
        <w:shd w:val="clear" w:color="auto" w:fill="FFFFFF"/>
        <w:spacing w:before="0" w:beforeAutospacing="0" w:after="0" w:afterAutospacing="0" w:line="600" w:lineRule="exact"/>
        <w:ind w:firstLine="615"/>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细化预算编制工作，认真做好预算的编制。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4"/>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2.加强财务管理，严格财务审核。在费用报账支付时，按照预算规定的费用项目和用途进行资金使用审核、列报支付、财务核算，杜绝超支现象的发生。</w:t>
      </w:r>
    </w:p>
    <w:p>
      <w:pPr>
        <w:pStyle w:val="14"/>
        <w:shd w:val="clear" w:color="auto" w:fill="FFFFFF"/>
        <w:spacing w:before="0" w:beforeAutospacing="0" w:after="0" w:afterAutospacing="0" w:line="600" w:lineRule="exact"/>
        <w:ind w:firstLine="615"/>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持续抓好“三公”经费控制管理。严格控制“三公”经费的规模和比例，把关“三公”经费支出的审核、审批，杜绝挪用和挤占其他预算资金行为；进一步细化“三公”经费的管理，合理压缩“三公”经费支出。</w:t>
      </w:r>
    </w:p>
    <w:p>
      <w:pPr>
        <w:pStyle w:val="14"/>
        <w:shd w:val="clear" w:color="auto" w:fill="FFFFFF"/>
        <w:spacing w:before="0" w:beforeAutospacing="0" w:after="0" w:afterAutospacing="0" w:line="600" w:lineRule="exact"/>
        <w:ind w:firstLine="640" w:firstLineChars="200"/>
        <w:jc w:val="both"/>
        <w:rPr>
          <w:lang w:val="zh-CN"/>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4.加强项目开展进度的跟踪，开展项目绩效评价，确保项目绩效目标的完成。</w:t>
      </w:r>
    </w:p>
    <w:p>
      <w:pPr>
        <w:pStyle w:val="16"/>
        <w:spacing w:line="560" w:lineRule="exact"/>
        <w:ind w:left="0" w:leftChars="0" w:firstLine="640"/>
        <w:rPr>
          <w:rFonts w:hint="eastAsia" w:hAnsi="仿宋_GB2312" w:eastAsia="仿宋_GB2312" w:cs="仿宋_GB2312"/>
          <w:sz w:val="32"/>
          <w:highlight w:val="none"/>
        </w:rPr>
      </w:pPr>
      <w:r>
        <w:rPr>
          <w:rFonts w:hint="eastAsia" w:hAnsi="仿宋_GB2312" w:eastAsia="仿宋_GB2312" w:cs="仿宋_GB2312"/>
          <w:sz w:val="32"/>
          <w:highlight w:val="none"/>
          <w:lang w:val="zh-CN"/>
        </w:rPr>
        <w:t>附</w:t>
      </w:r>
      <w:r>
        <w:rPr>
          <w:rFonts w:hint="eastAsia" w:hAnsi="仿宋_GB2312" w:eastAsia="仿宋_GB2312" w:cs="仿宋_GB2312"/>
          <w:sz w:val="32"/>
          <w:highlight w:val="none"/>
          <w:lang w:val="en-US" w:eastAsia="zh-CN"/>
        </w:rPr>
        <w:t>表</w:t>
      </w:r>
      <w:r>
        <w:rPr>
          <w:rFonts w:hint="eastAsia" w:hAnsi="仿宋_GB2312" w:eastAsia="仿宋_GB2312" w:cs="仿宋_GB2312"/>
          <w:sz w:val="32"/>
          <w:highlight w:val="none"/>
          <w:lang w:val="zh-CN"/>
        </w:rPr>
        <w:t>：</w:t>
      </w:r>
      <w:r>
        <w:rPr>
          <w:rFonts w:hint="eastAsia" w:hAnsi="仿宋_GB2312" w:eastAsia="仿宋_GB2312" w:cs="仿宋_GB2312"/>
          <w:sz w:val="32"/>
          <w:highlight w:val="none"/>
        </w:rPr>
        <w:t>部门预算项目支出绩效自评表（2022年度）</w:t>
      </w:r>
    </w:p>
    <w:p>
      <w:pPr>
        <w:rPr>
          <w:rFonts w:hint="eastAsia" w:hAnsi="仿宋_GB2312" w:eastAsia="仿宋_GB2312" w:cs="仿宋_GB2312"/>
          <w:sz w:val="32"/>
          <w:highlight w:val="yellow"/>
        </w:rPr>
      </w:pPr>
    </w:p>
    <w:p>
      <w:pPr>
        <w:pStyle w:val="16"/>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16"/>
        <w:rPr>
          <w:rFonts w:hint="eastAsia" w:hAnsi="仿宋_GB2312" w:eastAsia="仿宋_GB2312" w:cs="仿宋_GB2312"/>
          <w:sz w:val="32"/>
          <w:highlight w:val="yellow"/>
        </w:rPr>
      </w:pPr>
    </w:p>
    <w:tbl>
      <w:tblPr>
        <w:tblStyle w:val="17"/>
        <w:tblW w:w="82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9"/>
        <w:gridCol w:w="440"/>
        <w:gridCol w:w="495"/>
        <w:gridCol w:w="721"/>
        <w:gridCol w:w="754"/>
        <w:gridCol w:w="543"/>
        <w:gridCol w:w="653"/>
        <w:gridCol w:w="287"/>
        <w:gridCol w:w="1130"/>
        <w:gridCol w:w="299"/>
        <w:gridCol w:w="616"/>
        <w:gridCol w:w="916"/>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6"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附件2</w:t>
            </w:r>
          </w:p>
        </w:tc>
        <w:tc>
          <w:tcPr>
            <w:tcW w:w="709" w:type="dxa"/>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4"/>
                <w:szCs w:val="24"/>
                <w:u w:val="none"/>
              </w:rPr>
            </w:pPr>
          </w:p>
        </w:tc>
        <w:tc>
          <w:tcPr>
            <w:tcW w:w="75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54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65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281"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1106"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9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0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897"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99"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823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剑阁县义兴镇人民政府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6"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29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1026.78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4"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lang w:val="en-US" w:eastAsia="zh-CN" w:bidi="ar"/>
              </w:rPr>
              <w:t xml:space="preserve"> 其中：财政拨款</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0" w:type="auto"/>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0" w:hRule="atLeast"/>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在职职工工资保险保障率</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村社干部报酬支付率</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全镇运转经费保障</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经费成本</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≤1026.78万元</w:t>
            </w:r>
          </w:p>
        </w:tc>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≤1026.78万元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4"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保障政府正常运转和辖区安全稳定</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改善辖区内人居环境</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4"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重点工作实施效果可持续影响</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rPr>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eastAsia="仿宋_GB2312"/>
          <w:sz w:val="32"/>
          <w:szCs w:val="32"/>
          <w:lang w:val="en-US"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3</w:t>
      </w: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剑阁县</w:t>
      </w:r>
      <w:r>
        <w:rPr>
          <w:rFonts w:hint="eastAsia" w:ascii="方正小标宋简体" w:hAnsi="方正小标宋简体" w:eastAsia="方正小标宋简体" w:cs="方正小标宋简体"/>
          <w:sz w:val="40"/>
          <w:szCs w:val="40"/>
          <w:lang w:val="en-US" w:eastAsia="zh-CN"/>
        </w:rPr>
        <w:t>义兴</w:t>
      </w:r>
      <w:r>
        <w:rPr>
          <w:rFonts w:hint="eastAsia" w:ascii="方正小标宋简体" w:hAnsi="方正小标宋简体" w:eastAsia="方正小标宋简体" w:cs="方正小标宋简体"/>
          <w:sz w:val="40"/>
          <w:szCs w:val="40"/>
        </w:rPr>
        <w:t>镇人民政府</w:t>
      </w: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40"/>
          <w:szCs w:val="40"/>
        </w:rPr>
        <w:t>关于</w:t>
      </w:r>
      <w:r>
        <w:rPr>
          <w:rFonts w:hint="eastAsia" w:ascii="黑体" w:hAnsi="黑体" w:eastAsia="黑体" w:cs="方正小标宋简体"/>
          <w:sz w:val="44"/>
          <w:szCs w:val="44"/>
        </w:rPr>
        <w:t>垃圾清运及处置费</w:t>
      </w:r>
      <w:r>
        <w:rPr>
          <w:rFonts w:hint="eastAsia" w:ascii="方正小标宋简体" w:hAnsi="方正小标宋简体" w:eastAsia="方正小标宋简体" w:cs="方正小标宋简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为保障场镇及周边的环境干净整洁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百姓和居民有一个优美的工作和生活环境提升义兴镇城乡环境卫生质量，完善市政环保、公用基础设施体系，加快城市环境保护基础设施建设，促进环境保护与经济建设协调发展，加快建设两型社会。根据住房和城乡建设部《关于加快市政公用行业市场化进程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关于加强市政公用事业监管的意见》等有关文件精神，结</w:t>
      </w:r>
      <w:r>
        <w:rPr>
          <w:rFonts w:hint="eastAsia" w:ascii="仿宋_GB2312" w:hAnsi="仿宋_GB2312" w:eastAsia="仿宋_GB2312" w:cs="仿宋_GB2312"/>
          <w:sz w:val="32"/>
          <w:szCs w:val="32"/>
          <w:lang w:eastAsia="zh-CN"/>
        </w:rPr>
        <w:t>剑阁县委</w:t>
      </w:r>
      <w:r>
        <w:rPr>
          <w:rFonts w:hint="eastAsia" w:ascii="仿宋_GB2312" w:hAnsi="仿宋_GB2312" w:eastAsia="仿宋_GB2312" w:cs="仿宋_GB2312"/>
          <w:sz w:val="32"/>
          <w:szCs w:val="32"/>
        </w:rPr>
        <w:t>、县政府统筹城乡发展的整体思路要求，义兴镇人民政府与何修赋</w:t>
      </w:r>
      <w:r>
        <w:rPr>
          <w:rFonts w:hint="eastAsia" w:ascii="仿宋_GB2312" w:hAnsi="仿宋_GB2312" w:eastAsia="仿宋_GB2312" w:cs="仿宋_GB2312"/>
          <w:sz w:val="32"/>
          <w:szCs w:val="32"/>
          <w:lang w:eastAsia="zh-CN"/>
        </w:rPr>
        <w:t>签订了</w:t>
      </w:r>
      <w:r>
        <w:rPr>
          <w:rFonts w:hint="eastAsia" w:ascii="仿宋_GB2312" w:hAnsi="仿宋_GB2312" w:eastAsia="仿宋_GB2312" w:cs="仿宋_GB2312"/>
          <w:sz w:val="32"/>
          <w:szCs w:val="32"/>
        </w:rPr>
        <w:t>义兴镇城乡生活垃圾转运及处置合同，由何修赋将城区生活垃圾以750元/车价格收集转运至普安垃圾填埋场进行垃圾处理。</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宋体" w:eastAsia="仿宋_GB2312"/>
          <w:sz w:val="32"/>
          <w:szCs w:val="32"/>
          <w:lang w:val="zh-CN"/>
        </w:rPr>
        <w:t>1．</w:t>
      </w:r>
      <w:r>
        <w:rPr>
          <w:rFonts w:hint="eastAsia" w:ascii="仿宋_GB2312" w:hAnsi="仿宋_GB2312" w:eastAsia="仿宋_GB2312" w:cs="仿宋_GB2312"/>
          <w:sz w:val="32"/>
          <w:szCs w:val="32"/>
          <w:lang w:val="zh-CN"/>
        </w:rPr>
        <w:t>项目主要内容：</w:t>
      </w:r>
      <w:r>
        <w:rPr>
          <w:rFonts w:hint="eastAsia" w:ascii="仿宋_GB2312" w:hAnsi="仿宋_GB2312" w:eastAsia="仿宋_GB2312" w:cs="仿宋_GB2312"/>
          <w:sz w:val="32"/>
          <w:szCs w:val="32"/>
        </w:rPr>
        <w:t>保障场镇及周边的优美环境，</w:t>
      </w:r>
      <w:r>
        <w:rPr>
          <w:rFonts w:hint="eastAsia" w:ascii="仿宋_GB2312" w:hAnsi="仿宋_GB2312" w:eastAsia="仿宋_GB2312" w:cs="仿宋_GB2312"/>
          <w:sz w:val="32"/>
          <w:szCs w:val="32"/>
          <w:lang w:val="zh-CN"/>
        </w:rPr>
        <w:t>完成场镇垃圾清运，</w:t>
      </w:r>
      <w:r>
        <w:rPr>
          <w:rFonts w:hint="eastAsia" w:ascii="仿宋_GB2312" w:hAnsi="仿宋_GB2312" w:eastAsia="仿宋_GB2312" w:cs="仿宋_GB2312"/>
          <w:sz w:val="32"/>
          <w:szCs w:val="32"/>
        </w:rPr>
        <w:t>配备专职人员，对垃圾收集、清运实施日常监督和考核。义兴镇人民政府生活垃圾无害化处理场配备专职人员，对垃圾处理实施日常监督和考核。</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2．项目应实现的具体绩效目标：产出指标：完成场镇及周边垃圾清运（车）不少于</w:t>
      </w:r>
      <w:r>
        <w:rPr>
          <w:rFonts w:hint="eastAsia" w:ascii="仿宋_GB2312" w:hAnsi="宋体" w:eastAsia="仿宋_GB2312"/>
          <w:sz w:val="32"/>
          <w:szCs w:val="32"/>
        </w:rPr>
        <w:t>80车；环境卫生质量达到优；项目成果时效为202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年度；转运成本（元/车）小于等于750元/车</w:t>
      </w:r>
      <w:r>
        <w:rPr>
          <w:rFonts w:hint="eastAsia" w:ascii="仿宋_GB2312" w:hAnsi="宋体" w:eastAsia="仿宋_GB2312"/>
          <w:sz w:val="32"/>
          <w:szCs w:val="32"/>
          <w:lang w:val="zh-CN"/>
        </w:rPr>
        <w:t>。绩效指标：城乡环境，有效改善城乡环境，提升群众生活幸福指数。满意度指标：群众满意度大于等于</w:t>
      </w:r>
      <w:r>
        <w:rPr>
          <w:rFonts w:hint="eastAsia" w:ascii="仿宋_GB2312" w:hAnsi="宋体" w:eastAsia="仿宋_GB2312"/>
          <w:sz w:val="32"/>
          <w:szCs w:val="32"/>
        </w:rPr>
        <w:t>95%。</w:t>
      </w:r>
    </w:p>
    <w:p>
      <w:pPr>
        <w:spacing w:line="580" w:lineRule="exact"/>
        <w:ind w:firstLine="640" w:firstLineChars="200"/>
        <w:rPr>
          <w:rFonts w:ascii="仿宋_GB2312" w:hAnsi="宋体" w:eastAsia="仿宋"/>
          <w:sz w:val="32"/>
          <w:szCs w:val="32"/>
          <w:lang w:val="zh-CN"/>
        </w:rPr>
      </w:pPr>
      <w:r>
        <w:rPr>
          <w:rFonts w:hint="eastAsia" w:ascii="仿宋_GB2312" w:hAnsi="宋体" w:eastAsia="仿宋_GB2312"/>
          <w:sz w:val="32"/>
          <w:szCs w:val="32"/>
          <w:lang w:val="zh-CN"/>
        </w:rPr>
        <w:t>3．</w:t>
      </w:r>
      <w:r>
        <w:rPr>
          <w:rFonts w:hint="eastAsia" w:ascii="仿宋_GB2312" w:hAnsi="仿宋_GB2312" w:eastAsia="仿宋_GB2312" w:cs="仿宋_GB2312"/>
          <w:sz w:val="32"/>
          <w:szCs w:val="32"/>
        </w:rPr>
        <w:t>本项目是一项环境综合治理的公益性工程，项目实施后社会效益经济效益、环境效益凸显，具有可持续性。申报目标设定合理。</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spacing w:line="540" w:lineRule="atLeas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部门对垃圾收集、清运、处理的监督考核建立了考核监督制度，考核细则健全，扣分项目、处罚措施明确。根据综合得分，组织分管领导及部门负责人对本年度垃圾清运及处置费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7"/>
        <w:tblW w:w="9600" w:type="dxa"/>
        <w:tblInd w:w="93" w:type="dxa"/>
        <w:tblLayout w:type="autofit"/>
        <w:tblCellMar>
          <w:top w:w="0" w:type="dxa"/>
          <w:left w:w="108" w:type="dxa"/>
          <w:bottom w:w="0" w:type="dxa"/>
          <w:right w:w="108" w:type="dxa"/>
        </w:tblCellMar>
      </w:tblPr>
      <w:tblGrid>
        <w:gridCol w:w="1334"/>
        <w:gridCol w:w="2794"/>
        <w:gridCol w:w="1123"/>
        <w:gridCol w:w="1657"/>
        <w:gridCol w:w="533"/>
        <w:gridCol w:w="1080"/>
        <w:gridCol w:w="1079"/>
      </w:tblGrid>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垃圾清运及处置费</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董宏杰</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剑阁县财政局</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剑阁县义兴镇人民政府</w:t>
            </w:r>
          </w:p>
        </w:tc>
      </w:tr>
      <w:tr>
        <w:tblPrEx>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9.</w:t>
            </w:r>
            <w:r>
              <w:rPr>
                <w:rFonts w:hint="eastAsia" w:ascii="宋体" w:hAnsi="宋体" w:cs="宋体"/>
                <w:color w:val="000000"/>
                <w:kern w:val="0"/>
                <w:sz w:val="20"/>
                <w:szCs w:val="20"/>
                <w:lang w:val="en-US" w:eastAsia="zh-CN"/>
              </w:rPr>
              <w:t>77</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9.</w:t>
            </w:r>
            <w:r>
              <w:rPr>
                <w:rFonts w:hint="eastAsia" w:ascii="宋体" w:hAnsi="宋体" w:cs="宋体"/>
                <w:color w:val="000000"/>
                <w:kern w:val="0"/>
                <w:sz w:val="20"/>
                <w:szCs w:val="20"/>
                <w:lang w:val="en-US" w:eastAsia="zh-CN"/>
              </w:rPr>
              <w:t>77</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Style w:val="38"/>
                <w:rFonts w:hint="default"/>
              </w:rPr>
              <w:t xml:space="preserve"> 其中：中央、省、市财政资金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Style w:val="38"/>
                <w:rFonts w:hint="default"/>
              </w:rPr>
              <w:t xml:space="preserve">       县级财政资金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9.</w:t>
            </w:r>
            <w:r>
              <w:rPr>
                <w:rFonts w:hint="eastAsia" w:ascii="宋体" w:hAnsi="宋体" w:cs="宋体"/>
                <w:color w:val="000000"/>
                <w:kern w:val="0"/>
                <w:sz w:val="20"/>
                <w:szCs w:val="20"/>
                <w:lang w:val="en-US" w:eastAsia="zh-CN"/>
              </w:rPr>
              <w:t>77</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Style w:val="38"/>
                <w:rFonts w:hint="default"/>
              </w:rPr>
              <w:t xml:space="preserve">       其他资金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8"/>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8"/>
        <w:ind w:firstLine="960" w:firstLineChars="300"/>
        <w:rPr>
          <w:rFonts w:eastAsia="楷体_GB2312"/>
        </w:rPr>
      </w:pPr>
      <w:r>
        <w:rPr>
          <w:rFonts w:hint="eastAsia" w:ascii="仿宋_GB2312" w:hAnsi="仿宋_GB2312" w:eastAsia="仿宋_GB2312" w:cs="仿宋_GB2312"/>
          <w:b w:val="0"/>
          <w:bCs/>
          <w:sz w:val="32"/>
          <w:szCs w:val="32"/>
          <w:lang w:val="zh-CN"/>
        </w:rPr>
        <w:t>申报项目－</w:t>
      </w:r>
      <w:r>
        <w:rPr>
          <w:rFonts w:hint="eastAsia" w:ascii="仿宋_GB2312" w:hAnsi="仿宋_GB2312" w:eastAsia="仿宋_GB2312" w:cs="仿宋_GB2312"/>
          <w:b w:val="0"/>
          <w:bCs/>
          <w:sz w:val="32"/>
          <w:szCs w:val="32"/>
        </w:rPr>
        <w:t>项目执行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项目监督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2" w:firstLineChars="200"/>
        <w:rPr>
          <w:rFonts w:hint="eastAsia" w:ascii="仿宋_GB2312" w:hAnsi="仿宋_GB2312" w:eastAsia="仿宋_GB2312" w:cs="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sz w:val="32"/>
          <w:szCs w:val="32"/>
        </w:rPr>
        <w:t>义兴镇人民政府的清运项目的实施，确保了城乡垃圾的日产日清，改善了城乡卫生环境，同时项目实施监督到位，产生了良好的社会环境效益。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实施组织严密，管理规范有序，资金使用管理到位，实施后社会经济效益凸显。县环卫处成立专门机构考核办，配备专职人员，对垃圾收集、清运实施日常监督和考核。义兴镇人民政府生活垃圾无害化处理场配备专职人员，对垃圾处理实施日常监督和考核。为了加强项目的资金管理，我镇制定了重点工程项目建设管理和财务管理制度，并将该项目纳入县级重点工程财务核算，实行集中支付和报账制，确保资金封闭运行，项目实施中县财政、县审计以及监察部门定期或不定期</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实行检查、督察，确保项目资金的安全运行。</w:t>
      </w:r>
    </w:p>
    <w:p>
      <w:pPr>
        <w:spacing w:line="58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确保了城乡垃圾的日产日清，改善了城乡卫生环境，项目实施到位，产生了良好的社会环境效益。</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1、社会效益：通过项目的实施，可改善居民的生活和生态环境，进而提高居民的生活水平和健康水平，保护义兴镇整体环境和恢复生态平衡，从而保证整个剑阁县社会经济又好又快发展。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效益：通过项目的实施，将能够有力缓解整个剑阁县生活垃圾带来的环境污染和各种社会、经济问题，改善剑阁县大气环境质量，消除和减少疾病传播，从而改善剑阁县城市容貌和环境卫生条件，提高剑阁县的招商引资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3、经济效益：每吨生活垃圾可以分选出48.8%的RDF，替代煤作为水泥窑燃料。按照RDF的低位热值1800Kcal/吨，通过项目的实施可以年节约一定数量标煤，具有显著的经济效益。</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4、可持续影响：通过项目的实施，可持续地改善垃圾收集转运及处理效率，加强再生资源利用、垃圾分类回收仓储，可持续提高人民生活质量，并可取得良好的社会、经济和环境效益，具有可持续影响。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我们认为：义兴镇人民政府的清运项目的实施，确保了城乡垃圾的日产日清，改善了城乡卫生环境，项目实施到位，产生了良好的社会环境效益。</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义兴镇人民政府清运项目绩效评价指标表考评，此次评价指标总分值98分，综合得分为90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bCs/>
          <w:sz w:val="32"/>
          <w:szCs w:val="32"/>
        </w:rPr>
        <w:t>未严格执行考核制度。</w:t>
      </w:r>
      <w:r>
        <w:rPr>
          <w:rFonts w:hint="eastAsia" w:ascii="仿宋_GB2312" w:hAnsi="仿宋_GB2312" w:eastAsia="仿宋_GB2312" w:cs="仿宋_GB2312"/>
          <w:sz w:val="32"/>
          <w:szCs w:val="32"/>
        </w:rPr>
        <w:t>垃圾收集、清运、处理的监督考核部门虽然建立了对项目实施单位垃圾收集、清运、处理的考核监督制度，考核细则健全，扣分项目、处罚措施明确。但是，剑阁县生活垃圾无害化处理场未执行考核制度，即未对项目实施方的垃圾处理过程和结果进行考核。</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环境卫生项目建设完成后，要经常监督检查其使用情况，并做好后期维护和保养工作；</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环卫设施的保洁除味工作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及时清理垃圾，多清洁垃圾桶；及时维修环卫设备，尽量避免垃圾车漏水污染环境；加强垃圾中转站、垃圾压缩站的管理，防止“跑、冒、滴、臭”，改善周边环境，防止二次污染。</w:t>
      </w:r>
    </w:p>
    <w:p>
      <w:pPr>
        <w:pStyle w:val="2"/>
        <w:spacing w:before="93"/>
        <w:rPr>
          <w:lang w:val="zh-CN"/>
        </w:rPr>
      </w:pPr>
    </w:p>
    <w:p>
      <w:pPr>
        <w:pStyle w:val="2"/>
        <w:spacing w:before="93"/>
        <w:rPr>
          <w:lang w:val="zh-CN"/>
        </w:rPr>
      </w:pPr>
    </w:p>
    <w:p>
      <w:pPr>
        <w:pStyle w:val="2"/>
        <w:spacing w:before="93"/>
        <w:rPr>
          <w:lang w:val="zh-CN"/>
        </w:rPr>
      </w:pP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年垃圾清运及处置费项目绩效目标自评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剑阁县义兴镇人民政府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rPr>
              <w:t>9.</w:t>
            </w:r>
            <w:r>
              <w:rPr>
                <w:rFonts w:hint="eastAsia" w:ascii="宋体" w:hAnsi="宋体" w:cs="宋体"/>
                <w:sz w:val="24"/>
                <w:lang w:val="en-US" w:eastAsia="zh-CN"/>
              </w:rPr>
              <w:t>77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hint="default" w:ascii="宋体" w:hAnsi="宋体" w:eastAsia="宋体" w:cs="宋体"/>
                <w:sz w:val="24"/>
                <w:lang w:val="en-US" w:eastAsia="zh-CN"/>
              </w:rPr>
            </w:pPr>
            <w:r>
              <w:rPr>
                <w:rFonts w:hint="eastAsia" w:ascii="宋体" w:hAnsi="宋体" w:cs="宋体"/>
                <w:sz w:val="24"/>
              </w:rPr>
              <w:t>9.</w:t>
            </w:r>
            <w:r>
              <w:rPr>
                <w:rFonts w:hint="eastAsia" w:ascii="宋体" w:hAnsi="宋体" w:cs="宋体"/>
                <w:sz w:val="24"/>
                <w:lang w:val="en-US" w:eastAsia="zh-CN"/>
              </w:rPr>
              <w:t>77</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rPr>
              <w:t>9.</w:t>
            </w:r>
            <w:r>
              <w:rPr>
                <w:rFonts w:hint="eastAsia" w:ascii="宋体" w:hAnsi="宋体" w:cs="宋体"/>
                <w:sz w:val="24"/>
                <w:lang w:val="en-US" w:eastAsia="zh-CN"/>
              </w:rPr>
              <w:t>77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hint="default" w:ascii="宋体" w:hAnsi="宋体" w:eastAsia="宋体" w:cs="宋体"/>
                <w:sz w:val="24"/>
                <w:lang w:val="en-US" w:eastAsia="zh-CN"/>
              </w:rPr>
            </w:pPr>
            <w:r>
              <w:rPr>
                <w:rFonts w:hint="eastAsia" w:ascii="宋体" w:hAnsi="宋体" w:cs="宋体"/>
                <w:sz w:val="24"/>
              </w:rPr>
              <w:t>9.</w:t>
            </w:r>
            <w:r>
              <w:rPr>
                <w:rFonts w:hint="eastAsia" w:ascii="宋体" w:hAnsi="宋体" w:cs="宋体"/>
                <w:sz w:val="24"/>
                <w:lang w:val="en-US" w:eastAsia="zh-CN"/>
              </w:rPr>
              <w:t>77</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保障场镇及周边的优美环境，清运垃圾。</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做到场镇及周边的优美环境，清运垃圾及时到位。</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场镇及周边垃圾清运（车）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环境卫生质量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项目成果时效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转运成本（元/车）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≤750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≤750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城乡环境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pStyle w:val="2"/>
        <w:spacing w:before="93"/>
        <w:rPr>
          <w:rFonts w:hint="eastAsia" w:eastAsia="仿宋_GB2312"/>
          <w:lang w:val="en-US" w:eastAsia="zh-CN"/>
        </w:rPr>
      </w:pPr>
    </w:p>
    <w:p>
      <w:pPr>
        <w:adjustRightInd w:val="0"/>
        <w:snapToGrid w:val="0"/>
        <w:spacing w:line="600" w:lineRule="exac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附近4</w:t>
      </w:r>
    </w:p>
    <w:p>
      <w:pPr>
        <w:spacing w:line="600" w:lineRule="exact"/>
        <w:jc w:val="center"/>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剑阁县义兴镇人民政府</w:t>
      </w: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40"/>
          <w:szCs w:val="40"/>
        </w:rPr>
        <w:t>安全经费（森林防火）</w:t>
      </w:r>
      <w:r>
        <w:rPr>
          <w:rFonts w:hint="eastAsia" w:ascii="方正小标宋简体" w:hAnsi="方正小标宋简体" w:eastAsia="方正小标宋简体" w:cs="方正小标宋简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以“预防为主、积极消灭”的森林防火方针，大力开展森林防火宣传教育、严格管控野外火源，确保全镇森林生态资源安全及保护社会稳定促进经济的可持续发展。全年书写、悬挂森林防火宣传标语</w:t>
      </w:r>
      <w:r>
        <w:rPr>
          <w:rFonts w:hint="eastAsia" w:ascii="仿宋_GB2312" w:hAnsi="宋体" w:eastAsia="仿宋_GB2312"/>
          <w:sz w:val="32"/>
          <w:szCs w:val="32"/>
        </w:rPr>
        <w:t>136</w:t>
      </w:r>
      <w:r>
        <w:rPr>
          <w:rFonts w:hint="eastAsia" w:ascii="仿宋_GB2312" w:hAnsi="宋体" w:eastAsia="仿宋_GB2312"/>
          <w:sz w:val="32"/>
          <w:szCs w:val="32"/>
          <w:lang w:val="zh-CN"/>
        </w:rPr>
        <w:t>条；发放各类宣传单位及宣传物品，</w:t>
      </w:r>
      <w:r>
        <w:rPr>
          <w:rFonts w:hint="eastAsia" w:ascii="仿宋_GB2312" w:hAnsi="宋体" w:eastAsia="仿宋_GB2312"/>
          <w:sz w:val="32"/>
          <w:szCs w:val="32"/>
        </w:rPr>
        <w:t>3000</w:t>
      </w:r>
      <w:r>
        <w:rPr>
          <w:rFonts w:hint="eastAsia" w:ascii="仿宋_GB2312" w:hAnsi="宋体" w:eastAsia="仿宋_GB2312"/>
          <w:sz w:val="32"/>
          <w:szCs w:val="32"/>
          <w:lang w:val="zh-CN"/>
        </w:rPr>
        <w:t>份；出动宣传车</w:t>
      </w:r>
      <w:r>
        <w:rPr>
          <w:rFonts w:hint="eastAsia" w:ascii="仿宋_GB2312" w:hAnsi="宋体" w:eastAsia="仿宋_GB2312"/>
          <w:sz w:val="32"/>
          <w:szCs w:val="32"/>
        </w:rPr>
        <w:t>50</w:t>
      </w:r>
      <w:r>
        <w:rPr>
          <w:rFonts w:hint="eastAsia" w:ascii="仿宋_GB2312" w:hAnsi="宋体" w:eastAsia="仿宋_GB2312"/>
          <w:sz w:val="32"/>
          <w:szCs w:val="32"/>
          <w:lang w:val="zh-CN"/>
        </w:rPr>
        <w:t>台次；召开森林防火专题会议</w:t>
      </w:r>
      <w:r>
        <w:rPr>
          <w:rFonts w:hint="eastAsia" w:ascii="仿宋_GB2312" w:hAnsi="宋体" w:eastAsia="仿宋_GB2312"/>
          <w:sz w:val="32"/>
          <w:szCs w:val="32"/>
        </w:rPr>
        <w:t>20余</w:t>
      </w:r>
      <w:r>
        <w:rPr>
          <w:rFonts w:hint="eastAsia" w:ascii="仿宋_GB2312" w:hAnsi="宋体" w:eastAsia="仿宋_GB2312"/>
          <w:sz w:val="32"/>
          <w:szCs w:val="32"/>
          <w:lang w:val="zh-CN"/>
        </w:rPr>
        <w:t>场。</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在运用各类宣传平台和宣传资源的基础上，创新宣传方式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加大对责任落实、火源管控案查处的宣传力度；加强对社会舆论信息的引导和收集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注重对森林防火法律法规和警示案例的宣传，强化全民防火</w:t>
      </w:r>
      <w:r>
        <w:rPr>
          <w:rFonts w:hint="eastAsia" w:ascii="仿宋_GB2312" w:hAnsi="仿宋_GB2312" w:eastAsia="仿宋_GB2312" w:cs="仿宋_GB2312"/>
          <w:sz w:val="32"/>
          <w:szCs w:val="32"/>
          <w:lang w:eastAsia="zh-CN"/>
        </w:rPr>
        <w:t>意识</w:t>
      </w:r>
      <w:r>
        <w:rPr>
          <w:rFonts w:hint="eastAsia" w:ascii="仿宋_GB2312" w:hAnsi="仿宋_GB2312" w:eastAsia="仿宋_GB2312" w:cs="仿宋_GB2312"/>
          <w:sz w:val="32"/>
          <w:szCs w:val="32"/>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社会稳定的需要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改善生态环境，促进经济可持续发展的需要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使义兴的山更绿、水更清、天更蓝。</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spacing w:line="540" w:lineRule="atLeas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部门对各村森林防火宣传落实的监督考核建立了考核监督制度，考核细则健全，扣分项目、处罚措施明确。根据综合得分，组织分管领导及部门负责人对本年度森林防火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7"/>
        <w:tblW w:w="9600" w:type="dxa"/>
        <w:tblInd w:w="93" w:type="dxa"/>
        <w:tblLayout w:type="autofit"/>
        <w:tblCellMar>
          <w:top w:w="0" w:type="dxa"/>
          <w:left w:w="108" w:type="dxa"/>
          <w:bottom w:w="0" w:type="dxa"/>
          <w:right w:w="108" w:type="dxa"/>
        </w:tblCellMar>
      </w:tblPr>
      <w:tblGrid>
        <w:gridCol w:w="1334"/>
        <w:gridCol w:w="2794"/>
        <w:gridCol w:w="1123"/>
        <w:gridCol w:w="1657"/>
        <w:gridCol w:w="532"/>
        <w:gridCol w:w="1080"/>
        <w:gridCol w:w="1080"/>
      </w:tblGrid>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安全经费（森林防火）</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郑波</w:t>
            </w:r>
            <w:bookmarkStart w:id="161" w:name="_GoBack"/>
            <w:bookmarkEnd w:id="161"/>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剑阁县财政局</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剑阁县义兴镇人民政府</w:t>
            </w:r>
          </w:p>
        </w:tc>
      </w:tr>
      <w:tr>
        <w:tblPrEx>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其中：中央、省、市财政资金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县级财政资金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8"/>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8"/>
        <w:ind w:firstLine="960" w:firstLineChars="3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zh-CN"/>
        </w:rPr>
        <w:t>申报项目－</w:t>
      </w:r>
      <w:r>
        <w:rPr>
          <w:rFonts w:hint="eastAsia" w:ascii="仿宋_GB2312" w:hAnsi="仿宋_GB2312" w:eastAsia="仿宋_GB2312" w:cs="仿宋_GB2312"/>
          <w:b w:val="0"/>
          <w:bCs/>
          <w:sz w:val="32"/>
          <w:szCs w:val="32"/>
        </w:rPr>
        <w:t>项目执行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项目监督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2" w:firstLineChars="200"/>
        <w:rPr>
          <w:rFonts w:hint="eastAsia" w:ascii="仿宋_GB2312" w:hAnsi="仿宋_GB2312" w:eastAsia="仿宋_GB2312" w:cs="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sz w:val="32"/>
          <w:szCs w:val="32"/>
        </w:rPr>
        <w:t>义兴镇人民政府的森林防火项目的实施，切实减少了辖区内火灾隐患，国有森林资源和群众生命财产安全得到有效保障，同时项目实施监督到位，产生了良好的社会环境效益。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实施组织严密，管理规范有序，资金使用管理到位，实施后社会经济效益凸显。主管部门专门考核，配备专职人员，对森林防火工作实施日常监督和考核。义兴镇人民政府林业站配备专职人员，对森林防火工作实施日常监督和考核。为了加强项目的资金管理，我镇制定了重点工程项目建设管理和财务管理制度，并将该项目纳入重点项目财务核算，实行集中支付和报账制，确保资金封闭运行，项目实施中县财政、县审计以及监察部门定期或不定期</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实行检查、督察，确保项目资金的安全运行。</w:t>
      </w:r>
    </w:p>
    <w:p>
      <w:pPr>
        <w:spacing w:line="58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确保国有森林资源和群众生命财产安全得到有效保障，项目实施到位，产生了良好的社会环境效益。</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1、社会效益：通过项目的实施，有效保护森林资源，</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全民森林防灭火意识，国家资源与人民群众生命财产安全得到有效保护。</w:t>
      </w:r>
    </w:p>
    <w:p>
      <w:pPr>
        <w:widowControl/>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2、环境效益：通过项目的实施，强化全民防火</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社会稳定的需要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改善生态环境，促进经济可持续发展的需要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使义兴的山更绿、水更清、天更蓝。</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3、经济效益：森林火灾的有效控制，大幅降低救火救灾以及生态修复支出，防患于未“燃”，有效预防各种灾情及相关支出。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4、可持续影响：通过项目的实施，强化全民防火</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我们认为：义兴镇人民政府的森林防火项目的实施，森林火灾发生次数明显下降减少，野外用火得到有效控制，项目实施到位，产生了良好的社会环境效益。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义兴镇人民政府森林防火项目绩效评价指标表考评，此次评价指标总分值98分，综合得分为90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我镇森林覆盖率较高，森林防火形势十分严峻。一是我镇山区面积较多，频繁的农事活动，给森林防火带来了一定困难。野外游玩休闲的人多，极易引发森林火灾。二是森林防火基础设施比较薄弱。特别是各主要林区，无监控瞭望设施，通讯信号不强，无有效阻隔系统，不具备抵御森林大火的能力，与当前的防火需要不相适应。三是由于林区的开发利用，林区施工、流动人员、旅游人员增多，管理难度加大，已成为新形势下引发森林火灾的一大隐患。</w:t>
      </w:r>
    </w:p>
    <w:p>
      <w:pPr>
        <w:adjustRightInd w:val="0"/>
        <w:snapToGrid w:val="0"/>
        <w:spacing w:line="600" w:lineRule="exact"/>
        <w:ind w:firstLine="720"/>
        <w:outlineLvl w:val="2"/>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2"/>
        <w:spacing w:before="93"/>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一是强化责任落实</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严控火源管理。二是持续加强森林防火工作的宣传教育</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转变农户思想</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强化农户的防火意识。三是</w:t>
      </w:r>
      <w:r>
        <w:rPr>
          <w:rFonts w:hint="eastAsia" w:hAnsi="仿宋_GB2312" w:cs="仿宋_GB2312"/>
          <w:b w:val="0"/>
          <w:bCs w:val="0"/>
          <w:kern w:val="2"/>
          <w:sz w:val="32"/>
          <w:szCs w:val="32"/>
          <w:lang w:eastAsia="zh-CN"/>
        </w:rPr>
        <w:t>加大</w:t>
      </w:r>
      <w:r>
        <w:rPr>
          <w:rFonts w:hint="eastAsia" w:ascii="仿宋_GB2312" w:hAnsi="仿宋_GB2312" w:eastAsia="仿宋_GB2312" w:cs="仿宋_GB2312"/>
          <w:b w:val="0"/>
          <w:bCs w:val="0"/>
          <w:kern w:val="2"/>
          <w:sz w:val="32"/>
          <w:szCs w:val="32"/>
        </w:rPr>
        <w:t>联合巡查执法力度</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环保、农业、派出所、林业公安等部门进一步加大处置力度</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发现一起处置一起，形成威慑。四是加强森林防火信息化建设上的投入，使森林防火工作更加高效、便捷。</w:t>
      </w:r>
    </w:p>
    <w:p>
      <w:pPr>
        <w:pStyle w:val="2"/>
        <w:spacing w:before="93"/>
        <w:ind w:firstLine="640" w:firstLineChars="200"/>
        <w:rPr>
          <w:rFonts w:hint="eastAsia" w:ascii="仿宋_GB2312" w:hAnsi="仿宋_GB2312" w:eastAsia="仿宋_GB2312" w:cs="仿宋_GB2312"/>
          <w:b w:val="0"/>
          <w:bCs w:val="0"/>
          <w:kern w:val="2"/>
          <w:sz w:val="32"/>
          <w:szCs w:val="32"/>
          <w:lang w:val="zh-CN"/>
        </w:rPr>
      </w:pPr>
    </w:p>
    <w:tbl>
      <w:tblPr>
        <w:tblStyle w:val="17"/>
        <w:tblpPr w:leftFromText="180" w:rightFromText="180" w:vertAnchor="text" w:horzAnchor="page" w:tblpX="1281" w:tblpY="660"/>
        <w:tblOverlap w:val="never"/>
        <w:tblW w:w="9571" w:type="dxa"/>
        <w:tblInd w:w="0" w:type="dxa"/>
        <w:tblLayout w:type="fixed"/>
        <w:tblCellMar>
          <w:top w:w="0" w:type="dxa"/>
          <w:left w:w="108" w:type="dxa"/>
          <w:bottom w:w="0" w:type="dxa"/>
          <w:right w:w="108" w:type="dxa"/>
        </w:tblCellMar>
      </w:tblPr>
      <w:tblGrid>
        <w:gridCol w:w="1976"/>
        <w:gridCol w:w="1142"/>
        <w:gridCol w:w="1635"/>
        <w:gridCol w:w="1189"/>
        <w:gridCol w:w="1224"/>
        <w:gridCol w:w="2405"/>
      </w:tblGrid>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实施单位</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剑阁县义兴镇人民政府</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项目预算</w:t>
            </w:r>
          </w:p>
          <w:p>
            <w:pPr>
              <w:widowControl/>
              <w:spacing w:line="32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执行情况</w:t>
            </w:r>
          </w:p>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执行数：</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2</w:t>
            </w:r>
          </w:p>
        </w:tc>
      </w:tr>
      <w:tr>
        <w:tblPrEx>
          <w:tblCellMar>
            <w:top w:w="0" w:type="dxa"/>
            <w:left w:w="108" w:type="dxa"/>
            <w:bottom w:w="0" w:type="dxa"/>
            <w:right w:w="108" w:type="dxa"/>
          </w:tblCellMar>
        </w:tblPrEx>
        <w:trPr>
          <w:trHeight w:val="7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其他资金</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年度总体目标</w:t>
            </w:r>
          </w:p>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预期目标</w:t>
            </w:r>
          </w:p>
        </w:tc>
        <w:tc>
          <w:tcPr>
            <w:tcW w:w="3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切实减少辖区内火灾隐患，有效预防森林火灾</w:t>
            </w:r>
          </w:p>
        </w:tc>
        <w:tc>
          <w:tcPr>
            <w:tcW w:w="362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有效预防森林火灾，202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年镇内未发生火灾</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日常防火宣传及巡逻次数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物质合格率(%)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工作持续时间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切实减少辖区内火灾隐患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确保国有森林资源和群众生命财产安全得到有效保障</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确保国有森林资源和群众生命财产安全得到有效保障</w:t>
            </w:r>
          </w:p>
        </w:tc>
      </w:tr>
      <w:tr>
        <w:tblPrEx>
          <w:tblCellMar>
            <w:top w:w="0" w:type="dxa"/>
            <w:left w:w="108" w:type="dxa"/>
            <w:bottom w:w="0" w:type="dxa"/>
            <w:right w:w="108" w:type="dxa"/>
          </w:tblCellMar>
        </w:tblPrEx>
        <w:trPr>
          <w:trHeight w:val="55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580" w:lineRule="exact"/>
        <w:ind w:firstLine="963" w:firstLineChars="300"/>
        <w:rPr>
          <w:rStyle w:val="30"/>
          <w:rFonts w:ascii="黑体" w:hAnsi="黑体" w:eastAsia="黑体"/>
          <w:b w:val="0"/>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年安全经费（森林防火）项目绩效目标自评</w:t>
      </w:r>
      <w:r>
        <w:rPr>
          <w:rStyle w:val="30"/>
          <w:rFonts w:ascii="黑体" w:hAnsi="黑体" w:eastAsia="黑体"/>
          <w:b w:val="0"/>
        </w:rPr>
        <w:br w:type="page"/>
      </w:r>
    </w:p>
    <w:p>
      <w:pPr>
        <w:spacing w:line="600" w:lineRule="exact"/>
        <w:jc w:val="center"/>
        <w:outlineLvl w:val="0"/>
        <w:rPr>
          <w:rFonts w:ascii="仿宋" w:hAnsi="仿宋" w:eastAsia="仿宋"/>
        </w:rPr>
      </w:pPr>
      <w:bookmarkStart w:id="118" w:name="_Toc8824"/>
      <w:bookmarkStart w:id="119" w:name="_Toc18680"/>
      <w:bookmarkStart w:id="120" w:name="_Toc22180"/>
      <w:bookmarkStart w:id="121" w:name="_Toc15396618"/>
      <w:r>
        <w:rPr>
          <w:rFonts w:hint="eastAsia" w:ascii="黑体" w:hAnsi="黑体" w:eastAsia="黑体"/>
          <w:sz w:val="44"/>
          <w:szCs w:val="44"/>
        </w:rPr>
        <w:t>第</w:t>
      </w:r>
      <w:r>
        <w:rPr>
          <w:rStyle w:val="30"/>
          <w:rFonts w:hint="eastAsia" w:ascii="黑体" w:hAnsi="黑体" w:eastAsia="黑体"/>
          <w:b w:val="0"/>
        </w:rPr>
        <w:t>五部分 附表</w:t>
      </w:r>
      <w:bookmarkEnd w:id="102"/>
      <w:bookmarkEnd w:id="118"/>
      <w:bookmarkEnd w:id="119"/>
      <w:bookmarkEnd w:id="120"/>
      <w:bookmarkEnd w:id="121"/>
      <w:bookmarkStart w:id="122" w:name="_Toc15396619"/>
    </w:p>
    <w:p>
      <w:pPr>
        <w:pStyle w:val="4"/>
        <w:rPr>
          <w:rFonts w:ascii="仿宋" w:hAnsi="仿宋" w:eastAsia="仿宋"/>
        </w:rPr>
      </w:pPr>
      <w:bookmarkStart w:id="123" w:name="_Toc31278"/>
      <w:bookmarkStart w:id="124" w:name="_Toc13804"/>
      <w:r>
        <w:rPr>
          <w:rFonts w:hint="eastAsia" w:ascii="仿宋" w:hAnsi="仿宋" w:eastAsia="仿宋"/>
          <w:b w:val="0"/>
        </w:rPr>
        <w:t>一、收</w:t>
      </w:r>
      <w:r>
        <w:rPr>
          <w:rStyle w:val="31"/>
          <w:rFonts w:hint="eastAsia" w:ascii="仿宋" w:hAnsi="仿宋" w:eastAsia="仿宋"/>
          <w:b w:val="0"/>
          <w:bCs w:val="0"/>
        </w:rPr>
        <w:t>入支出决算总表</w:t>
      </w:r>
      <w:bookmarkEnd w:id="122"/>
      <w:bookmarkEnd w:id="123"/>
      <w:bookmarkEnd w:id="124"/>
    </w:p>
    <w:p>
      <w:pPr>
        <w:pStyle w:val="4"/>
        <w:rPr>
          <w:rFonts w:ascii="仿宋" w:hAnsi="仿宋" w:eastAsia="仿宋"/>
        </w:rPr>
      </w:pPr>
      <w:bookmarkStart w:id="125" w:name="_Toc17391"/>
      <w:bookmarkStart w:id="126" w:name="_Toc15396620"/>
      <w:bookmarkStart w:id="127" w:name="_Toc18766"/>
      <w:r>
        <w:rPr>
          <w:rFonts w:hint="eastAsia" w:ascii="仿宋" w:hAnsi="仿宋" w:eastAsia="仿宋"/>
          <w:b w:val="0"/>
        </w:rPr>
        <w:t>二、收</w:t>
      </w:r>
      <w:r>
        <w:rPr>
          <w:rStyle w:val="31"/>
          <w:rFonts w:hint="eastAsia" w:ascii="仿宋" w:hAnsi="仿宋" w:eastAsia="仿宋"/>
          <w:b w:val="0"/>
          <w:bCs w:val="0"/>
        </w:rPr>
        <w:t>入决算表</w:t>
      </w:r>
      <w:bookmarkEnd w:id="125"/>
      <w:bookmarkEnd w:id="126"/>
      <w:bookmarkEnd w:id="127"/>
    </w:p>
    <w:p>
      <w:pPr>
        <w:pStyle w:val="4"/>
        <w:rPr>
          <w:rFonts w:ascii="仿宋" w:hAnsi="仿宋" w:eastAsia="仿宋"/>
        </w:rPr>
      </w:pPr>
      <w:bookmarkStart w:id="128" w:name="_Toc28828"/>
      <w:bookmarkStart w:id="129" w:name="_Toc15730"/>
      <w:bookmarkStart w:id="130"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128"/>
      <w:bookmarkEnd w:id="129"/>
      <w:bookmarkEnd w:id="130"/>
    </w:p>
    <w:p>
      <w:pPr>
        <w:pStyle w:val="4"/>
        <w:rPr>
          <w:rFonts w:ascii="仿宋" w:hAnsi="仿宋" w:eastAsia="仿宋"/>
          <w:b w:val="0"/>
        </w:rPr>
      </w:pPr>
      <w:bookmarkStart w:id="131" w:name="_Toc17858"/>
      <w:bookmarkStart w:id="132" w:name="_Toc15396622"/>
      <w:bookmarkStart w:id="133" w:name="_Toc12361"/>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131"/>
      <w:bookmarkEnd w:id="132"/>
      <w:bookmarkEnd w:id="133"/>
    </w:p>
    <w:p>
      <w:pPr>
        <w:pStyle w:val="4"/>
        <w:rPr>
          <w:rStyle w:val="31"/>
          <w:rFonts w:ascii="仿宋" w:hAnsi="仿宋" w:eastAsia="仿宋"/>
          <w:b w:val="0"/>
          <w:bCs w:val="0"/>
        </w:rPr>
      </w:pPr>
      <w:bookmarkStart w:id="134" w:name="_Toc20113"/>
      <w:bookmarkStart w:id="135" w:name="_Toc15396623"/>
      <w:bookmarkStart w:id="136" w:name="_Toc222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134"/>
      <w:bookmarkEnd w:id="135"/>
      <w:bookmarkEnd w:id="136"/>
      <w:bookmarkStart w:id="137" w:name="_Toc15396624"/>
    </w:p>
    <w:p>
      <w:pPr>
        <w:pStyle w:val="4"/>
        <w:rPr>
          <w:rFonts w:ascii="仿宋" w:hAnsi="仿宋" w:eastAsia="仿宋"/>
        </w:rPr>
      </w:pPr>
      <w:bookmarkStart w:id="138" w:name="_Toc23838"/>
      <w:bookmarkStart w:id="139" w:name="_Toc4221"/>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137"/>
      <w:bookmarkEnd w:id="138"/>
      <w:bookmarkEnd w:id="139"/>
    </w:p>
    <w:p>
      <w:pPr>
        <w:pStyle w:val="4"/>
        <w:rPr>
          <w:rFonts w:ascii="仿宋" w:hAnsi="仿宋" w:eastAsia="仿宋"/>
        </w:rPr>
      </w:pPr>
      <w:bookmarkStart w:id="140" w:name="_Toc15396625"/>
      <w:bookmarkStart w:id="141" w:name="_Toc12509"/>
      <w:bookmarkStart w:id="142" w:name="_Toc7422"/>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140"/>
      <w:bookmarkEnd w:id="141"/>
      <w:bookmarkEnd w:id="142"/>
    </w:p>
    <w:p>
      <w:pPr>
        <w:pStyle w:val="4"/>
        <w:rPr>
          <w:rFonts w:ascii="仿宋" w:hAnsi="仿宋" w:eastAsia="仿宋"/>
        </w:rPr>
      </w:pPr>
      <w:bookmarkStart w:id="143" w:name="_Toc10243"/>
      <w:bookmarkStart w:id="144" w:name="_Toc10084"/>
      <w:bookmarkStart w:id="145"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143"/>
      <w:bookmarkEnd w:id="144"/>
      <w:bookmarkEnd w:id="145"/>
    </w:p>
    <w:p>
      <w:pPr>
        <w:pStyle w:val="4"/>
        <w:rPr>
          <w:rFonts w:ascii="仿宋" w:hAnsi="仿宋" w:eastAsia="仿宋"/>
        </w:rPr>
      </w:pPr>
      <w:bookmarkStart w:id="146" w:name="_Toc8911"/>
      <w:bookmarkStart w:id="147" w:name="_Toc22957"/>
      <w:bookmarkStart w:id="148"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146"/>
      <w:bookmarkEnd w:id="147"/>
      <w:bookmarkEnd w:id="148"/>
    </w:p>
    <w:p>
      <w:pPr>
        <w:pStyle w:val="4"/>
        <w:rPr>
          <w:rFonts w:ascii="仿宋" w:hAnsi="仿宋" w:eastAsia="仿宋"/>
        </w:rPr>
      </w:pPr>
      <w:bookmarkStart w:id="149" w:name="_Toc15396628"/>
      <w:bookmarkStart w:id="150" w:name="_Toc24465"/>
      <w:bookmarkStart w:id="151" w:name="_Toc13994"/>
      <w:r>
        <w:rPr>
          <w:rStyle w:val="31"/>
          <w:rFonts w:hint="eastAsia" w:ascii="仿宋" w:hAnsi="仿宋" w:eastAsia="仿宋"/>
          <w:b w:val="0"/>
          <w:bCs w:val="0"/>
        </w:rPr>
        <w:t>十、</w:t>
      </w:r>
      <w:bookmarkEnd w:id="149"/>
      <w:r>
        <w:rPr>
          <w:rFonts w:hint="eastAsia" w:ascii="仿宋" w:hAnsi="仿宋" w:eastAsia="仿宋"/>
          <w:b w:val="0"/>
        </w:rPr>
        <w:t>政</w:t>
      </w:r>
      <w:r>
        <w:rPr>
          <w:rStyle w:val="31"/>
          <w:rFonts w:hint="eastAsia" w:ascii="仿宋" w:hAnsi="仿宋" w:eastAsia="仿宋"/>
          <w:b w:val="0"/>
          <w:bCs w:val="0"/>
        </w:rPr>
        <w:t>府性基金预算财政拨款收入支出决算表</w:t>
      </w:r>
      <w:bookmarkEnd w:id="150"/>
      <w:bookmarkEnd w:id="151"/>
    </w:p>
    <w:p>
      <w:pPr>
        <w:pStyle w:val="4"/>
        <w:rPr>
          <w:rFonts w:ascii="仿宋" w:hAnsi="仿宋" w:eastAsia="仿宋"/>
        </w:rPr>
      </w:pPr>
      <w:bookmarkStart w:id="152" w:name="_Toc15396629"/>
      <w:bookmarkStart w:id="153" w:name="_Toc7345"/>
      <w:bookmarkStart w:id="154" w:name="_Toc9979"/>
      <w:r>
        <w:rPr>
          <w:rStyle w:val="31"/>
          <w:rFonts w:hint="eastAsia" w:ascii="仿宋" w:hAnsi="仿宋" w:eastAsia="仿宋"/>
          <w:b w:val="0"/>
          <w:bCs w:val="0"/>
        </w:rPr>
        <w:t>十一、</w:t>
      </w:r>
      <w:bookmarkEnd w:id="152"/>
      <w:r>
        <w:rPr>
          <w:rFonts w:hint="eastAsia" w:ascii="仿宋" w:hAnsi="仿宋" w:eastAsia="仿宋"/>
          <w:b w:val="0"/>
        </w:rPr>
        <w:t>国</w:t>
      </w:r>
      <w:r>
        <w:rPr>
          <w:rStyle w:val="31"/>
          <w:rFonts w:hint="eastAsia" w:ascii="仿宋" w:hAnsi="仿宋" w:eastAsia="仿宋"/>
          <w:b w:val="0"/>
          <w:bCs w:val="0"/>
        </w:rPr>
        <w:t>有资本经营预算财政拨款收入支出决算表</w:t>
      </w:r>
      <w:bookmarkEnd w:id="153"/>
      <w:bookmarkEnd w:id="154"/>
    </w:p>
    <w:p>
      <w:pPr>
        <w:pStyle w:val="4"/>
        <w:rPr>
          <w:rFonts w:ascii="仿宋" w:hAnsi="仿宋" w:eastAsia="仿宋"/>
        </w:rPr>
      </w:pPr>
      <w:bookmarkStart w:id="155" w:name="_Toc15396630"/>
      <w:bookmarkStart w:id="156" w:name="_Toc23538"/>
      <w:bookmarkStart w:id="157" w:name="_Toc22478"/>
      <w:r>
        <w:rPr>
          <w:rStyle w:val="31"/>
          <w:rFonts w:hint="eastAsia" w:ascii="仿宋" w:hAnsi="仿宋" w:eastAsia="仿宋"/>
          <w:b w:val="0"/>
          <w:bCs w:val="0"/>
        </w:rPr>
        <w:t>十二、</w:t>
      </w:r>
      <w:bookmarkEnd w:id="155"/>
      <w:r>
        <w:rPr>
          <w:rStyle w:val="31"/>
          <w:rFonts w:hint="eastAsia" w:ascii="仿宋" w:hAnsi="仿宋" w:eastAsia="仿宋"/>
          <w:b w:val="0"/>
          <w:bCs w:val="0"/>
        </w:rPr>
        <w:t>国有资本经营预算财政拨款支出决算表</w:t>
      </w:r>
      <w:bookmarkEnd w:id="156"/>
      <w:bookmarkEnd w:id="157"/>
    </w:p>
    <w:p>
      <w:pPr>
        <w:pStyle w:val="4"/>
        <w:rPr>
          <w:rFonts w:eastAsia="仿宋"/>
        </w:rPr>
      </w:pPr>
      <w:bookmarkStart w:id="158" w:name="_Toc15396631"/>
      <w:bookmarkStart w:id="159" w:name="_Toc28588"/>
      <w:bookmarkStart w:id="160" w:name="_Toc5603"/>
      <w:r>
        <w:rPr>
          <w:rStyle w:val="31"/>
          <w:rFonts w:hint="eastAsia" w:ascii="仿宋" w:hAnsi="仿宋" w:eastAsia="仿宋"/>
          <w:b w:val="0"/>
          <w:bCs w:val="0"/>
        </w:rPr>
        <w:t>十三、</w:t>
      </w:r>
      <w:bookmarkEnd w:id="158"/>
      <w:r>
        <w:rPr>
          <w:rStyle w:val="31"/>
          <w:rFonts w:hint="eastAsia" w:ascii="仿宋" w:hAnsi="仿宋" w:eastAsia="仿宋"/>
          <w:b w:val="0"/>
          <w:bCs w:val="0"/>
        </w:rPr>
        <w:t>财政拨款“三公”经费支出决算表</w:t>
      </w:r>
      <w:bookmarkEnd w:id="159"/>
      <w:bookmarkEnd w:id="160"/>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6"/>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C231D"/>
    <w:multiLevelType w:val="singleLevel"/>
    <w:tmpl w:val="C2EC231D"/>
    <w:lvl w:ilvl="0" w:tentative="0">
      <w:start w:val="1"/>
      <w:numFmt w:val="chineseCounting"/>
      <w:lvlText w:val="(%1)"/>
      <w:lvlJc w:val="left"/>
      <w:pPr>
        <w:tabs>
          <w:tab w:val="left" w:pos="312"/>
        </w:tabs>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38FC7F4"/>
    <w:multiLevelType w:val="singleLevel"/>
    <w:tmpl w:val="E38FC7F4"/>
    <w:lvl w:ilvl="0" w:tentative="0">
      <w:start w:val="2"/>
      <w:numFmt w:val="chineseCounting"/>
      <w:suff w:val="nothing"/>
      <w:lvlText w:val="（%1）"/>
      <w:lvlJc w:val="left"/>
      <w:rPr>
        <w:rFonts w:hint="eastAsia"/>
      </w:rPr>
    </w:lvl>
  </w:abstractNum>
  <w:abstractNum w:abstractNumId="4">
    <w:nsid w:val="F8CFDD39"/>
    <w:multiLevelType w:val="singleLevel"/>
    <w:tmpl w:val="F8CFDD39"/>
    <w:lvl w:ilvl="0" w:tentative="0">
      <w:start w:val="1"/>
      <w:numFmt w:val="chineseCounting"/>
      <w:suff w:val="nothing"/>
      <w:lvlText w:val="（%1）"/>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674EF850"/>
    <w:multiLevelType w:val="singleLevel"/>
    <w:tmpl w:val="674EF850"/>
    <w:lvl w:ilvl="0" w:tentative="0">
      <w:start w:val="1"/>
      <w:numFmt w:val="chineseCounting"/>
      <w:suff w:val="nothing"/>
      <w:lvlText w:val="%1、"/>
      <w:lvlJc w:val="left"/>
      <w:rPr>
        <w:rFonts w:hint="eastAsia"/>
      </w:r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23CE"/>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66E0107"/>
    <w:rsid w:val="07996F6E"/>
    <w:rsid w:val="0A2032A3"/>
    <w:rsid w:val="0BB27CE5"/>
    <w:rsid w:val="0F98263C"/>
    <w:rsid w:val="101860EC"/>
    <w:rsid w:val="10C055FF"/>
    <w:rsid w:val="118107EC"/>
    <w:rsid w:val="13D50BC4"/>
    <w:rsid w:val="169E79F7"/>
    <w:rsid w:val="16BB723D"/>
    <w:rsid w:val="1BE8440E"/>
    <w:rsid w:val="1C1135B4"/>
    <w:rsid w:val="1C7B45A3"/>
    <w:rsid w:val="1D155CEE"/>
    <w:rsid w:val="1F530E10"/>
    <w:rsid w:val="1FF35744"/>
    <w:rsid w:val="1FFF67A6"/>
    <w:rsid w:val="23860B96"/>
    <w:rsid w:val="240371BF"/>
    <w:rsid w:val="281B2DE0"/>
    <w:rsid w:val="29FD04D3"/>
    <w:rsid w:val="2B3C1D83"/>
    <w:rsid w:val="2C8A61B5"/>
    <w:rsid w:val="2D561B9B"/>
    <w:rsid w:val="2DE33AEA"/>
    <w:rsid w:val="2DF04E50"/>
    <w:rsid w:val="2F040D46"/>
    <w:rsid w:val="319F7F4E"/>
    <w:rsid w:val="3304709D"/>
    <w:rsid w:val="35955D14"/>
    <w:rsid w:val="36AA5135"/>
    <w:rsid w:val="376D39B2"/>
    <w:rsid w:val="37E16F03"/>
    <w:rsid w:val="38D469F0"/>
    <w:rsid w:val="3D98207C"/>
    <w:rsid w:val="3E78745D"/>
    <w:rsid w:val="40A41E3E"/>
    <w:rsid w:val="44E268DA"/>
    <w:rsid w:val="486A50DB"/>
    <w:rsid w:val="49667651"/>
    <w:rsid w:val="4A627F82"/>
    <w:rsid w:val="4B0E749A"/>
    <w:rsid w:val="4B490FD8"/>
    <w:rsid w:val="4B4F25DA"/>
    <w:rsid w:val="4BE068DB"/>
    <w:rsid w:val="4D577224"/>
    <w:rsid w:val="4EAB630A"/>
    <w:rsid w:val="4ECE2238"/>
    <w:rsid w:val="537E6D0A"/>
    <w:rsid w:val="584177A4"/>
    <w:rsid w:val="5851771E"/>
    <w:rsid w:val="5895201C"/>
    <w:rsid w:val="5AF92295"/>
    <w:rsid w:val="5B96755C"/>
    <w:rsid w:val="5CD71FC4"/>
    <w:rsid w:val="612A5035"/>
    <w:rsid w:val="61E13602"/>
    <w:rsid w:val="627B1B61"/>
    <w:rsid w:val="6C4A05C8"/>
    <w:rsid w:val="6E7E3605"/>
    <w:rsid w:val="6FA348AB"/>
    <w:rsid w:val="6FF5CC65"/>
    <w:rsid w:val="715C0E4B"/>
    <w:rsid w:val="72734D90"/>
    <w:rsid w:val="73AD73D5"/>
    <w:rsid w:val="73B6EB34"/>
    <w:rsid w:val="744731E5"/>
    <w:rsid w:val="76D11CFE"/>
    <w:rsid w:val="76E3355F"/>
    <w:rsid w:val="778769C8"/>
    <w:rsid w:val="793824E3"/>
    <w:rsid w:val="79A56D44"/>
    <w:rsid w:val="79DF3502"/>
    <w:rsid w:val="79EE5BA4"/>
    <w:rsid w:val="7A894339"/>
    <w:rsid w:val="7CCB71F0"/>
    <w:rsid w:val="7DB42541"/>
    <w:rsid w:val="7EA877E8"/>
    <w:rsid w:val="7EEF11D3"/>
    <w:rsid w:val="7F4339B5"/>
    <w:rsid w:val="7FA30C79"/>
    <w:rsid w:val="7FB7269E"/>
    <w:rsid w:val="7FC96657"/>
    <w:rsid w:val="7FFE9716"/>
    <w:rsid w:val="D8D6DB89"/>
    <w:rsid w:val="DB6F4CAB"/>
    <w:rsid w:val="DF6F9789"/>
    <w:rsid w:val="F9FFD9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w:basedOn w:val="2"/>
    <w:qFormat/>
    <w:uiPriority w:val="0"/>
    <w:pPr>
      <w:ind w:firstLine="420" w:firstLineChars="100"/>
    </w:pPr>
  </w:style>
  <w:style w:type="paragraph" w:styleId="16">
    <w:name w:val="Body Text First Indent 2"/>
    <w:basedOn w:val="6"/>
    <w:next w:val="1"/>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1"/>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0"/>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3"/>
    <w:qFormat/>
    <w:uiPriority w:val="9"/>
    <w:rPr>
      <w:rFonts w:ascii="Times New Roman" w:hAnsi="Times New Roman"/>
      <w:b/>
      <w:bCs/>
      <w:kern w:val="44"/>
      <w:sz w:val="44"/>
      <w:szCs w:val="44"/>
    </w:rPr>
  </w:style>
  <w:style w:type="character" w:customStyle="1" w:styleId="31">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9"/>
    <w:semiHidden/>
    <w:qFormat/>
    <w:uiPriority w:val="99"/>
    <w:rPr>
      <w:rFonts w:ascii="Times New Roman" w:hAnsi="Times New Roman"/>
      <w:kern w:val="2"/>
      <w:sz w:val="18"/>
      <w:szCs w:val="18"/>
    </w:rPr>
  </w:style>
  <w:style w:type="character" w:customStyle="1" w:styleId="34">
    <w:name w:val="标题 3 字符"/>
    <w:basedOn w:val="18"/>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character" w:customStyle="1" w:styleId="37">
    <w:name w:val="font41"/>
    <w:basedOn w:val="18"/>
    <w:qFormat/>
    <w:uiPriority w:val="0"/>
    <w:rPr>
      <w:rFonts w:hint="eastAsia" w:ascii="宋体" w:hAnsi="宋体" w:eastAsia="宋体" w:cs="宋体"/>
      <w:color w:val="000000"/>
      <w:sz w:val="20"/>
      <w:szCs w:val="20"/>
      <w:u w:val="none"/>
    </w:rPr>
  </w:style>
  <w:style w:type="character" w:customStyle="1" w:styleId="38">
    <w:name w:val="font11"/>
    <w:basedOn w:val="18"/>
    <w:qFormat/>
    <w:uiPriority w:val="0"/>
    <w:rPr>
      <w:rFonts w:hint="eastAsia" w:ascii="宋体" w:hAnsi="宋体" w:eastAsia="宋体" w:cs="宋体"/>
      <w:color w:val="000000"/>
      <w:sz w:val="20"/>
      <w:szCs w:val="20"/>
      <w:u w:val="none"/>
    </w:rPr>
  </w:style>
  <w:style w:type="character" w:customStyle="1" w:styleId="39">
    <w:name w:val="标题 1 Char"/>
    <w:basedOn w:val="18"/>
    <w:link w:val="3"/>
    <w:qFormat/>
    <w:uiPriority w:val="9"/>
    <w:rPr>
      <w:rFonts w:ascii="Times New Roman" w:hAnsi="Times New Roman"/>
      <w:b/>
      <w:bCs/>
      <w:kern w:val="44"/>
      <w:sz w:val="44"/>
      <w:szCs w:val="44"/>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paragraph" w:customStyle="1" w:styleId="4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11</TotalTime>
  <ScaleCrop>false</ScaleCrop>
  <LinksUpToDate>false</LinksUpToDate>
  <CharactersWithSpaces>8226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2023-12-13T10:00:14Z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76B0E9AB67734E1D811E9E64AC1DB872_12</vt:lpwstr>
  </property>
</Properties>
</file>