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77425"/>
      <w:bookmarkStart w:id="2" w:name="_Toc15378441"/>
      <w:bookmarkStart w:id="3" w:name="_Toc1539647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keepNext w:val="0"/>
        <w:keepLines w:val="0"/>
        <w:widowControl/>
        <w:suppressLineNumbers w:val="0"/>
        <w:jc w:val="center"/>
      </w:pPr>
      <w:bookmarkStart w:id="6" w:name="_Toc15377426"/>
      <w:bookmarkStart w:id="7" w:name="_Toc15306268"/>
      <w:bookmarkStart w:id="8" w:name="_Toc15396598"/>
      <w:bookmarkStart w:id="9" w:name="_Toc15377194"/>
      <w:bookmarkStart w:id="10" w:name="_Toc15378442"/>
      <w:bookmarkStart w:id="11" w:name="_Toc15396476"/>
      <w:r>
        <w:rPr>
          <w:rFonts w:ascii="微软雅黑" w:hAnsi="微软雅黑" w:eastAsia="微软雅黑" w:cs="微软雅黑"/>
          <w:color w:val="000000"/>
          <w:kern w:val="0"/>
          <w:sz w:val="72"/>
          <w:szCs w:val="72"/>
          <w:lang w:val="en-US" w:eastAsia="zh-CN" w:bidi="ar"/>
        </w:rPr>
        <w:t>剑阁县汉阳镇人民政府决</w:t>
      </w:r>
    </w:p>
    <w:p>
      <w:pPr>
        <w:keepNext w:val="0"/>
        <w:keepLines w:val="0"/>
        <w:widowControl/>
        <w:suppressLineNumbers w:val="0"/>
        <w:jc w:val="center"/>
      </w:pPr>
      <w:r>
        <w:rPr>
          <w:rFonts w:hint="eastAsia" w:ascii="微软雅黑" w:hAnsi="微软雅黑" w:eastAsia="微软雅黑" w:cs="微软雅黑"/>
          <w:color w:val="000000"/>
          <w:kern w:val="0"/>
          <w:sz w:val="72"/>
          <w:szCs w:val="72"/>
          <w:lang w:val="en-US" w:eastAsia="zh-CN" w:bidi="ar"/>
        </w:rPr>
        <w:t>算</w:t>
      </w:r>
    </w:p>
    <w:bookmarkEnd w:id="6"/>
    <w:bookmarkEnd w:id="7"/>
    <w:bookmarkEnd w:id="8"/>
    <w:bookmarkEnd w:id="9"/>
    <w:bookmarkEnd w:id="10"/>
    <w:bookmarkEnd w:id="11"/>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3"/>
        <w:adjustRightInd w:val="0"/>
        <w:snapToGrid w:val="0"/>
        <w:spacing w:line="440" w:lineRule="exact"/>
        <w:jc w:val="left"/>
        <w:rPr>
          <w:sz w:val="24"/>
        </w:rPr>
      </w:pPr>
      <w:r>
        <w:rPr>
          <w:rFonts w:hint="eastAsia"/>
          <w:sz w:val="24"/>
        </w:rPr>
        <w:t>一、部门职责及重点</w:t>
      </w:r>
      <w:r>
        <w:rPr>
          <w:sz w:val="24"/>
        </w:rPr>
        <w:t>工作</w:t>
      </w:r>
    </w:p>
    <w:p>
      <w:pPr>
        <w:pStyle w:val="13"/>
        <w:adjustRightInd w:val="0"/>
        <w:snapToGrid w:val="0"/>
        <w:spacing w:line="440" w:lineRule="exact"/>
        <w:jc w:val="left"/>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(一)部门</w:t>
      </w:r>
      <w:r>
        <w:rPr>
          <w:rFonts w:ascii="Times New Roman" w:hAnsi="Times New Roman" w:eastAsia="宋体" w:cs="Times New Roman"/>
          <w:b w:val="0"/>
          <w:bCs w:val="0"/>
          <w:sz w:val="24"/>
          <w:szCs w:val="24"/>
        </w:rPr>
        <w:t>职责</w:t>
      </w:r>
    </w:p>
    <w:p>
      <w:pPr>
        <w:pStyle w:val="13"/>
        <w:adjustRightInd w:val="0"/>
        <w:snapToGrid w:val="0"/>
        <w:spacing w:line="440" w:lineRule="exact"/>
        <w:ind w:left="0" w:leftChars="0" w:firstLine="240" w:firstLineChars="100"/>
        <w:jc w:val="left"/>
        <w:rPr>
          <w:rFonts w:ascii="仿宋" w:hAnsi="仿宋" w:eastAsia="仿宋"/>
          <w:sz w:val="24"/>
        </w:rPr>
      </w:pPr>
      <w:r>
        <w:rPr>
          <w:rFonts w:hint="eastAsia"/>
          <w:sz w:val="24"/>
        </w:rPr>
        <w:t>（二）2022年重点工作完成情况</w:t>
      </w:r>
    </w:p>
    <w:p>
      <w:pPr>
        <w:pStyle w:val="13"/>
        <w:adjustRightInd w:val="0"/>
        <w:snapToGrid w:val="0"/>
        <w:spacing w:line="440" w:lineRule="exact"/>
        <w:jc w:val="left"/>
        <w:rPr>
          <w:rFonts w:ascii="仿宋" w:hAnsi="仿宋" w:eastAsia="仿宋" w:cstheme="minorBidi"/>
          <w:sz w:val="24"/>
        </w:rPr>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2022年度部门决算情况说明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13"/>
        <w:adjustRightInd w:val="0"/>
        <w:snapToGrid w:val="0"/>
        <w:spacing w:line="440" w:lineRule="exact"/>
        <w:jc w:val="left"/>
        <w:rPr>
          <w:rFonts w:hint="eastAsia" w:ascii="黑体" w:hAnsi="黑体" w:eastAsia="黑体" w:cstheme="majorBidi"/>
          <w:b w:val="0"/>
          <w:bCs/>
          <w:kern w:val="2"/>
          <w:sz w:val="32"/>
          <w:szCs w:val="32"/>
          <w:lang w:val="en-US" w:eastAsia="zh-CN" w:bidi="ar-SA"/>
        </w:rPr>
      </w:pPr>
      <w:r>
        <w:rPr>
          <w:rFonts w:hint="eastAsia" w:ascii="黑体" w:hAnsi="黑体" w:eastAsia="黑体" w:cstheme="majorBidi"/>
          <w:b w:val="0"/>
          <w:bCs/>
          <w:kern w:val="2"/>
          <w:sz w:val="32"/>
          <w:szCs w:val="32"/>
          <w:lang w:val="en-US" w:eastAsia="zh-CN" w:bidi="ar-SA"/>
        </w:rPr>
        <w:t>一、部门职责及重点工作</w:t>
      </w:r>
    </w:p>
    <w:p>
      <w:pPr>
        <w:keepNext w:val="0"/>
        <w:keepLines w:val="0"/>
        <w:widowControl/>
        <w:suppressLineNumbers w:val="0"/>
        <w:jc w:val="left"/>
      </w:pPr>
      <w:r>
        <w:rPr>
          <w:rFonts w:hint="eastAsia"/>
          <w:lang w:val="en-US" w:eastAsia="zh-CN"/>
        </w:rPr>
        <w:t xml:space="preserve">     </w:t>
      </w:r>
      <w:r>
        <w:rPr>
          <w:rFonts w:hint="eastAsia" w:ascii="仿宋" w:hAnsi="仿宋" w:eastAsia="仿宋" w:cs="仿宋"/>
          <w:color w:val="000000"/>
          <w:kern w:val="0"/>
          <w:sz w:val="31"/>
          <w:szCs w:val="31"/>
          <w:lang w:val="en-US" w:eastAsia="zh-CN" w:bidi="ar"/>
        </w:rPr>
        <w:t>(一)部门职责</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1、制定和组织实施经济、科技和社会发展计划，制定资源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开发技术改造和产业结构调整方案，组织指导好各业生产，搞好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商品流通，协调好本镇与外地区的经济交流与合作，抓好招商引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资，人才引进项目开发，不断培育市场体系，组织经济运行，促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进经济发展。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2、制定并组织实施村镇建设规划，部署重点工程建设，地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方道路建设及公共设施，水利设施的管理，负责土地、林木、水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等自然资源和生态环境的保护，做好护林防火工作。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3、负责本行政区域内的民政、计划生育、文化教育、卫生、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体育等社会公益事业的综合性工作，维护一切经济单位和个人的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正当经济权益，取缔非法经济活动，调解和处理民事纠纷，打击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刑事犯罪维护社会稳定。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4、按计划组织本级财政收入和地方税的征收，完成国家财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政计划，不断培植税源，管好财政资金，增强财政实力。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5、抓好精神文明建设，丰富群众文化生活，提倡移风易俗，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反对封建迷信，破除陈规陋习，树立社会主义新风尚。</w:t>
      </w:r>
    </w:p>
    <w:p>
      <w:pPr>
        <w:pStyle w:val="2"/>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（二）2022年重点工作完成情况</w:t>
      </w:r>
    </w:p>
    <w:p>
      <w:pPr>
        <w:pStyle w:val="2"/>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思想领航，政治建设行稳致远。镇领导班子围绕习近平新时代中国特色社会主义思想和党的二十大精神，邀请党的二十大代表邓小燕，市农业农村局党组书记、局长朱国勇，联系县领导周展宣讲党的二十大精神3次，组建8个“宣讲小分队”分别深入田间地头开展党的二十大精神宣讲9场次，组织党员干部到南充、广安、巴中、绵阳等地学习考察5次。一是注重学习质效，组织召开党委理论学习中心组学习研讨12次，开展“周三夜学”活动24期，专题研讨6次，撰写心得体会32篇，通过个人自学与集体学习相结合的方式，班子成员政治理论知识得到了稳步提高，政治素养得到进一步提升。二是落实工作责任，全面落实党委的国家安全责任制、安全生产工作责任、消防工作责任、食品安全责任制、粮食安全和耕地保护、自然资源资产管理和生态环境保护责任等，自觉在政治原则、政治立场、政治观点和执行党的方针、政策上，同以习近平同志为核心的党中央保持高度一致。三是紧绷纪律红线，时刻将党纪、国法挺在前面，绝不做损害群众利益的事，绝不做损害国家利益的事，绝不做违反政治纪律和政治规矩的事，自觉抵制拉帮结派、搞小圈子等不正之风，坚决维护党的团结统一，不断增强“四个意识”，坚定“四个自信”，坚决做到“两个维护”。</w:t>
      </w:r>
    </w:p>
    <w:p>
      <w:pPr>
        <w:pStyle w:val="2"/>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锚定目标，振兴步伐稳健有力。一是农业产业稳中向优。全镇今年大小春播面超22000亩，烟叶种植面积1800亩；在养殖业发展方面，新培育肉羊肉牛企业各1家，年度出栏生猪39744头、肉羊7328只、肉牛833头、剑门关土鸡42万余羽，全面完成县下各项任务。二是项目支撑乡村振兴。本年度，我镇共计争取各类乡村振兴衔接资金9400多万元，实施项目60个，涉及产业管护发展、东西部协作、广安对口帮扶、厕所革命、庭院建设等，资金量和项目数均居全县乡镇首位。得益于资金注入、项目实施，汉阳镇成功创建全市三个、全县唯一省级乡村振兴先进镇，剑北粮油现代农业园区获批广元市一等现代农业园区。三是招商引资资产投资成效显著。2022年固定资产投资入库7118万，超额完成9.51%，调度5708万，超额完成14.16%，引进内资企业3家，签约资金1.21亿元，完成率228%。耗时三天成功招引广元昊昱奇异果业有限公司，以“村集体经济+公司投入”对猕猴桃园进行标准化改造和管理，广元日报头版两次对我镇大抓猕猴桃经济予以报道。四是扎实推进防返贫动态监测。组织全镇86名帮扶责任人、3个驻村工作队、镇村干部30余人对全镇8个村496户脱贫户、20户监测户和2568户一般农户进行全覆盖走访，动态监测，年度新增监测户4户10人。</w:t>
      </w:r>
    </w:p>
    <w:p>
      <w:pPr>
        <w:pStyle w:val="2"/>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改善民生，幸福指数持续攀升。一是持续完善基础设施配套。完善镇、村、组三级路网结构，通过整合资源、聚合资金、项目打捆，新建水泥路9.7公里，窄路加宽8.7公里，整治山坪塘20口，拦河堰2道，微水池3口，河道2公里，提灌站3座，解决了群众出行难以及农户“饮水难”问题。二是征兵工作有序开展。2022年，春季征兵进站11人，双合格1人，参军1人，秋季征兵进站9人，双合格3人，参军2人。全面完成目标任务。三是社会保障按标落实。一体推进教育、卫生事业高质量发展，稳步提升教育质量和医疗水平。按时足额发放全镇391户490人农村低保、39户41人城镇低保，19人五保户、99人困难残疾人生活补贴，98人重度残疾人护理补贴，还向37人发放1.83万元的临时救助。开展就业培训53人次，送技下乡活动近百余次，新增返乡创业16人。</w:t>
      </w:r>
    </w:p>
    <w:p>
      <w:pPr>
        <w:pStyle w:val="2"/>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应对挑战，社会大局和谐稳定。一是做实疫情防控。建立疫情防控网格8个，组建疫情防控领导小组和大数据核查、隔离管控、重点场所督查工作专班，严格落实“三盯一”管控措施，统筹镇老促会、老龄协会等社团组织人力、物力，投入疫情防控阻击战，构筑群防群治抵御疫情的严密防线。疫情防控网格员经验在全省推广，疫情防控经验在市级疫情防控专刊刊载6期，多次在全市、全县疫情防控调度会上作经验交流发言。二是主动处置舆情化解矛盾。扛牢意识形态主体责任，严控官方信息披露渠道、联动部门处置、政民协同一心，成功从快从速稳妥处置“3.26狂犬病舆情”，挫败了所谓动保人士抹黑政府的阴谋，挽回政府形象，有利于提升政府公信力，被用作有力有效处置网络舆情典型上报，全镇共排查处理各类信访案件8件，受理率100%、满意率95%以上，常态化开展专项信访维稳工作20余次。三是狠抓安全生产。开展防灾减灾应急演练，加强森林防灭火、消防、交通安全等宣传活动。全年共开展安全生产摸排32次，闭环整改大小安全隐患12起，迅速平稳处置“1.6火情事件”，持续巩固安全生产整治行动成效。</w:t>
      </w:r>
    </w:p>
    <w:p>
      <w:pPr>
        <w:pStyle w:val="2"/>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党建引领，干部队伍全面加强。一是履行党委主体责任。坚持“第一责任人”职责，召开专题党建工作部署会议，全面落实党委书记及班子成员党支部联系点制度，建立党支部联系点11个，班子成员进村参加讲党课16次，组织召开支部书记述职大会1次，推动村级党组织全面履行主体责任。二是建强基层战斗堡垒。以党支部标准化规范化创建提升为抓手，全年共培养积极分子15名，接收预备党员6名，按期转正党员8名，培养后备干部6名，开展村常职干部培训2次，调整考察村常职干部6名，选聘名誉村主任8名，组织集体学习交流活动4次，壮岭村党支部被评为2021年度全市先进村党组织。三是狠抓党风廉政建设。全年召开党风廉政建设工作专题会4次，集中观看党风廉政警示教育片5场次，经常性廉政谈心谈话80余人次，持续深化干部纪律作风整顿，常态化开展明察暗访，督促镇村组干部认真履职，2022年查办党员干部违纪案件3起，给予党纪处分3人，书面诫勉谈话2人，诫勉谈话3人，筑牢党员干部不敢腐的思想防线。</w:t>
      </w:r>
    </w:p>
    <w:p>
      <w:pPr>
        <w:numPr>
          <w:ilvl w:val="0"/>
          <w:numId w:val="0"/>
        </w:numPr>
        <w:rPr>
          <w:rFonts w:hint="default" w:eastAsia="宋体"/>
          <w:lang w:val="en-US" w:eastAsia="zh-CN"/>
        </w:rPr>
      </w:pPr>
    </w:p>
    <w:p>
      <w:pPr>
        <w:pStyle w:val="4"/>
        <w:rPr>
          <w:rStyle w:val="30"/>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pPr>
        <w:ind w:firstLine="775" w:firstLineChars="250"/>
        <w:rPr>
          <w:rFonts w:ascii="仿宋" w:hAnsi="仿宋" w:eastAsia="仿宋"/>
          <w:sz w:val="32"/>
          <w:szCs w:val="32"/>
        </w:rPr>
      </w:pPr>
      <w:r>
        <w:rPr>
          <w:rFonts w:ascii="仿宋" w:hAnsi="仿宋" w:eastAsia="仿宋" w:cs="仿宋"/>
          <w:color w:val="000000"/>
          <w:kern w:val="0"/>
          <w:sz w:val="31"/>
          <w:szCs w:val="31"/>
          <w:lang w:val="en-US" w:eastAsia="zh-CN" w:bidi="ar"/>
        </w:rPr>
        <w:t>剑阁县汉阳镇人民政府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w:t>
      </w:r>
      <w:r>
        <w:rPr>
          <w:rFonts w:hint="eastAsia" w:ascii="仿宋" w:hAnsi="仿宋" w:eastAsia="仿宋"/>
          <w:sz w:val="32"/>
          <w:szCs w:val="32"/>
          <w:lang w:val="en-US" w:eastAsia="zh-CN"/>
        </w:rPr>
        <w:t>汉阳</w:t>
      </w:r>
      <w:r>
        <w:rPr>
          <w:rFonts w:hint="eastAsia" w:ascii="仿宋" w:hAnsi="仿宋" w:eastAsia="仿宋"/>
          <w:sz w:val="32"/>
          <w:szCs w:val="32"/>
          <w:lang w:eastAsia="zh-CN"/>
        </w:rPr>
        <w:t>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keepNext w:val="0"/>
        <w:keepLines w:val="0"/>
        <w:widowControl/>
        <w:suppressLineNumbers w:val="0"/>
        <w:jc w:val="left"/>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9"/>
          <w:rFonts w:hint="eastAsia" w:ascii="黑体" w:hAnsi="黑体" w:eastAsia="黑体"/>
          <w:b w:val="0"/>
          <w:bCs/>
        </w:rPr>
        <w:t>部门决算情况说明</w:t>
      </w:r>
      <w:bookmarkEnd w:id="16"/>
      <w:bookmarkEnd w:id="17"/>
    </w:p>
    <w:p/>
    <w:p>
      <w:pPr>
        <w:pStyle w:val="28"/>
        <w:numPr>
          <w:ilvl w:val="0"/>
          <w:numId w:val="1"/>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keepNext w:val="0"/>
        <w:keepLines w:val="0"/>
        <w:widowControl/>
        <w:suppressLineNumbers w:val="0"/>
        <w:ind w:firstLine="640" w:firstLineChars="200"/>
        <w:jc w:val="left"/>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1152.02</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1152.02</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ascii="仿宋" w:hAnsi="仿宋" w:eastAsia="仿宋" w:cs="仿宋"/>
          <w:color w:val="000000"/>
          <w:kern w:val="0"/>
          <w:sz w:val="31"/>
          <w:szCs w:val="31"/>
          <w:lang w:val="en-US" w:eastAsia="zh-CN" w:bidi="ar"/>
        </w:rPr>
        <w:t>1020.54</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131.48</w:t>
      </w:r>
      <w:r>
        <w:rPr>
          <w:rFonts w:hint="eastAsia" w:ascii="仿宋" w:hAnsi="仿宋" w:eastAsia="仿宋"/>
          <w:sz w:val="32"/>
          <w:szCs w:val="32"/>
        </w:rPr>
        <w:t>万元，增长</w:t>
      </w:r>
      <w:r>
        <w:rPr>
          <w:rFonts w:hint="eastAsia" w:ascii="仿宋" w:hAnsi="仿宋" w:eastAsia="仿宋"/>
          <w:sz w:val="32"/>
          <w:szCs w:val="32"/>
          <w:lang w:val="en-US" w:eastAsia="zh-CN"/>
        </w:rPr>
        <w:t>12.88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ascii="仿宋" w:hAnsi="仿宋" w:eastAsia="仿宋" w:cs="仿宋"/>
          <w:color w:val="000000"/>
          <w:kern w:val="0"/>
          <w:sz w:val="31"/>
          <w:szCs w:val="31"/>
          <w:lang w:val="en-US" w:eastAsia="zh-CN" w:bidi="ar"/>
        </w:rPr>
        <w:t>938.81</w:t>
      </w:r>
    </w:p>
    <w:p>
      <w:pPr>
        <w:keepNext w:val="0"/>
        <w:keepLines w:val="0"/>
        <w:widowControl/>
        <w:suppressLineNumbers w:val="0"/>
        <w:jc w:val="left"/>
        <w:rPr>
          <w:rFonts w:hint="eastAsia" w:ascii="仿宋" w:hAnsi="仿宋" w:eastAsia="仿宋"/>
          <w:sz w:val="32"/>
          <w:szCs w:val="32"/>
        </w:rPr>
      </w:pP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213.21</w:t>
      </w:r>
      <w:r>
        <w:rPr>
          <w:rFonts w:hint="eastAsia" w:ascii="仿宋" w:hAnsi="仿宋" w:eastAsia="仿宋"/>
          <w:sz w:val="32"/>
          <w:szCs w:val="32"/>
        </w:rPr>
        <w:t>万元，增长</w:t>
      </w:r>
      <w:r>
        <w:rPr>
          <w:rFonts w:hint="eastAsia" w:ascii="仿宋" w:hAnsi="仿宋" w:eastAsia="仿宋"/>
          <w:sz w:val="32"/>
          <w:szCs w:val="32"/>
          <w:lang w:val="en-US" w:eastAsia="zh-CN"/>
        </w:rPr>
        <w:t>22.71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pStyle w:val="15"/>
        <w:rPr>
          <w:rFonts w:hint="eastAsia" w:eastAsia="仿宋"/>
          <w:lang w:eastAsia="zh-CN"/>
        </w:rPr>
      </w:pPr>
      <w:r>
        <w:rPr>
          <w:rFonts w:hint="eastAsia" w:eastAsia="仿宋"/>
          <w:lang w:eastAsia="zh-CN"/>
        </w:rPr>
        <w:drawing>
          <wp:inline distT="0" distB="0" distL="114300" distR="114300">
            <wp:extent cx="4495165" cy="2854960"/>
            <wp:effectExtent l="4445"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1152.02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1070.29</w:t>
      </w:r>
      <w:r>
        <w:rPr>
          <w:rFonts w:hint="eastAsia" w:ascii="仿宋" w:hAnsi="仿宋" w:eastAsia="仿宋"/>
          <w:sz w:val="32"/>
          <w:szCs w:val="32"/>
        </w:rPr>
        <w:t>万元，占</w:t>
      </w:r>
      <w:r>
        <w:rPr>
          <w:rFonts w:hint="eastAsia" w:ascii="仿宋" w:hAnsi="仿宋" w:eastAsia="仿宋"/>
          <w:sz w:val="32"/>
          <w:szCs w:val="32"/>
          <w:lang w:val="en-US" w:eastAsia="zh-CN"/>
        </w:rPr>
        <w:t>92.91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上年结转81.73万元，</w:t>
      </w:r>
      <w:r>
        <w:rPr>
          <w:rFonts w:hint="eastAsia" w:ascii="仿宋" w:hAnsi="仿宋" w:eastAsia="仿宋"/>
          <w:sz w:val="32"/>
          <w:szCs w:val="32"/>
        </w:rPr>
        <w:t>占</w:t>
      </w:r>
      <w:r>
        <w:rPr>
          <w:rFonts w:hint="eastAsia" w:ascii="仿宋" w:hAnsi="仿宋" w:eastAsia="仿宋"/>
          <w:sz w:val="32"/>
          <w:szCs w:val="32"/>
          <w:lang w:val="en-US" w:eastAsia="zh-CN"/>
        </w:rPr>
        <w:t>7.09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无</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无</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无</w:t>
      </w:r>
      <w:r>
        <w:rPr>
          <w:rFonts w:hint="eastAsia" w:ascii="仿宋" w:hAnsi="仿宋" w:eastAsia="仿宋"/>
          <w:sz w:val="32"/>
          <w:szCs w:val="32"/>
        </w:rPr>
        <w:t>上级补助收入；</w:t>
      </w:r>
      <w:r>
        <w:rPr>
          <w:rFonts w:hint="eastAsia" w:ascii="仿宋" w:hAnsi="仿宋" w:eastAsia="仿宋"/>
          <w:sz w:val="32"/>
          <w:szCs w:val="32"/>
          <w:lang w:val="en-US" w:eastAsia="zh-CN"/>
        </w:rPr>
        <w:t>无</w:t>
      </w:r>
      <w:r>
        <w:rPr>
          <w:rFonts w:hint="eastAsia" w:ascii="仿宋" w:hAnsi="仿宋" w:eastAsia="仿宋"/>
          <w:sz w:val="32"/>
          <w:szCs w:val="32"/>
        </w:rPr>
        <w:t>事业收入；</w:t>
      </w:r>
      <w:r>
        <w:rPr>
          <w:rFonts w:hint="eastAsia" w:ascii="仿宋" w:hAnsi="仿宋" w:eastAsia="仿宋"/>
          <w:sz w:val="32"/>
          <w:szCs w:val="32"/>
          <w:lang w:val="en-US" w:eastAsia="zh-CN"/>
        </w:rPr>
        <w:t>无</w:t>
      </w:r>
      <w:r>
        <w:rPr>
          <w:rFonts w:hint="eastAsia" w:ascii="仿宋" w:hAnsi="仿宋" w:eastAsia="仿宋"/>
          <w:sz w:val="32"/>
          <w:szCs w:val="32"/>
        </w:rPr>
        <w:t>经营收入；</w:t>
      </w:r>
      <w:r>
        <w:rPr>
          <w:rFonts w:hint="eastAsia" w:ascii="仿宋" w:hAnsi="仿宋" w:eastAsia="仿宋"/>
          <w:sz w:val="32"/>
          <w:szCs w:val="32"/>
          <w:lang w:val="en-US" w:eastAsia="zh-CN"/>
        </w:rPr>
        <w:t>无</w:t>
      </w:r>
      <w:r>
        <w:rPr>
          <w:rFonts w:hint="eastAsia" w:ascii="仿宋" w:hAnsi="仿宋" w:eastAsia="仿宋"/>
          <w:sz w:val="32"/>
          <w:szCs w:val="32"/>
        </w:rPr>
        <w:t>附属单位上缴收入；</w:t>
      </w:r>
      <w:r>
        <w:rPr>
          <w:rFonts w:hint="eastAsia" w:ascii="仿宋" w:hAnsi="仿宋" w:eastAsia="仿宋"/>
          <w:sz w:val="32"/>
          <w:szCs w:val="32"/>
          <w:lang w:val="en-US" w:eastAsia="zh-CN"/>
        </w:rPr>
        <w:t>无</w:t>
      </w:r>
      <w:r>
        <w:rPr>
          <w:rFonts w:hint="eastAsia" w:ascii="仿宋" w:hAnsi="仿宋" w:eastAsia="仿宋"/>
          <w:sz w:val="32"/>
          <w:szCs w:val="32"/>
        </w:rPr>
        <w:t>其他收入。</w:t>
      </w:r>
    </w:p>
    <w:p>
      <w:pPr>
        <w:spacing w:afterAutospacing="0"/>
      </w:pPr>
      <w:r>
        <w:rPr>
          <w:rFonts w:hint="eastAsia" w:ascii="仿宋" w:hAnsi="仿宋" w:eastAsia="仿宋"/>
          <w:sz w:val="32"/>
          <w:szCs w:val="32"/>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8"/>
        <w:numPr>
          <w:ilvl w:val="0"/>
          <w:numId w:val="1"/>
        </w:numPr>
        <w:spacing w:line="600" w:lineRule="exact"/>
        <w:ind w:firstLineChars="0"/>
        <w:outlineLvl w:val="1"/>
        <w:rPr>
          <w:rStyle w:val="30"/>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1152.02</w:t>
      </w:r>
      <w:r>
        <w:rPr>
          <w:rFonts w:hint="eastAsia" w:ascii="仿宋" w:hAnsi="仿宋" w:eastAsia="仿宋"/>
          <w:sz w:val="32"/>
          <w:szCs w:val="32"/>
        </w:rPr>
        <w:t>万元，其中：基本支出</w:t>
      </w:r>
      <w:r>
        <w:rPr>
          <w:rFonts w:hint="eastAsia" w:ascii="仿宋" w:hAnsi="仿宋" w:eastAsia="仿宋"/>
          <w:sz w:val="32"/>
          <w:szCs w:val="32"/>
          <w:lang w:val="en-US" w:eastAsia="zh-CN"/>
        </w:rPr>
        <w:t>764.13</w:t>
      </w:r>
      <w:r>
        <w:rPr>
          <w:rFonts w:hint="eastAsia" w:ascii="仿宋" w:hAnsi="仿宋" w:eastAsia="仿宋"/>
          <w:sz w:val="32"/>
          <w:szCs w:val="32"/>
        </w:rPr>
        <w:t>万元，占</w:t>
      </w:r>
      <w:r>
        <w:rPr>
          <w:rFonts w:hint="eastAsia" w:ascii="仿宋" w:hAnsi="仿宋" w:eastAsia="仿宋"/>
          <w:sz w:val="32"/>
          <w:szCs w:val="32"/>
          <w:lang w:val="en-US" w:eastAsia="zh-CN"/>
        </w:rPr>
        <w:t>66.33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387.89</w:t>
      </w:r>
      <w:r>
        <w:rPr>
          <w:rFonts w:hint="eastAsia" w:ascii="仿宋" w:hAnsi="仿宋" w:eastAsia="仿宋"/>
          <w:sz w:val="32"/>
          <w:szCs w:val="32"/>
        </w:rPr>
        <w:t>万元，占</w:t>
      </w:r>
      <w:r>
        <w:rPr>
          <w:rFonts w:hint="eastAsia" w:ascii="仿宋" w:hAnsi="仿宋" w:eastAsia="仿宋"/>
          <w:sz w:val="32"/>
          <w:szCs w:val="32"/>
          <w:lang w:val="en-US" w:eastAsia="zh-CN"/>
        </w:rPr>
        <w:t>33.67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无</w:t>
      </w:r>
      <w:r>
        <w:rPr>
          <w:rFonts w:hint="eastAsia" w:ascii="仿宋" w:hAnsi="仿宋" w:eastAsia="仿宋"/>
          <w:sz w:val="32"/>
          <w:szCs w:val="32"/>
        </w:rPr>
        <w:t>上缴上级支出；</w:t>
      </w:r>
      <w:r>
        <w:rPr>
          <w:rFonts w:hint="eastAsia" w:ascii="仿宋" w:hAnsi="仿宋" w:eastAsia="仿宋"/>
          <w:sz w:val="32"/>
          <w:szCs w:val="32"/>
          <w:lang w:val="en-US" w:eastAsia="zh-CN"/>
        </w:rPr>
        <w:t>无</w:t>
      </w:r>
      <w:r>
        <w:rPr>
          <w:rFonts w:hint="eastAsia" w:ascii="仿宋" w:hAnsi="仿宋" w:eastAsia="仿宋"/>
          <w:sz w:val="32"/>
          <w:szCs w:val="32"/>
        </w:rPr>
        <w:t>经营支出；</w:t>
      </w:r>
      <w:r>
        <w:rPr>
          <w:rFonts w:hint="eastAsia" w:ascii="仿宋" w:hAnsi="仿宋" w:eastAsia="仿宋"/>
          <w:sz w:val="32"/>
          <w:szCs w:val="32"/>
          <w:lang w:val="en-US" w:eastAsia="zh-CN"/>
        </w:rPr>
        <w:t>无</w:t>
      </w:r>
      <w:r>
        <w:rPr>
          <w:rFonts w:hint="eastAsia" w:ascii="仿宋" w:hAnsi="仿宋" w:eastAsia="仿宋"/>
          <w:sz w:val="32"/>
          <w:szCs w:val="32"/>
        </w:rPr>
        <w:t>对附属单位补助支出。</w:t>
      </w:r>
    </w:p>
    <w:p>
      <w:pPr>
        <w:pStyle w:val="15"/>
        <w:ind w:left="0" w:leftChars="0" w:firstLine="0" w:firstLineChars="0"/>
        <w:rPr>
          <w:rFonts w:hint="eastAsia" w:eastAsia="仿宋"/>
          <w:lang w:eastAsia="zh-CN"/>
        </w:rPr>
      </w:pPr>
      <w:r>
        <w:rPr>
          <w:rFonts w:hint="eastAsia" w:eastAsia="仿宋"/>
          <w:lang w:eastAsia="zh-CN"/>
        </w:rPr>
        <w:drawing>
          <wp:inline distT="0" distB="0" distL="114300" distR="114300">
            <wp:extent cx="5418455" cy="1960880"/>
            <wp:effectExtent l="4445" t="4445" r="6350" b="1587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keepNext w:val="0"/>
        <w:keepLines w:val="0"/>
        <w:widowControl/>
        <w:suppressLineNumbers w:val="0"/>
        <w:ind w:firstLine="640" w:firstLineChars="200"/>
        <w:jc w:val="lef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w:t>
      </w:r>
      <w:r>
        <w:rPr>
          <w:rFonts w:hint="eastAsia" w:ascii="仿宋" w:hAnsi="仿宋" w:eastAsia="仿宋"/>
          <w:sz w:val="32"/>
          <w:szCs w:val="32"/>
          <w:lang w:val="en-US" w:eastAsia="zh-CN"/>
        </w:rPr>
        <w:t>收入总计1152.02</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1152.02</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ascii="仿宋" w:hAnsi="仿宋" w:eastAsia="仿宋" w:cs="仿宋"/>
          <w:color w:val="000000"/>
          <w:kern w:val="0"/>
          <w:sz w:val="31"/>
          <w:szCs w:val="31"/>
          <w:lang w:val="en-US" w:eastAsia="zh-CN" w:bidi="ar"/>
        </w:rPr>
        <w:t>1020.54</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总计增加</w:t>
      </w:r>
      <w:r>
        <w:rPr>
          <w:rFonts w:hint="eastAsia" w:ascii="仿宋" w:hAnsi="仿宋" w:eastAsia="仿宋"/>
          <w:sz w:val="32"/>
          <w:szCs w:val="32"/>
          <w:lang w:val="en-US" w:eastAsia="zh-CN"/>
        </w:rPr>
        <w:t>131.48</w:t>
      </w:r>
      <w:r>
        <w:rPr>
          <w:rFonts w:hint="eastAsia" w:ascii="仿宋" w:hAnsi="仿宋" w:eastAsia="仿宋"/>
          <w:sz w:val="32"/>
          <w:szCs w:val="32"/>
        </w:rPr>
        <w:t>万元，增长</w:t>
      </w:r>
      <w:r>
        <w:rPr>
          <w:rFonts w:hint="eastAsia" w:ascii="仿宋" w:hAnsi="仿宋" w:eastAsia="仿宋"/>
          <w:sz w:val="32"/>
          <w:szCs w:val="32"/>
          <w:lang w:val="en-US" w:eastAsia="zh-CN"/>
        </w:rPr>
        <w:t>12.88</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ascii="仿宋" w:hAnsi="仿宋" w:eastAsia="仿宋" w:cs="仿宋"/>
          <w:color w:val="000000"/>
          <w:kern w:val="0"/>
          <w:sz w:val="31"/>
          <w:szCs w:val="31"/>
          <w:lang w:val="en-US" w:eastAsia="zh-CN" w:bidi="ar"/>
        </w:rPr>
        <w:t>938.81</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总计增加</w:t>
      </w:r>
      <w:r>
        <w:rPr>
          <w:rFonts w:hint="eastAsia" w:ascii="仿宋" w:hAnsi="仿宋" w:eastAsia="仿宋"/>
          <w:sz w:val="32"/>
          <w:szCs w:val="32"/>
          <w:lang w:val="en-US" w:eastAsia="zh-CN"/>
        </w:rPr>
        <w:t>213.21</w:t>
      </w:r>
      <w:r>
        <w:rPr>
          <w:rFonts w:hint="eastAsia" w:ascii="仿宋" w:hAnsi="仿宋" w:eastAsia="仿宋"/>
          <w:sz w:val="32"/>
          <w:szCs w:val="32"/>
        </w:rPr>
        <w:t>万元，增长</w:t>
      </w:r>
      <w:r>
        <w:rPr>
          <w:rFonts w:hint="eastAsia" w:ascii="仿宋" w:hAnsi="仿宋" w:eastAsia="仿宋"/>
          <w:sz w:val="32"/>
          <w:szCs w:val="32"/>
          <w:lang w:val="en-US" w:eastAsia="zh-CN"/>
        </w:rPr>
        <w:t>22.71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eastAsia="zh-CN"/>
        </w:rPr>
        <w:t>职工五险一金计提增多，项目增多</w:t>
      </w:r>
      <w:r>
        <w:rPr>
          <w:rFonts w:hint="eastAsia" w:ascii="仿宋" w:hAnsi="仿宋" w:eastAsia="仿宋"/>
          <w:sz w:val="32"/>
          <w:szCs w:val="32"/>
        </w:rPr>
        <w:t>。</w:t>
      </w:r>
    </w:p>
    <w:p>
      <w:pPr>
        <w:rPr>
          <w:rFonts w:hint="eastAsia" w:eastAsia="仿宋"/>
          <w:lang w:eastAsia="zh-CN"/>
        </w:rPr>
      </w:pPr>
      <w:r>
        <w:rPr>
          <w:rFonts w:hint="eastAsia" w:eastAsia="仿宋"/>
          <w:lang w:eastAsia="zh-CN"/>
        </w:rPr>
        <w:drawing>
          <wp:inline distT="0" distB="0" distL="114300" distR="114300">
            <wp:extent cx="5599430" cy="2750820"/>
            <wp:effectExtent l="4445" t="4445" r="15875" b="69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1152.02</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213.21</w:t>
      </w:r>
      <w:r>
        <w:rPr>
          <w:rFonts w:hint="eastAsia" w:ascii="仿宋" w:hAnsi="仿宋" w:eastAsia="仿宋"/>
          <w:sz w:val="32"/>
          <w:szCs w:val="32"/>
        </w:rPr>
        <w:t>万元，增长</w:t>
      </w:r>
      <w:r>
        <w:rPr>
          <w:rFonts w:hint="eastAsia" w:ascii="仿宋" w:hAnsi="仿宋" w:eastAsia="仿宋"/>
          <w:sz w:val="32"/>
          <w:szCs w:val="32"/>
          <w:lang w:val="en-US" w:eastAsia="zh-CN"/>
        </w:rPr>
        <w:t>22.71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农林水支出、</w:t>
      </w:r>
      <w:r>
        <w:rPr>
          <w:rFonts w:hint="eastAsia" w:ascii="仿宋" w:hAnsi="仿宋" w:eastAsia="仿宋"/>
          <w:sz w:val="32"/>
          <w:szCs w:val="32"/>
        </w:rPr>
        <w:t>社会保障和就业支出</w:t>
      </w:r>
      <w:r>
        <w:rPr>
          <w:rFonts w:hint="eastAsia" w:ascii="仿宋" w:hAnsi="仿宋" w:eastAsia="仿宋"/>
          <w:sz w:val="32"/>
          <w:szCs w:val="32"/>
          <w:lang w:val="en-US" w:eastAsia="zh-CN"/>
        </w:rPr>
        <w:t>增加。</w:t>
      </w:r>
    </w:p>
    <w:p>
      <w:pPr>
        <w:pStyle w:val="15"/>
      </w:pPr>
      <w: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28"/>
          <w:szCs w:val="28"/>
        </w:rPr>
      </w:pPr>
      <w:r>
        <w:rPr>
          <w:rFonts w:hint="eastAsia" w:ascii="仿宋" w:hAnsi="仿宋" w:eastAsia="仿宋"/>
          <w:sz w:val="28"/>
          <w:szCs w:val="28"/>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keepNext w:val="0"/>
        <w:keepLines w:val="0"/>
        <w:widowControl/>
        <w:suppressLineNumbers w:val="0"/>
        <w:ind w:firstLine="640" w:firstLineChars="200"/>
        <w:jc w:val="left"/>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1152.02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ascii="仿宋" w:hAnsi="仿宋" w:eastAsia="仿宋" w:cs="仿宋"/>
          <w:b/>
          <w:bCs/>
          <w:color w:val="000000"/>
          <w:kern w:val="0"/>
          <w:sz w:val="31"/>
          <w:szCs w:val="31"/>
          <w:lang w:val="en-US" w:eastAsia="zh-CN" w:bidi="ar"/>
        </w:rPr>
        <w:t>一般公共服务（类）</w:t>
      </w:r>
      <w:r>
        <w:rPr>
          <w:rFonts w:hint="eastAsia" w:ascii="仿宋" w:hAnsi="仿宋" w:eastAsia="仿宋" w:cs="仿宋"/>
          <w:color w:val="000000"/>
          <w:kern w:val="0"/>
          <w:sz w:val="31"/>
          <w:szCs w:val="31"/>
          <w:lang w:val="en-US" w:eastAsia="zh-CN" w:bidi="ar"/>
        </w:rPr>
        <w:t xml:space="preserve">支出 425.91万元，占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36.97%；</w:t>
      </w:r>
      <w:r>
        <w:rPr>
          <w:rFonts w:hint="eastAsia" w:ascii="仿宋" w:hAnsi="仿宋" w:eastAsia="仿宋" w:cs="仿宋"/>
          <w:b/>
          <w:bCs/>
          <w:color w:val="000000"/>
          <w:kern w:val="0"/>
          <w:sz w:val="31"/>
          <w:szCs w:val="31"/>
          <w:lang w:val="en-US" w:eastAsia="zh-CN" w:bidi="ar"/>
        </w:rPr>
        <w:t>国防（类）</w:t>
      </w:r>
      <w:r>
        <w:rPr>
          <w:rFonts w:hint="eastAsia" w:ascii="仿宋" w:hAnsi="仿宋" w:eastAsia="仿宋" w:cs="仿宋"/>
          <w:color w:val="000000"/>
          <w:kern w:val="0"/>
          <w:sz w:val="31"/>
          <w:szCs w:val="31"/>
          <w:lang w:val="en-US" w:eastAsia="zh-CN" w:bidi="ar"/>
        </w:rPr>
        <w:t>支出 0.5 万元，占 0.04%；</w:t>
      </w:r>
      <w:r>
        <w:rPr>
          <w:rFonts w:hint="eastAsia" w:ascii="仿宋" w:hAnsi="仿宋" w:eastAsia="仿宋" w:cs="仿宋"/>
          <w:b/>
          <w:bCs/>
          <w:color w:val="000000"/>
          <w:kern w:val="0"/>
          <w:sz w:val="31"/>
          <w:szCs w:val="31"/>
          <w:lang w:val="en-US" w:eastAsia="zh-CN" w:bidi="ar"/>
        </w:rPr>
        <w:t xml:space="preserve">文化旅游体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育与传媒（类）</w:t>
      </w:r>
      <w:r>
        <w:rPr>
          <w:rFonts w:hint="eastAsia" w:ascii="仿宋" w:hAnsi="仿宋" w:eastAsia="仿宋" w:cs="仿宋"/>
          <w:color w:val="000000"/>
          <w:kern w:val="0"/>
          <w:sz w:val="31"/>
          <w:szCs w:val="31"/>
          <w:lang w:val="en-US" w:eastAsia="zh-CN" w:bidi="ar"/>
        </w:rPr>
        <w:t>支出 52.07 万元，占 4.42%；</w:t>
      </w:r>
      <w:r>
        <w:rPr>
          <w:rFonts w:hint="eastAsia" w:ascii="仿宋" w:hAnsi="仿宋" w:eastAsia="仿宋" w:cs="仿宋"/>
          <w:b/>
          <w:bCs/>
          <w:color w:val="000000"/>
          <w:kern w:val="0"/>
          <w:sz w:val="31"/>
          <w:szCs w:val="31"/>
          <w:lang w:val="en-US" w:eastAsia="zh-CN" w:bidi="ar"/>
        </w:rPr>
        <w:t xml:space="preserve">社会保障和就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业（类）</w:t>
      </w:r>
      <w:r>
        <w:rPr>
          <w:rFonts w:hint="eastAsia" w:ascii="仿宋" w:hAnsi="仿宋" w:eastAsia="仿宋" w:cs="仿宋"/>
          <w:color w:val="000000"/>
          <w:kern w:val="0"/>
          <w:sz w:val="31"/>
          <w:szCs w:val="31"/>
          <w:lang w:val="en-US" w:eastAsia="zh-CN" w:bidi="ar"/>
        </w:rPr>
        <w:t>支出 120.05 万元，占 10.42%；</w:t>
      </w:r>
      <w:r>
        <w:rPr>
          <w:rFonts w:hint="eastAsia" w:ascii="仿宋" w:hAnsi="仿宋" w:eastAsia="仿宋" w:cs="仿宋"/>
          <w:b/>
          <w:bCs/>
          <w:color w:val="000000"/>
          <w:kern w:val="0"/>
          <w:sz w:val="31"/>
          <w:szCs w:val="31"/>
          <w:lang w:val="en-US" w:eastAsia="zh-CN" w:bidi="ar"/>
        </w:rPr>
        <w:t xml:space="preserve">卫生健康支出（类）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29.23万元，占2.54%；</w:t>
      </w:r>
      <w:r>
        <w:rPr>
          <w:rFonts w:hint="eastAsia" w:ascii="仿宋" w:hAnsi="仿宋" w:eastAsia="仿宋" w:cs="仿宋"/>
          <w:b/>
          <w:bCs/>
          <w:color w:val="000000"/>
          <w:kern w:val="0"/>
          <w:sz w:val="31"/>
          <w:szCs w:val="31"/>
          <w:lang w:val="en-US" w:eastAsia="zh-CN" w:bidi="ar"/>
        </w:rPr>
        <w:t>城乡社区（类）</w:t>
      </w:r>
      <w:r>
        <w:rPr>
          <w:rFonts w:hint="eastAsia" w:ascii="仿宋" w:hAnsi="仿宋" w:eastAsia="仿宋" w:cs="仿宋"/>
          <w:color w:val="000000"/>
          <w:kern w:val="0"/>
          <w:sz w:val="31"/>
          <w:szCs w:val="31"/>
          <w:lang w:val="en-US" w:eastAsia="zh-CN" w:bidi="ar"/>
        </w:rPr>
        <w:t xml:space="preserve">8.75万元，占0.76%； </w:t>
      </w:r>
    </w:p>
    <w:p>
      <w:pPr>
        <w:keepNext w:val="0"/>
        <w:keepLines w:val="0"/>
        <w:widowControl/>
        <w:suppressLineNumbers w:val="0"/>
        <w:jc w:val="left"/>
        <w:rPr>
          <w:rFonts w:hint="default"/>
          <w:lang w:val="en-US"/>
        </w:rPr>
      </w:pPr>
      <w:r>
        <w:rPr>
          <w:rFonts w:hint="eastAsia" w:ascii="仿宋" w:hAnsi="仿宋" w:eastAsia="仿宋" w:cs="仿宋"/>
          <w:b/>
          <w:bCs/>
          <w:color w:val="000000"/>
          <w:kern w:val="0"/>
          <w:sz w:val="31"/>
          <w:szCs w:val="31"/>
          <w:lang w:val="en-US" w:eastAsia="zh-CN" w:bidi="ar"/>
        </w:rPr>
        <w:t>农林水（类）</w:t>
      </w:r>
      <w:r>
        <w:rPr>
          <w:rFonts w:hint="eastAsia" w:ascii="仿宋" w:hAnsi="仿宋" w:eastAsia="仿宋" w:cs="仿宋"/>
          <w:color w:val="000000"/>
          <w:kern w:val="0"/>
          <w:sz w:val="31"/>
          <w:szCs w:val="31"/>
          <w:lang w:val="en-US" w:eastAsia="zh-CN" w:bidi="ar"/>
        </w:rPr>
        <w:t>462.02万元，占 40.11%；</w:t>
      </w:r>
      <w:r>
        <w:rPr>
          <w:rFonts w:hint="eastAsia" w:ascii="仿宋" w:hAnsi="仿宋" w:eastAsia="仿宋" w:cs="仿宋"/>
          <w:b/>
          <w:bCs/>
          <w:color w:val="000000"/>
          <w:kern w:val="0"/>
          <w:sz w:val="31"/>
          <w:szCs w:val="31"/>
          <w:lang w:val="en-US" w:eastAsia="zh-CN" w:bidi="ar"/>
        </w:rPr>
        <w:t>住房保障（类）</w:t>
      </w:r>
      <w:r>
        <w:rPr>
          <w:rFonts w:hint="eastAsia" w:ascii="仿宋" w:hAnsi="仿宋" w:eastAsia="仿宋" w:cs="仿宋"/>
          <w:color w:val="000000"/>
          <w:kern w:val="0"/>
          <w:sz w:val="31"/>
          <w:szCs w:val="31"/>
          <w:lang w:val="en-US" w:eastAsia="zh-CN" w:bidi="ar"/>
        </w:rPr>
        <w:t>43</w:t>
      </w:r>
    </w:p>
    <w:p>
      <w:pPr>
        <w:keepNext w:val="0"/>
        <w:keepLines w:val="0"/>
        <w:widowControl/>
        <w:suppressLineNumbers w:val="0"/>
        <w:jc w:val="left"/>
        <w:rPr>
          <w:rFonts w:hint="default"/>
          <w:lang w:val="en-US"/>
        </w:rPr>
      </w:pPr>
      <w:r>
        <w:rPr>
          <w:rFonts w:hint="eastAsia" w:ascii="仿宋" w:hAnsi="仿宋" w:eastAsia="仿宋" w:cs="仿宋"/>
          <w:color w:val="000000"/>
          <w:kern w:val="0"/>
          <w:sz w:val="31"/>
          <w:szCs w:val="31"/>
          <w:lang w:val="en-US" w:eastAsia="zh-CN" w:bidi="ar"/>
        </w:rPr>
        <w:t>万元，占3.84%；</w:t>
      </w:r>
      <w:r>
        <w:rPr>
          <w:rFonts w:hint="eastAsia" w:ascii="仿宋" w:hAnsi="仿宋" w:eastAsia="仿宋" w:cs="仿宋"/>
          <w:b/>
          <w:bCs/>
          <w:color w:val="000000"/>
          <w:kern w:val="0"/>
          <w:sz w:val="31"/>
          <w:szCs w:val="31"/>
          <w:lang w:val="en-US" w:eastAsia="zh-CN" w:bidi="ar"/>
        </w:rPr>
        <w:t>灾害防治及应急管理支出（类）</w:t>
      </w:r>
      <w:r>
        <w:rPr>
          <w:rFonts w:hint="eastAsia" w:ascii="仿宋" w:hAnsi="仿宋" w:eastAsia="仿宋" w:cs="仿宋"/>
          <w:color w:val="000000"/>
          <w:kern w:val="0"/>
          <w:sz w:val="31"/>
          <w:szCs w:val="31"/>
          <w:lang w:val="en-US" w:eastAsia="zh-CN" w:bidi="ar"/>
        </w:rPr>
        <w:t>10.4万元</w:t>
      </w:r>
      <w:r>
        <w:rPr>
          <w:rFonts w:hint="eastAsia" w:ascii="仿宋" w:hAnsi="仿宋" w:eastAsia="仿宋" w:cs="仿宋"/>
          <w:b/>
          <w:bCs/>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占 0.9%。</w:t>
      </w:r>
    </w:p>
    <w:p>
      <w:pPr>
        <w:rPr>
          <w:rFonts w:ascii="仿宋" w:hAnsi="仿宋" w:eastAsia="仿宋"/>
          <w:sz w:val="32"/>
          <w:szCs w:val="32"/>
        </w:rPr>
      </w:pPr>
    </w:p>
    <w:p>
      <w:pPr>
        <w:pStyle w:val="15"/>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numPr>
          <w:ilvl w:val="0"/>
          <w:numId w:val="2"/>
        </w:numPr>
        <w:spacing w:line="600" w:lineRule="exact"/>
        <w:ind w:firstLine="642" w:firstLineChars="200"/>
        <w:outlineLvl w:val="2"/>
        <w:rPr>
          <w:rFonts w:hint="eastAsia" w:ascii="仿宋" w:hAnsi="仿宋" w:eastAsia="仿宋"/>
          <w:b/>
          <w:sz w:val="32"/>
          <w:szCs w:val="32"/>
        </w:rPr>
      </w:pPr>
      <w:bookmarkStart w:id="30" w:name="_Toc15377212"/>
      <w:r>
        <w:rPr>
          <w:rFonts w:hint="eastAsia" w:ascii="仿宋" w:hAnsi="仿宋" w:eastAsia="仿宋"/>
          <w:b/>
          <w:sz w:val="32"/>
          <w:szCs w:val="32"/>
        </w:rPr>
        <w:t>一般公共预算财政拨款支出决算具体情况</w:t>
      </w:r>
      <w:bookmarkEnd w:id="30"/>
    </w:p>
    <w:p>
      <w:pPr>
        <w:keepNext w:val="0"/>
        <w:keepLines w:val="0"/>
        <w:widowControl/>
        <w:suppressLineNumbers w:val="0"/>
        <w:ind w:firstLine="622" w:firstLineChars="200"/>
        <w:jc w:val="left"/>
      </w:pPr>
      <w:r>
        <w:rPr>
          <w:rFonts w:ascii="仿宋" w:hAnsi="仿宋" w:eastAsia="仿宋" w:cs="仿宋"/>
          <w:b/>
          <w:bCs/>
          <w:color w:val="000000"/>
          <w:kern w:val="0"/>
          <w:sz w:val="31"/>
          <w:szCs w:val="31"/>
          <w:lang w:val="en-US" w:eastAsia="zh-CN" w:bidi="ar"/>
        </w:rPr>
        <w:t>202</w:t>
      </w:r>
      <w:r>
        <w:rPr>
          <w:rFonts w:hint="eastAsia" w:ascii="仿宋" w:hAnsi="仿宋" w:eastAsia="仿宋" w:cs="仿宋"/>
          <w:b/>
          <w:bCs/>
          <w:color w:val="000000"/>
          <w:kern w:val="0"/>
          <w:sz w:val="31"/>
          <w:szCs w:val="31"/>
          <w:lang w:val="en-US" w:eastAsia="zh-CN" w:bidi="ar"/>
        </w:rPr>
        <w:t>2</w:t>
      </w:r>
      <w:r>
        <w:rPr>
          <w:rFonts w:ascii="仿宋" w:hAnsi="仿宋" w:eastAsia="仿宋" w:cs="仿宋"/>
          <w:b/>
          <w:bCs/>
          <w:color w:val="000000"/>
          <w:kern w:val="0"/>
          <w:sz w:val="31"/>
          <w:szCs w:val="31"/>
          <w:lang w:val="en-US" w:eastAsia="zh-CN" w:bidi="ar"/>
        </w:rPr>
        <w:t xml:space="preserve"> 年一般公共预算支出决算数为</w:t>
      </w:r>
      <w:r>
        <w:rPr>
          <w:rFonts w:hint="eastAsia" w:ascii="仿宋" w:hAnsi="仿宋" w:eastAsia="仿宋" w:cs="仿宋"/>
          <w:b/>
          <w:bCs/>
          <w:color w:val="000000"/>
          <w:kern w:val="0"/>
          <w:sz w:val="31"/>
          <w:szCs w:val="31"/>
          <w:lang w:val="en-US" w:eastAsia="zh-CN" w:bidi="ar"/>
        </w:rPr>
        <w:t>1152.02</w:t>
      </w:r>
      <w:r>
        <w:rPr>
          <w:rFonts w:ascii="仿宋" w:hAnsi="仿宋" w:eastAsia="仿宋" w:cs="仿宋"/>
          <w:b/>
          <w:bCs/>
          <w:color w:val="000000"/>
          <w:kern w:val="0"/>
          <w:sz w:val="31"/>
          <w:szCs w:val="31"/>
          <w:lang w:val="en-US" w:eastAsia="zh-CN" w:bidi="ar"/>
        </w:rPr>
        <w:t>万元</w:t>
      </w:r>
      <w:r>
        <w:rPr>
          <w:rFonts w:hint="eastAsia" w:ascii="仿宋" w:hAnsi="仿宋" w:eastAsia="仿宋" w:cs="仿宋"/>
          <w:color w:val="000000"/>
          <w:kern w:val="0"/>
          <w:sz w:val="31"/>
          <w:szCs w:val="31"/>
          <w:lang w:val="en-US" w:eastAsia="zh-CN" w:bidi="ar"/>
        </w:rPr>
        <w:t>，</w:t>
      </w:r>
      <w:r>
        <w:rPr>
          <w:rFonts w:hint="eastAsia" w:ascii="仿宋" w:hAnsi="仿宋" w:eastAsia="仿宋" w:cs="仿宋"/>
          <w:b/>
          <w:bCs/>
          <w:color w:val="000000"/>
          <w:kern w:val="0"/>
          <w:sz w:val="31"/>
          <w:szCs w:val="31"/>
          <w:lang w:val="en-US" w:eastAsia="zh-CN" w:bidi="ar"/>
        </w:rPr>
        <w:t xml:space="preserve">完成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预算 100%。其中：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1. 一般公共服务（类）人大事务（款）人大会议（项）： </w:t>
      </w:r>
      <w:r>
        <w:rPr>
          <w:rFonts w:hint="eastAsia" w:ascii="仿宋" w:hAnsi="仿宋" w:eastAsia="仿宋" w:cs="仿宋"/>
          <w:color w:val="000000"/>
          <w:kern w:val="0"/>
          <w:sz w:val="31"/>
          <w:szCs w:val="31"/>
          <w:lang w:val="en-US" w:eastAsia="zh-CN" w:bidi="ar"/>
        </w:rPr>
        <w:t xml:space="preserve">支出决算为1.64万元，完成预算 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 一般公共服务（类）人大事务（款）代表工作（项）： </w:t>
      </w:r>
      <w:r>
        <w:rPr>
          <w:rFonts w:hint="eastAsia" w:ascii="仿宋" w:hAnsi="仿宋" w:eastAsia="仿宋" w:cs="仿宋"/>
          <w:color w:val="000000"/>
          <w:kern w:val="0"/>
          <w:sz w:val="31"/>
          <w:szCs w:val="31"/>
          <w:lang w:val="en-US" w:eastAsia="zh-CN" w:bidi="ar"/>
        </w:rPr>
        <w:t xml:space="preserve">支出决算为1.56万元，完成预算100%，决算数等于预算数。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3. 一般公共服务（类）人大事务（款）其他人大事务支出（项）：</w:t>
      </w:r>
      <w:r>
        <w:rPr>
          <w:rFonts w:hint="eastAsia" w:ascii="仿宋" w:hAnsi="仿宋" w:eastAsia="仿宋" w:cs="仿宋"/>
          <w:color w:val="000000"/>
          <w:kern w:val="0"/>
          <w:sz w:val="31"/>
          <w:szCs w:val="31"/>
          <w:lang w:val="en-US" w:eastAsia="zh-CN" w:bidi="ar"/>
        </w:rPr>
        <w:t xml:space="preserve">支出决算为0.5 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4. 一般公共服务（类）政府办公厅（室）及相关机构事务（款）行政运行（项）：</w:t>
      </w:r>
      <w:r>
        <w:rPr>
          <w:rFonts w:hint="eastAsia" w:ascii="仿宋" w:hAnsi="仿宋" w:eastAsia="仿宋" w:cs="仿宋"/>
          <w:color w:val="000000"/>
          <w:kern w:val="0"/>
          <w:sz w:val="31"/>
          <w:szCs w:val="31"/>
          <w:lang w:val="en-US" w:eastAsia="zh-CN" w:bidi="ar"/>
        </w:rPr>
        <w:t xml:space="preserve">支出决算为367.1万元，完成预算100%，决算数等于预算数。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5. 一般公共服务（类）政府办公厅（室）及相关机构事务（款）一般行政管理事务（项）：</w:t>
      </w:r>
      <w:r>
        <w:rPr>
          <w:rFonts w:hint="eastAsia" w:ascii="仿宋" w:hAnsi="仿宋" w:eastAsia="仿宋" w:cs="仿宋"/>
          <w:color w:val="000000"/>
          <w:kern w:val="0"/>
          <w:sz w:val="31"/>
          <w:szCs w:val="31"/>
          <w:lang w:val="en-US" w:eastAsia="zh-CN" w:bidi="ar"/>
        </w:rPr>
        <w:t xml:space="preserve">支出决算为34.42万元，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6. 一般公共服务（类）政府办公厅（室）及相关机构事务（款）信访事务（项）：</w:t>
      </w:r>
      <w:r>
        <w:rPr>
          <w:rFonts w:hint="eastAsia" w:ascii="仿宋" w:hAnsi="仿宋" w:eastAsia="仿宋" w:cs="仿宋"/>
          <w:color w:val="000000"/>
          <w:kern w:val="0"/>
          <w:sz w:val="31"/>
          <w:szCs w:val="31"/>
          <w:lang w:val="en-US" w:eastAsia="zh-CN" w:bidi="ar"/>
        </w:rPr>
        <w:t xml:space="preserve">支出决算为1万元，完成预算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7. 一般公共服务（类）政府办公厅（室）及相关机构事务（款）事业运行（项）：</w:t>
      </w:r>
      <w:r>
        <w:rPr>
          <w:rFonts w:hint="eastAsia" w:ascii="仿宋" w:hAnsi="仿宋" w:eastAsia="仿宋" w:cs="仿宋"/>
          <w:color w:val="000000"/>
          <w:kern w:val="0"/>
          <w:sz w:val="31"/>
          <w:szCs w:val="31"/>
          <w:lang w:val="en-US" w:eastAsia="zh-CN" w:bidi="ar"/>
        </w:rPr>
        <w:t xml:space="preserve">支出决算为10.8 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8. 一般公共服务（类）纪检监察事务（款）一般行政管理事务（项）：</w:t>
      </w:r>
      <w:r>
        <w:rPr>
          <w:rFonts w:hint="eastAsia" w:ascii="仿宋" w:hAnsi="仿宋" w:eastAsia="仿宋" w:cs="仿宋"/>
          <w:color w:val="000000"/>
          <w:kern w:val="0"/>
          <w:sz w:val="31"/>
          <w:szCs w:val="31"/>
          <w:lang w:val="en-US" w:eastAsia="zh-CN" w:bidi="ar"/>
        </w:rPr>
        <w:t xml:space="preserve">支出决算为0.5万元，完成预算100%，决算数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9. 一般公共服务（类）纪检监察事务（款）其他纪检监察事务支出（项）：</w:t>
      </w:r>
      <w:r>
        <w:rPr>
          <w:rFonts w:hint="eastAsia" w:ascii="仿宋" w:hAnsi="仿宋" w:eastAsia="仿宋" w:cs="仿宋"/>
          <w:color w:val="000000"/>
          <w:kern w:val="0"/>
          <w:sz w:val="31"/>
          <w:szCs w:val="31"/>
          <w:lang w:val="en-US" w:eastAsia="zh-CN" w:bidi="ar"/>
        </w:rPr>
        <w:t xml:space="preserve">支出决算为4.6万元，完成预算100%，决算数等于预算数。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10. 一般公共服务（类）群众团体事务（款）其他群众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团体事务支出（项）：</w:t>
      </w:r>
      <w:r>
        <w:rPr>
          <w:rFonts w:hint="eastAsia" w:ascii="仿宋" w:hAnsi="仿宋" w:eastAsia="仿宋" w:cs="仿宋"/>
          <w:color w:val="000000"/>
          <w:kern w:val="0"/>
          <w:sz w:val="31"/>
          <w:szCs w:val="31"/>
          <w:lang w:val="en-US" w:eastAsia="zh-CN" w:bidi="ar"/>
        </w:rPr>
        <w:t xml:space="preserve">支出决算为0.5 万元，完成预算100%，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11. 一般公共服务（类）党委办公厅（室）及相关机构事务（款）一般行政管理事务（项）：</w:t>
      </w:r>
      <w:r>
        <w:rPr>
          <w:rFonts w:hint="eastAsia" w:ascii="仿宋" w:hAnsi="仿宋" w:eastAsia="仿宋" w:cs="仿宋"/>
          <w:color w:val="000000"/>
          <w:kern w:val="0"/>
          <w:sz w:val="31"/>
          <w:szCs w:val="31"/>
          <w:lang w:val="en-US" w:eastAsia="zh-CN" w:bidi="ar"/>
        </w:rPr>
        <w:t xml:space="preserve">支出决算为2.8万元，完成预算100%，决算数等于预算数。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12. 一般公共服务（类）宣传事务（款）其他宣传事务支出（项）：</w:t>
      </w:r>
      <w:r>
        <w:rPr>
          <w:rFonts w:hint="eastAsia" w:ascii="仿宋" w:hAnsi="仿宋" w:eastAsia="仿宋" w:cs="仿宋"/>
          <w:color w:val="000000"/>
          <w:kern w:val="0"/>
          <w:sz w:val="31"/>
          <w:szCs w:val="31"/>
          <w:lang w:val="en-US" w:eastAsia="zh-CN" w:bidi="ar"/>
        </w:rPr>
        <w:t xml:space="preserve">支出决算为0.5万元，完成预算100%，决算数等于预算数。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13. 国防支出（类）国防动员（款）兵役征集（项）：</w:t>
      </w:r>
      <w:r>
        <w:rPr>
          <w:rFonts w:hint="eastAsia" w:ascii="仿宋" w:hAnsi="仿宋" w:eastAsia="仿宋" w:cs="仿宋"/>
          <w:color w:val="000000"/>
          <w:kern w:val="0"/>
          <w:sz w:val="31"/>
          <w:szCs w:val="31"/>
          <w:lang w:val="en-US" w:eastAsia="zh-CN" w:bidi="ar"/>
        </w:rPr>
        <w:t xml:space="preserve">支出决算为0.5 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14. 文化旅游体育与传媒支出（类）文化和旅游（款）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群众文化（项）：</w:t>
      </w:r>
      <w:r>
        <w:rPr>
          <w:rFonts w:hint="eastAsia" w:ascii="仿宋" w:hAnsi="仿宋" w:eastAsia="仿宋" w:cs="仿宋"/>
          <w:color w:val="000000"/>
          <w:kern w:val="0"/>
          <w:sz w:val="31"/>
          <w:szCs w:val="31"/>
          <w:lang w:val="en-US" w:eastAsia="zh-CN" w:bidi="ar"/>
        </w:rPr>
        <w:t xml:space="preserve">支出决算为2.3 万元，完成预算100%，决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15. 文化旅游体育与传媒（类）文化和旅游（款）文化和旅游管理事务（项）：</w:t>
      </w:r>
      <w:r>
        <w:rPr>
          <w:rFonts w:hint="eastAsia" w:ascii="仿宋" w:hAnsi="仿宋" w:eastAsia="仿宋" w:cs="仿宋"/>
          <w:color w:val="000000"/>
          <w:kern w:val="0"/>
          <w:sz w:val="31"/>
          <w:szCs w:val="31"/>
          <w:lang w:val="en-US" w:eastAsia="zh-CN" w:bidi="ar"/>
        </w:rPr>
        <w:t xml:space="preserve">支出决算为51.59 万元，完成预算100%，决算数等于预算数。 </w:t>
      </w:r>
    </w:p>
    <w:p>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16. 社会保障和就业（类）民政管理事务（款）基层政权建设和社区治理（项）：</w:t>
      </w:r>
      <w:r>
        <w:rPr>
          <w:rFonts w:hint="eastAsia" w:ascii="仿宋" w:hAnsi="仿宋" w:eastAsia="仿宋" w:cs="仿宋"/>
          <w:color w:val="000000"/>
          <w:kern w:val="0"/>
          <w:sz w:val="31"/>
          <w:szCs w:val="31"/>
          <w:lang w:val="en-US" w:eastAsia="zh-CN" w:bidi="ar"/>
        </w:rPr>
        <w:t xml:space="preserve">支出决算为62.58万元，完成预算100%，决算数等于预算数。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17. 社会保障和就业（类）行政事业单位养老支出（款）机关事业单位基本养老保险缴费支出（项）：</w:t>
      </w:r>
      <w:r>
        <w:rPr>
          <w:rFonts w:hint="eastAsia" w:ascii="仿宋" w:hAnsi="仿宋" w:eastAsia="仿宋" w:cs="仿宋"/>
          <w:color w:val="000000"/>
          <w:kern w:val="0"/>
          <w:sz w:val="31"/>
          <w:szCs w:val="31"/>
          <w:lang w:val="en-US" w:eastAsia="zh-CN" w:bidi="ar"/>
        </w:rPr>
        <w:t xml:space="preserve">支出决算为57.46万元，完成预算100%，决算数等于预算数。 </w:t>
      </w:r>
    </w:p>
    <w:p>
      <w:pPr>
        <w:pStyle w:val="2"/>
      </w:pPr>
    </w:p>
    <w:p>
      <w:pPr>
        <w:keepNext w:val="0"/>
        <w:keepLines w:val="0"/>
        <w:widowControl/>
        <w:numPr>
          <w:ilvl w:val="0"/>
          <w:numId w:val="0"/>
        </w:numPr>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18.卫生健康（类）行政事业单位医疗（款）行政单位医疗（项）：</w:t>
      </w:r>
      <w:r>
        <w:rPr>
          <w:rFonts w:hint="eastAsia" w:ascii="仿宋" w:hAnsi="仿宋" w:eastAsia="仿宋" w:cs="仿宋"/>
          <w:color w:val="000000"/>
          <w:kern w:val="0"/>
          <w:sz w:val="31"/>
          <w:szCs w:val="31"/>
          <w:lang w:val="en-US" w:eastAsia="zh-CN" w:bidi="ar"/>
        </w:rPr>
        <w:t>支出决算为 15.82万元，完成预算100%，决算数等于预算数。</w:t>
      </w:r>
    </w:p>
    <w:p>
      <w:pPr>
        <w:keepNext w:val="0"/>
        <w:keepLines w:val="0"/>
        <w:widowControl/>
        <w:numPr>
          <w:ilvl w:val="0"/>
          <w:numId w:val="0"/>
        </w:numPr>
        <w:suppressLineNumbers w:val="0"/>
        <w:ind w:leftChars="0"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19.卫生健康（类）行政事业单位医疗（款）事业单位医疗（项）：</w:t>
      </w:r>
      <w:r>
        <w:rPr>
          <w:rFonts w:hint="eastAsia" w:ascii="仿宋" w:hAnsi="仿宋" w:eastAsia="仿宋" w:cs="仿宋"/>
          <w:color w:val="000000"/>
          <w:kern w:val="0"/>
          <w:sz w:val="31"/>
          <w:szCs w:val="31"/>
          <w:lang w:val="en-US" w:eastAsia="zh-CN" w:bidi="ar"/>
        </w:rPr>
        <w:t>支出决算为12.91万元，完成预算100%，决算数等于预算数。</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20. 卫生健康（类）其他卫生健康支出（款）其他卫生健康支出（项）：</w:t>
      </w:r>
      <w:r>
        <w:rPr>
          <w:rFonts w:hint="eastAsia" w:ascii="仿宋" w:hAnsi="仿宋" w:eastAsia="仿宋" w:cs="仿宋"/>
          <w:color w:val="000000"/>
          <w:kern w:val="0"/>
          <w:sz w:val="31"/>
          <w:szCs w:val="31"/>
          <w:lang w:val="en-US" w:eastAsia="zh-CN" w:bidi="ar"/>
        </w:rPr>
        <w:t xml:space="preserve">支出决算为0.5万元，完成预算100%，决算数等于预算数。 </w:t>
      </w:r>
    </w:p>
    <w:p>
      <w:pPr>
        <w:keepNext w:val="0"/>
        <w:keepLines w:val="0"/>
        <w:widowControl/>
        <w:numPr>
          <w:ilvl w:val="0"/>
          <w:numId w:val="0"/>
        </w:numPr>
        <w:suppressLineNumbers w:val="0"/>
        <w:ind w:leftChars="0"/>
        <w:jc w:val="left"/>
      </w:pPr>
      <w:r>
        <w:rPr>
          <w:rFonts w:hint="eastAsia" w:ascii="仿宋" w:hAnsi="仿宋" w:eastAsia="仿宋" w:cs="仿宋"/>
          <w:color w:val="000000"/>
          <w:kern w:val="0"/>
          <w:sz w:val="31"/>
          <w:szCs w:val="31"/>
          <w:lang w:val="en-US" w:eastAsia="zh-CN" w:bidi="ar"/>
        </w:rPr>
        <w:t xml:space="preserve">    </w:t>
      </w:r>
      <w:r>
        <w:rPr>
          <w:rFonts w:hint="eastAsia" w:ascii="仿宋" w:hAnsi="仿宋" w:eastAsia="仿宋" w:cs="仿宋"/>
          <w:b/>
          <w:bCs/>
          <w:color w:val="000000"/>
          <w:kern w:val="0"/>
          <w:sz w:val="31"/>
          <w:szCs w:val="31"/>
          <w:lang w:val="en-US" w:eastAsia="zh-CN" w:bidi="ar"/>
        </w:rPr>
        <w:t>21. 城乡社区支出（类）城乡社区环境卫生（款）城乡社区环境卫生（项）：</w:t>
      </w:r>
      <w:r>
        <w:rPr>
          <w:rFonts w:hint="eastAsia" w:ascii="仿宋" w:hAnsi="仿宋" w:eastAsia="仿宋" w:cs="仿宋"/>
          <w:color w:val="000000"/>
          <w:kern w:val="0"/>
          <w:sz w:val="31"/>
          <w:szCs w:val="31"/>
          <w:lang w:val="en-US" w:eastAsia="zh-CN" w:bidi="ar"/>
        </w:rPr>
        <w:t xml:space="preserve">支出决算为8.75万元，完成预算100%，决算数等于预算数。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22. 农林水支出（类）农业农村（款）事业运行（项）：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支出决算为142.77万元，完成预算 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23. 农林水支出（类）农业农村（款）防灾救灾（项）：</w:t>
      </w:r>
      <w:r>
        <w:rPr>
          <w:rFonts w:hint="eastAsia" w:ascii="仿宋" w:hAnsi="仿宋" w:eastAsia="仿宋" w:cs="仿宋"/>
          <w:color w:val="000000"/>
          <w:kern w:val="0"/>
          <w:sz w:val="31"/>
          <w:szCs w:val="31"/>
          <w:lang w:val="en-US" w:eastAsia="zh-CN" w:bidi="ar"/>
        </w:rPr>
        <w:t xml:space="preserve">支出决算为16.66万元，完成预算100%，决算数等于预算数。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24. 农林水支出（类）林业和草原（款）林业草原防灾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减灾（项）：</w:t>
      </w:r>
      <w:r>
        <w:rPr>
          <w:rFonts w:hint="eastAsia" w:ascii="仿宋" w:hAnsi="仿宋" w:eastAsia="仿宋" w:cs="仿宋"/>
          <w:color w:val="000000"/>
          <w:kern w:val="0"/>
          <w:sz w:val="31"/>
          <w:szCs w:val="31"/>
          <w:lang w:val="en-US" w:eastAsia="zh-CN" w:bidi="ar"/>
        </w:rPr>
        <w:t xml:space="preserve">支出决算为 2 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25. 农林水支出（类）水利（款）防汛（项）： </w:t>
      </w:r>
      <w:r>
        <w:rPr>
          <w:rFonts w:hint="eastAsia" w:ascii="仿宋" w:hAnsi="仿宋" w:eastAsia="仿宋" w:cs="仿宋"/>
          <w:color w:val="000000"/>
          <w:kern w:val="0"/>
          <w:sz w:val="31"/>
          <w:szCs w:val="31"/>
          <w:lang w:val="en-US" w:eastAsia="zh-CN" w:bidi="ar"/>
        </w:rPr>
        <w:t xml:space="preserve">支出决算为36.8万元，完成预算100%，决算数等于预算数。 </w:t>
      </w:r>
    </w:p>
    <w:p>
      <w:pPr>
        <w:keepNext w:val="0"/>
        <w:keepLines w:val="0"/>
        <w:widowControl/>
        <w:numPr>
          <w:ilvl w:val="0"/>
          <w:numId w:val="0"/>
        </w:numPr>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26.农林水支出（类）水利（款）抗旱（项）：</w:t>
      </w:r>
      <w:r>
        <w:rPr>
          <w:rFonts w:hint="eastAsia" w:ascii="仿宋" w:hAnsi="仿宋" w:eastAsia="仿宋" w:cs="仿宋"/>
          <w:color w:val="000000"/>
          <w:kern w:val="0"/>
          <w:sz w:val="31"/>
          <w:szCs w:val="31"/>
          <w:lang w:val="en-US" w:eastAsia="zh-CN" w:bidi="ar"/>
        </w:rPr>
        <w:t xml:space="preserve">支出决算为 8 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27. 农林水支出（类）巩固脱贫衔接乡村振兴（款）生产发展（项）：</w:t>
      </w:r>
      <w:r>
        <w:rPr>
          <w:rFonts w:hint="eastAsia" w:ascii="仿宋" w:hAnsi="仿宋" w:eastAsia="仿宋" w:cs="仿宋"/>
          <w:color w:val="000000"/>
          <w:kern w:val="0"/>
          <w:sz w:val="31"/>
          <w:szCs w:val="31"/>
          <w:lang w:val="en-US" w:eastAsia="zh-CN" w:bidi="ar"/>
        </w:rPr>
        <w:t xml:space="preserve">支出决算为25.42万元，完成预算100%，决算数等于预算数。 </w:t>
      </w:r>
    </w:p>
    <w:p>
      <w:pPr>
        <w:keepNext w:val="0"/>
        <w:keepLines w:val="0"/>
        <w:widowControl/>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28.农林水支出（类）巩固脱贫衔接乡村振兴（款）其他巩固脱贫衔接乡村振兴支出（项）：</w:t>
      </w:r>
      <w:r>
        <w:rPr>
          <w:rFonts w:hint="eastAsia" w:ascii="仿宋" w:hAnsi="仿宋" w:eastAsia="仿宋" w:cs="仿宋"/>
          <w:color w:val="000000"/>
          <w:kern w:val="0"/>
          <w:sz w:val="31"/>
          <w:szCs w:val="31"/>
          <w:lang w:val="en-US" w:eastAsia="zh-CN" w:bidi="ar"/>
        </w:rPr>
        <w:t xml:space="preserve">支出决算为6.34万元，完成预算100%，决算数等于预算数。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29. 农林水支出（类）农村综合改革（款）对村民委员会和村党支部的补助（项）：</w:t>
      </w:r>
      <w:r>
        <w:rPr>
          <w:rFonts w:hint="eastAsia" w:ascii="仿宋" w:hAnsi="仿宋" w:eastAsia="仿宋" w:cs="仿宋"/>
          <w:color w:val="000000"/>
          <w:kern w:val="0"/>
          <w:sz w:val="31"/>
          <w:szCs w:val="31"/>
          <w:lang w:val="en-US" w:eastAsia="zh-CN" w:bidi="ar"/>
        </w:rPr>
        <w:t xml:space="preserve">支出决算为194.1万元，完成预算100%，决算数等于预算数。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30. 农林水支出（类）农村综合改革（款）  其他农村综合改革支出（项）：</w:t>
      </w:r>
      <w:r>
        <w:rPr>
          <w:rFonts w:hint="eastAsia" w:ascii="仿宋" w:hAnsi="仿宋" w:eastAsia="仿宋" w:cs="仿宋"/>
          <w:color w:val="000000"/>
          <w:kern w:val="0"/>
          <w:sz w:val="31"/>
          <w:szCs w:val="31"/>
          <w:lang w:val="en-US" w:eastAsia="zh-CN" w:bidi="ar"/>
        </w:rPr>
        <w:t xml:space="preserve">支出决算为30万元，完成预算100%，决算数等于预算数。 </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31.住房保障支出（类）住房改革支出（款）住房公积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金（项）：</w:t>
      </w:r>
      <w:r>
        <w:rPr>
          <w:rFonts w:hint="eastAsia" w:ascii="仿宋" w:hAnsi="仿宋" w:eastAsia="仿宋" w:cs="仿宋"/>
          <w:color w:val="000000"/>
          <w:kern w:val="0"/>
          <w:sz w:val="31"/>
          <w:szCs w:val="31"/>
          <w:lang w:val="en-US" w:eastAsia="zh-CN" w:bidi="ar"/>
        </w:rPr>
        <w:t xml:space="preserve">支出决算为 43.1万元，完成预算 100%，决算数等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于预算数。</w:t>
      </w:r>
    </w:p>
    <w:p>
      <w:pPr>
        <w:keepNext w:val="0"/>
        <w:keepLines w:val="0"/>
        <w:widowControl/>
        <w:numPr>
          <w:ilvl w:val="0"/>
          <w:numId w:val="3"/>
        </w:numPr>
        <w:suppressLineNumbers w:val="0"/>
        <w:ind w:firstLine="622"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灾害防治及应急管理支出（类）应急管理事务（款）  应急管理（项）：</w:t>
      </w:r>
      <w:r>
        <w:rPr>
          <w:rFonts w:hint="eastAsia" w:ascii="仿宋" w:hAnsi="仿宋" w:eastAsia="仿宋" w:cs="仿宋"/>
          <w:color w:val="000000"/>
          <w:kern w:val="0"/>
          <w:sz w:val="31"/>
          <w:szCs w:val="31"/>
          <w:lang w:val="en-US" w:eastAsia="zh-CN" w:bidi="ar"/>
        </w:rPr>
        <w:t>支出决算为 0.4万元，完成预算100%，决算数等于预算数。</w:t>
      </w:r>
    </w:p>
    <w:p>
      <w:pPr>
        <w:keepNext w:val="0"/>
        <w:keepLines w:val="0"/>
        <w:widowControl/>
        <w:numPr>
          <w:ilvl w:val="0"/>
          <w:numId w:val="0"/>
        </w:numPr>
        <w:suppressLineNumbers w:val="0"/>
        <w:ind w:firstLine="622" w:firstLineChars="200"/>
        <w:jc w:val="left"/>
      </w:pPr>
      <w:bookmarkStart w:id="31" w:name="_Toc15377444"/>
      <w:bookmarkStart w:id="32" w:name="_Toc15377213"/>
      <w:bookmarkStart w:id="33" w:name="_Toc15378460"/>
      <w:r>
        <w:rPr>
          <w:rFonts w:hint="eastAsia" w:ascii="仿宋" w:hAnsi="仿宋" w:eastAsia="仿宋" w:cs="仿宋"/>
          <w:b/>
          <w:bCs/>
          <w:color w:val="000000"/>
          <w:kern w:val="0"/>
          <w:sz w:val="31"/>
          <w:szCs w:val="31"/>
          <w:lang w:val="en-US" w:eastAsia="zh-CN" w:bidi="ar"/>
        </w:rPr>
        <w:t>33.灾害防治及应急管理支出（类）自然灾害救灾及恢复重建支出（款）其他自然灾害救灾及恢复重建支出（项）：</w:t>
      </w:r>
      <w:r>
        <w:rPr>
          <w:rFonts w:hint="eastAsia" w:ascii="仿宋" w:hAnsi="仿宋" w:eastAsia="仿宋" w:cs="仿宋"/>
          <w:color w:val="000000"/>
          <w:kern w:val="0"/>
          <w:sz w:val="31"/>
          <w:szCs w:val="31"/>
          <w:lang w:val="en-US" w:eastAsia="zh-CN" w:bidi="ar"/>
        </w:rPr>
        <w:t>支出决算为 10万元，完成预算 100%，决算数等于预算数。</w:t>
      </w:r>
    </w:p>
    <w:bookmarkEnd w:id="31"/>
    <w:bookmarkEnd w:id="32"/>
    <w:bookmarkEnd w:id="33"/>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764.13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687.49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76.64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6.22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6.22</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w:t>
      </w:r>
      <w:r>
        <w:rPr>
          <w:rFonts w:hint="eastAsia" w:ascii="仿宋" w:hAnsi="仿宋" w:eastAsia="仿宋"/>
          <w:sz w:val="32"/>
          <w:szCs w:val="32"/>
          <w:lang w:val="en-US" w:eastAsia="zh-CN"/>
        </w:rPr>
        <w:t>与</w:t>
      </w:r>
      <w:r>
        <w:rPr>
          <w:rFonts w:hint="eastAsia" w:ascii="仿宋" w:hAnsi="仿宋" w:eastAsia="仿宋"/>
          <w:sz w:val="32"/>
          <w:szCs w:val="32"/>
        </w:rPr>
        <w:t>预算数</w:t>
      </w:r>
      <w:r>
        <w:rPr>
          <w:rFonts w:hint="eastAsia" w:ascii="仿宋" w:hAnsi="仿宋" w:eastAsia="仿宋"/>
          <w:sz w:val="32"/>
          <w:szCs w:val="32"/>
          <w:lang w:val="en-US" w:eastAsia="zh-CN"/>
        </w:rPr>
        <w:t>持平</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6.22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5"/>
        <w:rPr>
          <w:rFonts w:hint="eastAsia" w:ascii="仿宋" w:hAnsi="仿宋" w:eastAsia="仿宋"/>
          <w:sz w:val="32"/>
          <w:szCs w:val="32"/>
        </w:rPr>
      </w:pPr>
    </w:p>
    <w:p>
      <w:pPr>
        <w:rPr>
          <w:rFonts w:hint="eastAsia" w:eastAsia="仿宋"/>
          <w:lang w:eastAsia="zh-CN"/>
        </w:rPr>
      </w:pPr>
      <w:r>
        <w:rPr>
          <w:rFonts w:hint="eastAsia" w:eastAsia="仿宋"/>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numPr>
          <w:ilvl w:val="0"/>
          <w:numId w:val="0"/>
        </w:numPr>
        <w:spacing w:line="600" w:lineRule="exact"/>
        <w:ind w:firstLine="642" w:firstLineChars="200"/>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无因公出国（境）经费支出。</w:t>
      </w:r>
    </w:p>
    <w:p>
      <w:pPr>
        <w:numPr>
          <w:ilvl w:val="0"/>
          <w:numId w:val="0"/>
        </w:numPr>
        <w:spacing w:line="600" w:lineRule="exact"/>
        <w:ind w:firstLine="642"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w:t>
      </w:r>
      <w:r>
        <w:rPr>
          <w:rFonts w:hint="eastAsia" w:ascii="仿宋_GB2312" w:eastAsia="仿宋_GB2312"/>
          <w:sz w:val="32"/>
          <w:szCs w:val="32"/>
        </w:rPr>
        <w:t>公务用车购置及运行维护费支出。</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6.22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77.75</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6.22</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22年无公务接待支出</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6.22</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156</w:t>
      </w:r>
      <w:r>
        <w:rPr>
          <w:rFonts w:hint="eastAsia" w:ascii="仿宋_GB2312" w:eastAsia="仿宋_GB2312"/>
          <w:sz w:val="32"/>
          <w:szCs w:val="32"/>
        </w:rPr>
        <w:t>批次，</w:t>
      </w:r>
      <w:r>
        <w:rPr>
          <w:rFonts w:hint="eastAsia" w:ascii="仿宋_GB2312" w:eastAsia="仿宋_GB2312"/>
          <w:sz w:val="32"/>
          <w:szCs w:val="32"/>
          <w:lang w:val="en-US" w:eastAsia="zh-CN"/>
        </w:rPr>
        <w:t>778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6.22</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6.22万元</w:t>
      </w:r>
      <w:r>
        <w:rPr>
          <w:rFonts w:hint="eastAsia" w:ascii="仿宋_GB2312" w:eastAsia="仿宋_GB2312"/>
          <w:sz w:val="32"/>
          <w:szCs w:val="32"/>
        </w:rPr>
        <w:t>。</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30"/>
          <w:rFonts w:ascii="黑体" w:hAnsi="黑体" w:eastAsia="黑体"/>
          <w:b w:val="0"/>
        </w:rPr>
      </w:pPr>
      <w:bookmarkStart w:id="42" w:name="_Toc15396611"/>
      <w:bookmarkStart w:id="43" w:name="_Toc15377219"/>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30"/>
          <w:rFonts w:ascii="黑体" w:hAnsi="黑体" w:eastAsia="黑体"/>
          <w:b w:val="0"/>
        </w:rPr>
      </w:pPr>
      <w:bookmarkStart w:id="44" w:name="_Toc15396612"/>
      <w:bookmarkStart w:id="45" w:name="_Toc15377221"/>
      <w:r>
        <w:rPr>
          <w:rStyle w:val="30"/>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keepNext w:val="0"/>
        <w:keepLines w:val="0"/>
        <w:widowControl/>
        <w:suppressLineNumbers w:val="0"/>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剑阁县汉阳镇人民政府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76.65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88.16</w:t>
      </w:r>
      <w:r>
        <w:rPr>
          <w:rFonts w:hint="eastAsia" w:ascii="仿宋_GB2312" w:eastAsia="仿宋_GB2312"/>
          <w:sz w:val="32"/>
          <w:szCs w:val="32"/>
        </w:rPr>
        <w:t>万元，下降</w:t>
      </w:r>
      <w:r>
        <w:rPr>
          <w:rFonts w:hint="eastAsia" w:ascii="仿宋_GB2312" w:eastAsia="仿宋_GB2312"/>
          <w:sz w:val="32"/>
          <w:szCs w:val="32"/>
          <w:lang w:val="en-US" w:eastAsia="zh-CN"/>
        </w:rPr>
        <w:t>53.49</w:t>
      </w:r>
      <w:r>
        <w:rPr>
          <w:rFonts w:ascii="仿宋_GB2312" w:eastAsia="仿宋_GB2312"/>
          <w:sz w:val="32"/>
          <w:szCs w:val="32"/>
        </w:rPr>
        <w:t>%</w:t>
      </w:r>
      <w:r>
        <w:rPr>
          <w:rFonts w:hint="eastAsia" w:ascii="仿宋_GB2312" w:eastAsia="仿宋_GB2312"/>
          <w:sz w:val="32"/>
          <w:szCs w:val="32"/>
        </w:rPr>
        <w:t>。主要原因是</w:t>
      </w:r>
      <w:r>
        <w:rPr>
          <w:rFonts w:ascii="仿宋" w:hAnsi="仿宋" w:eastAsia="仿宋" w:cs="仿宋"/>
          <w:color w:val="000000"/>
          <w:kern w:val="0"/>
          <w:sz w:val="31"/>
          <w:szCs w:val="31"/>
          <w:lang w:val="en-US" w:eastAsia="zh-CN" w:bidi="ar"/>
        </w:rPr>
        <w:t>加强了日常运行的经费管理</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剑阁县汉阳镇人民</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剑阁县汉阳镇人民</w:t>
      </w:r>
      <w:r>
        <w:rPr>
          <w:rFonts w:hint="eastAsia" w:ascii="仿宋_GB2312" w:eastAsia="仿宋_GB2312"/>
          <w:sz w:val="32"/>
          <w:szCs w:val="32"/>
        </w:rPr>
        <w:t>政府共有车辆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汉阳镇人民政府部门整体（含部门预算项目）绩效自评报告、2022年农村公益事业奖补资金等专项预算项目绩效自评报告，其中，剑阁县汉阳镇人民政部门整体（含部门预算项目）绩效自评得分为95分，绩效自评综述：我镇预算安排的基本支出保障了正常的工作运转，在预算执行上是严格遵守各项财经纪律的；在资金的管理和使用上，严守法律底线、纪律底线、道德底线。2022年农村公益事业奖补资金</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专项预算项目绩效自评得分为90分，绩效自评综述：通过预算执行全过程绩效监控，保障了债务化解工作的有效进行。绩效自评报告详见附件。</w:t>
      </w: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9"/>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keepNext w:val="0"/>
        <w:keepLines w:val="0"/>
        <w:widowControl/>
        <w:suppressLineNumbers w:val="0"/>
        <w:ind w:firstLine="620" w:firstLineChars="200"/>
        <w:jc w:val="left"/>
      </w:pPr>
      <w:bookmarkStart w:id="51" w:name="_Toc15377226"/>
      <w:r>
        <w:rPr>
          <w:rFonts w:ascii="仿宋" w:hAnsi="仿宋" w:eastAsia="仿宋" w:cs="仿宋"/>
          <w:color w:val="000000"/>
          <w:kern w:val="0"/>
          <w:sz w:val="31"/>
          <w:szCs w:val="31"/>
          <w:lang w:val="en-US" w:eastAsia="zh-CN" w:bidi="ar"/>
        </w:rPr>
        <w:t xml:space="preserve">（一）一般公共预算拨款收入：指县级财政当年拨付的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资金。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（二）上年结转：指以前年度尚未完成，结转到本年仍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按原规定用途继续使用的资金。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（三）一般公共服务（类）人大事务（款）人大会议（项）：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指反映各级人大召开人民代表大会等专门会议的支出。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（四）一般公共服务（类）人大事务（款）代表工作（项）：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指反映人大代表开展各类视察等方面的支出。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（五）一般公共服务（类）人大事务（款）其他人大事务（项）：指除上述项目以外的其他人大事务支出。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（六）一般公共服务（类）政府办公厅（室）及相关机构事务（款）行政运行（项）：指反映行政单位（包括实行公务员管理的事业单位）的基本支出。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（七）一般公共服务（类）政府办公厅（室）及相关机构事务（款）一般行政管理事务（项）：指反映行政单位（包括实行公务员管理的事业单位）未单独设置项级科目的其他项目支出。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（八）一般公共服务（类）政府办公厅（室）及相关机构事务（款）信访事务（项）：指反映各级政府用于接待群众来信来访方面的支出。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（九）一般公共服务（类）政府办公厅（室）及相关机构事务（款）事业运行（项）：指反映事业单位的基本支出，不包括行政单位（包括实行公务员管理的事业单位）后勤服务中心、医务室等附属事业单位。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（十）一般公共服务（类）纪检监察事务（款）一般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行政管理事务（项）：指反映行政单位（包括实行公务员管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理的事业单位）未单独设置项级科目的其他项目支出。 </w:t>
      </w:r>
    </w:p>
    <w:p>
      <w:pPr>
        <w:pStyle w:val="8"/>
        <w:numPr>
          <w:ilvl w:val="0"/>
          <w:numId w:val="0"/>
        </w:numPr>
        <w:ind w:firstLine="620" w:firstLineChars="200"/>
        <w:rPr>
          <w:rFonts w:hint="eastAsia"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十一</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一般公共服务</w:t>
      </w:r>
      <w:r>
        <w:rPr>
          <w:rFonts w:hint="default" w:ascii="仿宋" w:hAnsi="仿宋" w:eastAsia="仿宋" w:cs="仿宋"/>
          <w:color w:val="000000"/>
          <w:kern w:val="0"/>
          <w:sz w:val="31"/>
          <w:szCs w:val="31"/>
          <w:lang w:val="en-US" w:eastAsia="zh-CN" w:bidi="ar"/>
        </w:rPr>
        <w:t>（类</w:t>
      </w:r>
      <w:r>
        <w:rPr>
          <w:rFonts w:hint="eastAsia" w:ascii="仿宋" w:hAnsi="仿宋" w:eastAsia="仿宋" w:cs="仿宋"/>
          <w:color w:val="000000"/>
          <w:kern w:val="0"/>
          <w:sz w:val="31"/>
          <w:szCs w:val="31"/>
          <w:lang w:val="en-US" w:eastAsia="zh-CN" w:bidi="ar"/>
        </w:rPr>
        <w:t>）纪检监察事务</w:t>
      </w:r>
      <w:r>
        <w:rPr>
          <w:rFonts w:hint="default"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其他纪检监察事务支出</w:t>
      </w:r>
      <w:r>
        <w:rPr>
          <w:rFonts w:hint="default"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指反映除上述项目以外其他纪检监察事务方面的支出。</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（十二）一般公共服务（类）群众团体事务（款）其他群众团体事务（项）：指反映除上述项目以外其他用于群众团体事务方面的支出。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（十三）一般公共服务（类）党委办公厅（室）及相关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机构事务（款）一般行政管理事务（项）：指反映行政单位（包括实行公务员管理的事业单位）未单独设置项级科目的其他项目支出。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（十四）一般公共服务（类）宣传事务（款）其他宣传事务（项）：指反映除上述项目以外其他用于中国共产党宣传部门的事务支出。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（十五）国防（类）国防动员（款）兵役征集（项）：指反映用于兵役征集等方面的支出。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（十六）文化旅游体育与传媒（类）文化和旅游（款）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群众文化（项）：指反映群众文化方面的支出，包括基层文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化馆（站）、群众艺术馆支出等。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（十七）文化旅游体育与传媒（类）文化和旅游（款）文化和旅游管理事务（项）：指反映文化和旅游管理事务支出。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十八）社会保障和就业（类）民政管理事务（款）基层政权建设和社区治理（项）：指反映开展城乡社区治理、城乡社区服务（乡村便民服务）、村（居）民自治、村（居）务公开、乡镇（街道）服务能力建设等基层政权建设和社区治理工作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（十九）社会保障和就业（类）</w:t>
      </w:r>
      <w:r>
        <w:rPr>
          <w:rStyle w:val="18"/>
          <w:rFonts w:hint="eastAsia" w:ascii="仿宋" w:hAnsi="仿宋" w:eastAsia="仿宋"/>
          <w:b w:val="0"/>
          <w:bCs/>
          <w:color w:val="000000"/>
          <w:sz w:val="32"/>
          <w:szCs w:val="32"/>
        </w:rPr>
        <w:t>行政事业单位养老支出</w:t>
      </w:r>
      <w:r>
        <w:rPr>
          <w:rFonts w:hint="eastAsia" w:ascii="仿宋" w:hAnsi="仿宋" w:eastAsia="仿宋" w:cs="仿宋"/>
          <w:color w:val="000000"/>
          <w:kern w:val="0"/>
          <w:sz w:val="31"/>
          <w:szCs w:val="31"/>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（款）机关事业单位基本养老保险缴费支出（项）：指部门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实施养老保险制度由单位缴纳的养老保险费的支出。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（二十）卫生健康（类）行政事业单位医疗（款）行政单位医疗（项）：指局机关及参公管理事业单位用于缴纳单位基本医疗保险支出。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（二十一）卫生健康（类）行政事业单位医疗（款）事业单位医疗（项）：指事业单位用于缴纳单位基本医疗保险支出。 </w:t>
      </w:r>
    </w:p>
    <w:p>
      <w:pPr>
        <w:pStyle w:val="8"/>
        <w:numPr>
          <w:ilvl w:val="0"/>
          <w:numId w:val="0"/>
        </w:numPr>
        <w:ind w:firstLine="620" w:firstLineChars="200"/>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二</w:t>
      </w:r>
      <w:r>
        <w:rPr>
          <w:rFonts w:hint="default" w:ascii="仿宋" w:hAnsi="仿宋" w:eastAsia="仿宋" w:cs="仿宋"/>
          <w:color w:val="000000"/>
          <w:kern w:val="0"/>
          <w:sz w:val="31"/>
          <w:szCs w:val="31"/>
          <w:lang w:val="en-US" w:eastAsia="zh-CN" w:bidi="ar"/>
        </w:rPr>
        <w:t>十</w:t>
      </w:r>
      <w:r>
        <w:rPr>
          <w:rFonts w:hint="eastAsia" w:ascii="仿宋" w:hAnsi="仿宋" w:eastAsia="仿宋" w:cs="仿宋"/>
          <w:color w:val="000000"/>
          <w:kern w:val="0"/>
          <w:sz w:val="31"/>
          <w:szCs w:val="31"/>
          <w:lang w:val="en-US" w:eastAsia="zh-CN" w:bidi="ar"/>
        </w:rPr>
        <w:t>二</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卫生健康支出</w:t>
      </w:r>
      <w:r>
        <w:rPr>
          <w:rFonts w:hint="default" w:ascii="仿宋" w:hAnsi="仿宋" w:eastAsia="仿宋" w:cs="仿宋"/>
          <w:color w:val="000000"/>
          <w:kern w:val="0"/>
          <w:sz w:val="31"/>
          <w:szCs w:val="31"/>
          <w:lang w:val="en-US" w:eastAsia="zh-CN" w:bidi="ar"/>
        </w:rPr>
        <w:t>（类）</w:t>
      </w:r>
      <w:r>
        <w:rPr>
          <w:rFonts w:hint="eastAsia" w:ascii="仿宋" w:hAnsi="仿宋" w:eastAsia="仿宋" w:cs="仿宋"/>
          <w:color w:val="000000"/>
          <w:kern w:val="0"/>
          <w:sz w:val="31"/>
          <w:szCs w:val="31"/>
          <w:lang w:val="en-US" w:eastAsia="zh-CN" w:bidi="ar"/>
        </w:rPr>
        <w:t>其他卫生健康支出</w:t>
      </w:r>
      <w:r>
        <w:rPr>
          <w:rFonts w:hint="default"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其他卫生健康支出</w:t>
      </w:r>
      <w:r>
        <w:rPr>
          <w:rFonts w:hint="default" w:ascii="仿宋" w:hAnsi="仿宋" w:eastAsia="仿宋" w:cs="仿宋"/>
          <w:color w:val="000000"/>
          <w:kern w:val="0"/>
          <w:sz w:val="31"/>
          <w:szCs w:val="31"/>
          <w:lang w:val="en-US" w:eastAsia="zh-CN" w:bidi="ar"/>
        </w:rPr>
        <w:t>（项）：</w:t>
      </w:r>
      <w:r>
        <w:rPr>
          <w:rFonts w:hint="eastAsia" w:ascii="仿宋" w:hAnsi="仿宋" w:eastAsia="仿宋" w:cs="仿宋"/>
          <w:color w:val="000000"/>
          <w:kern w:val="0"/>
          <w:sz w:val="31"/>
          <w:szCs w:val="31"/>
          <w:lang w:val="en-US" w:eastAsia="zh-CN" w:bidi="ar"/>
        </w:rPr>
        <w:t>反映除上述项目以外其他用于卫生健康方面的支出。</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（二十三）城乡社区（类）城乡社区环境卫生（款）城乡社区环境卫生（项）：反映城乡社区道路清扫、垃圾清运与处理、公厕建设与维护、园林绿化等方面的支出。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（二十四）农林水（类）农业农村（款）事业运行（项）：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反映用于农业事业单位基本支出，事业单位设施、系统运行与资产维护等方面的支出。 </w:t>
      </w:r>
    </w:p>
    <w:p>
      <w:pPr>
        <w:pStyle w:val="8"/>
        <w:numPr>
          <w:ilvl w:val="0"/>
          <w:numId w:val="0"/>
        </w:numPr>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（二十五）农林水</w:t>
      </w:r>
      <w:r>
        <w:rPr>
          <w:rFonts w:hint="default" w:ascii="仿宋" w:hAnsi="仿宋" w:eastAsia="仿宋" w:cs="仿宋"/>
          <w:color w:val="000000"/>
          <w:kern w:val="0"/>
          <w:sz w:val="31"/>
          <w:szCs w:val="31"/>
          <w:lang w:val="en-US" w:eastAsia="zh-CN" w:bidi="ar"/>
        </w:rPr>
        <w:t>（类）</w:t>
      </w:r>
      <w:r>
        <w:rPr>
          <w:rFonts w:hint="eastAsia" w:ascii="仿宋" w:hAnsi="仿宋" w:eastAsia="仿宋" w:cs="仿宋"/>
          <w:color w:val="000000"/>
          <w:kern w:val="0"/>
          <w:sz w:val="31"/>
          <w:szCs w:val="31"/>
          <w:lang w:val="en-US" w:eastAsia="zh-CN" w:bidi="ar"/>
        </w:rPr>
        <w:t>农业农村</w:t>
      </w:r>
      <w:r>
        <w:rPr>
          <w:rFonts w:hint="default" w:ascii="仿宋" w:hAnsi="仿宋" w:eastAsia="仿宋" w:cs="仿宋"/>
          <w:color w:val="000000"/>
          <w:kern w:val="0"/>
          <w:sz w:val="31"/>
          <w:szCs w:val="31"/>
          <w:lang w:val="en-US" w:eastAsia="zh-CN" w:bidi="ar"/>
        </w:rPr>
        <w:t>（款）</w:t>
      </w:r>
      <w:r>
        <w:rPr>
          <w:rFonts w:hint="eastAsia" w:ascii="仿宋" w:hAnsi="仿宋" w:eastAsia="仿宋" w:cs="仿宋"/>
          <w:color w:val="000000"/>
          <w:kern w:val="0"/>
          <w:sz w:val="31"/>
          <w:szCs w:val="31"/>
          <w:lang w:val="en-US" w:eastAsia="zh-CN" w:bidi="ar"/>
        </w:rPr>
        <w:t>防灾减灾（项）：反映对农业生产因遭受自然、生物灾害损失给予的补助，促进农业防灾增产措施补助，海难救助补助，因其他灾害导致农牧渔业生产者损失给予的补贴。</w:t>
      </w:r>
    </w:p>
    <w:p>
      <w:pPr>
        <w:pStyle w:val="8"/>
        <w:numPr>
          <w:ilvl w:val="0"/>
          <w:numId w:val="0"/>
        </w:numPr>
        <w:ind w:firstLine="620" w:firstLineChars="200"/>
      </w:pPr>
      <w:r>
        <w:rPr>
          <w:rFonts w:hint="eastAsia" w:ascii="仿宋" w:hAnsi="仿宋" w:eastAsia="仿宋" w:cs="仿宋"/>
          <w:color w:val="000000"/>
          <w:kern w:val="0"/>
          <w:sz w:val="31"/>
          <w:szCs w:val="31"/>
          <w:lang w:val="en-US" w:eastAsia="zh-CN" w:bidi="ar"/>
        </w:rPr>
        <w:t xml:space="preserve">（二十六）农林水（类）林业和草原（款）林业草原防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灾减灾（项）：反映用于病虫害等有害生物灾害、森林草原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防火、野生动物疫病灾害等方面的支出。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（二十七）农林水（类）水利（款）防汛（项）：反映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防汛业务支出。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（二十八）农林水（类）水利（款） 抗旱（项）：反映用于抗旱业务支出。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（二十九）农林水（类）巩固脱贫衔接与乡村振兴（款）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生产发展（项）：反映用于农村欠发达地区发展种植业、养殖业、畜牧业、农副产品加工、林果的建设等生产发展项目以及相关技术推广等方面的项目支出。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（三十）农林水（类）巩固脱贫衔接与乡村振兴（款）其他巩固脱贫衔接与乡村振兴（项）：反映除上述项目以外其他用于巩固拓展脱贫攻坚成果同乡村振兴有效衔接方面的支出。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（三十一）农林水（类）农村综合改革（款）对村民委员会和村党支部的补助（项）：反映各级财政对村民委员会和村党支部的补助支出，以及支持建立县级基本财力保障机制安排的村级组织运转奖补资金。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（三十二）农林水（类）农村综合改革（款）其他农村综合改革（项）：反映上述项目以外其他用于农村综合改革方面的支出。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（三十三）住房保障（类）住房改革支出（款）住房公积金（项）：指按照《住房公积金管理条例》的规定，由单位及其在职职工缴存的长期住房储金。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（三十四）灾害防治及应急管理（类）应急管理事务（款）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应急管理（项）：指用于应急管理的法律法规制定修订，应急预案演练，协调保障等方面的支出。</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（三十五）灾害防治及应急管理（类）自然灾害救助及恢复重建支出（款）其他自然灾害救灾及恢复重建支出（项）：指反映除地质、森林以外其他用于自然灾害的防治支出。</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（三十六）基本支出：指为保证机构正常运转，完成日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常工作任务而发生的人员支出和公用支出。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（三十七）项目支出：指在基本支出之外为完成特定行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政任务和事业发展目标所发生的支出。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（三十八）“三公”经费：纳入财政预算管理的“三公”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经费，是指部门用财政拨款安排的因公出国（境）费、公务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用车购置及运行费和公务接待费。其中，因公出国（境）费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反映单位公务出国（境）的国际旅费、国外城市间交通费、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住宿费、伙食费、培训费、公杂费等支出；公务用车购置及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运行费反映单位公务用车车辆购置支出（含车辆购置税）及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租用费、燃料费、维修费、过路过桥费、保险费等支出；公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务接待费反映单位按规定开支的各类公务接待（含外宾接待）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支出。 </w:t>
      </w:r>
    </w:p>
    <w:p>
      <w:pPr>
        <w:spacing w:line="600" w:lineRule="exact"/>
        <w:jc w:val="center"/>
        <w:outlineLvl w:val="0"/>
        <w:rPr>
          <w:rStyle w:val="29"/>
          <w:rFonts w:ascii="黑体" w:hAnsi="黑体" w:eastAsia="黑体"/>
          <w:b w:val="0"/>
        </w:rPr>
      </w:pPr>
      <w:r>
        <w:rPr>
          <w:rFonts w:ascii="宋体"/>
          <w:b/>
          <w:sz w:val="44"/>
          <w:szCs w:val="44"/>
        </w:rPr>
        <w:br w:type="page"/>
      </w: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val="en-US" w:eastAsia="zh-CN"/>
        </w:rPr>
        <w:t>汉阳</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b w:val="0"/>
          <w:bCs w:val="0"/>
          <w:sz w:val="32"/>
          <w:szCs w:val="32"/>
          <w:lang w:val="en-US" w:eastAsia="zh-CN"/>
        </w:rPr>
      </w:pPr>
      <w:bookmarkStart w:id="53" w:name="_Toc8778_WPSOffice_Level2"/>
      <w:r>
        <w:rPr>
          <w:rFonts w:hint="eastAsia" w:ascii="仿宋" w:hAnsi="仿宋" w:eastAsia="仿宋"/>
          <w:b w:val="0"/>
          <w:bCs w:val="0"/>
          <w:sz w:val="32"/>
          <w:szCs w:val="32"/>
          <w:lang w:val="en-US" w:eastAsia="zh-CN"/>
        </w:rPr>
        <w:t>为切实做好2022年度部门整体支出绩效自评工作，提高财政资金使用效益，根据《剑阁县财政局关于开展2022年度财政支出绩效自评工作的通知》（</w:t>
      </w:r>
      <w:r>
        <w:rPr>
          <w:rFonts w:hint="eastAsia" w:ascii="仿宋_GB2312" w:hAnsi="仿宋_GB2312" w:eastAsia="仿宋_GB2312" w:cs="仿宋_GB2312"/>
          <w:color w:val="000000"/>
          <w:kern w:val="0"/>
          <w:sz w:val="30"/>
          <w:szCs w:val="30"/>
          <w:lang w:val="en-US" w:eastAsia="zh-CN" w:bidi="ar"/>
        </w:rPr>
        <w:t>剑财政〔2023〕49号</w:t>
      </w:r>
      <w:r>
        <w:rPr>
          <w:rFonts w:hint="eastAsia" w:ascii="华文仿宋" w:hAnsi="华文仿宋" w:eastAsia="华文仿宋" w:cs="华文仿宋"/>
          <w:b w:val="0"/>
          <w:bCs w:val="0"/>
          <w:sz w:val="32"/>
          <w:szCs w:val="32"/>
          <w:lang w:val="en-US" w:eastAsia="zh-CN"/>
        </w:rPr>
        <w:t>）文件精神，结合实际，我单位组织成立了绩效评价工作小组，评价小组采取座谈等方式听取情况，检查基本支出、项目支出有关账目，收集整理支出相关资料，并根据各部门报送的绩效自评资料进行分析、汇总，现将我单位整体支出绩效自评结果报告如下：</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单位概况</w:t>
      </w:r>
      <w:bookmarkEnd w:id="53"/>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（一）机构组成。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剑阁县</w:t>
      </w:r>
      <w:r>
        <w:rPr>
          <w:rFonts w:hint="eastAsia" w:ascii="仿宋_GB2312" w:hAnsi="仿宋_GB2312" w:eastAsia="仿宋_GB2312" w:cs="仿宋_GB2312"/>
          <w:sz w:val="32"/>
          <w:szCs w:val="32"/>
          <w:lang w:eastAsia="zh-CN"/>
        </w:rPr>
        <w:t>汉阳镇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en-US" w:eastAsia="zh-CN"/>
        </w:rPr>
        <w:t>单位基本性质为行政单位，财政预算层次是一级预算单位。</w:t>
      </w:r>
      <w:r>
        <w:rPr>
          <w:rFonts w:hint="eastAsia" w:ascii="仿宋_GB2312" w:hAnsi="仿宋_GB2312" w:eastAsia="仿宋_GB2312" w:cs="仿宋_GB2312"/>
          <w:sz w:val="32"/>
          <w:szCs w:val="32"/>
        </w:rPr>
        <w:t>设有“五办四中心”，</w:t>
      </w:r>
      <w:r>
        <w:rPr>
          <w:rFonts w:hint="eastAsia" w:ascii="仿宋_GB2312" w:hAnsi="仿宋_GB2312" w:eastAsia="仿宋_GB2312" w:cs="仿宋_GB2312"/>
          <w:b/>
          <w:bCs/>
          <w:sz w:val="32"/>
          <w:szCs w:val="32"/>
          <w:lang w:val="en-US" w:eastAsia="zh-CN"/>
        </w:rPr>
        <w:t>五办指</w:t>
      </w:r>
      <w:r>
        <w:rPr>
          <w:rFonts w:hint="eastAsia" w:ascii="仿宋_GB2312" w:hAnsi="仿宋_GB2312" w:eastAsia="仿宋_GB2312" w:cs="仿宋_GB2312"/>
          <w:sz w:val="32"/>
          <w:szCs w:val="32"/>
        </w:rPr>
        <w:t>党政综合与乡村振兴办公室、党建工作办公室、综合行政执法办公室、社会事务办公室、经济发展办公室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000000"/>
          <w:sz w:val="30"/>
          <w:szCs w:val="30"/>
          <w:shd w:val="clear" w:color="auto" w:fill="FFFFFF"/>
        </w:rPr>
        <w:t>四中心</w:t>
      </w:r>
      <w:r>
        <w:rPr>
          <w:rFonts w:hint="eastAsia" w:ascii="仿宋_GB2312" w:hAnsi="仿宋_GB2312" w:eastAsia="仿宋_GB2312" w:cs="仿宋_GB2312"/>
          <w:b/>
          <w:bCs/>
          <w:color w:val="000000"/>
          <w:sz w:val="30"/>
          <w:szCs w:val="30"/>
          <w:shd w:val="clear" w:color="auto" w:fill="FFFFFF"/>
          <w:lang w:val="en-US" w:eastAsia="zh-CN"/>
        </w:rPr>
        <w:t>指</w:t>
      </w:r>
      <w:r>
        <w:rPr>
          <w:rFonts w:hint="eastAsia" w:ascii="仿宋_GB2312" w:hAnsi="仿宋_GB2312" w:eastAsia="仿宋_GB2312" w:cs="仿宋_GB2312"/>
          <w:sz w:val="32"/>
          <w:szCs w:val="32"/>
        </w:rPr>
        <w:t>便民服务中心、农业综合服务中心、乡村建设和文化旅游服务中心、农民工服务中心。无下属二级单位。</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（二）</w:t>
      </w:r>
      <w:r>
        <w:rPr>
          <w:rFonts w:hint="eastAsia" w:ascii="仿宋" w:hAnsi="仿宋" w:eastAsia="仿宋"/>
          <w:b/>
          <w:bCs/>
          <w:sz w:val="32"/>
          <w:szCs w:val="32"/>
          <w:lang w:val="en-US" w:eastAsia="zh-CN"/>
        </w:rPr>
        <w:t>机构职能</w:t>
      </w:r>
      <w:r>
        <w:rPr>
          <w:rFonts w:hint="eastAsia" w:ascii="仿宋" w:hAnsi="仿宋" w:eastAsia="仿宋"/>
          <w:b/>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制定并组织实施乡村建设规划，部署重点工程建设，地方道路建设及公共设施，水利设施的管理，负责土地、林木、水等自然资源和生态环境的保护，做好护林防火工作。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按计划组织本级财政收入和税收的征收，完成国家财政计划，不断培植税源，管好财政资金，增强财政实力。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抓好精神文明建设，丰富群众文化生活，提倡</w:t>
      </w:r>
      <w:r>
        <w:rPr>
          <w:rFonts w:hint="eastAsia" w:ascii="仿宋" w:hAnsi="仿宋" w:eastAsia="仿宋"/>
          <w:sz w:val="32"/>
          <w:szCs w:val="32"/>
          <w:lang w:eastAsia="zh-CN"/>
        </w:rPr>
        <w:t>移风易俗</w:t>
      </w:r>
      <w:r>
        <w:rPr>
          <w:rFonts w:hint="eastAsia" w:ascii="仿宋" w:hAnsi="仿宋" w:eastAsia="仿宋"/>
          <w:sz w:val="32"/>
          <w:szCs w:val="32"/>
        </w:rPr>
        <w:t>，反对封建迷信，破除陈规陋习，树立社会主义新风尚。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完成上级政府交办</w:t>
      </w:r>
      <w:r>
        <w:rPr>
          <w:rFonts w:hint="eastAsia" w:ascii="仿宋" w:hAnsi="仿宋" w:eastAsia="仿宋"/>
          <w:sz w:val="32"/>
          <w:szCs w:val="32"/>
          <w:lang w:eastAsia="zh-CN"/>
        </w:rPr>
        <w:t>的其他事项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b/>
          <w:bCs/>
          <w:sz w:val="32"/>
          <w:szCs w:val="32"/>
        </w:rPr>
      </w:pPr>
      <w:r>
        <w:rPr>
          <w:rFonts w:hint="eastAsia" w:ascii="仿宋" w:hAnsi="仿宋" w:eastAsia="仿宋"/>
          <w:b/>
          <w:bCs/>
          <w:sz w:val="32"/>
          <w:szCs w:val="32"/>
        </w:rPr>
        <w:t>（三）人员概况。</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 xml:space="preserve">     </w:t>
      </w:r>
      <w:r>
        <w:rPr>
          <w:rFonts w:hint="eastAsia" w:ascii="仿宋_GB2312" w:hAnsi="仿宋_GB2312" w:eastAsia="仿宋_GB2312" w:cs="仿宋_GB2312"/>
          <w:kern w:val="2"/>
          <w:sz w:val="32"/>
          <w:szCs w:val="32"/>
          <w:lang w:val="en-US" w:eastAsia="zh-CN" w:bidi="ar-SA"/>
        </w:rPr>
        <w:t>剑阁县汉阳镇人民政府年末共有在职人员</w:t>
      </w:r>
      <w:r>
        <w:rPr>
          <w:rFonts w:hint="eastAsia" w:ascii="仿宋_GB2312" w:hAnsi="仿宋_GB2312" w:cs="仿宋_GB2312"/>
          <w:kern w:val="2"/>
          <w:sz w:val="32"/>
          <w:szCs w:val="32"/>
          <w:lang w:val="en-US" w:eastAsia="zh-CN" w:bidi="ar-SA"/>
        </w:rPr>
        <w:t>51</w:t>
      </w:r>
      <w:r>
        <w:rPr>
          <w:rFonts w:hint="eastAsia" w:ascii="仿宋_GB2312" w:hAnsi="仿宋_GB2312" w:eastAsia="仿宋_GB2312" w:cs="仿宋_GB2312"/>
          <w:kern w:val="2"/>
          <w:sz w:val="32"/>
          <w:szCs w:val="32"/>
          <w:lang w:val="en-US" w:eastAsia="zh-CN" w:bidi="ar-SA"/>
        </w:rPr>
        <w:t>人，其中行政人员</w:t>
      </w:r>
      <w:r>
        <w:rPr>
          <w:rFonts w:hint="eastAsia" w:ascii="仿宋_GB2312" w:hAnsi="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人，事业单位人员</w:t>
      </w:r>
      <w:r>
        <w:rPr>
          <w:rFonts w:hint="eastAsia" w:ascii="仿宋_GB2312" w:hAnsi="仿宋_GB2312" w:cs="仿宋_GB2312"/>
          <w:kern w:val="2"/>
          <w:sz w:val="32"/>
          <w:szCs w:val="32"/>
          <w:lang w:val="en-US" w:eastAsia="zh-CN" w:bidi="ar-SA"/>
        </w:rPr>
        <w:t>28</w:t>
      </w:r>
      <w:r>
        <w:rPr>
          <w:rFonts w:hint="eastAsia" w:ascii="仿宋_GB2312" w:hAnsi="仿宋_GB2312" w:eastAsia="仿宋_GB2312" w:cs="仿宋_GB2312"/>
          <w:kern w:val="2"/>
          <w:sz w:val="32"/>
          <w:szCs w:val="32"/>
          <w:lang w:val="en-US" w:eastAsia="zh-CN" w:bidi="ar-SA"/>
        </w:rPr>
        <w:t>人，工勤人员1人，三支一扶2人 。</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bookmarkStart w:id="54" w:name="_Toc22704_WPSOffice_Level2"/>
      <w:r>
        <w:rPr>
          <w:rFonts w:hint="eastAsia" w:ascii="仿宋" w:hAnsi="仿宋" w:eastAsia="仿宋"/>
          <w:b/>
          <w:bCs/>
          <w:sz w:val="32"/>
          <w:szCs w:val="32"/>
        </w:rPr>
        <w:t>二、部门财政资金收支情况</w:t>
      </w:r>
      <w:bookmarkEnd w:id="54"/>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（一）部门财政资金收入情况。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剑阁县</w:t>
      </w:r>
      <w:r>
        <w:rPr>
          <w:rFonts w:hint="eastAsia" w:ascii="仿宋" w:hAnsi="仿宋" w:eastAsia="仿宋"/>
          <w:sz w:val="32"/>
          <w:szCs w:val="32"/>
          <w:lang w:eastAsia="zh-CN"/>
        </w:rPr>
        <w:t>汉阳镇</w:t>
      </w:r>
      <w:r>
        <w:rPr>
          <w:rFonts w:hint="eastAsia" w:ascii="仿宋" w:hAnsi="仿宋" w:eastAsia="仿宋"/>
          <w:sz w:val="32"/>
          <w:szCs w:val="32"/>
        </w:rPr>
        <w:t>人民政府</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ascii="仿宋" w:hAnsi="仿宋" w:eastAsia="仿宋"/>
          <w:sz w:val="32"/>
          <w:szCs w:val="32"/>
        </w:rPr>
        <w:t>年收入</w:t>
      </w:r>
      <w:r>
        <w:rPr>
          <w:rFonts w:hint="eastAsia" w:ascii="仿宋_GB2312" w:hAnsi="仿宋" w:eastAsia="仿宋_GB2312"/>
          <w:sz w:val="32"/>
          <w:szCs w:val="32"/>
          <w:lang w:val="en-US" w:eastAsia="zh-CN"/>
        </w:rPr>
        <w:t>1152.02</w:t>
      </w:r>
      <w:r>
        <w:rPr>
          <w:rFonts w:hint="eastAsia" w:ascii="仿宋" w:hAnsi="仿宋" w:eastAsia="仿宋"/>
          <w:sz w:val="32"/>
          <w:szCs w:val="32"/>
          <w:lang w:val="en-US" w:eastAsia="zh-CN"/>
        </w:rPr>
        <w:t>万</w:t>
      </w:r>
      <w:r>
        <w:rPr>
          <w:rFonts w:ascii="仿宋" w:hAnsi="仿宋" w:eastAsia="仿宋"/>
          <w:sz w:val="32"/>
          <w:szCs w:val="32"/>
        </w:rPr>
        <w:t>元，其中：</w:t>
      </w:r>
      <w:r>
        <w:rPr>
          <w:rFonts w:hint="eastAsia" w:ascii="仿宋" w:hAnsi="仿宋" w:eastAsia="仿宋"/>
          <w:sz w:val="32"/>
          <w:szCs w:val="32"/>
        </w:rPr>
        <w:t>一般公共预算拨款收入</w:t>
      </w:r>
      <w:r>
        <w:rPr>
          <w:rFonts w:hint="eastAsia" w:ascii="仿宋_GB2312" w:hAnsi="仿宋" w:eastAsia="仿宋_GB2312"/>
          <w:sz w:val="32"/>
          <w:szCs w:val="32"/>
          <w:lang w:val="en-US" w:eastAsia="zh-CN"/>
        </w:rPr>
        <w:t>1152.02</w:t>
      </w:r>
      <w:r>
        <w:rPr>
          <w:rFonts w:hint="eastAsia" w:ascii="仿宋" w:hAnsi="仿宋" w:eastAsia="仿宋"/>
          <w:sz w:val="32"/>
          <w:szCs w:val="32"/>
          <w:lang w:val="en-US" w:eastAsia="zh-CN"/>
        </w:rPr>
        <w:t>万</w:t>
      </w:r>
      <w:r>
        <w:rPr>
          <w:rFonts w:hint="eastAsia" w:ascii="仿宋" w:hAnsi="仿宋" w:eastAsia="仿宋"/>
          <w:sz w:val="32"/>
          <w:szCs w:val="32"/>
        </w:rPr>
        <w:t>元，占</w:t>
      </w:r>
      <w:r>
        <w:rPr>
          <w:rFonts w:hint="eastAsia" w:ascii="仿宋" w:hAnsi="仿宋" w:eastAsia="仿宋"/>
          <w:sz w:val="32"/>
          <w:szCs w:val="32"/>
          <w:lang w:val="en-US" w:eastAsia="zh-CN"/>
        </w:rPr>
        <w:t>100</w:t>
      </w:r>
      <w:r>
        <w:rPr>
          <w:rFonts w:hint="eastAsia" w:ascii="仿宋" w:hAnsi="仿宋" w:eastAsia="仿宋"/>
          <w:sz w:val="32"/>
          <w:szCs w:val="32"/>
        </w:rPr>
        <w:t>%</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 w:hAnsi="仿宋" w:eastAsia="仿宋"/>
          <w:b/>
          <w:bCs/>
          <w:sz w:val="32"/>
          <w:szCs w:val="32"/>
        </w:rPr>
      </w:pPr>
      <w:r>
        <w:rPr>
          <w:rFonts w:ascii="仿宋" w:hAnsi="仿宋" w:eastAsia="仿宋"/>
          <w:sz w:val="32"/>
          <w:szCs w:val="32"/>
        </w:rPr>
        <w:t xml:space="preserve">    </w:t>
      </w:r>
      <w:r>
        <w:rPr>
          <w:rFonts w:ascii="仿宋" w:hAnsi="仿宋" w:eastAsia="仿宋"/>
          <w:b/>
          <w:bCs/>
          <w:sz w:val="32"/>
          <w:szCs w:val="32"/>
        </w:rPr>
        <w:t>（二）部门财政资金支出情况。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剑阁县</w:t>
      </w:r>
      <w:r>
        <w:rPr>
          <w:rFonts w:hint="eastAsia" w:ascii="仿宋" w:hAnsi="仿宋" w:eastAsia="仿宋"/>
          <w:sz w:val="32"/>
          <w:szCs w:val="32"/>
          <w:lang w:eastAsia="zh-CN"/>
        </w:rPr>
        <w:t>汉阳镇</w:t>
      </w:r>
      <w:r>
        <w:rPr>
          <w:rFonts w:hint="eastAsia" w:ascii="仿宋" w:hAnsi="仿宋" w:eastAsia="仿宋"/>
          <w:sz w:val="32"/>
          <w:szCs w:val="32"/>
        </w:rPr>
        <w:t>人民政府</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ascii="仿宋" w:hAnsi="仿宋" w:eastAsia="仿宋"/>
          <w:sz w:val="32"/>
          <w:szCs w:val="32"/>
        </w:rPr>
        <w:t>年支出</w:t>
      </w:r>
      <w:r>
        <w:rPr>
          <w:rFonts w:hint="eastAsia" w:ascii="仿宋_GB2312" w:hAnsi="仿宋" w:eastAsia="仿宋_GB2312"/>
          <w:sz w:val="32"/>
          <w:szCs w:val="32"/>
          <w:lang w:val="en-US" w:eastAsia="zh-CN"/>
        </w:rPr>
        <w:t>1152.02</w:t>
      </w:r>
      <w:r>
        <w:rPr>
          <w:rFonts w:hint="eastAsia" w:ascii="仿宋" w:hAnsi="仿宋" w:eastAsia="仿宋"/>
          <w:sz w:val="32"/>
          <w:szCs w:val="32"/>
          <w:lang w:val="en-US" w:eastAsia="zh-CN"/>
        </w:rPr>
        <w:t>万</w:t>
      </w:r>
      <w:r>
        <w:rPr>
          <w:rFonts w:ascii="仿宋" w:hAnsi="仿宋" w:eastAsia="仿宋"/>
          <w:sz w:val="32"/>
          <w:szCs w:val="32"/>
        </w:rPr>
        <w:t>元，</w:t>
      </w:r>
      <w:r>
        <w:rPr>
          <w:rFonts w:hint="eastAsia" w:ascii="仿宋" w:hAnsi="仿宋" w:eastAsia="仿宋"/>
          <w:sz w:val="32"/>
          <w:szCs w:val="32"/>
          <w:lang w:val="en-US" w:eastAsia="zh-CN"/>
        </w:rPr>
        <w:t>其中：一般公共服务支出425.92万元，国防支出0.5万元，文化体育与传媒支出52.07万元，社会保障和就业支出120.05万元，医疗卫生和计划生育支出29.23万元，城乡社区支出8.75万元，农林水利支出462.02万元，住房保障支出43.1万元，灾害防治及应急管理支出10.4万元。</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b/>
          <w:bCs/>
          <w:sz w:val="32"/>
          <w:szCs w:val="32"/>
        </w:rPr>
      </w:pPr>
      <w:bookmarkStart w:id="55" w:name="_Toc22271_WPSOffice_Level2"/>
      <w:r>
        <w:rPr>
          <w:rFonts w:hint="eastAsia" w:ascii="仿宋" w:hAnsi="仿宋" w:eastAsia="仿宋"/>
          <w:b/>
          <w:bCs/>
          <w:sz w:val="32"/>
          <w:szCs w:val="32"/>
        </w:rPr>
        <w:t>部门整体预算绩效管理情况</w:t>
      </w:r>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（一）部门预算</w:t>
      </w:r>
      <w:r>
        <w:rPr>
          <w:rFonts w:hint="eastAsia" w:ascii="仿宋" w:hAnsi="仿宋" w:eastAsia="仿宋"/>
          <w:b/>
          <w:bCs/>
          <w:sz w:val="32"/>
          <w:szCs w:val="32"/>
          <w:lang w:val="en-US" w:eastAsia="zh-CN"/>
        </w:rPr>
        <w:t>项目绩效</w:t>
      </w:r>
      <w:r>
        <w:rPr>
          <w:rFonts w:hint="eastAsia" w:ascii="仿宋" w:hAnsi="仿宋" w:eastAsia="仿宋"/>
          <w:b/>
          <w:bCs/>
          <w:sz w:val="32"/>
          <w:szCs w:val="32"/>
        </w:rPr>
        <w:t>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1.部门绩效目标制定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加强我镇预算绩效管理，强化预算支出责任，提高财政资金使用绩效，根据《中华人民共和国预算法》《剑阁县预算绩效管理实施办法》，对纳入政府预算管理的所有财政性资金，结合我镇实际，制定部门绩效目标实施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（1）绩效管理基本原则。绩效导向原则，目标管理原则，有序推进原则，科学规范原则，绩效问责原则，信息公开原则。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（2）绩效管理职责分工。首先镇财政负责制定预算绩效管理规章制度、工作规划、年度计划、操作规范等；指导本镇预算单位开展预算绩效管理工作，对有关实施情况进行监督、检查和考核。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绩效管理评价。绩效评价是全过程预算绩效管理的重要手段。预算绩效管理主体根据设定的绩效目标，运用科学、合理的绩效评价指标、评价标准和评价方法，对财政支出的经济性、效率性和效益性进行客观、公正的评价。绩效评价，由镇财政负责实施，对本预算单位申报的绩效评价项目进行统筹安排，编制年度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绩效评价结果整改及应用情况反馈。被评价方应根据评价结果及整改建议，及时研究制定整改及结果应用措施，切实改进预算管理和项目管理，并在收到评价报告后30个工作日内，将整改及结果应用情况向评价组织方反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绩效评价结果公开。评价组织方应当在收到被评价方整改情况报告后20个工作日内，将绩效评价的结果信息对外公开，公开的内容主要包括：项目名称及单位、预算金额、主管部门、评价分值、评价等级、主要绩效、主要问题、整改建议、整改及结果应用情况等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绩效问责。首先，对未按项目申报内容组织实施，项目投入产出效果不明显，要在一定范围内通报批评，情节严重的要停拨相关项目的财政拨款。其次，对于弄虚作假、虚报冒领，造成经济损失的，要按有关法律法规追究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2.部门绩效目标实现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为了加强我镇部门预算管理，提高财政资金使用的合理性、规范性、安全性和有效性。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3.部门绩效预算编制准确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加强我镇财政预算编制的准确性，按照现行乡镇财政预算管理体制的有关规定和上级财政部门要求，预算编制采取“两上两下”的原则，按时按质完成年度乡镇部门预算编制工作。同时按照“保障基本支出，巩固基层政权，完善配套政策，促进镇办经济和社会事业发展”总体要求，将预算返还、非税收入、上年结余资金等所有收入全部纳入预算管理，实行综合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4.部门绩效支出控制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加强部门预算管理</w:t>
      </w:r>
      <w:r>
        <w:rPr>
          <w:rFonts w:hint="eastAsia" w:ascii="仿宋" w:hAnsi="仿宋" w:eastAsia="仿宋"/>
          <w:sz w:val="32"/>
          <w:szCs w:val="32"/>
          <w:lang w:eastAsia="zh-CN"/>
        </w:rPr>
        <w:t>，</w:t>
      </w:r>
      <w:r>
        <w:rPr>
          <w:rFonts w:hint="eastAsia" w:ascii="仿宋" w:hAnsi="仿宋" w:eastAsia="仿宋"/>
          <w:sz w:val="32"/>
          <w:szCs w:val="32"/>
        </w:rPr>
        <w:t>合理安排财政资金。增强行政成本意识，保证单位基本运转的同时，严格按预算控制专项支出。按照综合预算的原则，剑阁县</w:t>
      </w:r>
      <w:r>
        <w:rPr>
          <w:rFonts w:hint="eastAsia" w:ascii="仿宋" w:hAnsi="仿宋" w:eastAsia="仿宋"/>
          <w:sz w:val="32"/>
          <w:szCs w:val="32"/>
          <w:lang w:eastAsia="zh-CN"/>
        </w:rPr>
        <w:t>汉阳镇</w:t>
      </w:r>
      <w:r>
        <w:rPr>
          <w:rFonts w:hint="eastAsia" w:ascii="仿宋" w:hAnsi="仿宋" w:eastAsia="仿宋"/>
          <w:sz w:val="32"/>
          <w:szCs w:val="32"/>
        </w:rPr>
        <w:t>人民政府所有收入和支出均纳入部门预算管理。收入包括：本年一般公共预算拨款收入、上年结转一般公共预算拨款收入</w:t>
      </w:r>
      <w:r>
        <w:rPr>
          <w:rFonts w:hint="eastAsia" w:ascii="仿宋" w:hAnsi="仿宋" w:eastAsia="仿宋"/>
          <w:sz w:val="32"/>
          <w:szCs w:val="32"/>
          <w:lang w:eastAsia="zh-CN"/>
        </w:rPr>
        <w:t>、</w:t>
      </w:r>
      <w:r>
        <w:rPr>
          <w:rFonts w:hint="eastAsia" w:ascii="仿宋" w:hAnsi="仿宋" w:eastAsia="仿宋"/>
          <w:sz w:val="32"/>
          <w:szCs w:val="32"/>
        </w:rPr>
        <w:t>政府性基金预算财政拨款收入</w:t>
      </w:r>
      <w:r>
        <w:rPr>
          <w:rFonts w:hint="eastAsia" w:ascii="仿宋" w:hAnsi="仿宋" w:eastAsia="仿宋"/>
          <w:sz w:val="32"/>
          <w:szCs w:val="32"/>
          <w:lang w:eastAsia="zh-CN"/>
        </w:rPr>
        <w:t>、国有资本经营预算财政拨款收入、事业收入、经营收入、附属单位上缴收入、其他收入；支出包括：预算支出和非预算支出，预算支出具体包括：基本支出和项目支出；非预算支出包括：上缴上级支出、经营支出、对附属单位补助支出等</w:t>
      </w:r>
      <w:r>
        <w:rPr>
          <w:rFonts w:hint="eastAsia" w:ascii="仿宋" w:hAnsi="仿宋" w:eastAsia="仿宋"/>
          <w:sz w:val="32"/>
          <w:szCs w:val="32"/>
        </w:rPr>
        <w:t>。</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本年</w:t>
      </w:r>
      <w:r>
        <w:rPr>
          <w:rFonts w:hint="eastAsia" w:ascii="仿宋" w:hAnsi="仿宋" w:eastAsia="仿宋"/>
          <w:sz w:val="32"/>
          <w:szCs w:val="32"/>
        </w:rPr>
        <w:t>收入</w:t>
      </w:r>
      <w:r>
        <w:rPr>
          <w:rFonts w:hint="eastAsia" w:ascii="仿宋" w:hAnsi="仿宋" w:eastAsia="仿宋"/>
          <w:sz w:val="32"/>
          <w:szCs w:val="32"/>
          <w:lang w:eastAsia="zh-CN"/>
        </w:rPr>
        <w:t>合计</w:t>
      </w:r>
      <w:r>
        <w:rPr>
          <w:rFonts w:hint="eastAsia" w:ascii="仿宋" w:hAnsi="仿宋" w:eastAsia="仿宋"/>
          <w:sz w:val="32"/>
          <w:szCs w:val="32"/>
          <w:lang w:val="en-US" w:eastAsia="zh-CN"/>
        </w:rPr>
        <w:t>1152.02万</w:t>
      </w:r>
      <w:r>
        <w:rPr>
          <w:rFonts w:hint="eastAsia" w:ascii="仿宋" w:hAnsi="仿宋" w:eastAsia="仿宋"/>
          <w:sz w:val="32"/>
          <w:szCs w:val="32"/>
        </w:rPr>
        <w:t>元，其中：一般公共预算拨款收入</w:t>
      </w:r>
      <w:r>
        <w:rPr>
          <w:rFonts w:hint="eastAsia" w:ascii="仿宋" w:hAnsi="仿宋" w:eastAsia="仿宋"/>
          <w:sz w:val="32"/>
          <w:szCs w:val="32"/>
          <w:lang w:val="en-US" w:eastAsia="zh-CN"/>
        </w:rPr>
        <w:t>1152.02万</w:t>
      </w:r>
      <w:r>
        <w:rPr>
          <w:rFonts w:hint="eastAsia" w:ascii="仿宋" w:hAnsi="仿宋" w:eastAsia="仿宋"/>
          <w:sz w:val="32"/>
          <w:szCs w:val="32"/>
        </w:rPr>
        <w:t>元，占</w:t>
      </w:r>
      <w:r>
        <w:rPr>
          <w:rFonts w:hint="eastAsia" w:ascii="仿宋" w:hAnsi="仿宋" w:eastAsia="仿宋"/>
          <w:sz w:val="32"/>
          <w:szCs w:val="32"/>
          <w:lang w:val="en-US" w:eastAsia="zh-CN"/>
        </w:rPr>
        <w:t>100</w:t>
      </w:r>
      <w:r>
        <w:rPr>
          <w:rFonts w:hint="eastAsia" w:ascii="仿宋" w:hAnsi="仿宋" w:eastAsia="仿宋"/>
          <w:sz w:val="32"/>
          <w:szCs w:val="32"/>
        </w:rPr>
        <w:t>%。</w:t>
      </w:r>
      <w:r>
        <w:rPr>
          <w:rFonts w:ascii="仿宋" w:hAnsi="仿宋" w:eastAsia="仿宋"/>
          <w:sz w:val="32"/>
          <w:szCs w:val="32"/>
        </w:rPr>
        <w:t>政府性基金预算财政拨款收入</w:t>
      </w:r>
      <w:r>
        <w:rPr>
          <w:rFonts w:hint="eastAsia" w:ascii="仿宋" w:hAnsi="仿宋" w:eastAsia="仿宋"/>
          <w:sz w:val="32"/>
          <w:szCs w:val="32"/>
          <w:lang w:val="en-US" w:eastAsia="zh-CN"/>
        </w:rPr>
        <w:t>0</w:t>
      </w:r>
      <w:r>
        <w:rPr>
          <w:rFonts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%；国有资本经营预算财政拨款收入0万元，占0%；事业收入0万元，占0%；经营收入0万元，占0%；附属单位上缴收入0万元，占0%；其他收入0万元，占0%。</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eastAsia="zh-CN"/>
        </w:rPr>
        <w:t>本年</w:t>
      </w:r>
      <w:r>
        <w:rPr>
          <w:rFonts w:hint="eastAsia" w:ascii="仿宋" w:hAnsi="仿宋" w:eastAsia="仿宋"/>
          <w:sz w:val="32"/>
          <w:szCs w:val="32"/>
        </w:rPr>
        <w:t>支出预算</w:t>
      </w:r>
      <w:r>
        <w:rPr>
          <w:rFonts w:hint="eastAsia" w:ascii="仿宋" w:hAnsi="仿宋" w:eastAsia="仿宋"/>
          <w:sz w:val="32"/>
          <w:szCs w:val="32"/>
          <w:lang w:val="en-US" w:eastAsia="zh-CN"/>
        </w:rPr>
        <w:t>1152.02万</w:t>
      </w:r>
      <w:r>
        <w:rPr>
          <w:rFonts w:hint="eastAsia" w:ascii="仿宋" w:hAnsi="仿宋" w:eastAsia="仿宋"/>
          <w:sz w:val="32"/>
          <w:szCs w:val="32"/>
        </w:rPr>
        <w:t>元，其中：基本支出</w:t>
      </w:r>
      <w:r>
        <w:rPr>
          <w:rFonts w:hint="eastAsia" w:ascii="仿宋" w:hAnsi="仿宋" w:eastAsia="仿宋"/>
          <w:sz w:val="32"/>
          <w:szCs w:val="32"/>
          <w:lang w:val="en-US" w:eastAsia="zh-CN"/>
        </w:rPr>
        <w:t>764.13万</w:t>
      </w:r>
      <w:r>
        <w:rPr>
          <w:rFonts w:hint="eastAsia" w:ascii="仿宋" w:hAnsi="仿宋" w:eastAsia="仿宋"/>
          <w:sz w:val="32"/>
          <w:szCs w:val="32"/>
        </w:rPr>
        <w:t>元，项目支出</w:t>
      </w:r>
      <w:r>
        <w:rPr>
          <w:rFonts w:hint="eastAsia" w:ascii="仿宋" w:hAnsi="仿宋" w:eastAsia="仿宋"/>
          <w:sz w:val="32"/>
          <w:szCs w:val="32"/>
          <w:lang w:val="en-US" w:eastAsia="zh-CN"/>
        </w:rPr>
        <w:t>387.88万</w:t>
      </w:r>
      <w:r>
        <w:rPr>
          <w:rFonts w:hint="eastAsia" w:ascii="仿宋" w:hAnsi="仿宋" w:eastAsia="仿宋"/>
          <w:sz w:val="32"/>
          <w:szCs w:val="32"/>
        </w:rPr>
        <w:t>元，</w:t>
      </w:r>
      <w:r>
        <w:rPr>
          <w:rFonts w:hint="eastAsia" w:ascii="仿宋" w:hAnsi="仿宋" w:eastAsia="仿宋"/>
          <w:sz w:val="32"/>
          <w:szCs w:val="32"/>
          <w:lang w:val="en-US" w:eastAsia="zh-CN"/>
        </w:rPr>
        <w:t>政府基金支出0万元，占0%；</w:t>
      </w:r>
      <w:r>
        <w:rPr>
          <w:rFonts w:ascii="仿宋" w:hAnsi="仿宋" w:eastAsia="仿宋"/>
          <w:sz w:val="32"/>
          <w:szCs w:val="32"/>
        </w:rPr>
        <w:t>上缴上级支出0万元，占0%；经营支出0万元，占0%；对附属单位补助支出0万元，占0%。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5.部门绩效预算动态调整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为了保障预算动态调整真实性、准确性和有效性，我单位严格按照县财政局预算调整方案规定，调整单位预算数据，让资金预算不重不漏，让有效的资金发挥到最大的价值。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6.部门绩效执行进度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我镇严格执行资金管理制度，规范财政管理、政府采购制度，强化资产管理等。2022年预算执行进度良好，预算资金、专项资金均按时合规拨付、列支。2022年整体支出与预算调整数（决算数）一致，“三公经费”无超预算列支情况。2022年度“三公”经费财政拨款支出决算中，因公出国（境）费支出决算0.00万元，占0.00%；公务用车购置及运行维护费支出决算0.00万元，占0.00%；公务接待费支出决算0万元，占0.00%。2020年度“三公”经费财政拨款支出决算中，因公出国（境）费支出决算0万元，占0.00%；公务用车购置及运行维护费支出决算0.00万元，占0.00%；公务接待费支出决算6.22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7.部门绩效预算完成情况和违规记录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根据《中华人民共和国会计法》《中华人民共和国预算法》《行政事业单位会计制度》等法律和财政部、省财政厅、县财政局相关财务规章的规定，以及《行政事业单位内部控制规范(试行）》《行政事业单位内部控制报告管理制度》等有关规定，我镇在遵守各项有关法律法规、财经纪律、财务规章制度的同时，根据自身情况结合各项规定编制了多项岗位及管理制度，明确了资产管理、政府采购、信息公开、票据管理、保障程序等工作规章，并严格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严格会计核算，国有资产采购通过政府采购，处置通过财政局审批，全部按照规定执行；积极根据《剑阁县财政局关于开展2022年度县级财政支出绩效评价工作的通知》规定对本单位预算情况、财政支出、机构编制等方面进行了自查，在自查过程中，未发现任何违规违纪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1.绩效自评公开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绩效自评信息公开有利于打破传统行政管理的封闭独断，有利于消除政府和公众之间信息不对称现象，是建设透明型政府的必然选择，也是顺利推行绩效评价的重要条件。对于政府而言，应该通过全面衡量信息公开对加强政府绩效评价和发挥绩效评价的作用，建立相应的法律法规，有序开展公共部门绩效评价的信息公开，接受社会公众的监督。对于评价结果，除应及时反馈给被评价单位之外，应在一定范围内予以公开，可通过政府网站、社会公示、新闻媒体等形式公开绩效评价信息，并建立切实可行的公众监督渠道，切实发挥社会监督的积极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2.绩效评价结果整改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b/>
          <w:bCs/>
          <w:sz w:val="32"/>
          <w:szCs w:val="32"/>
          <w:lang w:val="en-US" w:eastAsia="zh-CN"/>
        </w:rPr>
      </w:pPr>
      <w:r>
        <w:rPr>
          <w:rFonts w:hint="eastAsia" w:ascii="仿宋" w:hAnsi="仿宋" w:eastAsia="仿宋"/>
          <w:b w:val="0"/>
          <w:bCs w:val="0"/>
          <w:sz w:val="32"/>
          <w:szCs w:val="32"/>
          <w:lang w:val="en-US" w:eastAsia="zh-CN"/>
        </w:rPr>
        <w:t>结合绩效评价结果，对被评价项目的绩效情况、完成程度和存在的问题与建议加以综合分析，我单位缺乏激励与约束机制。我单位应在部门预算安排中建立评价结果激励与约束机制，充分发挥绩效评价的应有作用。评价结果优秀并绩效突出的：对于事前评价项目，财政部门将其优先纳入年度部门预算编审流程，按照规定程序报批，并保障预算项目资金的落实。对于事中评价项目，财政部门在安排该项目后续资金时给予优先保障，特别是当遇到资金紧缺而影响项目进展时，可以通过加快资金拨付的进度，促使项目尽早地发挥效益。对于事后评价项目，财政部门在安排该部门其他项目资金时给予综合考虑。评价结果不合格或明显达不到项目立项之初的绩效预测，甚至出现可能会造成损失情况的，对于事前评价项目，财政部门根据评价情况要求该项目停止纳入部门预算编审流程，或要求该项目予以调整，并按规定程序重新报批和审核。对于事中评价项目，财政部门要及时提出整改意见，整改期间暂停资金拨付，未按要求落实整改的，要会同有关部门向同级人民政府提出暂停该项目实施的建议。对于事后评价项目，在安排该部新增项目资金时，应从紧考虑，并加强项目前期论证和综合分析，以确保项目资金使用的安全有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3.绩效应用结果反馈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财政支出绩效评价结果在预算管理中的应用是多层的，贯穿于财政支出事前、事中、事后的全过程，建立健全科学的财政支出绩效评价结果应用机制，对提升财政科学化、精细化管理水平具有积极意义。</w:t>
      </w:r>
      <w:r>
        <w:rPr>
          <w:rFonts w:hint="eastAsia" w:ascii="仿宋" w:hAnsi="仿宋" w:eastAsia="仿宋"/>
          <w:sz w:val="32"/>
          <w:szCs w:val="32"/>
        </w:rPr>
        <w:t>通过对本部门</w:t>
      </w:r>
      <w:r>
        <w:rPr>
          <w:rFonts w:hint="eastAsia" w:ascii="仿宋" w:hAnsi="仿宋" w:eastAsia="仿宋"/>
          <w:sz w:val="32"/>
          <w:szCs w:val="32"/>
          <w:lang w:val="en-US" w:eastAsia="zh-CN"/>
        </w:rPr>
        <w:t>2022</w:t>
      </w:r>
      <w:r>
        <w:rPr>
          <w:rFonts w:ascii="仿宋" w:hAnsi="仿宋" w:eastAsia="仿宋"/>
          <w:sz w:val="32"/>
          <w:szCs w:val="32"/>
        </w:rPr>
        <w:t>年部门整体支出绩效自评，能够严格执行预算管理，达到了预期目的，通过对部门整体支出绩效的自评，有利于更好</w:t>
      </w:r>
      <w:r>
        <w:rPr>
          <w:rFonts w:hint="eastAsia" w:ascii="仿宋" w:hAnsi="仿宋" w:eastAsia="仿宋"/>
          <w:sz w:val="32"/>
          <w:szCs w:val="32"/>
          <w:lang w:eastAsia="zh-CN"/>
        </w:rPr>
        <w:t>地</w:t>
      </w:r>
      <w:r>
        <w:rPr>
          <w:rFonts w:ascii="仿宋" w:hAnsi="仿宋" w:eastAsia="仿宋"/>
          <w:sz w:val="32"/>
          <w:szCs w:val="32"/>
        </w:rPr>
        <w:t>加强对</w:t>
      </w:r>
      <w:r>
        <w:rPr>
          <w:rFonts w:hint="eastAsia" w:ascii="仿宋" w:hAnsi="仿宋" w:eastAsia="仿宋"/>
          <w:sz w:val="32"/>
          <w:szCs w:val="32"/>
          <w:lang w:val="en-US" w:eastAsia="zh-CN"/>
        </w:rPr>
        <w:t>2022</w:t>
      </w:r>
      <w:r>
        <w:rPr>
          <w:rFonts w:ascii="仿宋" w:hAnsi="仿宋" w:eastAsia="仿宋"/>
          <w:sz w:val="32"/>
          <w:szCs w:val="32"/>
        </w:rPr>
        <w:t>年部门整体支出的管理，合理分配各项支出，保障了重点工作的开展。</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bookmarkStart w:id="56" w:name="_Toc7930_WPSOffice_Level2"/>
      <w:r>
        <w:rPr>
          <w:rFonts w:hint="eastAsia" w:ascii="仿宋" w:hAnsi="仿宋" w:eastAsia="仿宋"/>
          <w:b/>
          <w:bCs/>
          <w:sz w:val="32"/>
          <w:szCs w:val="32"/>
        </w:rPr>
        <w:t>四、评价结论及建议</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本部门按要求对</w:t>
      </w:r>
      <w:r>
        <w:rPr>
          <w:rFonts w:hint="eastAsia" w:ascii="仿宋" w:hAnsi="仿宋" w:eastAsia="仿宋"/>
          <w:sz w:val="32"/>
          <w:szCs w:val="32"/>
          <w:lang w:val="en-US" w:eastAsia="zh-CN"/>
        </w:rPr>
        <w:t>2022</w:t>
      </w:r>
      <w:r>
        <w:rPr>
          <w:rFonts w:ascii="仿宋" w:hAnsi="仿宋" w:eastAsia="仿宋"/>
          <w:sz w:val="32"/>
          <w:szCs w:val="32"/>
        </w:rPr>
        <w:t>年部门整体支出开展绩效自评</w:t>
      </w:r>
      <w:r>
        <w:rPr>
          <w:rFonts w:hint="eastAsia" w:ascii="仿宋" w:hAnsi="仿宋" w:eastAsia="仿宋"/>
          <w:sz w:val="32"/>
          <w:szCs w:val="32"/>
        </w:rPr>
        <w:t>（评价结果见附件）</w:t>
      </w:r>
      <w:r>
        <w:rPr>
          <w:rFonts w:ascii="仿宋" w:hAnsi="仿宋" w:eastAsia="仿宋"/>
          <w:sz w:val="32"/>
          <w:szCs w:val="32"/>
        </w:rPr>
        <w:t>，从评价情况来看</w:t>
      </w:r>
      <w:r>
        <w:rPr>
          <w:rFonts w:hint="eastAsia" w:ascii="仿宋" w:hAnsi="仿宋" w:eastAsia="仿宋"/>
          <w:sz w:val="32"/>
          <w:szCs w:val="32"/>
          <w:lang w:eastAsia="zh-CN"/>
        </w:rPr>
        <w:t>，</w:t>
      </w:r>
      <w:r>
        <w:rPr>
          <w:rFonts w:ascii="仿宋" w:hAnsi="仿宋" w:eastAsia="仿宋"/>
          <w:sz w:val="32"/>
          <w:szCs w:val="32"/>
        </w:rPr>
        <w:t>自查自评结果良好，全年基本支出保证了部门的正常运行和日常工作的正常开展，项目支出保障了重点工作的开展，达到预期绩效目标。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（二）存在的问题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1.预算编制工作有待细化。预算编制不够明确和细化，预算执行力度还需要进一步加强。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内控信息化建设不够完善；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扶贫项目在实施推进的过程中，按规范建设程序产生的征地费等二类费用，无资金来源，无法按期支付，引发社会矛盾，产生不稳定社会因素。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4.财务人员水平仍需提高</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 w:hAnsi="仿宋" w:eastAsia="仿宋"/>
          <w:b/>
          <w:bCs/>
          <w:sz w:val="32"/>
          <w:szCs w:val="32"/>
        </w:rPr>
      </w:pPr>
      <w:r>
        <w:rPr>
          <w:rFonts w:hint="eastAsia" w:ascii="仿宋" w:hAnsi="仿宋" w:eastAsia="仿宋"/>
          <w:b/>
          <w:bCs/>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细化预算编制工作，认真做好预算的编制。进一步加强单位内部机构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在完善内控制度工作基础上，我</w:t>
      </w:r>
      <w:r>
        <w:rPr>
          <w:rFonts w:hint="eastAsia" w:ascii="仿宋" w:hAnsi="仿宋" w:eastAsia="仿宋"/>
          <w:sz w:val="32"/>
          <w:szCs w:val="32"/>
          <w:lang w:eastAsia="zh-CN"/>
        </w:rPr>
        <w:t>镇</w:t>
      </w:r>
      <w:r>
        <w:rPr>
          <w:rFonts w:hint="eastAsia" w:ascii="仿宋" w:hAnsi="仿宋" w:eastAsia="仿宋"/>
          <w:sz w:val="32"/>
          <w:szCs w:val="32"/>
        </w:rPr>
        <w:t>将进一步加强内控信息化建设，采取“分期建设、分步推进”的方式，覆盖内控重点环节。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是梳理细化工作流程及风险点，将各项财经</w:t>
      </w:r>
      <w:r>
        <w:rPr>
          <w:rFonts w:hint="eastAsia" w:ascii="仿宋" w:hAnsi="仿宋" w:eastAsia="仿宋"/>
          <w:sz w:val="32"/>
          <w:szCs w:val="32"/>
          <w:lang w:eastAsia="zh-CN"/>
        </w:rPr>
        <w:t>法律法规</w:t>
      </w:r>
      <w:r>
        <w:rPr>
          <w:rFonts w:hint="eastAsia" w:ascii="仿宋" w:hAnsi="仿宋" w:eastAsia="仿宋"/>
          <w:sz w:val="32"/>
          <w:szCs w:val="32"/>
        </w:rPr>
        <w:t>以及各项规章制度与经费支出衔接，实现提前预设标准、范围，做到提前预警控制。请县委、县政府统筹安排资金，解决扶贫领域项目实施过程中产生的二类费用，避免引发社会矛盾。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4.加强对财务人员的业务培训，提升相关业务水平，提高整体工作效率</w:t>
      </w:r>
      <w:r>
        <w:rPr>
          <w:rFonts w:hint="eastAsia" w:ascii="仿宋" w:hAnsi="仿宋" w:eastAsia="仿宋"/>
          <w:sz w:val="32"/>
          <w:szCs w:val="32"/>
        </w:rPr>
        <w:t>。</w:t>
      </w:r>
    </w:p>
    <w:p>
      <w:pPr>
        <w:pStyle w:val="15"/>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tbl>
      <w:tblPr>
        <w:tblStyle w:val="1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438"/>
        <w:gridCol w:w="452"/>
        <w:gridCol w:w="770"/>
        <w:gridCol w:w="939"/>
        <w:gridCol w:w="266"/>
        <w:gridCol w:w="940"/>
        <w:gridCol w:w="237"/>
        <w:gridCol w:w="979"/>
        <w:gridCol w:w="268"/>
        <w:gridCol w:w="1043"/>
        <w:gridCol w:w="697"/>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汉阳</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1152.02</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1152.02</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6"/>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1152.02</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1152.02</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≤3488.107万元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pStyle w:val="15"/>
        <w:spacing w:line="560" w:lineRule="exact"/>
        <w:ind w:left="0" w:leftChars="0" w:firstLine="0" w:firstLineChars="0"/>
        <w:rPr>
          <w:sz w:val="32"/>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int="eastAsia" w:eastAsia="仿宋_GB2312"/>
          <w:sz w:val="32"/>
          <w:szCs w:val="32"/>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剑阁县汉阳镇人民政府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eastAsia="zh-CN"/>
        </w:rPr>
        <w:t>关于</w:t>
      </w:r>
      <w:r>
        <w:rPr>
          <w:rFonts w:hint="eastAsia" w:ascii="华文中宋" w:hAnsi="华文中宋" w:eastAsia="华文中宋" w:cs="华文中宋"/>
          <w:b/>
          <w:bCs/>
          <w:sz w:val="36"/>
          <w:szCs w:val="36"/>
          <w:lang w:val="en-US" w:eastAsia="zh-CN"/>
        </w:rPr>
        <w:t>2022年农村综合改革项目资金</w:t>
      </w:r>
      <w:r>
        <w:rPr>
          <w:rFonts w:hint="eastAsia" w:ascii="华文中宋" w:hAnsi="华文中宋" w:eastAsia="华文中宋" w:cs="华文中宋"/>
          <w:b/>
          <w:bCs/>
          <w:sz w:val="36"/>
          <w:szCs w:val="36"/>
          <w:lang w:val="zh-CN"/>
        </w:rPr>
        <w:t>支出绩效</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rPr>
      </w:pPr>
      <w:r>
        <w:rPr>
          <w:rFonts w:hint="eastAsia" w:ascii="华文中宋" w:hAnsi="华文中宋" w:eastAsia="华文中宋" w:cs="华文中宋"/>
          <w:b/>
          <w:bCs/>
          <w:sz w:val="36"/>
          <w:szCs w:val="36"/>
          <w:lang w:val="zh-CN"/>
        </w:rPr>
        <w:t>自评报告</w:t>
      </w:r>
    </w:p>
    <w:p>
      <w:pPr>
        <w:pStyle w:val="15"/>
        <w:rPr>
          <w:rFonts w:hint="eastAsia"/>
          <w:lang w:val="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根据</w:t>
      </w:r>
      <w:r>
        <w:rPr>
          <w:rFonts w:hint="eastAsia" w:ascii="仿宋" w:hAnsi="仿宋" w:eastAsia="仿宋"/>
          <w:b w:val="0"/>
          <w:bCs w:val="0"/>
          <w:sz w:val="32"/>
          <w:szCs w:val="32"/>
          <w:lang w:val="en-US" w:eastAsia="zh-CN"/>
        </w:rPr>
        <w:t>《剑阁县财政局关于开展2022年度财政支出绩效自评工作的通知》（</w:t>
      </w:r>
      <w:r>
        <w:rPr>
          <w:rFonts w:hint="eastAsia" w:ascii="仿宋_GB2312" w:hAnsi="仿宋_GB2312" w:eastAsia="仿宋_GB2312" w:cs="仿宋_GB2312"/>
          <w:color w:val="000000"/>
          <w:kern w:val="0"/>
          <w:sz w:val="30"/>
          <w:szCs w:val="30"/>
          <w:lang w:val="en-US" w:eastAsia="zh-CN" w:bidi="ar"/>
        </w:rPr>
        <w:t>剑财政〔2023〕49号</w:t>
      </w:r>
      <w:r>
        <w:rPr>
          <w:rFonts w:hint="eastAsia" w:ascii="华文仿宋" w:hAnsi="华文仿宋" w:eastAsia="华文仿宋" w:cs="华文仿宋"/>
          <w:b w:val="0"/>
          <w:bCs w:val="0"/>
          <w:sz w:val="32"/>
          <w:szCs w:val="32"/>
          <w:lang w:val="en-US" w:eastAsia="zh-CN"/>
        </w:rPr>
        <w:t>）文件</w:t>
      </w:r>
      <w:r>
        <w:rPr>
          <w:rFonts w:hint="eastAsia" w:ascii="仿宋" w:hAnsi="仿宋" w:eastAsia="仿宋" w:cs="仿宋"/>
          <w:sz w:val="32"/>
          <w:szCs w:val="32"/>
          <w:lang w:val="zh-CN"/>
        </w:rPr>
        <w:t>要求，结合我</w:t>
      </w:r>
      <w:r>
        <w:rPr>
          <w:rFonts w:hint="eastAsia" w:ascii="仿宋" w:hAnsi="仿宋" w:eastAsia="仿宋" w:cs="仿宋"/>
          <w:sz w:val="32"/>
          <w:szCs w:val="32"/>
          <w:lang w:val="zh-CN" w:eastAsia="zh-CN"/>
        </w:rPr>
        <w:t>镇</w:t>
      </w:r>
      <w:r>
        <w:rPr>
          <w:rFonts w:hint="eastAsia" w:ascii="仿宋" w:hAnsi="仿宋" w:eastAsia="仿宋" w:cs="仿宋"/>
          <w:sz w:val="32"/>
          <w:szCs w:val="32"/>
          <w:lang w:val="zh-CN"/>
        </w:rPr>
        <w:t>实际情况，现就我</w:t>
      </w:r>
      <w:r>
        <w:rPr>
          <w:rFonts w:hint="eastAsia" w:ascii="仿宋" w:hAnsi="仿宋" w:eastAsia="仿宋" w:cs="仿宋"/>
          <w:sz w:val="32"/>
          <w:szCs w:val="32"/>
          <w:lang w:val="zh-CN" w:eastAsia="zh-CN"/>
        </w:rPr>
        <w:t>镇</w:t>
      </w:r>
      <w:r>
        <w:rPr>
          <w:rFonts w:hint="eastAsia" w:ascii="仿宋" w:hAnsi="仿宋" w:eastAsia="仿宋" w:cs="仿宋"/>
          <w:sz w:val="32"/>
          <w:szCs w:val="32"/>
          <w:lang w:val="en-US" w:eastAsia="zh-CN"/>
        </w:rPr>
        <w:t>2022年农村综合改革项目资金</w:t>
      </w:r>
      <w:r>
        <w:rPr>
          <w:rFonts w:hint="eastAsia" w:ascii="仿宋" w:hAnsi="仿宋" w:eastAsia="仿宋" w:cs="仿宋"/>
          <w:sz w:val="32"/>
          <w:szCs w:val="32"/>
          <w:lang w:val="zh-CN"/>
        </w:rPr>
        <w:t>进行绩效评价。现将项目绩效评价情况报告如下：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我镇于2022年向县人民政府申请2022年农村综合改革项目资金30万元，并批复同意，2022年县财政局下达资金预算30万元，我镇对该项资金的使用符合资金管理办法等相关规定。</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通过整治维修因洪灾造成损毁1.5公里道路，4口山坪塘及排水渠600余米，对东青村老108线损毁道路600余米，堡坎25米进行排危，明显改善场镇及周边地区群众的生产生活条件及居住环境，项目取得了一定成效。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提高广大农民的生活质量。通过项目运转，使农民群众的生活质量得到进一步提高、焕发农村社会活力，对各项经济指标的提高和农民增收起到一定的促进作用。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w:t>
      </w:r>
      <w:r>
        <w:rPr>
          <w:rFonts w:hint="eastAsia" w:ascii="华文楷体" w:hAnsi="华文楷体" w:eastAsia="华文楷体" w:cs="华文楷体"/>
          <w:b/>
          <w:bCs/>
          <w:sz w:val="32"/>
          <w:szCs w:val="32"/>
          <w:lang w:val="en-US" w:eastAsia="zh-CN"/>
        </w:rPr>
        <w:t>三</w:t>
      </w:r>
      <w:r>
        <w:rPr>
          <w:rFonts w:hint="eastAsia" w:ascii="华文楷体" w:hAnsi="华文楷体" w:eastAsia="华文楷体" w:cs="华文楷体"/>
          <w:b/>
          <w:bCs/>
          <w:sz w:val="32"/>
          <w:szCs w:val="32"/>
          <w:lang w:val="zh-CN"/>
        </w:rPr>
        <w:t>）项目资金申报相符性。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zh-CN"/>
        </w:rPr>
      </w:pPr>
      <w:r>
        <w:rPr>
          <w:rFonts w:hint="eastAsia" w:ascii="仿宋_GB2312" w:hAnsi="仿宋" w:eastAsia="仿宋_GB2312" w:cs="仿宋"/>
          <w:color w:val="000000"/>
          <w:sz w:val="32"/>
          <w:szCs w:val="32"/>
          <w:lang w:val="en-US" w:eastAsia="zh-CN"/>
        </w:rPr>
        <w:t>2022年农村综合改革项目资金</w:t>
      </w:r>
      <w:r>
        <w:rPr>
          <w:rFonts w:hint="eastAsia" w:ascii="仿宋" w:hAnsi="仿宋" w:eastAsia="仿宋" w:cs="仿宋"/>
          <w:sz w:val="32"/>
          <w:szCs w:val="32"/>
          <w:lang w:val="zh-CN"/>
        </w:rPr>
        <w:t>申报内容与具体实施内容完全相符，申报目标合理可行。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1、资金计划及到位。该项目计划资金30万元，资金到位率100%，</w:t>
      </w:r>
      <w:r>
        <w:rPr>
          <w:rFonts w:hint="eastAsia" w:ascii="仿宋" w:hAnsi="仿宋" w:eastAsia="仿宋" w:cs="仿宋"/>
          <w:b w:val="0"/>
          <w:bCs/>
          <w:i w:val="0"/>
          <w:caps w:val="0"/>
          <w:color w:val="000000"/>
          <w:spacing w:val="0"/>
          <w:kern w:val="0"/>
          <w:sz w:val="32"/>
          <w:szCs w:val="32"/>
          <w:shd w:val="clear" w:color="auto" w:fill="FFFFFF"/>
          <w:lang w:val="en-US" w:eastAsia="zh-CN" w:bidi="ar"/>
        </w:rPr>
        <w:t>到位及时</w:t>
      </w:r>
      <w:r>
        <w:rPr>
          <w:rFonts w:hint="eastAsia" w:ascii="仿宋_GB2312" w:hAnsi="仿宋" w:eastAsia="仿宋_GB2312"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b w:val="0"/>
          <w:bCs/>
          <w:i w:val="0"/>
          <w:caps w:val="0"/>
          <w:color w:val="000000"/>
          <w:spacing w:val="0"/>
          <w:kern w:val="0"/>
          <w:sz w:val="32"/>
          <w:szCs w:val="32"/>
          <w:shd w:val="clear" w:color="auto" w:fill="FFFFFF"/>
          <w:lang w:val="en-US" w:eastAsia="zh-CN" w:bidi="ar"/>
        </w:rPr>
      </w:pPr>
      <w:r>
        <w:rPr>
          <w:rFonts w:hint="eastAsia" w:ascii="仿宋_GB2312" w:hAnsi="仿宋" w:eastAsia="仿宋_GB2312" w:cs="仿宋"/>
          <w:color w:val="000000"/>
          <w:sz w:val="32"/>
          <w:szCs w:val="32"/>
          <w:lang w:val="en-US" w:eastAsia="zh-CN"/>
        </w:rPr>
        <w:t>2、</w:t>
      </w:r>
      <w:r>
        <w:rPr>
          <w:rFonts w:hint="eastAsia" w:ascii="仿宋_GB2312" w:hAnsi="仿宋_GB2312" w:eastAsia="仿宋_GB2312" w:cs="仿宋_GB2312"/>
          <w:sz w:val="32"/>
          <w:szCs w:val="32"/>
        </w:rPr>
        <w:t>资金使用</w:t>
      </w:r>
      <w:r>
        <w:rPr>
          <w:rFonts w:hint="eastAsia" w:ascii="仿宋_GB2312" w:hAnsi="仿宋_GB2312" w:eastAsia="仿宋_GB2312" w:cs="仿宋_GB2312"/>
          <w:sz w:val="32"/>
          <w:szCs w:val="32"/>
          <w:lang w:eastAsia="zh-CN"/>
        </w:rPr>
        <w:t>。该资金用于</w:t>
      </w:r>
      <w:r>
        <w:rPr>
          <w:rFonts w:hint="eastAsia" w:ascii="仿宋_GB2312" w:hAnsi="仿宋_GB2312" w:eastAsia="仿宋_GB2312" w:cs="仿宋_GB2312"/>
          <w:sz w:val="32"/>
          <w:szCs w:val="32"/>
          <w:lang w:val="en-US" w:eastAsia="zh-CN"/>
        </w:rPr>
        <w:t>洪灾排危，</w:t>
      </w:r>
      <w:r>
        <w:rPr>
          <w:rFonts w:hint="eastAsia" w:ascii="仿宋" w:hAnsi="仿宋" w:eastAsia="仿宋" w:cs="仿宋"/>
          <w:b w:val="0"/>
          <w:bCs/>
          <w:i w:val="0"/>
          <w:caps w:val="0"/>
          <w:color w:val="000000"/>
          <w:spacing w:val="0"/>
          <w:kern w:val="0"/>
          <w:sz w:val="32"/>
          <w:szCs w:val="32"/>
          <w:shd w:val="clear" w:color="auto" w:fill="FFFFFF"/>
          <w:lang w:val="en-US" w:eastAsia="zh-CN" w:bidi="ar"/>
        </w:rPr>
        <w:t>我镇已根据实际情况支付完毕，支付依据合规合法，资金支付与预算相符。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lang w:val="zh-CN"/>
        </w:rPr>
      </w:pPr>
      <w:r>
        <w:rPr>
          <w:rFonts w:hint="eastAsia" w:ascii="仿宋_GB2312" w:hAnsi="仿宋" w:eastAsia="仿宋_GB2312" w:cs="仿宋"/>
          <w:color w:val="000000"/>
          <w:sz w:val="32"/>
          <w:szCs w:val="32"/>
          <w:lang w:val="en-US" w:eastAsia="zh-CN"/>
        </w:rPr>
        <w:t>根据项目实施管理办法，该项目在实施中严格做到专款专用专人管理，由镇财办统一管理严格资金支付凭证审核，项目资金报账需经村书记、分管村财务副镇长、镇长签字，做到项目资金审批制度化。</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1.领导重视，措施有力。成立项目实施工作领导小组，机构健全，组织落实，分工明确，责任到人。</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2.科学规划，认真选择项目。项目选择要到交通便利、干部能力强、群众基础好、积极性高、财务管理好、有产业带动的地方。</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3.强化管理，认真检查验收。镇党委政府坚持对项目实施方案进行评审，实行责任目标管理，并与具体实施的村（社）签订合同，同时对各个环节进行指导、督促、检查、考核和验收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严把资金管理，并按实际实施进度分期拨付资金，确保项目按时、按质、按量完成。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1.目标任务量完成情况。目前项目进展顺利，已完成项目总工程量的100%，实际投资额达</w:t>
      </w:r>
      <w:r>
        <w:rPr>
          <w:rFonts w:hint="eastAsia" w:ascii="仿宋_GB2312" w:eastAsia="仿宋_GB2312"/>
          <w:b w:val="0"/>
          <w:bCs w:val="0"/>
          <w:sz w:val="32"/>
          <w:szCs w:val="32"/>
          <w:lang w:val="en-US" w:eastAsia="zh-CN"/>
        </w:rPr>
        <w:t>29.71</w:t>
      </w:r>
      <w:r>
        <w:rPr>
          <w:rFonts w:hint="eastAsia" w:ascii="仿宋_GB2312" w:eastAsia="仿宋_GB2312"/>
          <w:b w:val="0"/>
          <w:bCs w:val="0"/>
          <w:sz w:val="32"/>
          <w:szCs w:val="32"/>
        </w:rPr>
        <w:t>万元，与任务量完成情况一致。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2.目标质量及进度完成情况。按照项目实施方案计划进度，12月底完成项目，目前该项目已完成进度的100%，工程实际质量全部达标。</w:t>
      </w:r>
    </w:p>
    <w:p>
      <w:pPr>
        <w:numPr>
          <w:ilvl w:val="0"/>
          <w:numId w:val="8"/>
        </w:numPr>
        <w:spacing w:line="560" w:lineRule="exact"/>
        <w:ind w:firstLine="642" w:firstLineChars="200"/>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lang w:val="en-US" w:eastAsia="zh-CN"/>
        </w:rPr>
        <w:t>汉阳</w:t>
      </w:r>
      <w:r>
        <w:rPr>
          <w:rFonts w:hint="eastAsia" w:ascii="仿宋_GB2312" w:eastAsia="仿宋_GB2312"/>
          <w:b w:val="0"/>
          <w:bCs w:val="0"/>
          <w:sz w:val="32"/>
          <w:szCs w:val="32"/>
        </w:rPr>
        <w:t>镇</w:t>
      </w:r>
      <w:r>
        <w:rPr>
          <w:rFonts w:hint="eastAsia" w:ascii="仿宋_GB2312" w:hAnsi="仿宋" w:eastAsia="仿宋_GB2312" w:cs="仿宋"/>
          <w:color w:val="000000"/>
          <w:sz w:val="32"/>
          <w:szCs w:val="32"/>
          <w:lang w:val="en-US" w:eastAsia="zh-CN"/>
        </w:rPr>
        <w:t>2022年农村综合改革项目资金</w:t>
      </w:r>
      <w:r>
        <w:rPr>
          <w:rFonts w:hint="eastAsia" w:ascii="仿宋_GB2312" w:eastAsia="仿宋_GB2312"/>
          <w:b w:val="0"/>
          <w:bCs w:val="0"/>
          <w:sz w:val="32"/>
          <w:szCs w:val="32"/>
          <w:lang w:val="en-US" w:eastAsia="zh-CN"/>
        </w:rPr>
        <w:t>使用</w:t>
      </w:r>
      <w:r>
        <w:rPr>
          <w:rFonts w:hint="eastAsia" w:ascii="仿宋_GB2312" w:eastAsia="仿宋_GB2312"/>
          <w:b w:val="0"/>
          <w:bCs w:val="0"/>
          <w:sz w:val="32"/>
          <w:szCs w:val="32"/>
        </w:rPr>
        <w:t>，一是改善了农村环境，促进了新农村建设；二是极大</w:t>
      </w:r>
      <w:r>
        <w:rPr>
          <w:rFonts w:hint="eastAsia" w:ascii="仿宋_GB2312" w:eastAsia="仿宋_GB2312"/>
          <w:b w:val="0"/>
          <w:bCs w:val="0"/>
          <w:sz w:val="32"/>
          <w:szCs w:val="32"/>
          <w:lang w:eastAsia="zh-CN"/>
        </w:rPr>
        <w:t>地</w:t>
      </w:r>
      <w:r>
        <w:rPr>
          <w:rFonts w:hint="eastAsia" w:ascii="仿宋_GB2312" w:eastAsia="仿宋_GB2312"/>
          <w:b w:val="0"/>
          <w:bCs w:val="0"/>
          <w:sz w:val="32"/>
          <w:szCs w:val="32"/>
        </w:rPr>
        <w:t>改善了群众的生产生活。虽不直接产生经济效益，基本靠政府投入维持其运转，但社会效益十分明显。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项目取得成功的经验主要体现在三方面</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一是科学合理规划是项目取得成功的基础；二是组织发动群众和各方社会力量参与是项目取得成功的前提；三是强化管理是项目取得成功的关键。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（一）存在的问题。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1.少数群众对该项目重要性和必要性认识不够，有建设与不建设无所谓的思想存在。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2.群众对项目工程建成后管理认识不到位，等、靠思想严重。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3.</w:t>
      </w:r>
      <w:r>
        <w:rPr>
          <w:rFonts w:hint="eastAsia" w:ascii="仿宋_GB2312" w:eastAsia="仿宋_GB2312"/>
          <w:b w:val="0"/>
          <w:bCs w:val="0"/>
          <w:sz w:val="32"/>
          <w:szCs w:val="32"/>
          <w:lang w:val="en-US" w:eastAsia="zh-CN"/>
        </w:rPr>
        <w:t>镇</w:t>
      </w:r>
      <w:r>
        <w:rPr>
          <w:rFonts w:hint="eastAsia" w:ascii="仿宋_GB2312" w:eastAsia="仿宋_GB2312"/>
          <w:b w:val="0"/>
          <w:bCs w:val="0"/>
          <w:sz w:val="32"/>
          <w:szCs w:val="32"/>
        </w:rPr>
        <w:t>(村)两级缺乏必要的项目维护工作经费。</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相关建议。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1.加强项目管理，建立已建项目管护制度，确保长期受益。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2.建立制定强有力的措施并责任到人，做到垃圾入坑、不乱堆乱放，进一步改善村容村貌。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3.继续加大经费投入，多渠道积极争取上级部门的资金支持，为镇村容村貌整治工作提供资金保障。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仿宋_GB2312" w:eastAsia="仿宋_GB2312"/>
          <w:b w:val="0"/>
          <w:bCs w:val="0"/>
          <w:sz w:val="32"/>
          <w:szCs w:val="32"/>
        </w:rPr>
        <w:t>4.进一步加大宣传力度，转变群众观念，</w:t>
      </w:r>
      <w:r>
        <w:rPr>
          <w:rFonts w:hint="eastAsia" w:ascii="仿宋_GB2312" w:eastAsia="仿宋_GB2312"/>
          <w:b w:val="0"/>
          <w:bCs w:val="0"/>
          <w:sz w:val="32"/>
          <w:szCs w:val="32"/>
          <w:lang w:eastAsia="zh-CN"/>
        </w:rPr>
        <w:t>增强</w:t>
      </w:r>
      <w:r>
        <w:rPr>
          <w:rFonts w:hint="eastAsia" w:ascii="仿宋_GB2312" w:eastAsia="仿宋_GB2312"/>
          <w:b w:val="0"/>
          <w:bCs w:val="0"/>
          <w:sz w:val="32"/>
          <w:szCs w:val="32"/>
        </w:rPr>
        <w:t>群众的环境卫生和规划意识，增强群众参与社会主义新农村建设的积极性和主动性。</w:t>
      </w:r>
    </w:p>
    <w:p>
      <w:pPr>
        <w:pStyle w:val="15"/>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tbl>
      <w:tblPr>
        <w:tblStyle w:val="16"/>
        <w:tblpPr w:leftFromText="180" w:rightFromText="180" w:vertAnchor="text" w:horzAnchor="page" w:tblpX="1644" w:tblpY="144"/>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534"/>
        <w:gridCol w:w="477"/>
        <w:gridCol w:w="281"/>
        <w:gridCol w:w="900"/>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1"/>
                <w:szCs w:val="21"/>
                <w:u w:val="none"/>
                <w:lang w:eastAsia="zh-CN"/>
              </w:rPr>
            </w:pPr>
            <w:r>
              <w:rPr>
                <w:rFonts w:hint="eastAsia" w:ascii="黑体" w:hAnsi="宋体" w:eastAsia="黑体" w:cs="黑体"/>
                <w:i w:val="0"/>
                <w:iCs w:val="0"/>
                <w:color w:val="000000"/>
                <w:sz w:val="21"/>
                <w:szCs w:val="21"/>
                <w:u w:val="none"/>
                <w:lang w:eastAsia="zh-CN"/>
              </w:rPr>
              <w:t>附件四</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1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2022年度部门预算项目支出绩效自评表</w:t>
            </w:r>
          </w:p>
        </w:tc>
        <w:tc>
          <w:tcPr>
            <w:tcW w:w="62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2022年农村综合改革项目资金</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王箐钏</w:t>
            </w:r>
            <w:bookmarkStart w:id="71" w:name="_GoBack"/>
            <w:bookmarkEnd w:id="71"/>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汉阳</w:t>
            </w:r>
            <w:r>
              <w:rPr>
                <w:rFonts w:hint="eastAsia" w:ascii="宋体" w:hAnsi="宋体" w:eastAsia="宋体" w:cs="宋体"/>
                <w:i w:val="0"/>
                <w:iCs w:val="0"/>
                <w:color w:val="000000"/>
                <w:kern w:val="0"/>
                <w:sz w:val="16"/>
                <w:szCs w:val="16"/>
                <w:u w:val="none"/>
                <w:lang w:val="en-US" w:eastAsia="zh-CN" w:bidi="ar"/>
              </w:rPr>
              <w:t>镇人民政府</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汉阳</w:t>
            </w:r>
            <w:r>
              <w:rPr>
                <w:rFonts w:hint="eastAsia" w:ascii="宋体" w:hAnsi="宋体" w:eastAsia="宋体" w:cs="宋体"/>
                <w:i w:val="0"/>
                <w:iCs w:val="0"/>
                <w:color w:val="000000"/>
                <w:kern w:val="0"/>
                <w:sz w:val="16"/>
                <w:szCs w:val="16"/>
                <w:u w:val="none"/>
                <w:lang w:val="en-US" w:eastAsia="zh-CN" w:bidi="ar"/>
              </w:rPr>
              <w:t>镇人民政府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30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29.71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7"/>
                <w:sz w:val="16"/>
                <w:szCs w:val="16"/>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7"/>
                <w:sz w:val="16"/>
                <w:szCs w:val="16"/>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30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29.71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7"/>
                <w:sz w:val="16"/>
                <w:szCs w:val="16"/>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完成隐性债务的化解</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完成隐性债务的化解</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维修损毁道路、山坪塘等资金使用30万</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29.71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2022年底完成</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政府社会诚信度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农民工对工程结算满意度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p>
        </w:tc>
        <w:tc>
          <w:tcPr>
            <w:tcW w:w="6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p>
        </w:tc>
      </w:tr>
    </w:tbl>
    <w:p>
      <w:pPr>
        <w:spacing w:line="580" w:lineRule="exact"/>
        <w:rPr>
          <w:rStyle w:val="29"/>
          <w:rFonts w:ascii="黑体" w:hAnsi="黑体" w:eastAsia="黑体"/>
          <w:b w:val="0"/>
        </w:rPr>
      </w:pPr>
    </w:p>
    <w:p>
      <w:pPr>
        <w:widowControl/>
        <w:jc w:val="left"/>
        <w:rPr>
          <w:rStyle w:val="29"/>
          <w:rFonts w:ascii="黑体" w:hAnsi="黑体" w:eastAsia="黑体"/>
          <w:b w:val="0"/>
        </w:rPr>
      </w:pPr>
      <w:r>
        <w:rPr>
          <w:rStyle w:val="29"/>
          <w:rFonts w:ascii="黑体" w:hAnsi="黑体" w:eastAsia="黑体"/>
          <w:b w:val="0"/>
        </w:rPr>
        <w:br w:type="page"/>
      </w:r>
    </w:p>
    <w:p>
      <w:pPr>
        <w:spacing w:line="600" w:lineRule="exact"/>
        <w:jc w:val="center"/>
        <w:outlineLvl w:val="0"/>
        <w:rPr>
          <w:rFonts w:ascii="仿宋" w:hAnsi="仿宋" w:eastAsia="仿宋"/>
        </w:rPr>
      </w:pPr>
      <w:bookmarkStart w:id="57" w:name="_Toc15396618"/>
      <w:r>
        <w:rPr>
          <w:rFonts w:hint="eastAsia" w:ascii="黑体" w:hAnsi="黑体" w:eastAsia="黑体"/>
          <w:sz w:val="44"/>
          <w:szCs w:val="44"/>
        </w:rPr>
        <w:t>第</w:t>
      </w:r>
      <w:r>
        <w:rPr>
          <w:rStyle w:val="29"/>
          <w:rFonts w:hint="eastAsia" w:ascii="黑体" w:hAnsi="黑体" w:eastAsia="黑体"/>
          <w:b w:val="0"/>
        </w:rPr>
        <w:t>五部分 附表</w:t>
      </w:r>
      <w:bookmarkEnd w:id="51"/>
      <w:bookmarkEnd w:id="57"/>
      <w:bookmarkStart w:id="58"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30"/>
          <w:rFonts w:hint="eastAsia" w:ascii="仿宋" w:hAnsi="仿宋" w:eastAsia="仿宋"/>
          <w:b w:val="0"/>
          <w:bCs w:val="0"/>
        </w:rPr>
        <w:t>入决算表</w:t>
      </w:r>
      <w:bookmarkEnd w:id="59"/>
    </w:p>
    <w:p>
      <w:pPr>
        <w:pStyle w:val="4"/>
        <w:rPr>
          <w:rFonts w:ascii="仿宋" w:hAnsi="仿宋" w:eastAsia="仿宋"/>
        </w:rPr>
      </w:pPr>
      <w:bookmarkStart w:id="60"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1"/>
    </w:p>
    <w:p>
      <w:pPr>
        <w:pStyle w:val="4"/>
        <w:rPr>
          <w:rStyle w:val="30"/>
          <w:rFonts w:ascii="仿宋" w:hAnsi="仿宋" w:eastAsia="仿宋"/>
          <w:b w:val="0"/>
          <w:bCs w:val="0"/>
        </w:rPr>
      </w:pPr>
      <w:bookmarkStart w:id="62"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30"/>
          <w:rFonts w:hint="eastAsia" w:ascii="仿宋" w:hAnsi="仿宋" w:eastAsia="仿宋"/>
          <w:b w:val="0"/>
          <w:bCs w:val="0"/>
        </w:rPr>
        <w:t>十、</w:t>
      </w:r>
      <w:bookmarkEnd w:id="67"/>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30"/>
          <w:rFonts w:hint="eastAsia" w:ascii="仿宋" w:hAnsi="仿宋" w:eastAsia="仿宋"/>
          <w:b w:val="0"/>
          <w:bCs w:val="0"/>
        </w:rPr>
        <w:t>十一、</w:t>
      </w:r>
      <w:bookmarkEnd w:id="68"/>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30"/>
          <w:rFonts w:hint="eastAsia" w:ascii="仿宋" w:hAnsi="仿宋" w:eastAsia="仿宋"/>
          <w:b w:val="0"/>
          <w:bCs w:val="0"/>
        </w:rPr>
        <w:t>十二、</w:t>
      </w:r>
      <w:bookmarkEnd w:id="69"/>
      <w:r>
        <w:rPr>
          <w:rStyle w:val="30"/>
          <w:rFonts w:hint="eastAsia" w:ascii="仿宋" w:hAnsi="仿宋" w:eastAsia="仿宋"/>
          <w:b w:val="0"/>
          <w:bCs w:val="0"/>
        </w:rPr>
        <w:t>国有资本经营预算财政拨款支出决算表</w:t>
      </w:r>
    </w:p>
    <w:p>
      <w:pPr>
        <w:pStyle w:val="4"/>
        <w:rPr>
          <w:rFonts w:eastAsia="仿宋"/>
        </w:rPr>
      </w:pPr>
      <w:bookmarkStart w:id="70" w:name="_Toc15396631"/>
      <w:r>
        <w:rPr>
          <w:rStyle w:val="30"/>
          <w:rFonts w:hint="eastAsia" w:ascii="仿宋" w:hAnsi="仿宋" w:eastAsia="仿宋"/>
          <w:b w:val="0"/>
          <w:bCs w:val="0"/>
        </w:rPr>
        <w:t>十三、</w:t>
      </w:r>
      <w:bookmarkEnd w:id="70"/>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华文仿宋">
    <w:altName w:val="汉仪仿宋简"/>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楷体">
    <w:altName w:val="方正楷体_GBK"/>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AF528"/>
    <w:multiLevelType w:val="singleLevel"/>
    <w:tmpl w:val="C53AF528"/>
    <w:lvl w:ilvl="0" w:tentative="0">
      <w:start w:val="32"/>
      <w:numFmt w:val="decimal"/>
      <w:suff w:val="space"/>
      <w:lvlText w:val="%1."/>
      <w:lvlJc w:val="left"/>
      <w:rPr>
        <w:rFonts w:hint="default"/>
        <w:b/>
        <w:bCs/>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61ADD4B"/>
    <w:multiLevelType w:val="singleLevel"/>
    <w:tmpl w:val="061ADD4B"/>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649AD49"/>
    <w:multiLevelType w:val="singleLevel"/>
    <w:tmpl w:val="3649AD49"/>
    <w:lvl w:ilvl="0" w:tentative="0">
      <w:start w:val="2"/>
      <w:numFmt w:val="chineseCounting"/>
      <w:suff w:val="nothing"/>
      <w:lvlText w:val="（%1）"/>
      <w:lvlJc w:val="left"/>
      <w:rPr>
        <w:rFonts w:hint="eastAsia"/>
      </w:rPr>
    </w:lvl>
  </w:abstractNum>
  <w:abstractNum w:abstractNumId="6">
    <w:nsid w:val="6F86F7FB"/>
    <w:multiLevelType w:val="singleLevel"/>
    <w:tmpl w:val="6F86F7FB"/>
    <w:lvl w:ilvl="0" w:tentative="0">
      <w:start w:val="3"/>
      <w:numFmt w:val="chineseCounting"/>
      <w:suff w:val="nothing"/>
      <w:lvlText w:val="（%1）"/>
      <w:lvlJc w:val="left"/>
      <w:rPr>
        <w:rFonts w:hint="eastAsia"/>
      </w:rPr>
    </w:lvl>
  </w:abstractNum>
  <w:abstractNum w:abstractNumId="7">
    <w:nsid w:val="786AA43A"/>
    <w:multiLevelType w:val="singleLevel"/>
    <w:tmpl w:val="786AA43A"/>
    <w:lvl w:ilvl="0" w:tentative="0">
      <w:start w:val="3"/>
      <w:numFmt w:val="chineseCounting"/>
      <w:suff w:val="nothing"/>
      <w:lvlText w:val="%1、"/>
      <w:lvlJc w:val="left"/>
      <w:rPr>
        <w:rFonts w:hint="eastAsia"/>
      </w:rPr>
    </w:lvl>
  </w:abstractNum>
  <w:num w:numId="1">
    <w:abstractNumId w:val="4"/>
  </w:num>
  <w:num w:numId="2">
    <w:abstractNumId w:val="6"/>
  </w:num>
  <w:num w:numId="3">
    <w:abstractNumId w:val="0"/>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049"/>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1C73143"/>
    <w:rsid w:val="02143E91"/>
    <w:rsid w:val="03C04044"/>
    <w:rsid w:val="04AC7935"/>
    <w:rsid w:val="066E0107"/>
    <w:rsid w:val="07996F6E"/>
    <w:rsid w:val="07B5669C"/>
    <w:rsid w:val="0A2032A3"/>
    <w:rsid w:val="0BB12CDF"/>
    <w:rsid w:val="0D437684"/>
    <w:rsid w:val="0F172DE0"/>
    <w:rsid w:val="0F98263C"/>
    <w:rsid w:val="101860EC"/>
    <w:rsid w:val="10354C54"/>
    <w:rsid w:val="10C055FF"/>
    <w:rsid w:val="11237678"/>
    <w:rsid w:val="114C3BCC"/>
    <w:rsid w:val="118107EC"/>
    <w:rsid w:val="11E84674"/>
    <w:rsid w:val="12364185"/>
    <w:rsid w:val="12720067"/>
    <w:rsid w:val="12D22C2E"/>
    <w:rsid w:val="13D50BC4"/>
    <w:rsid w:val="14A619C3"/>
    <w:rsid w:val="1577288F"/>
    <w:rsid w:val="16A25A16"/>
    <w:rsid w:val="16BB723D"/>
    <w:rsid w:val="175E42DB"/>
    <w:rsid w:val="18A137CE"/>
    <w:rsid w:val="197F688B"/>
    <w:rsid w:val="1A8769F4"/>
    <w:rsid w:val="1BB41164"/>
    <w:rsid w:val="1BE8440E"/>
    <w:rsid w:val="1D155CEE"/>
    <w:rsid w:val="1FF35744"/>
    <w:rsid w:val="20A113C9"/>
    <w:rsid w:val="20C92F37"/>
    <w:rsid w:val="20D924BC"/>
    <w:rsid w:val="220152DE"/>
    <w:rsid w:val="23860B96"/>
    <w:rsid w:val="240371BF"/>
    <w:rsid w:val="26797B39"/>
    <w:rsid w:val="26D34C02"/>
    <w:rsid w:val="28134384"/>
    <w:rsid w:val="29FD04D3"/>
    <w:rsid w:val="2C8A61B5"/>
    <w:rsid w:val="2D050C29"/>
    <w:rsid w:val="2DF04E50"/>
    <w:rsid w:val="2F040D46"/>
    <w:rsid w:val="2FD8767E"/>
    <w:rsid w:val="319E48F7"/>
    <w:rsid w:val="319F7F4E"/>
    <w:rsid w:val="32E75E2A"/>
    <w:rsid w:val="3304709D"/>
    <w:rsid w:val="33893878"/>
    <w:rsid w:val="348668DC"/>
    <w:rsid w:val="34A73AC3"/>
    <w:rsid w:val="36AA5135"/>
    <w:rsid w:val="36BD653D"/>
    <w:rsid w:val="376D39B2"/>
    <w:rsid w:val="37E16F03"/>
    <w:rsid w:val="38D469F0"/>
    <w:rsid w:val="39700D94"/>
    <w:rsid w:val="399A75E1"/>
    <w:rsid w:val="3AA36C63"/>
    <w:rsid w:val="3B8B7B2F"/>
    <w:rsid w:val="3D98207C"/>
    <w:rsid w:val="3E78745D"/>
    <w:rsid w:val="41987F6D"/>
    <w:rsid w:val="41E225DE"/>
    <w:rsid w:val="42ED2FE9"/>
    <w:rsid w:val="4348089F"/>
    <w:rsid w:val="43917E18"/>
    <w:rsid w:val="44E268DA"/>
    <w:rsid w:val="453B2421"/>
    <w:rsid w:val="47514BAE"/>
    <w:rsid w:val="4A627F82"/>
    <w:rsid w:val="4ABA1D88"/>
    <w:rsid w:val="4B0E749A"/>
    <w:rsid w:val="4B4F25DA"/>
    <w:rsid w:val="4BE068DB"/>
    <w:rsid w:val="4C7F1DD7"/>
    <w:rsid w:val="4C9D7F3C"/>
    <w:rsid w:val="4D577224"/>
    <w:rsid w:val="4E8069C2"/>
    <w:rsid w:val="4EAB630A"/>
    <w:rsid w:val="4ECE2238"/>
    <w:rsid w:val="4FE3128B"/>
    <w:rsid w:val="537E6D0A"/>
    <w:rsid w:val="53EA7351"/>
    <w:rsid w:val="5586119B"/>
    <w:rsid w:val="56504603"/>
    <w:rsid w:val="5AD67B09"/>
    <w:rsid w:val="5AF92295"/>
    <w:rsid w:val="5B1456E8"/>
    <w:rsid w:val="5BAE0196"/>
    <w:rsid w:val="5CD20F6E"/>
    <w:rsid w:val="5CD71FC4"/>
    <w:rsid w:val="5D77589C"/>
    <w:rsid w:val="5FF11E41"/>
    <w:rsid w:val="64653612"/>
    <w:rsid w:val="64B14D8B"/>
    <w:rsid w:val="65045E61"/>
    <w:rsid w:val="65FA19F0"/>
    <w:rsid w:val="66B4639E"/>
    <w:rsid w:val="68C61A62"/>
    <w:rsid w:val="69011247"/>
    <w:rsid w:val="69FB517C"/>
    <w:rsid w:val="6C4A05C8"/>
    <w:rsid w:val="6CB62363"/>
    <w:rsid w:val="6E1B45FE"/>
    <w:rsid w:val="6E7E3605"/>
    <w:rsid w:val="6F15104E"/>
    <w:rsid w:val="6F1A7C14"/>
    <w:rsid w:val="6FF5CC65"/>
    <w:rsid w:val="70853201"/>
    <w:rsid w:val="70971E04"/>
    <w:rsid w:val="70D26538"/>
    <w:rsid w:val="70E1568B"/>
    <w:rsid w:val="715C0E4B"/>
    <w:rsid w:val="7226512F"/>
    <w:rsid w:val="72734D90"/>
    <w:rsid w:val="728A45F4"/>
    <w:rsid w:val="72C621C9"/>
    <w:rsid w:val="73AD73D5"/>
    <w:rsid w:val="73B6EB34"/>
    <w:rsid w:val="744731E5"/>
    <w:rsid w:val="75520893"/>
    <w:rsid w:val="75E654F2"/>
    <w:rsid w:val="76E3355F"/>
    <w:rsid w:val="778769C8"/>
    <w:rsid w:val="77E71671"/>
    <w:rsid w:val="79621333"/>
    <w:rsid w:val="797A06B3"/>
    <w:rsid w:val="79EE5BA4"/>
    <w:rsid w:val="7A894339"/>
    <w:rsid w:val="7ADF6323"/>
    <w:rsid w:val="7B5514A5"/>
    <w:rsid w:val="7B8C602F"/>
    <w:rsid w:val="7C8C26D3"/>
    <w:rsid w:val="7EEF11D3"/>
    <w:rsid w:val="7F16339D"/>
    <w:rsid w:val="7F1B650B"/>
    <w:rsid w:val="7F6A37A6"/>
    <w:rsid w:val="7FA30C79"/>
    <w:rsid w:val="7FB7269E"/>
    <w:rsid w:val="7FC96657"/>
    <w:rsid w:val="D8D6DB89"/>
    <w:rsid w:val="DB6F4CAB"/>
    <w:rsid w:val="DF6F9789"/>
    <w:rsid w:val="FFD959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unhideWhenUsed/>
    <w:qFormat/>
    <w:uiPriority w:val="99"/>
    <w:pPr>
      <w:spacing w:line="620" w:lineRule="exact"/>
    </w:pPr>
    <w:rPr>
      <w:rFonts w:ascii="宋体" w:hAnsi="Courier New" w:cs="Courier New"/>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41"/>
    <w:basedOn w:val="17"/>
    <w:qFormat/>
    <w:uiPriority w:val="0"/>
    <w:rPr>
      <w:rFonts w:hint="eastAsia" w:ascii="宋体" w:hAnsi="宋体" w:eastAsia="宋体" w:cs="宋体"/>
      <w:color w:val="000000"/>
      <w:sz w:val="20"/>
      <w:szCs w:val="20"/>
      <w:u w:val="none"/>
    </w:rPr>
  </w:style>
  <w:style w:type="character" w:customStyle="1" w:styleId="37">
    <w:name w:val="font51"/>
    <w:basedOn w:val="17"/>
    <w:qFormat/>
    <w:uiPriority w:val="0"/>
    <w:rPr>
      <w:rFonts w:hint="eastAsia" w:ascii="宋体" w:hAnsi="宋体" w:eastAsia="宋体" w:cs="宋体"/>
      <w:color w:val="000000"/>
      <w:sz w:val="20"/>
      <w:szCs w:val="20"/>
      <w:u w:val="none"/>
    </w:rPr>
  </w:style>
  <w:style w:type="character" w:customStyle="1" w:styleId="38">
    <w:name w:val="font21"/>
    <w:basedOn w:val="17"/>
    <w:qFormat/>
    <w:uiPriority w:val="0"/>
    <w:rPr>
      <w:rFonts w:hint="default" w:ascii="Arial" w:hAnsi="Arial" w:cs="Arial"/>
      <w:color w:val="000000"/>
      <w:sz w:val="21"/>
      <w:szCs w:val="21"/>
      <w:u w:val="none"/>
    </w:rPr>
  </w:style>
  <w:style w:type="character" w:customStyle="1" w:styleId="39">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收、支决算总计变动情况图</a:t>
            </a:r>
          </a:p>
        </c:rich>
      </c:tx>
      <c:layout>
        <c:manualLayout>
          <c:xMode val="edge"/>
          <c:yMode val="edge"/>
          <c:x val="0.266209916654895"/>
          <c:y val="0.0266903914590747"/>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1020.54</c:v>
                </c:pt>
                <c:pt idx="1">
                  <c:v>938.81</c:v>
                </c:pt>
              </c:numCache>
            </c:numRef>
          </c:val>
        </c:ser>
        <c:ser>
          <c:idx val="1"/>
          <c:order val="1"/>
          <c:tx>
            <c:strRef>
              <c:f>Sheet1!$C$1</c:f>
              <c:strCache>
                <c:ptCount val="1"/>
                <c:pt idx="0">
                  <c:v>2022</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1152.02</c:v>
                </c:pt>
                <c:pt idx="1">
                  <c:v>1152.02</c:v>
                </c:pt>
              </c:numCache>
            </c:numRef>
          </c:val>
        </c:ser>
        <c:dLbls>
          <c:showLegendKey val="false"/>
          <c:showVal val="false"/>
          <c:showCatName val="false"/>
          <c:showSerName val="false"/>
          <c:showPercent val="false"/>
          <c:showBubbleSize val="false"/>
        </c:dLbls>
        <c:gapWidth val="246"/>
        <c:overlap val="-28"/>
        <c:axId val="270972450"/>
        <c:axId val="120277758"/>
      </c:barChart>
      <c:catAx>
        <c:axId val="2709724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0277758"/>
        <c:crosses val="autoZero"/>
        <c:auto val="true"/>
        <c:lblAlgn val="ctr"/>
        <c:lblOffset val="100"/>
        <c:noMultiLvlLbl val="false"/>
      </c:catAx>
      <c:valAx>
        <c:axId val="120277758"/>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097245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Sheet1!$A$2:$A$3</c:f>
              <c:strCache>
                <c:ptCount val="2"/>
                <c:pt idx="0">
                  <c:v>一般公共预算财政拨款收入</c:v>
                </c:pt>
                <c:pt idx="1">
                  <c:v>上年结转</c:v>
                </c:pt>
              </c:strCache>
            </c:strRef>
          </c:cat>
          <c:val>
            <c:numRef>
              <c:f>Sheet1!$B$2:$B$3</c:f>
              <c:numCache>
                <c:formatCode>0.00%</c:formatCode>
                <c:ptCount val="2"/>
                <c:pt idx="0">
                  <c:v>0.9291</c:v>
                </c:pt>
                <c:pt idx="1">
                  <c:v>0.0709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elete val="true"/>
          </c:dLbls>
          <c:cat>
            <c:strRef>
              <c:f>Sheet1!$A$2:$A$3</c:f>
              <c:strCache>
                <c:ptCount val="2"/>
                <c:pt idx="0">
                  <c:v>基本支出</c:v>
                </c:pt>
                <c:pt idx="1">
                  <c:v>项目支出</c:v>
                </c:pt>
              </c:strCache>
            </c:strRef>
          </c:cat>
          <c:val>
            <c:numRef>
              <c:f>Sheet1!$B$2:$B$3</c:f>
              <c:numCache>
                <c:formatCode>0.00%</c:formatCode>
                <c:ptCount val="2"/>
                <c:pt idx="0">
                  <c:v>0.6633</c:v>
                </c:pt>
                <c:pt idx="1">
                  <c:v>0.3367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财政拨款收、支决算总计变动情况图</a:t>
            </a:r>
          </a:p>
        </c:rich>
      </c:tx>
      <c:layout>
        <c:manualLayout>
          <c:xMode val="edge"/>
          <c:yMode val="edge"/>
          <c:x val="0.264090973301314"/>
          <c:y val="0.030026690391459"/>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2021</c:v>
                </c:pt>
              </c:strCache>
            </c:strRef>
          </c:tx>
          <c:spPr>
            <a:solidFill>
              <a:schemeClr val="accent1"/>
            </a:solidFill>
            <a:ln>
              <a:noFill/>
            </a:ln>
            <a:effectLst/>
          </c:spPr>
          <c:invertIfNegative val="false"/>
          <c:dLbls>
            <c:delete val="true"/>
          </c:dLbls>
          <c:cat>
            <c:strRef>
              <c:f>Sheet1!$A$2:$A$3</c:f>
              <c:strCache>
                <c:ptCount val="2"/>
                <c:pt idx="0">
                  <c:v>收入</c:v>
                </c:pt>
                <c:pt idx="1">
                  <c:v>支出</c:v>
                </c:pt>
              </c:strCache>
            </c:strRef>
          </c:cat>
          <c:val>
            <c:numRef>
              <c:f>Sheet1!$B$2:$B$3</c:f>
              <c:numCache>
                <c:formatCode>General</c:formatCode>
                <c:ptCount val="2"/>
                <c:pt idx="0">
                  <c:v>1020.54</c:v>
                </c:pt>
                <c:pt idx="1">
                  <c:v>938.81</c:v>
                </c:pt>
              </c:numCache>
            </c:numRef>
          </c:val>
        </c:ser>
        <c:ser>
          <c:idx val="1"/>
          <c:order val="1"/>
          <c:tx>
            <c:strRef>
              <c:f>Sheet1!$C$1</c:f>
              <c:strCache>
                <c:ptCount val="1"/>
                <c:pt idx="0">
                  <c:v>2022</c:v>
                </c:pt>
              </c:strCache>
            </c:strRef>
          </c:tx>
          <c:spPr>
            <a:solidFill>
              <a:schemeClr val="accent2"/>
            </a:solidFill>
            <a:ln>
              <a:noFill/>
            </a:ln>
            <a:effectLst/>
          </c:spPr>
          <c:invertIfNegative val="false"/>
          <c:dLbls>
            <c:delete val="true"/>
          </c:dLbls>
          <c:cat>
            <c:strRef>
              <c:f>Sheet1!$A$2:$A$3</c:f>
              <c:strCache>
                <c:ptCount val="2"/>
                <c:pt idx="0">
                  <c:v>收入</c:v>
                </c:pt>
                <c:pt idx="1">
                  <c:v>支出</c:v>
                </c:pt>
              </c:strCache>
            </c:strRef>
          </c:cat>
          <c:val>
            <c:numRef>
              <c:f>Sheet1!$C$2:$C$3</c:f>
              <c:numCache>
                <c:formatCode>General</c:formatCode>
                <c:ptCount val="2"/>
                <c:pt idx="0">
                  <c:v>1152.02</c:v>
                </c:pt>
                <c:pt idx="1">
                  <c:v>1152.02</c:v>
                </c:pt>
              </c:numCache>
            </c:numRef>
          </c:val>
        </c:ser>
        <c:dLbls>
          <c:showLegendKey val="false"/>
          <c:showVal val="false"/>
          <c:showCatName val="false"/>
          <c:showSerName val="false"/>
          <c:showPercent val="false"/>
          <c:showBubbleSize val="false"/>
        </c:dLbls>
        <c:gapWidth val="246"/>
        <c:overlap val="-28"/>
        <c:axId val="270972450"/>
        <c:axId val="120277758"/>
      </c:barChart>
      <c:catAx>
        <c:axId val="2709724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0277758"/>
        <c:crosses val="autoZero"/>
        <c:auto val="true"/>
        <c:lblAlgn val="ctr"/>
        <c:lblOffset val="100"/>
        <c:noMultiLvlLbl val="false"/>
      </c:catAx>
      <c:valAx>
        <c:axId val="120277758"/>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097245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c:v>
                </c:pt>
              </c:strCache>
            </c:strRef>
          </c:tx>
          <c:spPr>
            <a:solidFill>
              <a:schemeClr val="accent1"/>
            </a:solidFill>
            <a:ln>
              <a:noFill/>
            </a:ln>
            <a:effectLst/>
          </c:spPr>
          <c:invertIfNegative val="false"/>
          <c:dLbls>
            <c:delete val="true"/>
          </c:dLbls>
          <c:cat>
            <c:numRef>
              <c:f>Sheet1!$A$2:$A$3</c:f>
              <c:numCache>
                <c:formatCode>General</c:formatCode>
                <c:ptCount val="2"/>
                <c:pt idx="0">
                  <c:v>2021</c:v>
                </c:pt>
                <c:pt idx="1">
                  <c:v>2022</c:v>
                </c:pt>
              </c:numCache>
            </c:numRef>
          </c:cat>
          <c:val>
            <c:numRef>
              <c:f>Sheet1!$B$2:$B$3</c:f>
              <c:numCache>
                <c:formatCode>General</c:formatCode>
                <c:ptCount val="2"/>
                <c:pt idx="0">
                  <c:v>938.81</c:v>
                </c:pt>
                <c:pt idx="1">
                  <c:v>1152.02</c:v>
                </c:pt>
              </c:numCache>
            </c:numRef>
          </c:val>
        </c:ser>
        <c:dLbls>
          <c:showLegendKey val="false"/>
          <c:showVal val="false"/>
          <c:showCatName val="false"/>
          <c:showSerName val="false"/>
          <c:showPercent val="false"/>
          <c:showBubbleSize val="false"/>
        </c:dLbls>
        <c:gapWidth val="246"/>
        <c:overlap val="-28"/>
        <c:axId val="318086884"/>
        <c:axId val="13454460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false"/>
                <c:dLbls>
                  <c:delete val="true"/>
                </c:dLbls>
                <c:cat>
                  <c:numRef>
                    <c:extLst>
                      <c:ext uri="{02D57815-91ED-43cb-92C2-25804820EDAC}">
                        <c15:fullRef>
                          <c15:sqref/>
                        </c15:fullRef>
                        <c15:formulaRef>
                          <c15:sqref>Sheet1!$A$2:$A$3</c15:sqref>
                        </c15:formulaRef>
                      </c:ext>
                    </c:extLst>
                    <c:numCache>
                      <c:formatCode>General</c:formatCode>
                      <c:ptCount val="2"/>
                      <c:pt idx="0">
                        <c:v>2021</c:v>
                      </c:pt>
                      <c:pt idx="1">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delete val="true"/>
                </c:dLbls>
                <c:cat>
                  <c:numRef>
                    <c:extLst>
                      <c:ext uri="{02D57815-91ED-43cb-92C2-25804820EDAC}">
                        <c15:fullRef>
                          <c15:sqref/>
                        </c15:fullRef>
                        <c15:formulaRef>
                          <c15:sqref>Sheet1!$A$2:$A$3</c15:sqref>
                        </c15:formulaRef>
                      </c:ext>
                    </c:extLst>
                    <c:numCache>
                      <c:formatCode>General</c:formatCode>
                      <c:ptCount val="2"/>
                      <c:pt idx="0">
                        <c:v>2021</c:v>
                      </c:pt>
                      <c:pt idx="1">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31808688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34544600"/>
        <c:crosses val="autoZero"/>
        <c:auto val="true"/>
        <c:lblAlgn val="ctr"/>
        <c:lblOffset val="100"/>
        <c:noMultiLvlLbl val="false"/>
      </c:catAx>
      <c:valAx>
        <c:axId val="134544600"/>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808688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Lbls>
            <c:delete val="true"/>
          </c:dLbls>
          <c:cat>
            <c:strRef>
              <c:f>Sheet1!$A$2:$A$10</c:f>
              <c:strCache>
                <c:ptCount val="9"/>
                <c:pt idx="0">
                  <c:v>一般公共服务</c:v>
                </c:pt>
                <c:pt idx="1">
                  <c:v>国防</c:v>
                </c:pt>
                <c:pt idx="2">
                  <c:v>文化旅游体 
育与传媒</c:v>
                </c:pt>
                <c:pt idx="3">
                  <c:v>社会保障和就 
业</c:v>
                </c:pt>
                <c:pt idx="4">
                  <c:v>卫生健康支出</c:v>
                </c:pt>
                <c:pt idx="5">
                  <c:v>城乡社区</c:v>
                </c:pt>
                <c:pt idx="6">
                  <c:v>农林水</c:v>
                </c:pt>
                <c:pt idx="7">
                  <c:v>住房保障</c:v>
                </c:pt>
                <c:pt idx="8">
                  <c:v>灾害防治及应急管理支出</c:v>
                </c:pt>
              </c:strCache>
            </c:strRef>
          </c:cat>
          <c:val>
            <c:numRef>
              <c:f>Sheet1!$B$2:$B$10</c:f>
              <c:numCache>
                <c:formatCode>General</c:formatCode>
                <c:ptCount val="9"/>
                <c:pt idx="0">
                  <c:v>425.91</c:v>
                </c:pt>
                <c:pt idx="1">
                  <c:v>0.5</c:v>
                </c:pt>
                <c:pt idx="2">
                  <c:v>52.07</c:v>
                </c:pt>
                <c:pt idx="3">
                  <c:v>120.05</c:v>
                </c:pt>
                <c:pt idx="4">
                  <c:v>29.23</c:v>
                </c:pt>
                <c:pt idx="5">
                  <c:v>8.75</c:v>
                </c:pt>
                <c:pt idx="6">
                  <c:v>462.02</c:v>
                </c:pt>
                <c:pt idx="7">
                  <c:v>43</c:v>
                </c:pt>
                <c:pt idx="8">
                  <c:v>10.4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a:solidFill>
                  <a:schemeClr val="bg1"/>
                </a:solidFill>
              </a:ln>
              <a:effectLst/>
            </c:spPr>
          </c:dPt>
          <c:dLbls>
            <c:delete val="true"/>
          </c:dLbls>
          <c:cat>
            <c:strRef>
              <c:f>Sheet1!$A$2</c:f>
              <c:strCache>
                <c:ptCount val="1"/>
                <c:pt idx="0">
                  <c:v>公务接待费支出</c:v>
                </c:pt>
              </c:strCache>
            </c:strRef>
          </c:cat>
          <c:val>
            <c:numRef>
              <c:f>Sheet1!$B$2</c:f>
              <c:numCache>
                <c:formatCode>General</c:formatCode>
                <c:ptCount val="1"/>
                <c:pt idx="0">
                  <c:v>6.22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9</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2023-10-24T16:45:00Z</cp:lastPrinted>
  <dcterms:modified xsi:type="dcterms:W3CDTF">2023-12-13T16:06:48Z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B1C2E521A16248469D0ABC4E9A648D0A_12</vt:lpwstr>
  </property>
</Properties>
</file>