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仿宋" w:hAnsi="仿宋" w:eastAsia="仿宋"/>
          <w:sz w:val="32"/>
          <w:szCs w:val="32"/>
        </w:rPr>
      </w:pPr>
      <w:bookmarkStart w:id="0" w:name="_Toc15396597"/>
      <w:bookmarkStart w:id="1" w:name="_Toc15377425"/>
      <w:bookmarkStart w:id="2" w:name="_Toc15378441"/>
      <w:bookmarkStart w:id="3" w:name="_Toc15396475"/>
      <w:bookmarkStart w:id="4" w:name="_Toc15377193"/>
      <w:bookmarkStart w:id="5" w:name="_Toc15306267"/>
    </w:p>
    <w:p>
      <w:pPr>
        <w:spacing w:line="600" w:lineRule="exact"/>
        <w:jc w:val="center"/>
        <w:outlineLvl w:val="0"/>
        <w:rPr>
          <w:rFonts w:asciiTheme="majorEastAsia" w:hAnsiTheme="majorEastAsia" w:eastAsiaTheme="majorEastAsia"/>
          <w:sz w:val="36"/>
          <w:szCs w:val="36"/>
        </w:rPr>
      </w:pPr>
    </w:p>
    <w:p>
      <w:pPr>
        <w:adjustRightInd w:val="0"/>
        <w:snapToGrid w:val="0"/>
        <w:spacing w:line="360" w:lineRule="auto"/>
        <w:jc w:val="center"/>
        <w:outlineLvl w:val="0"/>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202</w:t>
      </w:r>
      <w:r>
        <w:rPr>
          <w:rFonts w:hint="eastAsia" w:cs="方正小标宋简体" w:asciiTheme="majorEastAsia" w:hAnsiTheme="majorEastAsia" w:eastAsiaTheme="majorEastAsia"/>
          <w:sz w:val="36"/>
          <w:szCs w:val="36"/>
          <w:lang w:val="en-US" w:eastAsia="zh-CN"/>
        </w:rPr>
        <w:t>2</w:t>
      </w:r>
      <w:r>
        <w:rPr>
          <w:rFonts w:hint="eastAsia" w:cs="方正小标宋简体" w:asciiTheme="majorEastAsia" w:hAnsiTheme="majorEastAsia" w:eastAsiaTheme="majorEastAsia"/>
          <w:sz w:val="36"/>
          <w:szCs w:val="36"/>
        </w:rPr>
        <w:t>年度</w:t>
      </w:r>
      <w:bookmarkEnd w:id="0"/>
      <w:bookmarkEnd w:id="1"/>
      <w:bookmarkEnd w:id="2"/>
      <w:bookmarkEnd w:id="3"/>
      <w:bookmarkEnd w:id="4"/>
    </w:p>
    <w:bookmarkEnd w:id="5"/>
    <w:p>
      <w:pPr>
        <w:adjustRightInd w:val="0"/>
        <w:snapToGrid w:val="0"/>
        <w:spacing w:line="360" w:lineRule="auto"/>
        <w:jc w:val="center"/>
        <w:outlineLvl w:val="0"/>
        <w:rPr>
          <w:rFonts w:cs="方正小标宋简体" w:asciiTheme="majorEastAsia" w:hAnsiTheme="majorEastAsia" w:eastAsiaTheme="majorEastAsia"/>
          <w:sz w:val="36"/>
          <w:szCs w:val="36"/>
        </w:rPr>
      </w:pPr>
      <w:bookmarkStart w:id="6" w:name="_Toc15377426"/>
      <w:bookmarkStart w:id="7" w:name="_Toc15377194"/>
      <w:bookmarkStart w:id="8" w:name="_Toc15378442"/>
      <w:bookmarkStart w:id="9" w:name="_Toc15396476"/>
      <w:bookmarkStart w:id="10" w:name="_Toc15396598"/>
      <w:bookmarkStart w:id="11" w:name="_Toc15306268"/>
      <w:r>
        <w:rPr>
          <w:rFonts w:hint="eastAsia" w:cs="方正小标宋简体" w:asciiTheme="majorEastAsia" w:hAnsiTheme="majorEastAsia" w:eastAsiaTheme="majorEastAsia"/>
          <w:sz w:val="36"/>
          <w:szCs w:val="36"/>
          <w:lang w:eastAsia="zh-CN"/>
        </w:rPr>
        <w:t>剑阁县上寺小学校单位</w:t>
      </w:r>
      <w:r>
        <w:rPr>
          <w:rFonts w:hint="eastAsia" w:cs="方正小标宋简体" w:asciiTheme="majorEastAsia" w:hAnsiTheme="majorEastAsia" w:eastAsiaTheme="majorEastAsia"/>
          <w:sz w:val="36"/>
          <w:szCs w:val="36"/>
        </w:rPr>
        <w:t>决算</w:t>
      </w:r>
      <w:bookmarkEnd w:id="6"/>
      <w:bookmarkEnd w:id="7"/>
      <w:bookmarkEnd w:id="8"/>
      <w:bookmarkEnd w:id="9"/>
      <w:bookmarkEnd w:id="10"/>
      <w:bookmarkEnd w:id="11"/>
    </w:p>
    <w:p>
      <w:pPr>
        <w:widowControl/>
        <w:jc w:val="center"/>
        <w:rPr>
          <w:rFonts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目录</w:t>
      </w:r>
    </w:p>
    <w:p>
      <w:pPr>
        <w:widowControl/>
        <w:jc w:val="center"/>
        <w:rPr>
          <w:rFonts w:ascii="仿宋" w:hAnsi="仿宋" w:eastAsia="仿宋" w:cstheme="minorBidi"/>
          <w:sz w:val="32"/>
          <w:szCs w:val="32"/>
        </w:rPr>
      </w:pP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部门单位概况</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p>
    <w:p>
      <w:pPr>
        <w:pStyle w:val="10"/>
        <w:adjustRightInd w:val="0"/>
        <w:snapToGrid w:val="0"/>
        <w:spacing w:before="0" w:line="440" w:lineRule="exact"/>
        <w:jc w:val="left"/>
        <w:rPr>
          <w:sz w:val="32"/>
          <w:szCs w:val="32"/>
        </w:rPr>
      </w:pPr>
      <w:r>
        <w:rPr>
          <w:rFonts w:hint="eastAsia"/>
          <w:sz w:val="32"/>
          <w:szCs w:val="32"/>
        </w:rPr>
        <w:t xml:space="preserve">第二部分 </w:t>
      </w:r>
      <w:r>
        <w:rPr>
          <w:rFonts w:hint="eastAsia"/>
          <w:sz w:val="32"/>
          <w:szCs w:val="32"/>
          <w:lang w:eastAsia="zh-CN"/>
        </w:rPr>
        <w:t>2022</w:t>
      </w:r>
      <w:r>
        <w:rPr>
          <w:rFonts w:hint="eastAsia"/>
          <w:sz w:val="32"/>
          <w:szCs w:val="32"/>
        </w:rPr>
        <w:t>年度部门决算情况说明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七、“三公”经费财政拨款支出决算情况说明</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p>
    <w:p>
      <w:pPr>
        <w:pStyle w:val="11"/>
        <w:adjustRightInd w:val="0"/>
        <w:snapToGrid w:val="0"/>
        <w:spacing w:line="440" w:lineRule="exact"/>
        <w:ind w:leftChars="0"/>
        <w:jc w:val="left"/>
        <w:rPr>
          <w:rFonts w:ascii="仿宋" w:hAnsi="仿宋" w:eastAsia="仿宋" w:cstheme="minorEastAsia"/>
          <w:sz w:val="32"/>
          <w:szCs w:val="32"/>
        </w:rPr>
      </w:pPr>
      <w:r>
        <w:rPr>
          <w:rFonts w:hint="eastAsia" w:ascii="仿宋" w:hAnsi="仿宋" w:eastAsia="仿宋" w:cstheme="minorEastAsia"/>
          <w:sz w:val="32"/>
          <w:szCs w:val="32"/>
        </w:rPr>
        <w:t>九、国有资本经营预算支出决算情况说明</w:t>
      </w:r>
    </w:p>
    <w:p>
      <w:pPr>
        <w:adjustRightInd w:val="0"/>
        <w:snapToGrid w:val="0"/>
        <w:spacing w:line="440" w:lineRule="exact"/>
        <w:ind w:firstLine="560" w:firstLineChars="175"/>
        <w:jc w:val="left"/>
        <w:rPr>
          <w:rFonts w:ascii="仿宋" w:hAnsi="仿宋" w:eastAsia="仿宋" w:cstheme="minorEastAsia"/>
          <w:sz w:val="32"/>
          <w:szCs w:val="32"/>
        </w:rPr>
      </w:pPr>
      <w:r>
        <w:rPr>
          <w:rStyle w:val="15"/>
          <w:rFonts w:hint="eastAsia" w:ascii="仿宋" w:hAnsi="仿宋" w:eastAsia="仿宋" w:cstheme="minorEastAsia"/>
          <w:color w:val="auto"/>
          <w:sz w:val="32"/>
          <w:szCs w:val="32"/>
          <w:u w:val="none"/>
        </w:rPr>
        <w:t>十、</w:t>
      </w:r>
      <w:r>
        <w:rPr>
          <w:rFonts w:hint="eastAsia" w:ascii="仿宋" w:hAnsi="仿宋" w:eastAsia="仿宋" w:cstheme="minorEastAsia"/>
          <w:sz w:val="32"/>
          <w:szCs w:val="32"/>
        </w:rPr>
        <w:t>其他重要事项的情况说明</w:t>
      </w:r>
      <w:r>
        <w:rPr>
          <w:rFonts w:hint="eastAsia" w:ascii="仿宋" w:hAnsi="仿宋" w:eastAsia="仿宋" w:cstheme="minorEastAsia"/>
          <w:sz w:val="32"/>
          <w:szCs w:val="32"/>
        </w:rPr>
        <w:tab/>
      </w:r>
    </w:p>
    <w:p>
      <w:pPr>
        <w:pStyle w:val="10"/>
        <w:adjustRightInd w:val="0"/>
        <w:snapToGrid w:val="0"/>
        <w:spacing w:before="0" w:line="440"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pPr>
        <w:pStyle w:val="10"/>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0"/>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二、收入决算表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三、支出决算表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四、财政拨款收入支出决算总表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五、财政拨款支出决算明细表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六、一般公共预算财政拨款支出决算表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七、一般公共预算财政拨款支出决算明细表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八、一般公共预算财政拨款基本支出决算表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九、一般公共预算财政拨款项目支出决算表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十、一般公共预算财政拨款“三公”经费支出决算表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十一、政府性基金预算财政拨款收入支出决算表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十二、政府性基金预算财政拨款“三公”经费支出决算表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十三、国有资本经营预算财政拨款收入支出决算表</w:t>
      </w:r>
    </w:p>
    <w:p>
      <w:pPr>
        <w:pStyle w:val="11"/>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十四、国有资本经营预算财政拨款支出决算表</w:t>
      </w:r>
    </w:p>
    <w:p>
      <w:pPr>
        <w:widowControl/>
        <w:spacing w:line="440" w:lineRule="exact"/>
        <w:jc w:val="left"/>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p>
      <w:pPr>
        <w:pStyle w:val="2"/>
        <w:jc w:val="center"/>
        <w:rPr>
          <w:rFonts w:ascii="仿宋" w:hAnsi="仿宋" w:eastAsia="仿宋"/>
          <w:sz w:val="32"/>
          <w:szCs w:val="32"/>
        </w:rPr>
      </w:pPr>
      <w:r>
        <w:rPr>
          <w:rFonts w:hint="eastAsia" w:ascii="仿宋" w:hAnsi="仿宋" w:eastAsia="仿宋"/>
          <w:b w:val="0"/>
          <w:sz w:val="32"/>
          <w:szCs w:val="32"/>
        </w:rPr>
        <w:t xml:space="preserve">第一部分 </w:t>
      </w:r>
      <w:r>
        <w:rPr>
          <w:rStyle w:val="24"/>
          <w:rFonts w:hint="eastAsia" w:ascii="仿宋" w:hAnsi="仿宋" w:eastAsia="仿宋"/>
          <w:b w:val="0"/>
          <w:bCs w:val="0"/>
          <w:sz w:val="32"/>
          <w:szCs w:val="32"/>
        </w:rPr>
        <w:t>部门单位概况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仿宋" w:hAnsi="仿宋" w:eastAsia="仿宋"/>
          <w:b w:val="0"/>
        </w:rPr>
        <w:t>一、基</w:t>
      </w:r>
      <w:r>
        <w:rPr>
          <w:rStyle w:val="25"/>
          <w:rFonts w:hint="eastAsia" w:ascii="仿宋" w:hAnsi="仿宋" w:eastAsia="仿宋"/>
          <w:b w:val="0"/>
          <w:bCs w:val="0"/>
        </w:rPr>
        <w:t>本职能及主要工作</w:t>
      </w:r>
      <w:bookmarkEnd w:id="14"/>
      <w:bookmarkEnd w:id="15"/>
    </w:p>
    <w:p>
      <w:pPr>
        <w:pStyle w:val="3"/>
        <w:spacing w:line="400" w:lineRule="exact"/>
        <w:ind w:left="643"/>
        <w:rPr>
          <w:rFonts w:ascii="仿宋" w:hAnsi="仿宋" w:eastAsia="仿宋" w:cs="仿宋"/>
          <w:b w:val="0"/>
          <w:bCs w:val="0"/>
          <w:color w:val="000000" w:themeColor="text1"/>
          <w14:textFill>
            <w14:solidFill>
              <w14:schemeClr w14:val="tx1"/>
            </w14:solidFill>
          </w14:textFill>
        </w:rPr>
      </w:pPr>
      <w:bookmarkStart w:id="16" w:name="_Toc15377198"/>
      <w:bookmarkStart w:id="17" w:name="_Toc15378445"/>
      <w:r>
        <w:rPr>
          <w:rFonts w:hint="eastAsia" w:ascii="仿宋" w:hAnsi="仿宋" w:eastAsia="仿宋"/>
          <w:color w:val="000000" w:themeColor="text1"/>
          <w14:textFill>
            <w14:solidFill>
              <w14:schemeClr w14:val="tx1"/>
            </w14:solidFill>
          </w14:textFill>
        </w:rPr>
        <w:t>（一）主要职能。</w:t>
      </w:r>
      <w:bookmarkEnd w:id="16"/>
      <w:bookmarkEnd w:id="17"/>
      <w:bookmarkStart w:id="18" w:name="_Toc15377199"/>
      <w:bookmarkStart w:id="19" w:name="_Toc15378446"/>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本单位主要职能职责是实施小学义务教育，促进基础教育均衡发展。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1、正确贯彻执行党和国家的教育方针、政策、法规。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2、维护学校的教学秩序，为学生创造良好的学习环境。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3、根据学校规模，设置学校管理机构，建立健全各项规章制度和岗位责任制。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4、坚持教书育人，服务育人，环境育人方针，加强对学生的思想品德教育，使学生的德智体美全面发展。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5、积极稳妥地推进教育改革，按教育规律办事，不断提高教育质量。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（二）2022年重点工作完成情况。</w:t>
      </w:r>
      <w:bookmarkEnd w:id="18"/>
      <w:bookmarkEnd w:id="19"/>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一、教育质量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抓好学生一日常规训练，让学生养成良好的行为习惯。上学年，已经将常规训练主要内容整理成《剑阁县上寺小学校学生一日常规》，作为我校开展学生常规训练的依据，其内容包括上学、进校、课前准备、上课、作业、课间活动、出操、就餐、如厕、放学等一日常规。本学年德育处、少先队要在学生就餐、上学、放学、课间活动等重点领域狠抓学生常规并要取得实效。教务处、班主任、任课教师要在学生课前准备常规、课堂学习常规训练方面取得实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(2)、抓好学生文明礼仪教育。学会礼貌用语，见到师长能主动得体地问好，规范敬礼动作。同学之间要文明相处。不说脏话。衣着、发饰得体。</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(3)、继续落实好学生自主管理。对班级自主管理要指导、评比、考核。学校自主管理要进一步落实。通过干部竞岗演讲锻炼学生。</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(4)、开展好主题班会活动。安排要早，指导要实，宣传报道要及时。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(5)、开展好运动会、“七五普法”活动、网络安全教育活动、校外实践活动等。</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二、教学质量</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范课程设置，推进课程改革。教务处严格执行新课程标准，根据《四川省义务教育课程设置方案（2022年修订）》要求，开齐课程，开足课时，制定了《剑阁县上寺小学校2022年秋课程设置方案》，按照方案排出学校总课表、班级课表及教师个人课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1、狠抓常规管理，提高教学效益。制定了《剑阁县上寺小学校2022—2023学年度教务处教学工作计划》，做好教学“六认真”监管工作，严密组织各年级的教学质量检测，精准分析成绩，对标制定质量提升措施。</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2、响应“双减”政策，落实“五项管理”。组织教师填写了《作业公示表》《手机管理登记表》《分层作业设计》等相关表册资料。</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强化毕业班管理，提升出口质量。对毕业班的管理抓早、抓细、抓落实，坚持一月一次的月检测制度和毕业班教师会。明确提出毕业班奋斗目标，和任课教师签订目标责任书；组织好毕业班月考，并及时成绩分析，落实好每月毕业班教师与学生的表彰活动，让每次的表彰都有意义都有价值；落实教师挂联制度、领导一挂两联制度和毕业班班主任和挂联领导坐班签到制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线上、线下教学无缝衔接。全校开展了两次线上教学。第一次是10月12日至10月23日，第二次是12月2日至12月12日。教务处随时了解线上、线下教学进度及教学效果，加强班级之间的教学交流，确保质量不严重下滑。</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5、做实常规管理，细化学科教师教学质量目标。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6、抓好毕业班，确保同类学校第二的目标，力争达到第一名。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7、提早抓下届毕业班：即本届五年级要当毕业班抓，确保进入同类学校前两名。</w:t>
      </w:r>
    </w:p>
    <w:p>
      <w:pPr>
        <w:keepNext w:val="0"/>
        <w:keepLines w:val="0"/>
        <w:pageBreakBefore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8、抓好起始年级，做好新生的招生工作。</w:t>
      </w:r>
    </w:p>
    <w:p>
      <w:pPr>
        <w:keepNext w:val="0"/>
        <w:keepLines w:val="0"/>
        <w:pageBreakBefore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9、加强教学研讨，提高课堂教学有效化。</w:t>
      </w:r>
    </w:p>
    <w:p>
      <w:pPr>
        <w:keepNext w:val="0"/>
        <w:keepLines w:val="0"/>
        <w:pageBreakBefore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10、规范课堂教学行为，提高课堂教学有效性</w:t>
      </w:r>
    </w:p>
    <w:p>
      <w:pPr>
        <w:keepNext w:val="0"/>
        <w:keepLines w:val="0"/>
        <w:pageBreakBefore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11、切实提升学生书写能力，继续开展“海量阅读”和“国学经典诵读”活动。</w:t>
      </w:r>
    </w:p>
    <w:p>
      <w:pPr>
        <w:keepNext w:val="0"/>
        <w:keepLines w:val="0"/>
        <w:pageBreakBefore w:val="0"/>
        <w:kinsoku/>
        <w:wordWrap/>
        <w:overflowPunct/>
        <w:topLinePunct w:val="0"/>
        <w:autoSpaceDE/>
        <w:autoSpaceDN/>
        <w:bidi w:val="0"/>
        <w:adjustRightInd/>
        <w:snapToGrid/>
        <w:spacing w:line="560" w:lineRule="exact"/>
        <w:ind w:left="596" w:leftChars="284"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12、做好义教均衡迎检工作，加强毕业班管理，强管理、重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研究、逗硬考核，加强功能室的管理及实验教学的管理、考核。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13、教研工作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14、做好课题研究，与经典诵读、海量阅读、校园文化建设相结合，开展好研究活动，抓好常规教研，开展好教师教学大比武。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15、继续抓好教师培训工作。开展好校本培训活动。有计划地开展好走出去、请进来的培训活动。制定好培训计划，按时开展好培训工作。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16、完成上级交办的培训任务。审慎选派，回校后资料要收齐，及时安排汇报、展示。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进一步落实一个艺体教师带一个特长队的任务。每个艺体教师有特长项目、组建得有队伍、有名单、有训练场地、有过程资料、期末有展示、学生有获奖、学期有考核，加强特色建设，继续抓好茶艺、书法、管乐队、腰鼓等重点队伍的建设，力争在县内小有名气。</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3、建立并落实安全工作常规。</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1、制定《剑阁县上寺小学校安全工作常规》。坚持“隐患大于明火，防范胜于救灾”的理念，认真落实安全例检制度。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2、搞好应急疏散演练工作。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进一步加强安全工作的投入。确保硬件到位。健全、规范安全工作档案资料。</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三、后勤工作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教育、和谐无私，食堂食品管理制度化。食堂贯彻执行《原料采购索证登记》和《食品试尝留样管理制度》等制度；先后制定和出台了《食堂卫生检查制度》《餐具消毒管理制度》《从业人员健康检查制度》和《原料采购索证登记制度》等20余项制度，各种制度齐全上墙，有法可依。</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同心协力、齐抓共管。全力做好消杀工作，严格加强食堂管理，教学楼内的门窗、日光灯、桌凳、门锁、水管龙头等设施设备每周一进行检查，完成了每月一次的家庭生活垃圾分类的填报工作，832平台的任务和此平台的网上填报工作，完成县教育局规划财务项目股、后产股、营养办交办的各种资料的上报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1、高标准办好食堂，加强对校产的管理。加强对校产的登记，落实使用、管理责任；对桌凳等物品实行编号管理；研究使用计算机仓储管理软件。</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搞好绿化养护工作。按时按质完成上级下派的关于环保节能、绿色校园创建、垃圾分类等工作以及与之相关的学生教育活动开展等。3、加强功能室设备财产的管理，定期做好设备设施检查和维修维护工作，加强精细化常规管理和精细化后勤服务，完善、规范后勤管理档案资料。</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四、教育扶贫</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1、做好扶贫日常工作，及时更新基础信息。</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2、制定扶贫工作行事历，做好督查督办。</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3、加强对扶贫工作的宣传和档案资料收集工作。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4、迅速完成入学率统计工作。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5、完善各功能室、各教室内外、教学楼隔断等处的文化布置更换工作，着力于校园文化提炼打造，提高对义教均衡工作的认识，建立长效机制，以义教均衡迎检为契机，提升学校的管理水平。</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6、大力促进幼教内涵发展。进一步落实活动育人、开放办学的理念，开展好各项保育活动。</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7、加强对幼儿教师的培训、教育、管理。生活上关心，待遇上不低于县城内其他公立学校，思想上正确引导，业务上加强培训、严格要求。让幼儿园、幼儿教师共同发展。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8、加强家校联系，办好幼儿家长学校，开好家长会，做好对家长的培训工作。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五、工会、教代会工作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1、做好日常工作，完善档案资料。</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2、充分发挥教代会职权，完善学校各项制度。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3、开展好一年一度的冬至教工茶话会和教工运动会，做好困难、生病教职工的慰问工作，协同业务部门开展好教工教学大比武，充分使用好工会经费，加强对工会、教代会工作的宣传。</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六、党建工作成效显著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党建工作与学校全面工作进行深度融合，引领教职工做实教学科研师训工作、抓牢疫情防控和安全工作、做细体育卫生工作、做活德育工作和后勤保障工作，全面加强师德师风建设和依法治校、依法从教工作，全面落实从严治党和反腐倡廉工作，发挥党支部战斗堡垒和党员教师先锋模范作用，助力学校全面工作提升。</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1、开展了廉洁文化进校园活动，强化师德师风建设，增强依法执教，廉洁从教意识。10月17日“教育扶贫日”，组织全校师生捐款。</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2、加强支部组织建设及宣传工作。组织开展“学习宣传党的二十大系列思政大课”，立足实际，组织师生演讲比赛。</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3、进一步完善党支部各项制度。</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4、做好党建日常工作，收集好相关档案资料，组织党员积极参与教学大比武、教育扶贫、义教均衡迎检工作。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七、其他工作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1、认真做好法律进校园工作。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切实做好“七五”普法各项各种。把普法工作与家长培训、教师培训、学生安全教育、校园文化建设等工作有机结合。</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2、加强政工财务工作。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3、在全校统筹的基础上分门别类做好宣传工作。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全力抓好卫生防疫工作，做实各项常规防疫措施，严格每周核酸混检抽测工作，把学生健康放在首位，把卫生防疫工作当成头等大事来抓。做好学生的《预防接种证》查验和疾病预防。从严从细抓好秋季流行性疾病的预防，多病同防取得了显著成效，学生中流感、水痘等传染性疾病比往年同期大幅度减少。</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全力抓实安全常规工作。讲好开学安全教育第一课。每周放假或者法定假期前利用班队会进行安全教育工作，印制告家长书、安排值班表值班记录等等。完成教育局安全办每月一次的网上安全隐患上报和县疾控中心每月一次的学生伤害监测上报工作。做好学校监控室的监护和管理工作，做好校门口安全值班和值守工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全力做细隐患排查整治工作。开学前进行安全隐患大排查与整治，然后每周进行一次校园安全隐患大排查。不定时对危险物品进行收缴，认真落实校园欺凌及矛盾纠纷检查化解工作。协助市县总工会进行“法律进校园”的讲座。</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7、全力应对各级督查、检查。9月，剑阁县卫生城的三年的创建资料和校园清洁卫生的整治。9月26日协助建设局进行“垃圾分类进校园”活动。做好“铁路小卫士”的评选和资料。</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以“千名教师访万家”为抓手，搞好教育扶贫。将辖区内一千多名学生按照一户一表的要求，分类录入到纸质表中，并安排教师走进千家万户，再一次核查每个家庭中的孩子就读情况。教师采取电话联系、到学校核查、找村组干部、走村串户的方式，对学生的就读学校、就读班级、班主任姓名、班主任电话等信息进行核查，确保基础数据准确，尽最大努力做到一个都不能少。</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征程万里风正劲，重任千钧再奋蹄。2023年，全体教职工将以此为契机，同心同德，勤奋务实，扎实开展各项工作，做到学校有特色、学生有特长，确保教育教学质量稳居全县先进行列。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bookmarkStart w:id="20" w:name="_Toc15377200"/>
      <w:bookmarkStart w:id="21" w:name="_Toc15396601"/>
      <w:r>
        <w:rPr>
          <w:rFonts w:hint="eastAsia" w:ascii="仿宋" w:hAnsi="仿宋" w:eastAsia="仿宋" w:cs="仿宋"/>
          <w:sz w:val="30"/>
          <w:szCs w:val="30"/>
          <w:lang w:val="en-US" w:eastAsia="zh-CN"/>
        </w:rPr>
        <w:t>二、机构设置</w:t>
      </w:r>
      <w:bookmarkEnd w:id="20"/>
      <w:bookmarkEnd w:id="21"/>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剑阁县上寺小学校无下属二级单位，无纳入2022年度部门决算编制范围的二级预算单位。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br w:type="page"/>
      </w:r>
    </w:p>
    <w:p>
      <w:pPr>
        <w:ind w:firstLine="800" w:firstLineChars="250"/>
        <w:rPr>
          <w:rFonts w:ascii="仿宋" w:hAnsi="仿宋" w:eastAsia="仿宋"/>
          <w:sz w:val="32"/>
          <w:szCs w:val="32"/>
        </w:rPr>
      </w:pPr>
    </w:p>
    <w:p>
      <w:pPr>
        <w:pStyle w:val="2"/>
        <w:ind w:right="440"/>
        <w:jc w:val="center"/>
        <w:rPr>
          <w:rFonts w:ascii="仿宋" w:hAnsi="仿宋" w:eastAsia="仿宋"/>
          <w:sz w:val="32"/>
          <w:szCs w:val="32"/>
        </w:rPr>
      </w:pPr>
      <w:bookmarkStart w:id="22" w:name="_Toc15396602"/>
      <w:bookmarkStart w:id="23" w:name="_Toc15377204"/>
      <w:r>
        <w:rPr>
          <w:rFonts w:hint="eastAsia" w:ascii="仿宋" w:hAnsi="仿宋" w:eastAsia="仿宋"/>
          <w:b w:val="0"/>
          <w:sz w:val="32"/>
          <w:szCs w:val="32"/>
        </w:rPr>
        <w:t xml:space="preserve">第二部分 </w:t>
      </w:r>
      <w:r>
        <w:rPr>
          <w:rFonts w:hint="eastAsia" w:ascii="仿宋" w:hAnsi="仿宋" w:eastAsia="仿宋"/>
          <w:b w:val="0"/>
          <w:sz w:val="32"/>
          <w:szCs w:val="32"/>
          <w:lang w:eastAsia="zh-CN"/>
        </w:rPr>
        <w:t>2022</w:t>
      </w:r>
      <w:r>
        <w:rPr>
          <w:rFonts w:hint="eastAsia" w:ascii="仿宋" w:hAnsi="仿宋" w:eastAsia="仿宋"/>
          <w:b w:val="0"/>
          <w:sz w:val="32"/>
          <w:szCs w:val="32"/>
        </w:rPr>
        <w:t>年度</w:t>
      </w:r>
      <w:r>
        <w:rPr>
          <w:rStyle w:val="24"/>
          <w:rFonts w:hint="eastAsia" w:ascii="仿宋" w:hAnsi="仿宋" w:eastAsia="仿宋"/>
          <w:b w:val="0"/>
          <w:bCs/>
          <w:sz w:val="32"/>
          <w:szCs w:val="32"/>
        </w:rPr>
        <w:t>部门决算情况说明</w:t>
      </w:r>
      <w:bookmarkEnd w:id="22"/>
      <w:bookmarkEnd w:id="23"/>
    </w:p>
    <w:p>
      <w:pPr>
        <w:pStyle w:val="23"/>
        <w:numPr>
          <w:ilvl w:val="0"/>
          <w:numId w:val="1"/>
        </w:numPr>
        <w:spacing w:line="600" w:lineRule="exact"/>
        <w:ind w:firstLineChars="0"/>
        <w:outlineLvl w:val="1"/>
        <w:rPr>
          <w:rStyle w:val="25"/>
          <w:rFonts w:ascii="仿宋" w:hAnsi="仿宋" w:eastAsia="仿宋"/>
          <w:b w:val="0"/>
        </w:rPr>
      </w:pPr>
      <w:bookmarkStart w:id="24" w:name="_Toc15396603"/>
      <w:bookmarkStart w:id="25" w:name="_Toc15377205"/>
      <w:r>
        <w:rPr>
          <w:rFonts w:hint="eastAsia" w:ascii="仿宋" w:hAnsi="仿宋" w:eastAsia="仿宋"/>
          <w:sz w:val="32"/>
          <w:szCs w:val="32"/>
        </w:rPr>
        <w:t>收</w:t>
      </w:r>
      <w:r>
        <w:rPr>
          <w:rStyle w:val="25"/>
          <w:rFonts w:hint="eastAsia" w:ascii="仿宋" w:hAnsi="仿宋" w:eastAsia="仿宋"/>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年度收、支总计</w:t>
      </w:r>
      <w:r>
        <w:rPr>
          <w:rFonts w:hint="eastAsia" w:ascii="仿宋" w:hAnsi="仿宋" w:eastAsia="仿宋"/>
          <w:sz w:val="32"/>
          <w:szCs w:val="32"/>
          <w:lang w:val="en-US" w:eastAsia="zh-CN"/>
        </w:rPr>
        <w:t>418.59</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46.34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9.97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r>
        <w:rPr>
          <w:rFonts w:hint="eastAsia" w:ascii="仿宋" w:hAnsi="仿宋" w:eastAsia="仿宋"/>
          <w:sz w:val="32"/>
          <w:szCs w:val="32"/>
        </w:rPr>
        <w:t>。</w:t>
      </w:r>
    </w:p>
    <w:p>
      <w:pPr>
        <w:pStyle w:val="5"/>
        <w:jc w:val="center"/>
        <w:rPr>
          <w:rFonts w:hint="eastAsia"/>
        </w:rPr>
      </w:pPr>
      <w:r>
        <w:drawing>
          <wp:inline distT="0" distB="0" distL="114300" distR="114300">
            <wp:extent cx="3527425" cy="2120265"/>
            <wp:effectExtent l="0" t="0" r="15875" b="13335"/>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6"/>
                    <a:stretch>
                      <a:fillRect/>
                    </a:stretch>
                  </pic:blipFill>
                  <pic:spPr>
                    <a:xfrm>
                      <a:off x="0" y="0"/>
                      <a:ext cx="3527425" cy="2120265"/>
                    </a:xfrm>
                    <a:prstGeom prst="rect">
                      <a:avLst/>
                    </a:prstGeom>
                    <a:noFill/>
                    <a:ln>
                      <a:noFill/>
                    </a:ln>
                  </pic:spPr>
                </pic:pic>
              </a:graphicData>
            </a:graphic>
          </wp:inline>
        </w:drawing>
      </w:r>
    </w:p>
    <w:p>
      <w:pPr>
        <w:pStyle w:val="5"/>
        <w:rPr>
          <w:rFonts w:hint="eastAsia" w:ascii="宋体" w:hAnsi="宋体" w:eastAsia="宋体" w:cs="宋体"/>
          <w:i w:val="0"/>
          <w:iCs w:val="0"/>
          <w:color w:val="000000"/>
          <w:kern w:val="0"/>
          <w:sz w:val="22"/>
          <w:szCs w:val="22"/>
          <w:u w:val="none"/>
          <w:lang w:val="en-US" w:eastAsia="zh-CN" w:bidi="ar"/>
        </w:rPr>
      </w:pPr>
    </w:p>
    <w:p>
      <w:pPr>
        <w:pStyle w:val="5"/>
        <w:ind w:firstLine="3080" w:firstLineChars="1400"/>
      </w:pPr>
      <w:r>
        <w:rPr>
          <w:rFonts w:hint="eastAsia" w:ascii="宋体" w:hAnsi="宋体" w:eastAsia="宋体" w:cs="宋体"/>
          <w:i w:val="0"/>
          <w:iCs w:val="0"/>
          <w:color w:val="000000"/>
          <w:kern w:val="0"/>
          <w:sz w:val="22"/>
          <w:szCs w:val="22"/>
          <w:u w:val="none"/>
          <w:lang w:val="en-US" w:eastAsia="zh-CN" w:bidi="ar"/>
        </w:rPr>
        <w:t>图1：收支决算总计变动情况图</w:t>
      </w:r>
    </w:p>
    <w:p>
      <w:pPr>
        <w:pStyle w:val="23"/>
        <w:numPr>
          <w:ilvl w:val="0"/>
          <w:numId w:val="1"/>
        </w:numPr>
        <w:spacing w:line="600" w:lineRule="exact"/>
        <w:ind w:firstLineChars="0"/>
        <w:outlineLvl w:val="1"/>
        <w:rPr>
          <w:rStyle w:val="25"/>
          <w:rFonts w:ascii="仿宋" w:hAnsi="仿宋" w:eastAsia="仿宋"/>
          <w:b w:val="0"/>
        </w:rPr>
      </w:pPr>
      <w:bookmarkStart w:id="26" w:name="_Toc15396604"/>
      <w:bookmarkStart w:id="27" w:name="_Toc15377206"/>
      <w:r>
        <w:rPr>
          <w:rFonts w:hint="eastAsia" w:ascii="仿宋" w:hAnsi="仿宋" w:eastAsia="仿宋"/>
          <w:sz w:val="32"/>
          <w:szCs w:val="32"/>
        </w:rPr>
        <w:t>收</w:t>
      </w:r>
      <w:r>
        <w:rPr>
          <w:rStyle w:val="25"/>
          <w:rFonts w:hint="eastAsia" w:ascii="仿宋" w:hAnsi="仿宋" w:eastAsia="仿宋"/>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418.59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418.59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5"/>
        <w:rPr>
          <w:rFonts w:hint="eastAsia" w:ascii="仿宋" w:hAnsi="仿宋" w:eastAsia="仿宋"/>
          <w:sz w:val="32"/>
          <w:szCs w:val="32"/>
        </w:rPr>
      </w:pPr>
    </w:p>
    <w:p>
      <w:pPr>
        <w:pStyle w:val="5"/>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4584065" cy="2755265"/>
            <wp:effectExtent l="0" t="0" r="6985" b="6985"/>
            <wp:wrapNone/>
            <wp:docPr id="9"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true"/>
                    </pic:cNvPicPr>
                  </pic:nvPicPr>
                  <pic:blipFill>
                    <a:blip r:embed="rId7"/>
                    <a:stretch>
                      <a:fillRect/>
                    </a:stretch>
                  </pic:blipFill>
                  <pic:spPr>
                    <a:xfrm>
                      <a:off x="0" y="0"/>
                      <a:ext cx="4584065" cy="2755265"/>
                    </a:xfrm>
                    <a:prstGeom prst="rect">
                      <a:avLst/>
                    </a:prstGeom>
                    <a:noFill/>
                    <a:ln>
                      <a:noFill/>
                    </a:ln>
                  </pic:spPr>
                </pic:pic>
              </a:graphicData>
            </a:graphic>
          </wp:anchor>
        </w:drawing>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rPr>
          <w:rFonts w:hint="eastAsia"/>
        </w:rPr>
      </w:pPr>
    </w:p>
    <w:p>
      <w:pPr>
        <w:pStyle w:val="23"/>
        <w:numPr>
          <w:ilvl w:val="0"/>
          <w:numId w:val="1"/>
        </w:numPr>
        <w:spacing w:line="600" w:lineRule="exact"/>
        <w:ind w:firstLineChars="0"/>
        <w:outlineLvl w:val="1"/>
        <w:rPr>
          <w:rStyle w:val="25"/>
          <w:rFonts w:ascii="仿宋" w:hAnsi="仿宋" w:eastAsia="仿宋"/>
          <w:b w:val="0"/>
        </w:rPr>
      </w:pPr>
      <w:bookmarkStart w:id="28" w:name="_Toc15377207"/>
      <w:bookmarkStart w:id="29" w:name="_Toc15396605"/>
      <w:r>
        <w:rPr>
          <w:rFonts w:hint="eastAsia" w:ascii="仿宋" w:hAnsi="仿宋" w:eastAsia="仿宋"/>
          <w:sz w:val="32"/>
          <w:szCs w:val="32"/>
        </w:rPr>
        <w:t>支</w:t>
      </w:r>
      <w:r>
        <w:rPr>
          <w:rStyle w:val="25"/>
          <w:rFonts w:hint="eastAsia" w:ascii="仿宋" w:hAnsi="仿宋" w:eastAsia="仿宋"/>
          <w:b w:val="0"/>
        </w:rPr>
        <w:t>出决算情况说明</w:t>
      </w:r>
      <w:bookmarkEnd w:id="28"/>
      <w:bookmarkEnd w:id="29"/>
    </w:p>
    <w:p>
      <w:pPr>
        <w:pStyle w:val="23"/>
        <w:widowControl w:val="0"/>
        <w:numPr>
          <w:ilvl w:val="0"/>
          <w:numId w:val="0"/>
        </w:numPr>
        <w:spacing w:line="600" w:lineRule="exact"/>
        <w:jc w:val="both"/>
        <w:outlineLvl w:val="1"/>
        <w:rPr>
          <w:rStyle w:val="25"/>
          <w:rFonts w:hint="eastAsia" w:ascii="仿宋" w:hAnsi="仿宋" w:eastAsia="仿宋"/>
          <w:b w:val="0"/>
        </w:rPr>
      </w:pPr>
    </w:p>
    <w:p>
      <w:pPr>
        <w:pStyle w:val="23"/>
        <w:widowControl w:val="0"/>
        <w:numPr>
          <w:ilvl w:val="0"/>
          <w:numId w:val="0"/>
        </w:numPr>
        <w:spacing w:line="600" w:lineRule="exact"/>
        <w:jc w:val="both"/>
        <w:outlineLvl w:val="1"/>
        <w:rPr>
          <w:rStyle w:val="25"/>
          <w:rFonts w:hint="eastAsia" w:ascii="仿宋" w:hAnsi="仿宋" w:eastAsia="仿宋"/>
          <w:b w:val="0"/>
        </w:rPr>
      </w:pPr>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年本年支出合计</w:t>
      </w:r>
      <w:r>
        <w:rPr>
          <w:rFonts w:hint="eastAsia" w:ascii="仿宋" w:hAnsi="仿宋" w:eastAsia="仿宋"/>
          <w:sz w:val="32"/>
          <w:szCs w:val="32"/>
          <w:lang w:val="en-US" w:eastAsia="zh-CN"/>
        </w:rPr>
        <w:t>418.59</w:t>
      </w:r>
      <w:r>
        <w:rPr>
          <w:rFonts w:hint="eastAsia" w:ascii="仿宋" w:hAnsi="仿宋" w:eastAsia="仿宋"/>
          <w:sz w:val="32"/>
          <w:szCs w:val="32"/>
        </w:rPr>
        <w:t>万元，其中：基本支出</w:t>
      </w:r>
      <w:r>
        <w:rPr>
          <w:rFonts w:hint="eastAsia" w:ascii="仿宋" w:hAnsi="仿宋" w:eastAsia="仿宋"/>
          <w:sz w:val="32"/>
          <w:szCs w:val="32"/>
          <w:lang w:val="en-US" w:eastAsia="zh-CN"/>
        </w:rPr>
        <w:t>418.59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5"/>
        <w:jc w:val="center"/>
        <w:rPr>
          <w:rFonts w:hint="eastAsia" w:ascii="仿宋" w:hAnsi="仿宋" w:eastAsia="仿宋"/>
          <w:sz w:val="32"/>
          <w:szCs w:val="32"/>
        </w:rPr>
      </w:pPr>
      <w:r>
        <w:drawing>
          <wp:inline distT="0" distB="0" distL="114300" distR="114300">
            <wp:extent cx="4130675" cy="2486025"/>
            <wp:effectExtent l="0" t="0" r="3175" b="9525"/>
            <wp:docPr id="1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true"/>
                    </pic:cNvPicPr>
                  </pic:nvPicPr>
                  <pic:blipFill>
                    <a:blip r:embed="rId8"/>
                    <a:stretch>
                      <a:fillRect/>
                    </a:stretch>
                  </pic:blipFill>
                  <pic:spPr>
                    <a:xfrm>
                      <a:off x="0" y="0"/>
                      <a:ext cx="4130675" cy="2486025"/>
                    </a:xfrm>
                    <a:prstGeom prst="rect">
                      <a:avLst/>
                    </a:prstGeom>
                    <a:noFill/>
                    <a:ln>
                      <a:noFill/>
                    </a:ln>
                  </pic:spPr>
                </pic:pic>
              </a:graphicData>
            </a:graphic>
          </wp:inline>
        </w:drawing>
      </w:r>
    </w:p>
    <w:p>
      <w:pPr>
        <w:pStyle w:val="5"/>
        <w:ind w:firstLine="2560" w:firstLineChars="800"/>
        <w:rPr>
          <w:rFonts w:hint="eastAsia"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5"/>
          <w:rFonts w:ascii="仿宋" w:hAnsi="仿宋" w:eastAsia="仿宋"/>
          <w:b w:val="0"/>
        </w:rPr>
      </w:pPr>
      <w:bookmarkStart w:id="30" w:name="_Toc15396606"/>
      <w:bookmarkStart w:id="31" w:name="_Toc15377208"/>
      <w:r>
        <w:rPr>
          <w:rFonts w:hint="eastAsia" w:ascii="仿宋" w:hAnsi="仿宋" w:eastAsia="仿宋"/>
          <w:sz w:val="32"/>
          <w:szCs w:val="32"/>
        </w:rPr>
        <w:t>四、财</w:t>
      </w:r>
      <w:r>
        <w:rPr>
          <w:rStyle w:val="25"/>
          <w:rFonts w:hint="eastAsia" w:ascii="仿宋" w:hAnsi="仿宋" w:eastAsia="仿宋"/>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年财政拨款收、支总计</w:t>
      </w:r>
      <w:r>
        <w:rPr>
          <w:rFonts w:hint="eastAsia" w:ascii="仿宋" w:hAnsi="仿宋" w:eastAsia="仿宋"/>
          <w:sz w:val="32"/>
          <w:szCs w:val="32"/>
          <w:lang w:val="en-US" w:eastAsia="zh-CN"/>
        </w:rPr>
        <w:t>418.59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46.34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9.97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r>
        <w:rPr>
          <w:rFonts w:hint="eastAsia" w:ascii="仿宋" w:hAnsi="仿宋" w:eastAsia="仿宋"/>
          <w:sz w:val="32"/>
          <w:szCs w:val="32"/>
        </w:rPr>
        <w:t>。</w:t>
      </w:r>
    </w:p>
    <w:p>
      <w:pPr>
        <w:pStyle w:val="5"/>
        <w:jc w:val="center"/>
        <w:rPr>
          <w:rFonts w:hint="eastAsia" w:ascii="仿宋" w:hAnsi="仿宋" w:eastAsia="仿宋"/>
          <w:sz w:val="32"/>
          <w:szCs w:val="32"/>
        </w:rPr>
      </w:pPr>
      <w:r>
        <w:drawing>
          <wp:inline distT="0" distB="0" distL="114300" distR="114300">
            <wp:extent cx="3726180" cy="2239645"/>
            <wp:effectExtent l="0" t="0" r="7620" b="8255"/>
            <wp:docPr id="12"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true"/>
                    </pic:cNvPicPr>
                  </pic:nvPicPr>
                  <pic:blipFill>
                    <a:blip r:embed="rId9"/>
                    <a:stretch>
                      <a:fillRect/>
                    </a:stretch>
                  </pic:blipFill>
                  <pic:spPr>
                    <a:xfrm>
                      <a:off x="0" y="0"/>
                      <a:ext cx="3726180" cy="2239645"/>
                    </a:xfrm>
                    <a:prstGeom prst="rect">
                      <a:avLst/>
                    </a:prstGeom>
                    <a:noFill/>
                    <a:ln>
                      <a:noFill/>
                    </a:ln>
                  </pic:spPr>
                </pic:pic>
              </a:graphicData>
            </a:graphic>
          </wp:inline>
        </w:drawing>
      </w:r>
    </w:p>
    <w:p>
      <w:pPr>
        <w:pStyle w:val="5"/>
        <w:ind w:firstLine="1600" w:firstLineChars="500"/>
        <w:rPr>
          <w:rFonts w:hint="eastAsia" w:ascii="仿宋" w:hAnsi="仿宋" w:eastAsia="仿宋"/>
          <w:sz w:val="32"/>
          <w:szCs w:val="32"/>
        </w:rPr>
      </w:pPr>
      <w:r>
        <w:rPr>
          <w:rFonts w:hint="eastAsia" w:ascii="仿宋" w:hAnsi="仿宋" w:eastAsia="仿宋"/>
          <w:sz w:val="32"/>
          <w:szCs w:val="32"/>
        </w:rPr>
        <w:t>图4：财政拨款收、决算总计变动情况图</w:t>
      </w:r>
    </w:p>
    <w:p>
      <w:pPr>
        <w:spacing w:line="600" w:lineRule="exact"/>
        <w:ind w:firstLine="640" w:firstLineChars="200"/>
        <w:outlineLvl w:val="1"/>
        <w:rPr>
          <w:rStyle w:val="25"/>
          <w:rFonts w:ascii="仿宋" w:hAnsi="仿宋" w:eastAsia="仿宋"/>
          <w:b w:val="0"/>
        </w:rPr>
      </w:pPr>
      <w:bookmarkStart w:id="32" w:name="_Toc15377209"/>
      <w:bookmarkStart w:id="33" w:name="_Toc15396607"/>
      <w:r>
        <w:rPr>
          <w:rFonts w:hint="eastAsia" w:ascii="仿宋" w:hAnsi="仿宋" w:eastAsia="仿宋"/>
          <w:sz w:val="32"/>
          <w:szCs w:val="32"/>
        </w:rPr>
        <w:t>五、</w:t>
      </w:r>
      <w:r>
        <w:rPr>
          <w:rFonts w:hint="eastAsia" w:ascii="仿宋" w:hAnsi="仿宋" w:eastAsia="仿宋"/>
          <w:b/>
          <w:sz w:val="32"/>
          <w:szCs w:val="32"/>
        </w:rPr>
        <w:t>一</w:t>
      </w:r>
      <w:r>
        <w:rPr>
          <w:rStyle w:val="25"/>
          <w:rFonts w:hint="eastAsia" w:ascii="仿宋" w:hAnsi="仿宋" w:eastAsia="仿宋"/>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418.59</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46.34</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9.97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人员减少</w:t>
      </w:r>
      <w:r>
        <w:rPr>
          <w:rFonts w:hint="eastAsia" w:ascii="仿宋" w:hAnsi="仿宋" w:eastAsia="仿宋"/>
          <w:sz w:val="32"/>
          <w:szCs w:val="32"/>
        </w:rPr>
        <w:t>。</w:t>
      </w:r>
      <w:bookmarkStart w:id="35" w:name="_Toc15377211"/>
    </w:p>
    <w:p>
      <w:pPr>
        <w:pStyle w:val="5"/>
        <w:jc w:val="center"/>
        <w:rPr>
          <w:rFonts w:hint="eastAsia" w:ascii="仿宋" w:hAnsi="仿宋" w:eastAsia="仿宋"/>
          <w:sz w:val="32"/>
          <w:szCs w:val="32"/>
        </w:rPr>
      </w:pPr>
      <w:r>
        <w:drawing>
          <wp:inline distT="0" distB="0" distL="114300" distR="114300">
            <wp:extent cx="3790950" cy="2278380"/>
            <wp:effectExtent l="0" t="0" r="0" b="7620"/>
            <wp:docPr id="13"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true"/>
                    </pic:cNvPicPr>
                  </pic:nvPicPr>
                  <pic:blipFill>
                    <a:blip r:embed="rId10"/>
                    <a:stretch>
                      <a:fillRect/>
                    </a:stretch>
                  </pic:blipFill>
                  <pic:spPr>
                    <a:xfrm>
                      <a:off x="0" y="0"/>
                      <a:ext cx="3790950" cy="2278380"/>
                    </a:xfrm>
                    <a:prstGeom prst="rect">
                      <a:avLst/>
                    </a:prstGeom>
                    <a:noFill/>
                    <a:ln>
                      <a:noFill/>
                    </a:ln>
                  </pic:spPr>
                </pic:pic>
              </a:graphicData>
            </a:graphic>
          </wp:inline>
        </w:drawing>
      </w:r>
    </w:p>
    <w:p>
      <w:pPr>
        <w:pStyle w:val="5"/>
        <w:rPr>
          <w:rFonts w:hint="eastAsia" w:ascii="仿宋" w:hAnsi="仿宋" w:eastAsia="仿宋"/>
          <w:sz w:val="32"/>
          <w:szCs w:val="32"/>
        </w:rPr>
      </w:pPr>
      <w:r>
        <w:rPr>
          <w:rFonts w:hint="eastAsia" w:ascii="仿宋" w:hAnsi="仿宋" w:eastAsia="仿宋"/>
          <w:sz w:val="32"/>
          <w:szCs w:val="32"/>
        </w:rPr>
        <w:t>图5：一般公共预算财政拨款支出决算变动情况图</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418.59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lang w:eastAsia="zh-CN"/>
        </w:rPr>
        <w:t>教育支出</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344.48</w:t>
      </w:r>
      <w:r>
        <w:rPr>
          <w:rFonts w:hint="eastAsia" w:ascii="仿宋" w:hAnsi="仿宋" w:eastAsia="仿宋"/>
          <w:sz w:val="32"/>
          <w:szCs w:val="32"/>
        </w:rPr>
        <w:t>万元，占</w:t>
      </w:r>
      <w:r>
        <w:rPr>
          <w:rFonts w:hint="eastAsia" w:ascii="仿宋" w:hAnsi="仿宋" w:eastAsia="仿宋"/>
          <w:sz w:val="32"/>
          <w:szCs w:val="32"/>
          <w:lang w:val="en-US" w:eastAsia="zh-CN"/>
        </w:rPr>
        <w:t>82.3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28.82</w:t>
      </w:r>
      <w:r>
        <w:rPr>
          <w:rFonts w:hint="eastAsia" w:ascii="仿宋" w:hAnsi="仿宋" w:eastAsia="仿宋"/>
          <w:sz w:val="32"/>
          <w:szCs w:val="32"/>
        </w:rPr>
        <w:t>万元，占</w:t>
      </w:r>
      <w:r>
        <w:rPr>
          <w:rFonts w:hint="eastAsia" w:ascii="仿宋" w:hAnsi="仿宋" w:eastAsia="仿宋"/>
          <w:sz w:val="32"/>
          <w:szCs w:val="32"/>
          <w:lang w:val="en-US" w:eastAsia="zh-CN"/>
        </w:rPr>
        <w:t>6.89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b/>
          <w:bCs/>
          <w:sz w:val="32"/>
          <w:szCs w:val="32"/>
        </w:rPr>
        <w:t>支出</w:t>
      </w:r>
      <w:r>
        <w:rPr>
          <w:rFonts w:hint="eastAsia" w:ascii="仿宋" w:hAnsi="仿宋" w:eastAsia="仿宋"/>
          <w:sz w:val="32"/>
          <w:szCs w:val="32"/>
          <w:lang w:val="en-US" w:eastAsia="zh-CN"/>
        </w:rPr>
        <w:t>18.12</w:t>
      </w:r>
      <w:r>
        <w:rPr>
          <w:rFonts w:hint="eastAsia" w:ascii="仿宋" w:hAnsi="仿宋" w:eastAsia="仿宋"/>
          <w:sz w:val="32"/>
          <w:szCs w:val="32"/>
        </w:rPr>
        <w:t>万元，占</w:t>
      </w:r>
      <w:r>
        <w:rPr>
          <w:rFonts w:hint="eastAsia" w:ascii="仿宋" w:hAnsi="仿宋" w:eastAsia="仿宋"/>
          <w:sz w:val="32"/>
          <w:szCs w:val="32"/>
          <w:lang w:val="en-US" w:eastAsia="zh-CN"/>
        </w:rPr>
        <w:t>4.33</w:t>
      </w:r>
      <w:r>
        <w:rPr>
          <w:rFonts w:ascii="仿宋" w:hAnsi="仿宋" w:eastAsia="仿宋"/>
          <w:sz w:val="32"/>
          <w:szCs w:val="32"/>
        </w:rPr>
        <w:t>%</w:t>
      </w:r>
      <w:r>
        <w:rPr>
          <w:rFonts w:hint="eastAsia" w:ascii="仿宋" w:hAnsi="仿宋" w:eastAsia="仿宋"/>
          <w:sz w:val="32"/>
          <w:szCs w:val="32"/>
        </w:rPr>
        <w:t>；住房保障</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27.17</w:t>
      </w:r>
      <w:r>
        <w:rPr>
          <w:rFonts w:hint="eastAsia" w:ascii="仿宋" w:hAnsi="仿宋" w:eastAsia="仿宋"/>
          <w:sz w:val="32"/>
          <w:szCs w:val="32"/>
        </w:rPr>
        <w:t>万元，占</w:t>
      </w:r>
      <w:r>
        <w:rPr>
          <w:rFonts w:hint="eastAsia" w:ascii="仿宋" w:hAnsi="仿宋" w:eastAsia="仿宋"/>
          <w:sz w:val="32"/>
          <w:szCs w:val="32"/>
          <w:lang w:val="en-US" w:eastAsia="zh-CN"/>
        </w:rPr>
        <w:t>6.49</w:t>
      </w:r>
      <w:r>
        <w:rPr>
          <w:rFonts w:ascii="仿宋" w:hAnsi="仿宋" w:eastAsia="仿宋"/>
          <w:sz w:val="32"/>
          <w:szCs w:val="32"/>
        </w:rPr>
        <w:t>%</w:t>
      </w:r>
      <w:r>
        <w:rPr>
          <w:rFonts w:hint="eastAsia" w:ascii="仿宋" w:hAnsi="仿宋" w:eastAsia="仿宋"/>
          <w:sz w:val="32"/>
          <w:szCs w:val="32"/>
        </w:rPr>
        <w:t>。</w:t>
      </w:r>
    </w:p>
    <w:p>
      <w:pPr>
        <w:pStyle w:val="5"/>
        <w:jc w:val="center"/>
        <w:rPr>
          <w:rFonts w:hint="eastAsia" w:ascii="仿宋" w:hAnsi="仿宋" w:eastAsia="仿宋"/>
          <w:sz w:val="32"/>
          <w:szCs w:val="32"/>
        </w:rPr>
      </w:pPr>
      <w:r>
        <w:drawing>
          <wp:inline distT="0" distB="0" distL="114300" distR="114300">
            <wp:extent cx="3945890" cy="2374900"/>
            <wp:effectExtent l="0" t="0" r="16510" b="6350"/>
            <wp:docPr id="15"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true"/>
                    </pic:cNvPicPr>
                  </pic:nvPicPr>
                  <pic:blipFill>
                    <a:blip r:embed="rId11"/>
                    <a:stretch>
                      <a:fillRect/>
                    </a:stretch>
                  </pic:blipFill>
                  <pic:spPr>
                    <a:xfrm>
                      <a:off x="0" y="0"/>
                      <a:ext cx="3945890" cy="2374900"/>
                    </a:xfrm>
                    <a:prstGeom prst="rect">
                      <a:avLst/>
                    </a:prstGeom>
                    <a:noFill/>
                    <a:ln>
                      <a:noFill/>
                    </a:ln>
                  </pic:spPr>
                </pic:pic>
              </a:graphicData>
            </a:graphic>
          </wp:inline>
        </w:drawing>
      </w:r>
    </w:p>
    <w:p>
      <w:pPr>
        <w:pStyle w:val="5"/>
        <w:ind w:firstLine="1280" w:firstLineChars="400"/>
        <w:rPr>
          <w:rFonts w:hint="eastAsia" w:ascii="仿宋" w:hAnsi="仿宋" w:eastAsia="仿宋"/>
          <w:sz w:val="32"/>
          <w:szCs w:val="32"/>
        </w:rPr>
      </w:pPr>
      <w:r>
        <w:rPr>
          <w:rFonts w:hint="eastAsia" w:ascii="仿宋" w:hAnsi="仿宋" w:eastAsia="仿宋"/>
          <w:sz w:val="32"/>
          <w:szCs w:val="32"/>
        </w:rPr>
        <w:t>图六：一般公共预算财政拨款支出决算结构图</w:t>
      </w: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562" w:firstLineChars="200"/>
        <w:outlineLvl w:val="2"/>
        <w:rPr>
          <w:rStyle w:val="14"/>
          <w:rFonts w:hint="eastAsia" w:ascii="华文宋体" w:hAnsi="华文宋体" w:eastAsia="华文宋体" w:cs="华文宋体"/>
          <w:bCs/>
          <w:sz w:val="28"/>
          <w:szCs w:val="28"/>
        </w:rPr>
      </w:pPr>
      <w:bookmarkStart w:id="37" w:name="_Toc15377444"/>
      <w:bookmarkStart w:id="38" w:name="_Toc15377213"/>
      <w:bookmarkStart w:id="39" w:name="_Toc15378460"/>
      <w:bookmarkStart w:id="40" w:name="_Toc15377214"/>
      <w:bookmarkStart w:id="41" w:name="_Toc15396608"/>
      <w:r>
        <w:rPr>
          <w:rFonts w:hint="eastAsia" w:ascii="华文宋体" w:hAnsi="华文宋体" w:eastAsia="华文宋体" w:cs="华文宋体"/>
          <w:b/>
          <w:sz w:val="28"/>
          <w:szCs w:val="28"/>
        </w:rPr>
        <w:t>202</w:t>
      </w:r>
      <w:r>
        <w:rPr>
          <w:rFonts w:hint="eastAsia" w:ascii="华文宋体" w:hAnsi="华文宋体" w:eastAsia="华文宋体" w:cs="华文宋体"/>
          <w:b/>
          <w:sz w:val="28"/>
          <w:szCs w:val="28"/>
          <w:lang w:val="en-US" w:eastAsia="zh-CN"/>
        </w:rPr>
        <w:t>2</w:t>
      </w:r>
      <w:r>
        <w:rPr>
          <w:rFonts w:hint="eastAsia" w:ascii="华文宋体" w:hAnsi="华文宋体" w:eastAsia="华文宋体" w:cs="华文宋体"/>
          <w:b/>
          <w:sz w:val="28"/>
          <w:szCs w:val="28"/>
        </w:rPr>
        <w:t>年一般公共预算支出决算数为</w:t>
      </w:r>
      <w:r>
        <w:rPr>
          <w:rFonts w:hint="eastAsia" w:ascii="华文宋体" w:hAnsi="华文宋体" w:eastAsia="华文宋体" w:cs="华文宋体"/>
          <w:b/>
          <w:sz w:val="28"/>
          <w:szCs w:val="28"/>
          <w:lang w:val="en-US" w:eastAsia="zh-CN"/>
        </w:rPr>
        <w:t>418.59万元</w:t>
      </w:r>
      <w:r>
        <w:rPr>
          <w:rFonts w:hint="eastAsia" w:ascii="华文宋体" w:hAnsi="华文宋体" w:eastAsia="华文宋体" w:cs="华文宋体"/>
          <w:sz w:val="28"/>
          <w:szCs w:val="28"/>
        </w:rPr>
        <w:t>，</w:t>
      </w:r>
      <w:r>
        <w:rPr>
          <w:rStyle w:val="14"/>
          <w:rFonts w:hint="eastAsia" w:ascii="华文宋体" w:hAnsi="华文宋体" w:eastAsia="华文宋体" w:cs="华文宋体"/>
          <w:bCs/>
          <w:sz w:val="28"/>
          <w:szCs w:val="28"/>
        </w:rPr>
        <w:t>完成预算</w:t>
      </w:r>
      <w:r>
        <w:rPr>
          <w:rStyle w:val="14"/>
          <w:rFonts w:hint="eastAsia" w:ascii="华文宋体" w:hAnsi="华文宋体" w:eastAsia="华文宋体" w:cs="华文宋体"/>
          <w:bCs/>
          <w:sz w:val="28"/>
          <w:szCs w:val="28"/>
          <w:lang w:val="en-US" w:eastAsia="zh-CN"/>
        </w:rPr>
        <w:t>100%</w:t>
      </w:r>
      <w:r>
        <w:rPr>
          <w:rStyle w:val="14"/>
          <w:rFonts w:hint="eastAsia" w:ascii="华文宋体" w:hAnsi="华文宋体" w:eastAsia="华文宋体" w:cs="华文宋体"/>
          <w:bCs/>
          <w:sz w:val="28"/>
          <w:szCs w:val="28"/>
        </w:rPr>
        <w:t>。其中：</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color w:val="000000"/>
          <w:sz w:val="28"/>
          <w:szCs w:val="28"/>
        </w:rPr>
      </w:pPr>
      <w:r>
        <w:rPr>
          <w:rStyle w:val="14"/>
          <w:rFonts w:hint="eastAsia" w:ascii="华文宋体" w:hAnsi="华文宋体" w:eastAsia="华文宋体" w:cs="华文宋体"/>
          <w:bCs/>
          <w:color w:val="000000"/>
          <w:sz w:val="28"/>
          <w:szCs w:val="28"/>
        </w:rPr>
        <w:t>1.</w:t>
      </w:r>
      <w:r>
        <w:rPr>
          <w:rStyle w:val="14"/>
          <w:rFonts w:hint="eastAsia" w:ascii="华文宋体" w:hAnsi="华文宋体" w:eastAsia="华文宋体" w:cs="华文宋体"/>
          <w:b w:val="0"/>
          <w:bCs/>
          <w:color w:val="000000"/>
          <w:sz w:val="28"/>
          <w:szCs w:val="28"/>
        </w:rPr>
        <w:t xml:space="preserve"> </w:t>
      </w:r>
      <w:r>
        <w:rPr>
          <w:rStyle w:val="14"/>
          <w:rFonts w:hint="eastAsia" w:ascii="华文宋体" w:hAnsi="华文宋体" w:eastAsia="华文宋体" w:cs="华文宋体"/>
          <w:bCs/>
          <w:color w:val="000000"/>
          <w:sz w:val="28"/>
          <w:szCs w:val="28"/>
        </w:rPr>
        <w:t>教育（类）</w:t>
      </w:r>
      <w:r>
        <w:rPr>
          <w:rStyle w:val="14"/>
          <w:rFonts w:hint="eastAsia" w:ascii="华文宋体" w:hAnsi="华文宋体" w:eastAsia="华文宋体" w:cs="华文宋体"/>
          <w:bCs/>
          <w:color w:val="000000"/>
          <w:sz w:val="28"/>
          <w:szCs w:val="28"/>
          <w:lang w:eastAsia="zh-CN"/>
        </w:rPr>
        <w:t>普通教育</w:t>
      </w:r>
      <w:r>
        <w:rPr>
          <w:rStyle w:val="14"/>
          <w:rFonts w:hint="eastAsia" w:ascii="华文宋体" w:hAnsi="华文宋体" w:eastAsia="华文宋体" w:cs="华文宋体"/>
          <w:bCs/>
          <w:color w:val="000000"/>
          <w:sz w:val="28"/>
          <w:szCs w:val="28"/>
        </w:rPr>
        <w:t>（款）</w:t>
      </w:r>
      <w:r>
        <w:rPr>
          <w:rStyle w:val="14"/>
          <w:rFonts w:hint="eastAsia" w:ascii="华文宋体" w:hAnsi="华文宋体" w:eastAsia="华文宋体" w:cs="华文宋体"/>
          <w:bCs/>
          <w:color w:val="000000"/>
          <w:sz w:val="28"/>
          <w:szCs w:val="28"/>
          <w:lang w:eastAsia="zh-CN"/>
        </w:rPr>
        <w:t>学前教育</w:t>
      </w:r>
      <w:r>
        <w:rPr>
          <w:rStyle w:val="14"/>
          <w:rFonts w:hint="eastAsia" w:ascii="华文宋体" w:hAnsi="华文宋体" w:eastAsia="华文宋体" w:cs="华文宋体"/>
          <w:bCs/>
          <w:color w:val="000000"/>
          <w:sz w:val="28"/>
          <w:szCs w:val="28"/>
        </w:rPr>
        <w:t>（项）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Style w:val="14"/>
          <w:rFonts w:hint="eastAsia" w:ascii="华文宋体" w:hAnsi="华文宋体" w:eastAsia="华文宋体" w:cs="华文宋体"/>
          <w:b w:val="0"/>
          <w:bCs/>
          <w:color w:val="000000"/>
          <w:sz w:val="28"/>
          <w:szCs w:val="28"/>
          <w:lang w:val="en-US" w:eastAsia="zh-CN"/>
        </w:rPr>
        <w:t>7.99</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562" w:firstLineChars="200"/>
        <w:textAlignment w:val="auto"/>
        <w:rPr>
          <w:rStyle w:val="14"/>
          <w:rFonts w:hint="eastAsia" w:ascii="华文宋体" w:hAnsi="华文宋体" w:eastAsia="华文宋体" w:cs="华文宋体"/>
          <w:b w:val="0"/>
          <w:bCs/>
          <w:color w:val="000000"/>
          <w:sz w:val="28"/>
          <w:szCs w:val="28"/>
          <w:lang w:val="en-US" w:eastAsia="zh-CN"/>
        </w:rPr>
      </w:pPr>
      <w:r>
        <w:rPr>
          <w:rStyle w:val="14"/>
          <w:rFonts w:hint="eastAsia" w:ascii="华文宋体" w:hAnsi="华文宋体" w:eastAsia="华文宋体" w:cs="华文宋体"/>
          <w:bCs/>
          <w:color w:val="000000"/>
          <w:sz w:val="28"/>
          <w:szCs w:val="28"/>
          <w:lang w:val="en-US" w:eastAsia="zh-CN"/>
        </w:rPr>
        <w:t>2</w:t>
      </w:r>
      <w:r>
        <w:rPr>
          <w:rStyle w:val="14"/>
          <w:rFonts w:hint="eastAsia" w:ascii="华文宋体" w:hAnsi="华文宋体" w:eastAsia="华文宋体" w:cs="华文宋体"/>
          <w:bCs/>
          <w:color w:val="000000"/>
          <w:sz w:val="28"/>
          <w:szCs w:val="28"/>
        </w:rPr>
        <w:t>.教育（类）</w:t>
      </w:r>
      <w:r>
        <w:rPr>
          <w:rStyle w:val="14"/>
          <w:rFonts w:hint="eastAsia" w:ascii="华文宋体" w:hAnsi="华文宋体" w:eastAsia="华文宋体" w:cs="华文宋体"/>
          <w:bCs/>
          <w:color w:val="000000"/>
          <w:sz w:val="28"/>
          <w:szCs w:val="28"/>
          <w:lang w:eastAsia="zh-CN"/>
        </w:rPr>
        <w:t>普通教育</w:t>
      </w:r>
      <w:r>
        <w:rPr>
          <w:rStyle w:val="14"/>
          <w:rFonts w:hint="eastAsia" w:ascii="华文宋体" w:hAnsi="华文宋体" w:eastAsia="华文宋体" w:cs="华文宋体"/>
          <w:bCs/>
          <w:color w:val="000000"/>
          <w:sz w:val="28"/>
          <w:szCs w:val="28"/>
        </w:rPr>
        <w:t>（款）</w:t>
      </w:r>
      <w:r>
        <w:rPr>
          <w:rStyle w:val="14"/>
          <w:rFonts w:hint="eastAsia" w:ascii="华文宋体" w:hAnsi="华文宋体" w:eastAsia="华文宋体" w:cs="华文宋体"/>
          <w:bCs/>
          <w:color w:val="000000"/>
          <w:sz w:val="28"/>
          <w:szCs w:val="28"/>
          <w:lang w:eastAsia="zh-CN"/>
        </w:rPr>
        <w:t>小学教育</w:t>
      </w:r>
      <w:r>
        <w:rPr>
          <w:rStyle w:val="14"/>
          <w:rFonts w:hint="eastAsia" w:ascii="华文宋体" w:hAnsi="华文宋体" w:eastAsia="华文宋体" w:cs="华文宋体"/>
          <w:bCs/>
          <w:color w:val="000000"/>
          <w:sz w:val="28"/>
          <w:szCs w:val="28"/>
        </w:rPr>
        <w:t>（项）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Style w:val="14"/>
          <w:rFonts w:hint="eastAsia" w:ascii="华文宋体" w:hAnsi="华文宋体" w:eastAsia="华文宋体" w:cs="华文宋体"/>
          <w:b w:val="0"/>
          <w:bCs/>
          <w:color w:val="000000"/>
          <w:sz w:val="28"/>
          <w:szCs w:val="28"/>
          <w:lang w:val="en-US" w:eastAsia="zh-CN"/>
        </w:rPr>
        <w:t>336.49</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w:t>
      </w:r>
      <w:r>
        <w:rPr>
          <w:rStyle w:val="14"/>
          <w:rFonts w:hint="eastAsia" w:ascii="华文宋体" w:hAnsi="华文宋体" w:eastAsia="华文宋体" w:cs="华文宋体"/>
          <w:b w:val="0"/>
          <w:bCs/>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color w:val="000000"/>
          <w:sz w:val="28"/>
          <w:szCs w:val="28"/>
        </w:rPr>
      </w:pPr>
      <w:r>
        <w:rPr>
          <w:rStyle w:val="14"/>
          <w:rFonts w:hint="eastAsia" w:ascii="华文宋体" w:hAnsi="华文宋体" w:eastAsia="华文宋体" w:cs="华文宋体"/>
          <w:bCs/>
          <w:color w:val="000000"/>
          <w:sz w:val="28"/>
          <w:szCs w:val="28"/>
          <w:lang w:val="en-US" w:eastAsia="zh-CN"/>
        </w:rPr>
        <w:t>3</w:t>
      </w:r>
      <w:r>
        <w:rPr>
          <w:rStyle w:val="14"/>
          <w:rFonts w:hint="eastAsia" w:ascii="华文宋体" w:hAnsi="华文宋体" w:eastAsia="华文宋体" w:cs="华文宋体"/>
          <w:bCs/>
          <w:color w:val="000000"/>
          <w:sz w:val="28"/>
          <w:szCs w:val="28"/>
        </w:rPr>
        <w:t>.社会保障和就业（类）行政事业单位养老（款）机关事业单位基本养老保险缴费（项）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 xml:space="preserve"> 支出决算为</w:t>
      </w:r>
      <w:r>
        <w:rPr>
          <w:rFonts w:hint="eastAsia" w:ascii="华文宋体" w:hAnsi="华文宋体" w:eastAsia="华文宋体" w:cs="华文宋体"/>
          <w:sz w:val="28"/>
          <w:szCs w:val="28"/>
          <w:lang w:val="en-US" w:eastAsia="zh-CN"/>
        </w:rPr>
        <w:t>28.82</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Style w:val="14"/>
          <w:rFonts w:hint="eastAsia" w:ascii="华文宋体" w:hAnsi="华文宋体" w:eastAsia="华文宋体" w:cs="华文宋体"/>
          <w:b w:val="0"/>
          <w:bCs/>
          <w:color w:val="000000"/>
          <w:sz w:val="28"/>
          <w:szCs w:val="28"/>
        </w:rPr>
      </w:pPr>
      <w:r>
        <w:rPr>
          <w:rStyle w:val="14"/>
          <w:rFonts w:hint="eastAsia" w:ascii="华文宋体" w:hAnsi="华文宋体" w:eastAsia="华文宋体" w:cs="华文宋体"/>
          <w:bCs/>
          <w:color w:val="000000"/>
          <w:sz w:val="28"/>
          <w:szCs w:val="28"/>
          <w:lang w:val="en-US" w:eastAsia="zh-CN"/>
        </w:rPr>
        <w:t>4</w:t>
      </w:r>
      <w:r>
        <w:rPr>
          <w:rStyle w:val="14"/>
          <w:rFonts w:hint="eastAsia" w:ascii="华文宋体" w:hAnsi="华文宋体" w:eastAsia="华文宋体" w:cs="华文宋体"/>
          <w:bCs/>
          <w:color w:val="000000"/>
          <w:sz w:val="28"/>
          <w:szCs w:val="28"/>
        </w:rPr>
        <w:t>.</w:t>
      </w:r>
      <w:r>
        <w:rPr>
          <w:rFonts w:hint="eastAsia" w:ascii="华文宋体" w:hAnsi="华文宋体" w:eastAsia="华文宋体" w:cs="华文宋体"/>
          <w:b/>
          <w:bCs/>
          <w:color w:val="000000"/>
          <w:sz w:val="28"/>
          <w:szCs w:val="28"/>
        </w:rPr>
        <w:t>卫生健康</w:t>
      </w:r>
      <w:r>
        <w:rPr>
          <w:rStyle w:val="14"/>
          <w:rFonts w:hint="eastAsia" w:ascii="华文宋体" w:hAnsi="华文宋体" w:eastAsia="华文宋体" w:cs="华文宋体"/>
          <w:bCs/>
          <w:color w:val="000000"/>
          <w:sz w:val="28"/>
          <w:szCs w:val="28"/>
        </w:rPr>
        <w:t>（类）行政事业单位医疗（款）事业单位医疗（项）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支出决算为</w:t>
      </w:r>
      <w:r>
        <w:rPr>
          <w:rFonts w:hint="eastAsia" w:ascii="华文宋体" w:hAnsi="华文宋体" w:eastAsia="华文宋体" w:cs="华文宋体"/>
          <w:sz w:val="28"/>
          <w:szCs w:val="28"/>
          <w:lang w:val="en-US" w:eastAsia="zh-CN"/>
        </w:rPr>
        <w:t>18.12</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textAlignment w:val="auto"/>
        <w:rPr>
          <w:rFonts w:hint="eastAsia" w:ascii="华文宋体" w:hAnsi="华文宋体" w:eastAsia="华文宋体" w:cs="华文宋体"/>
          <w:b/>
          <w:sz w:val="28"/>
          <w:szCs w:val="28"/>
        </w:rPr>
      </w:pPr>
      <w:r>
        <w:rPr>
          <w:rStyle w:val="14"/>
          <w:rFonts w:hint="eastAsia" w:ascii="华文宋体" w:hAnsi="华文宋体" w:eastAsia="华文宋体" w:cs="华文宋体"/>
          <w:bCs/>
          <w:color w:val="000000"/>
          <w:sz w:val="28"/>
          <w:szCs w:val="28"/>
          <w:lang w:val="en-US" w:eastAsia="zh-CN"/>
        </w:rPr>
        <w:t>5</w:t>
      </w:r>
      <w:r>
        <w:rPr>
          <w:rStyle w:val="14"/>
          <w:rFonts w:hint="eastAsia" w:ascii="华文宋体" w:hAnsi="华文宋体" w:eastAsia="华文宋体" w:cs="华文宋体"/>
          <w:bCs/>
          <w:color w:val="000000"/>
          <w:sz w:val="28"/>
          <w:szCs w:val="28"/>
        </w:rPr>
        <w:t>.</w:t>
      </w:r>
      <w:r>
        <w:rPr>
          <w:rFonts w:hint="eastAsia" w:ascii="华文宋体" w:hAnsi="华文宋体" w:eastAsia="华文宋体" w:cs="华文宋体"/>
          <w:b/>
          <w:bCs/>
          <w:color w:val="000000"/>
          <w:sz w:val="28"/>
          <w:szCs w:val="28"/>
        </w:rPr>
        <w:t>住房保障支出</w:t>
      </w:r>
      <w:r>
        <w:rPr>
          <w:rStyle w:val="14"/>
          <w:rFonts w:hint="eastAsia" w:ascii="华文宋体" w:hAnsi="华文宋体" w:eastAsia="华文宋体" w:cs="华文宋体"/>
          <w:bCs/>
          <w:color w:val="000000"/>
          <w:sz w:val="28"/>
          <w:szCs w:val="28"/>
        </w:rPr>
        <w:t>（类）住房改革支出（款）住房公积金（项）</w:t>
      </w:r>
      <w:r>
        <w:rPr>
          <w:rStyle w:val="14"/>
          <w:rFonts w:hint="eastAsia" w:ascii="华文宋体" w:hAnsi="华文宋体" w:eastAsia="华文宋体" w:cs="华文宋体"/>
          <w:bCs/>
          <w:color w:val="000000"/>
          <w:sz w:val="28"/>
          <w:szCs w:val="28"/>
          <w:lang w:eastAsia="zh-CN"/>
        </w:rPr>
        <w:t>：</w:t>
      </w:r>
      <w:r>
        <w:rPr>
          <w:rStyle w:val="14"/>
          <w:rFonts w:hint="eastAsia" w:ascii="华文宋体" w:hAnsi="华文宋体" w:eastAsia="华文宋体" w:cs="华文宋体"/>
          <w:b w:val="0"/>
          <w:bCs/>
          <w:color w:val="000000"/>
          <w:sz w:val="28"/>
          <w:szCs w:val="28"/>
        </w:rPr>
        <w:t>支出决算为</w:t>
      </w:r>
      <w:r>
        <w:rPr>
          <w:rStyle w:val="14"/>
          <w:rFonts w:hint="eastAsia" w:ascii="华文宋体" w:hAnsi="华文宋体" w:eastAsia="华文宋体" w:cs="华文宋体"/>
          <w:b w:val="0"/>
          <w:bCs/>
          <w:color w:val="000000"/>
          <w:sz w:val="28"/>
          <w:szCs w:val="28"/>
          <w:lang w:val="en-US" w:eastAsia="zh-CN"/>
        </w:rPr>
        <w:t>27.17</w:t>
      </w:r>
      <w:r>
        <w:rPr>
          <w:rStyle w:val="14"/>
          <w:rFonts w:hint="eastAsia" w:ascii="华文宋体" w:hAnsi="华文宋体" w:eastAsia="华文宋体" w:cs="华文宋体"/>
          <w:b w:val="0"/>
          <w:bCs/>
          <w:color w:val="000000"/>
          <w:sz w:val="28"/>
          <w:szCs w:val="28"/>
        </w:rPr>
        <w:t>万元，完成预算</w:t>
      </w:r>
      <w:r>
        <w:rPr>
          <w:rStyle w:val="14"/>
          <w:rFonts w:hint="eastAsia" w:ascii="华文宋体" w:hAnsi="华文宋体" w:eastAsia="华文宋体" w:cs="华文宋体"/>
          <w:b w:val="0"/>
          <w:bCs/>
          <w:color w:val="000000"/>
          <w:sz w:val="28"/>
          <w:szCs w:val="28"/>
          <w:lang w:val="en-US" w:eastAsia="zh-CN"/>
        </w:rPr>
        <w:t>100</w:t>
      </w:r>
      <w:r>
        <w:rPr>
          <w:rStyle w:val="14"/>
          <w:rFonts w:hint="eastAsia" w:ascii="华文宋体" w:hAnsi="华文宋体" w:eastAsia="华文宋体" w:cs="华文宋体"/>
          <w:b w:val="0"/>
          <w:bCs/>
          <w:color w:val="000000"/>
          <w:sz w:val="28"/>
          <w:szCs w:val="28"/>
        </w:rPr>
        <w:t>%，决算数等于预算数。</w:t>
      </w:r>
    </w:p>
    <w:p>
      <w:pPr>
        <w:tabs>
          <w:tab w:val="right" w:pos="8306"/>
        </w:tabs>
        <w:spacing w:line="600" w:lineRule="exact"/>
        <w:ind w:firstLine="640"/>
        <w:outlineLvl w:val="1"/>
        <w:rPr>
          <w:rStyle w:val="25"/>
          <w:rFonts w:ascii="仿宋" w:hAnsi="仿宋" w:eastAsia="仿宋"/>
        </w:rPr>
      </w:pPr>
      <w:r>
        <w:rPr>
          <w:rFonts w:hint="eastAsia" w:ascii="仿宋" w:hAnsi="仿宋" w:eastAsia="仿宋"/>
          <w:sz w:val="32"/>
          <w:szCs w:val="32"/>
        </w:rPr>
        <w:t>六</w:t>
      </w:r>
      <w:r>
        <w:rPr>
          <w:rFonts w:hint="eastAsia" w:ascii="仿宋" w:hAnsi="仿宋" w:eastAsia="仿宋"/>
          <w:b/>
          <w:sz w:val="32"/>
          <w:szCs w:val="32"/>
        </w:rPr>
        <w:t>、一</w:t>
      </w:r>
      <w:r>
        <w:rPr>
          <w:rStyle w:val="25"/>
          <w:rFonts w:hint="eastAsia" w:ascii="仿宋" w:hAnsi="仿宋" w:eastAsia="仿宋"/>
          <w:b w:val="0"/>
        </w:rPr>
        <w:t>般公共预算财政拨款基本支出决算情况说明</w:t>
      </w:r>
      <w:bookmarkEnd w:id="40"/>
      <w:bookmarkEnd w:id="41"/>
      <w:r>
        <w:rPr>
          <w:rStyle w:val="25"/>
          <w:rFonts w:ascii="仿宋" w:hAnsi="仿宋" w:eastAsia="仿宋"/>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418.59</w:t>
      </w:r>
      <w:r>
        <w:rPr>
          <w:rFonts w:hint="eastAsia" w:ascii="仿宋" w:hAnsi="仿宋" w:eastAsia="仿宋"/>
          <w:sz w:val="32"/>
          <w:szCs w:val="32"/>
        </w:rPr>
        <w:t>万元，其中：</w:t>
      </w:r>
    </w:p>
    <w:p>
      <w:pPr>
        <w:spacing w:line="600" w:lineRule="exact"/>
        <w:ind w:firstLine="64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lang w:val="en-US" w:eastAsia="zh-CN"/>
          <w14:textFill>
            <w14:solidFill>
              <w14:schemeClr w14:val="tx1"/>
            </w14:solidFill>
          </w14:textFill>
        </w:rPr>
        <w:t>379.24</w:t>
      </w:r>
      <w:r>
        <w:rPr>
          <w:rFonts w:hint="eastAsia" w:ascii="仿宋" w:hAnsi="仿宋" w:eastAsia="仿宋"/>
          <w:color w:val="000000" w:themeColor="text1"/>
          <w:sz w:val="32"/>
          <w:szCs w:val="32"/>
          <w14:textFill>
            <w14:solidFill>
              <w14:schemeClr w14:val="tx1"/>
            </w14:solidFill>
          </w14:textFill>
        </w:rPr>
        <w:t>万元，主要包括：基本工资、津贴补贴、奖金、机关事业单位基本养老保险缴费、职工基本医疗保险缴费、其他社会保障缴费、住房公积金、其他工资福利支出、生活补助等。</w:t>
      </w:r>
    </w:p>
    <w:p>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公用经费</w:t>
      </w:r>
      <w:r>
        <w:rPr>
          <w:rFonts w:hint="eastAsia" w:ascii="仿宋" w:hAnsi="仿宋" w:eastAsia="仿宋"/>
          <w:color w:val="000000" w:themeColor="text1"/>
          <w:sz w:val="32"/>
          <w:szCs w:val="32"/>
          <w:lang w:val="en-US" w:eastAsia="zh-CN"/>
          <w14:textFill>
            <w14:solidFill>
              <w14:schemeClr w14:val="tx1"/>
            </w14:solidFill>
          </w14:textFill>
        </w:rPr>
        <w:t>17.53</w:t>
      </w:r>
      <w:r>
        <w:rPr>
          <w:rFonts w:hint="eastAsia" w:ascii="仿宋" w:hAnsi="仿宋" w:eastAsia="仿宋"/>
          <w:color w:val="000000" w:themeColor="text1"/>
          <w:sz w:val="32"/>
          <w:szCs w:val="32"/>
          <w14:textFill>
            <w14:solidFill>
              <w14:schemeClr w14:val="tx1"/>
            </w14:solidFill>
          </w14:textFill>
        </w:rPr>
        <w:t>万元，主要包括：办公费、印刷费、水费、电费、邮电费、差旅费、会议费、培训费、公务接待费、被装购置费、劳务费、工会经费、福利费、公务用车运行维护费、其他交通费等。</w:t>
      </w:r>
    </w:p>
    <w:p>
      <w:pPr>
        <w:spacing w:line="600" w:lineRule="exact"/>
        <w:ind w:firstLine="640"/>
        <w:outlineLvl w:val="1"/>
        <w:rPr>
          <w:rStyle w:val="25"/>
          <w:rFonts w:ascii="仿宋" w:hAnsi="仿宋" w:eastAsia="仿宋"/>
          <w:b w:val="0"/>
        </w:rPr>
      </w:pPr>
      <w:bookmarkStart w:id="42" w:name="_Toc15377215"/>
      <w:bookmarkStart w:id="43" w:name="_Toc15396609"/>
      <w:r>
        <w:rPr>
          <w:rFonts w:hint="eastAsia" w:ascii="仿宋" w:hAnsi="仿宋" w:eastAsia="仿宋"/>
          <w:sz w:val="32"/>
          <w:szCs w:val="32"/>
        </w:rPr>
        <w:t>七、</w:t>
      </w:r>
      <w:r>
        <w:rPr>
          <w:rStyle w:val="25"/>
          <w:rFonts w:hint="eastAsia" w:ascii="仿宋" w:hAnsi="仿宋" w:eastAsia="仿宋"/>
        </w:rPr>
        <w:t>“</w:t>
      </w:r>
      <w:r>
        <w:rPr>
          <w:rStyle w:val="25"/>
          <w:rFonts w:hint="eastAsia" w:ascii="仿宋" w:hAnsi="仿宋" w:eastAsia="仿宋"/>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sz w:val="32"/>
          <w:szCs w:val="32"/>
          <w:lang w:eastAsia="zh-CN"/>
        </w:rPr>
        <w:t>2022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等于</w:t>
      </w:r>
      <w:r>
        <w:rPr>
          <w:rFonts w:hint="eastAsia" w:ascii="仿宋" w:hAnsi="仿宋" w:eastAsia="仿宋"/>
          <w:sz w:val="32"/>
          <w:szCs w:val="32"/>
        </w:rPr>
        <w:t>预算数的主要原因是</w:t>
      </w:r>
      <w:r>
        <w:rPr>
          <w:rFonts w:hint="eastAsia" w:ascii="仿宋" w:hAnsi="仿宋" w:eastAsia="仿宋"/>
          <w:color w:val="000000"/>
          <w:sz w:val="32"/>
          <w:szCs w:val="32"/>
        </w:rPr>
        <w:t>严格执行中央八项规定，厉行节约，从严控制</w:t>
      </w:r>
      <w:r>
        <w:rPr>
          <w:rFonts w:hint="eastAsia" w:ascii="仿宋" w:hAnsi="仿宋" w:eastAsia="仿宋"/>
          <w:sz w:val="32"/>
          <w:szCs w:val="32"/>
        </w:rPr>
        <w:t>“三公”经费开支。</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jc w:val="center"/>
        <w:rPr>
          <w:rFonts w:hint="eastAsia" w:ascii="仿宋" w:hAnsi="仿宋" w:eastAsia="仿宋"/>
          <w:sz w:val="32"/>
          <w:szCs w:val="32"/>
        </w:rPr>
      </w:pPr>
      <w:r>
        <w:drawing>
          <wp:inline distT="0" distB="0" distL="114300" distR="114300">
            <wp:extent cx="3811270" cy="2123440"/>
            <wp:effectExtent l="0" t="0" r="17780" b="1016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2"/>
                    <a:stretch>
                      <a:fillRect/>
                    </a:stretch>
                  </pic:blipFill>
                  <pic:spPr>
                    <a:xfrm>
                      <a:off x="0" y="0"/>
                      <a:ext cx="3811270" cy="2123440"/>
                    </a:xfrm>
                    <a:prstGeom prst="rect">
                      <a:avLst/>
                    </a:prstGeom>
                    <a:noFill/>
                    <a:ln>
                      <a:noFill/>
                    </a:ln>
                  </pic:spPr>
                </pic:pic>
              </a:graphicData>
            </a:graphic>
          </wp:inline>
        </w:drawing>
      </w:r>
    </w:p>
    <w:p>
      <w:pPr>
        <w:pStyle w:val="5"/>
        <w:jc w:val="center"/>
        <w:rPr>
          <w:rFonts w:hint="eastAsia" w:ascii="仿宋" w:hAnsi="仿宋" w:eastAsia="仿宋"/>
          <w:sz w:val="32"/>
          <w:szCs w:val="32"/>
        </w:rPr>
      </w:pPr>
      <w:r>
        <w:rPr>
          <w:rFonts w:hint="eastAsia" w:ascii="仿宋" w:hAnsi="仿宋" w:eastAsia="仿宋"/>
          <w:sz w:val="32"/>
          <w:szCs w:val="32"/>
        </w:rPr>
        <w:t>图7：“三公”经费财政拨款支出结构图</w:t>
      </w:r>
    </w:p>
    <w:p>
      <w:pPr>
        <w:spacing w:line="600" w:lineRule="exact"/>
        <w:ind w:firstLine="64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w:t>
      </w:r>
      <w:r>
        <w:rPr>
          <w:rFonts w:hint="eastAsia" w:ascii="仿宋" w:hAnsi="仿宋" w:eastAsia="仿宋"/>
          <w:sz w:val="32"/>
          <w:szCs w:val="32"/>
          <w:lang w:eastAsia="zh-CN"/>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年持平，主要原因是无因公出国（境）安排。</w:t>
      </w:r>
    </w:p>
    <w:p>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w:t>
      </w:r>
      <w:r>
        <w:rPr>
          <w:rFonts w:hint="eastAsia" w:ascii="仿宋" w:hAnsi="仿宋" w:eastAsia="仿宋"/>
          <w:sz w:val="32"/>
          <w:szCs w:val="32"/>
          <w:lang w:eastAsia="zh-CN"/>
        </w:rPr>
        <w:t>新</w:t>
      </w:r>
      <w:r>
        <w:rPr>
          <w:rFonts w:hint="eastAsia" w:ascii="仿宋" w:hAnsi="仿宋" w:eastAsia="仿宋"/>
          <w:sz w:val="32"/>
          <w:szCs w:val="32"/>
        </w:rPr>
        <w:t>购置公务用车0辆，其中：轿车0辆、金额0万元，越野车0辆、金额0万元，载客汽车0辆、金额0万元。截至</w:t>
      </w:r>
      <w:r>
        <w:rPr>
          <w:rFonts w:hint="eastAsia" w:ascii="仿宋" w:hAnsi="仿宋" w:eastAsia="仿宋"/>
          <w:sz w:val="32"/>
          <w:szCs w:val="32"/>
          <w:lang w:eastAsia="zh-CN"/>
        </w:rPr>
        <w:t>2022</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月底，单位共有公务用车</w:t>
      </w:r>
      <w:r>
        <w:rPr>
          <w:rFonts w:hint="eastAsia" w:ascii="仿宋" w:hAnsi="仿宋" w:eastAsia="仿宋"/>
          <w:sz w:val="32"/>
          <w:szCs w:val="32"/>
          <w:lang w:val="en-US" w:eastAsia="zh-CN"/>
        </w:rPr>
        <w:t>0</w:t>
      </w:r>
      <w:r>
        <w:rPr>
          <w:rFonts w:hint="eastAsia" w:ascii="仿宋" w:hAnsi="仿宋" w:eastAsia="仿宋"/>
          <w:sz w:val="32"/>
          <w:szCs w:val="32"/>
        </w:rPr>
        <w:t>辆，其中：轿车</w:t>
      </w:r>
      <w:r>
        <w:rPr>
          <w:rFonts w:hint="eastAsia" w:ascii="仿宋" w:hAnsi="仿宋" w:eastAsia="仿宋"/>
          <w:sz w:val="32"/>
          <w:szCs w:val="32"/>
          <w:lang w:val="en-US" w:eastAsia="zh-CN"/>
        </w:rPr>
        <w:t>0</w:t>
      </w:r>
      <w:r>
        <w:rPr>
          <w:rFonts w:hint="eastAsia" w:ascii="仿宋" w:hAnsi="仿宋" w:eastAsia="仿宋"/>
          <w:sz w:val="32"/>
          <w:szCs w:val="32"/>
        </w:rPr>
        <w:t>辆、越野车0辆、载客汽车0辆。</w:t>
      </w:r>
    </w:p>
    <w:p>
      <w:pPr>
        <w:spacing w:line="600" w:lineRule="exact"/>
        <w:ind w:firstLine="640"/>
        <w:rPr>
          <w:rFonts w:hint="eastAsia"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600" w:lineRule="exact"/>
        <w:ind w:firstLine="64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公务接待费支出</w:t>
      </w:r>
      <w:r>
        <w:rPr>
          <w:rFonts w:hint="eastAsia" w:ascii="仿宋" w:hAnsi="仿宋" w:eastAsia="仿宋"/>
          <w:sz w:val="32"/>
          <w:szCs w:val="32"/>
          <w:lang w:val="en-US" w:eastAsia="zh-CN"/>
        </w:rPr>
        <w:t>0.38</w:t>
      </w:r>
      <w:r>
        <w:rPr>
          <w:rFonts w:hint="eastAsia" w:ascii="仿宋" w:hAnsi="仿宋" w:eastAsia="仿宋"/>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0.38</w:t>
      </w:r>
      <w:r>
        <w:rPr>
          <w:rFonts w:hint="eastAsia" w:ascii="仿宋" w:hAnsi="仿宋" w:eastAsia="仿宋"/>
          <w:sz w:val="32"/>
          <w:szCs w:val="32"/>
        </w:rPr>
        <w:t>万元。主要原因是</w:t>
      </w:r>
      <w:r>
        <w:rPr>
          <w:rFonts w:hint="eastAsia" w:ascii="仿宋" w:hAnsi="仿宋" w:eastAsia="仿宋"/>
          <w:color w:val="000000"/>
          <w:sz w:val="32"/>
          <w:szCs w:val="32"/>
        </w:rPr>
        <w:t>接待</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w:t>
      </w:r>
      <w:r>
        <w:rPr>
          <w:rFonts w:hint="eastAsia" w:ascii="仿宋" w:hAnsi="仿宋" w:eastAsia="仿宋"/>
          <w:sz w:val="32"/>
          <w:szCs w:val="32"/>
        </w:rPr>
        <w:t>其中：</w:t>
      </w:r>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 w:hAnsi="仿宋" w:eastAsia="仿宋"/>
          <w:sz w:val="32"/>
          <w:szCs w:val="32"/>
        </w:rPr>
        <w:t>万元，主要用于开展业务活动开支的交通费、住宿费、用餐费等。国内公务接待</w:t>
      </w:r>
      <w:r>
        <w:rPr>
          <w:rFonts w:hint="eastAsia" w:ascii="仿宋" w:hAnsi="仿宋" w:eastAsia="仿宋"/>
          <w:sz w:val="32"/>
          <w:szCs w:val="32"/>
          <w:lang w:val="en-US" w:eastAsia="zh-CN"/>
        </w:rPr>
        <w:t>7</w:t>
      </w:r>
      <w:r>
        <w:rPr>
          <w:rFonts w:hint="eastAsia" w:ascii="仿宋" w:hAnsi="仿宋" w:eastAsia="仿宋"/>
          <w:sz w:val="32"/>
          <w:szCs w:val="32"/>
        </w:rPr>
        <w:t>批次，</w:t>
      </w:r>
      <w:r>
        <w:rPr>
          <w:rFonts w:hint="eastAsia" w:ascii="仿宋" w:hAnsi="仿宋" w:eastAsia="仿宋"/>
          <w:sz w:val="32"/>
          <w:szCs w:val="32"/>
          <w:lang w:val="en-US" w:eastAsia="zh-CN"/>
        </w:rPr>
        <w:t>58</w:t>
      </w:r>
      <w:r>
        <w:rPr>
          <w:rFonts w:hint="eastAsia" w:ascii="仿宋" w:hAnsi="仿宋" w:eastAsia="仿宋"/>
          <w:sz w:val="32"/>
          <w:szCs w:val="32"/>
        </w:rPr>
        <w:t>人次（不包括陪同人员），共计支出</w:t>
      </w:r>
      <w:r>
        <w:rPr>
          <w:rFonts w:hint="eastAsia" w:ascii="仿宋" w:hAnsi="仿宋" w:eastAsia="仿宋"/>
          <w:sz w:val="32"/>
          <w:szCs w:val="32"/>
          <w:lang w:val="en-US" w:eastAsia="zh-CN"/>
        </w:rPr>
        <w:t>0.38</w:t>
      </w:r>
      <w:r>
        <w:rPr>
          <w:rFonts w:hint="eastAsia" w:ascii="仿宋" w:hAnsi="仿宋" w:eastAsia="仿宋"/>
          <w:sz w:val="32"/>
          <w:szCs w:val="32"/>
        </w:rPr>
        <w:t>万元，具体内容包括：</w:t>
      </w:r>
      <w:r>
        <w:rPr>
          <w:rFonts w:hint="eastAsia" w:ascii="仿宋" w:hAnsi="仿宋" w:eastAsia="仿宋"/>
          <w:color w:val="000000" w:themeColor="text1"/>
          <w:sz w:val="32"/>
          <w:szCs w:val="32"/>
          <w14:textFill>
            <w14:solidFill>
              <w14:schemeClr w14:val="tx1"/>
            </w14:solidFill>
          </w14:textFill>
        </w:rPr>
        <w:t>上级督查督导公务接待</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工作检查调研</w:t>
      </w:r>
      <w:r>
        <w:rPr>
          <w:rFonts w:hint="eastAsia" w:ascii="仿宋" w:hAnsi="仿宋" w:eastAsia="仿宋"/>
          <w:color w:val="000000" w:themeColor="text1"/>
          <w:sz w:val="32"/>
          <w:szCs w:val="32"/>
          <w:lang w:eastAsia="zh-CN"/>
          <w14:textFill>
            <w14:solidFill>
              <w14:schemeClr w14:val="tx1"/>
            </w14:solidFill>
          </w14:textFill>
        </w:rPr>
        <w:t>等</w:t>
      </w:r>
      <w:r>
        <w:rPr>
          <w:rFonts w:hint="eastAsia" w:ascii="仿宋" w:hAnsi="仿宋" w:eastAsia="仿宋"/>
          <w:color w:val="000000" w:themeColor="text1"/>
          <w:sz w:val="32"/>
          <w:szCs w:val="32"/>
          <w14:textFill>
            <w14:solidFill>
              <w14:schemeClr w14:val="tx1"/>
            </w14:solidFill>
          </w14:textFill>
        </w:rPr>
        <w:t>支出0.</w:t>
      </w:r>
      <w:r>
        <w:rPr>
          <w:rFonts w:hint="eastAsia" w:ascii="仿宋" w:hAnsi="仿宋" w:eastAsia="仿宋"/>
          <w:color w:val="000000" w:themeColor="text1"/>
          <w:sz w:val="32"/>
          <w:szCs w:val="32"/>
          <w:lang w:val="en-US" w:eastAsia="zh-CN"/>
          <w14:textFill>
            <w14:solidFill>
              <w14:schemeClr w14:val="tx1"/>
            </w14:solidFill>
          </w14:textFill>
        </w:rPr>
        <w:t>38</w:t>
      </w:r>
      <w:r>
        <w:rPr>
          <w:rFonts w:hint="eastAsia" w:ascii="仿宋" w:hAnsi="仿宋" w:eastAsia="仿宋"/>
          <w:color w:val="000000" w:themeColor="text1"/>
          <w:sz w:val="32"/>
          <w:szCs w:val="32"/>
          <w14:textFill>
            <w14:solidFill>
              <w14:schemeClr w14:val="tx1"/>
            </w14:solidFill>
          </w14:textFill>
        </w:rPr>
        <w:t>万元。</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0万元，外事接待0批次，0人，共计支出0万元。</w:t>
      </w:r>
      <w:bookmarkStart w:id="46" w:name="_Toc15377218"/>
      <w:bookmarkStart w:id="47" w:name="_Toc15396610"/>
    </w:p>
    <w:p>
      <w:pPr>
        <w:spacing w:line="600" w:lineRule="exact"/>
        <w:ind w:firstLine="640"/>
        <w:outlineLvl w:val="1"/>
        <w:rPr>
          <w:rStyle w:val="25"/>
          <w:rFonts w:ascii="仿宋" w:hAnsi="仿宋" w:eastAsia="仿宋"/>
        </w:rPr>
      </w:pPr>
      <w:r>
        <w:rPr>
          <w:rFonts w:hint="eastAsia" w:ascii="仿宋" w:hAnsi="仿宋" w:eastAsia="仿宋"/>
          <w:sz w:val="32"/>
          <w:szCs w:val="32"/>
        </w:rPr>
        <w:t>八、</w:t>
      </w:r>
      <w:r>
        <w:rPr>
          <w:rStyle w:val="25"/>
          <w:rFonts w:hint="eastAsia" w:ascii="仿宋" w:hAnsi="仿宋" w:eastAsia="仿宋"/>
          <w:b w:val="0"/>
        </w:rPr>
        <w:t>政府性基金预算支出决算情况说明</w:t>
      </w:r>
      <w:bookmarkEnd w:id="46"/>
      <w:bookmarkEnd w:id="47"/>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年政府性基金预算财政拨款支出0万元。</w:t>
      </w:r>
    </w:p>
    <w:p>
      <w:pPr>
        <w:numPr>
          <w:ilvl w:val="0"/>
          <w:numId w:val="2"/>
        </w:numPr>
        <w:spacing w:line="600" w:lineRule="exact"/>
        <w:ind w:firstLine="640"/>
        <w:outlineLvl w:val="1"/>
        <w:rPr>
          <w:rStyle w:val="25"/>
          <w:rFonts w:ascii="仿宋" w:hAnsi="仿宋" w:eastAsia="仿宋"/>
          <w:b w:val="0"/>
        </w:rPr>
      </w:pPr>
      <w:bookmarkStart w:id="48" w:name="_Toc15396611"/>
      <w:bookmarkStart w:id="49" w:name="_Toc15377219"/>
      <w:r>
        <w:rPr>
          <w:rStyle w:val="25"/>
          <w:rFonts w:hint="eastAsia" w:ascii="仿宋" w:hAnsi="仿宋" w:eastAsia="仿宋"/>
          <w:b w:val="0"/>
        </w:rPr>
        <w:t>国有资本经营预算支出决算情况说明</w:t>
      </w:r>
      <w:bookmarkEnd w:id="48"/>
      <w:bookmarkEnd w:id="4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2022</w:t>
      </w:r>
      <w:r>
        <w:rPr>
          <w:rFonts w:hint="eastAsia" w:ascii="仿宋" w:hAnsi="仿宋" w:eastAsia="仿宋"/>
          <w:sz w:val="32"/>
          <w:szCs w:val="32"/>
        </w:rPr>
        <w:t>年国有资本经营预算财政拨款支出0万元。</w:t>
      </w:r>
    </w:p>
    <w:p>
      <w:pPr>
        <w:numPr>
          <w:ilvl w:val="0"/>
          <w:numId w:val="2"/>
        </w:numPr>
        <w:spacing w:line="600" w:lineRule="exact"/>
        <w:ind w:firstLine="640"/>
        <w:outlineLvl w:val="1"/>
        <w:rPr>
          <w:rStyle w:val="25"/>
          <w:rFonts w:ascii="仿宋" w:hAnsi="仿宋" w:eastAsia="仿宋"/>
          <w:b w:val="0"/>
        </w:rPr>
      </w:pPr>
      <w:bookmarkStart w:id="50" w:name="_Toc15377221"/>
      <w:bookmarkStart w:id="51" w:name="_Toc15396612"/>
      <w:r>
        <w:rPr>
          <w:rStyle w:val="25"/>
          <w:rFonts w:hint="eastAsia" w:ascii="仿宋" w:hAnsi="仿宋" w:eastAsia="仿宋"/>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560" w:firstLineChars="200"/>
        <w:rPr>
          <w:rFonts w:hint="eastAsia" w:ascii="华文宋体" w:hAnsi="华文宋体" w:eastAsia="华文宋体" w:cs="华文宋体"/>
          <w:sz w:val="28"/>
          <w:szCs w:val="28"/>
        </w:rPr>
      </w:pPr>
      <w:bookmarkStart w:id="53" w:name="_Toc15377223"/>
      <w:r>
        <w:rPr>
          <w:rFonts w:hint="eastAsia" w:ascii="华文宋体" w:hAnsi="华文宋体" w:eastAsia="华文宋体" w:cs="华文宋体"/>
          <w:sz w:val="28"/>
          <w:szCs w:val="28"/>
        </w:rPr>
        <w:t>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w:t>
      </w:r>
      <w:r>
        <w:rPr>
          <w:rFonts w:hint="eastAsia" w:ascii="华文宋体" w:hAnsi="华文宋体" w:eastAsia="华文宋体" w:cs="华文宋体"/>
          <w:sz w:val="28"/>
          <w:szCs w:val="28"/>
          <w:lang w:val="en-US" w:eastAsia="zh-CN"/>
        </w:rPr>
        <w:t>剑阁县上寺小学校</w:t>
      </w:r>
      <w:r>
        <w:rPr>
          <w:rFonts w:hint="eastAsia" w:ascii="华文宋体" w:hAnsi="华文宋体" w:eastAsia="华文宋体" w:cs="华文宋体"/>
          <w:sz w:val="28"/>
          <w:szCs w:val="28"/>
        </w:rPr>
        <w:t>机关运行经费支出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w:t>
      </w:r>
      <w:r>
        <w:rPr>
          <w:rFonts w:hint="eastAsia" w:ascii="华文宋体" w:hAnsi="华文宋体" w:eastAsia="华文宋体" w:cs="华文宋体"/>
          <w:sz w:val="28"/>
          <w:szCs w:val="28"/>
          <w:lang w:val="en-US" w:eastAsia="zh-CN"/>
        </w:rPr>
        <w:t>与</w:t>
      </w:r>
      <w:r>
        <w:rPr>
          <w:rFonts w:hint="eastAsia" w:ascii="华文宋体" w:hAnsi="华文宋体" w:eastAsia="华文宋体" w:cs="华文宋体"/>
          <w:sz w:val="28"/>
          <w:szCs w:val="28"/>
        </w:rPr>
        <w:t>202</w:t>
      </w:r>
      <w:r>
        <w:rPr>
          <w:rFonts w:hint="eastAsia" w:ascii="华文宋体" w:hAnsi="华文宋体" w:eastAsia="华文宋体" w:cs="华文宋体"/>
          <w:sz w:val="28"/>
          <w:szCs w:val="28"/>
          <w:lang w:val="en-US" w:eastAsia="zh-CN"/>
        </w:rPr>
        <w:t>1</w:t>
      </w:r>
      <w:r>
        <w:rPr>
          <w:rFonts w:hint="eastAsia" w:ascii="华文宋体" w:hAnsi="华文宋体" w:eastAsia="华文宋体" w:cs="华文宋体"/>
          <w:sz w:val="28"/>
          <w:szCs w:val="28"/>
        </w:rPr>
        <w:t>年</w:t>
      </w:r>
      <w:r>
        <w:rPr>
          <w:rFonts w:hint="eastAsia" w:ascii="华文宋体" w:hAnsi="华文宋体" w:eastAsia="华文宋体" w:cs="华文宋体"/>
          <w:sz w:val="28"/>
          <w:szCs w:val="28"/>
          <w:lang w:val="en-US" w:eastAsia="zh-CN"/>
        </w:rPr>
        <w:t>持平</w:t>
      </w:r>
      <w:r>
        <w:rPr>
          <w:rFonts w:hint="eastAsia" w:ascii="华文宋体" w:hAnsi="华文宋体" w:eastAsia="华文宋体" w:cs="华文宋体"/>
          <w:sz w:val="28"/>
          <w:szCs w:val="28"/>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53"/>
    </w:p>
    <w:p>
      <w:pPr>
        <w:spacing w:line="600" w:lineRule="exact"/>
        <w:ind w:firstLine="560" w:firstLineChars="200"/>
        <w:rPr>
          <w:rFonts w:hint="eastAsia" w:ascii="华文宋体" w:hAnsi="华文宋体" w:eastAsia="华文宋体" w:cs="华文宋体"/>
          <w:sz w:val="28"/>
          <w:szCs w:val="28"/>
        </w:rPr>
      </w:pPr>
      <w:bookmarkStart w:id="54" w:name="_Toc15377224"/>
      <w:r>
        <w:rPr>
          <w:rFonts w:hint="eastAsia" w:ascii="华文宋体" w:hAnsi="华文宋体" w:eastAsia="华文宋体" w:cs="华文宋体"/>
          <w:sz w:val="28"/>
          <w:szCs w:val="28"/>
        </w:rPr>
        <w:t>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w:t>
      </w:r>
      <w:r>
        <w:rPr>
          <w:rFonts w:hint="eastAsia" w:ascii="华文宋体" w:hAnsi="华文宋体" w:eastAsia="华文宋体" w:cs="华文宋体"/>
          <w:color w:val="000000"/>
          <w:sz w:val="28"/>
          <w:szCs w:val="28"/>
          <w:lang w:eastAsia="zh-CN"/>
        </w:rPr>
        <w:t>剑阁县上寺小学校</w:t>
      </w:r>
      <w:r>
        <w:rPr>
          <w:rFonts w:hint="eastAsia" w:ascii="华文宋体" w:hAnsi="华文宋体" w:eastAsia="华文宋体" w:cs="华文宋体"/>
          <w:sz w:val="28"/>
          <w:szCs w:val="28"/>
        </w:rPr>
        <w:t>政府采购支出总额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万元，其中：政府采购货物支出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万元、政府采购工程支出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万元、政府采购服务支出</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万元。授予中小企业合同金额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万元，占政府采购支出总额的</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%，其中：授予小微企业合同金额</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万元，占政府采购支出总额的</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sz w:val="28"/>
          <w:szCs w:val="28"/>
        </w:rPr>
        <w:t>截至202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年12月31日，</w:t>
      </w:r>
      <w:r>
        <w:rPr>
          <w:rFonts w:hint="eastAsia" w:ascii="华文宋体" w:hAnsi="华文宋体" w:eastAsia="华文宋体" w:cs="华文宋体"/>
          <w:color w:val="000000"/>
          <w:sz w:val="28"/>
          <w:szCs w:val="28"/>
          <w:lang w:eastAsia="zh-CN"/>
        </w:rPr>
        <w:t>剑阁县上寺小学校</w:t>
      </w:r>
      <w:r>
        <w:rPr>
          <w:rFonts w:hint="eastAsia" w:ascii="华文宋体" w:hAnsi="华文宋体" w:eastAsia="华文宋体" w:cs="华文宋体"/>
          <w:sz w:val="28"/>
          <w:szCs w:val="28"/>
        </w:rPr>
        <w:t>共有车辆</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辆，其中：主要领导干部用车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辆、机要通信用车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辆、应急保障用车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辆、其他用车</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辆</w:t>
      </w:r>
      <w:r>
        <w:rPr>
          <w:rFonts w:hint="eastAsia" w:ascii="华文宋体" w:hAnsi="华文宋体" w:eastAsia="华文宋体" w:cs="华文宋体"/>
          <w:sz w:val="28"/>
          <w:szCs w:val="28"/>
          <w:lang w:eastAsia="zh-CN"/>
        </w:rPr>
        <w:t>，</w:t>
      </w:r>
      <w:r>
        <w:rPr>
          <w:rFonts w:hint="eastAsia" w:ascii="华文宋体" w:hAnsi="华文宋体" w:eastAsia="华文宋体" w:cs="华文宋体"/>
          <w:sz w:val="28"/>
          <w:szCs w:val="28"/>
        </w:rPr>
        <w:t>单价50万元以上通用设备</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台（套），单价100万元以上专用设备</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台（套）。</w:t>
      </w:r>
    </w:p>
    <w:p>
      <w:pPr>
        <w:spacing w:line="580" w:lineRule="exact"/>
        <w:ind w:firstLine="642" w:firstLineChars="200"/>
        <w:rPr>
          <w:rFonts w:ascii="仿宋" w:hAnsi="仿宋" w:eastAsia="仿宋"/>
          <w:b/>
          <w:sz w:val="32"/>
          <w:szCs w:val="32"/>
        </w:rPr>
      </w:pPr>
      <w:r>
        <w:rPr>
          <w:rFonts w:hint="eastAsia" w:ascii="仿宋" w:hAnsi="仿宋" w:eastAsia="仿宋"/>
          <w:b/>
          <w:sz w:val="32"/>
          <w:szCs w:val="32"/>
        </w:rPr>
        <w:t>（四）预算绩效管理情况</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根据预算绩效管理要求，本（单位）在年初预算编制阶段，组织对剑阁县上寺小学校编制了绩效目标，本年无项目。</w:t>
      </w:r>
    </w:p>
    <w:p>
      <w:pPr>
        <w:keepNext w:val="0"/>
        <w:keepLines w:val="0"/>
        <w:widowControl/>
        <w:numPr>
          <w:ilvl w:val="0"/>
          <w:numId w:val="3"/>
        </w:numPr>
        <w:suppressLineNumbers w:val="0"/>
        <w:ind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 xml:space="preserve">项目绩效目标完成情况。 </w:t>
      </w:r>
    </w:p>
    <w:p>
      <w:pPr>
        <w:keepNext w:val="0"/>
        <w:keepLines w:val="0"/>
        <w:widowControl/>
        <w:numPr>
          <w:ilvl w:val="0"/>
          <w:numId w:val="0"/>
        </w:numPr>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本单位在2022年度部门决算中没有项目。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2.部门绩效评价结果。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本单位按要求对2022年部门整体支出绩效评价情况开展自评，《剑阁县上寺小学校部门2022年部门整体支出绩效评价报告》见附件。</w:t>
      </w:r>
    </w:p>
    <w:p>
      <w:pPr>
        <w:autoSpaceDE w:val="0"/>
        <w:autoSpaceDN w:val="0"/>
        <w:adjustRightInd w:val="0"/>
        <w:spacing w:line="600" w:lineRule="exact"/>
        <w:ind w:firstLine="642" w:firstLineChars="200"/>
        <w:jc w:val="left"/>
        <w:outlineLvl w:val="2"/>
        <w:rPr>
          <w:rFonts w:ascii="仿宋" w:hAnsi="仿宋" w:eastAsia="仿宋"/>
          <w:b/>
          <w:sz w:val="32"/>
          <w:szCs w:val="32"/>
        </w:rPr>
      </w:pPr>
    </w:p>
    <w:p>
      <w:pPr>
        <w:widowControl/>
        <w:jc w:val="left"/>
        <w:rPr>
          <w:rFonts w:ascii="仿宋" w:hAnsi="仿宋" w:eastAsia="仿宋"/>
          <w:b/>
          <w:sz w:val="32"/>
          <w:szCs w:val="32"/>
        </w:rPr>
      </w:pPr>
      <w:r>
        <w:rPr>
          <w:rFonts w:ascii="仿宋" w:hAnsi="仿宋" w:eastAsia="仿宋"/>
          <w:b/>
          <w:sz w:val="32"/>
          <w:szCs w:val="32"/>
        </w:rPr>
        <w:br w:type="page"/>
      </w:r>
    </w:p>
    <w:p>
      <w:pPr>
        <w:numPr>
          <w:ilvl w:val="0"/>
          <w:numId w:val="4"/>
        </w:numPr>
        <w:spacing w:line="600" w:lineRule="exact"/>
        <w:ind w:firstLine="480" w:firstLineChars="150"/>
        <w:jc w:val="center"/>
        <w:outlineLvl w:val="0"/>
        <w:rPr>
          <w:rFonts w:ascii="仿宋" w:hAnsi="仿宋" w:eastAsia="仿宋"/>
          <w:bCs/>
          <w:kern w:val="44"/>
          <w:sz w:val="32"/>
          <w:szCs w:val="32"/>
        </w:rPr>
      </w:pPr>
      <w:bookmarkStart w:id="55" w:name="_Toc15377225"/>
      <w:bookmarkStart w:id="56" w:name="_Toc15396613"/>
      <w:r>
        <w:rPr>
          <w:rFonts w:hint="eastAsia" w:ascii="仿宋" w:hAnsi="仿宋" w:eastAsia="仿宋"/>
          <w:sz w:val="32"/>
          <w:szCs w:val="32"/>
        </w:rPr>
        <w:t>名</w:t>
      </w:r>
      <w:r>
        <w:rPr>
          <w:rStyle w:val="24"/>
          <w:rFonts w:hint="eastAsia" w:ascii="仿宋" w:hAnsi="仿宋" w:eastAsia="仿宋"/>
          <w:b w:val="0"/>
          <w:sz w:val="32"/>
          <w:szCs w:val="32"/>
        </w:rPr>
        <w:t>词解释</w:t>
      </w:r>
      <w:bookmarkEnd w:id="55"/>
      <w:bookmarkEnd w:id="56"/>
    </w:p>
    <w:p>
      <w:pPr>
        <w:spacing w:line="580" w:lineRule="exact"/>
        <w:ind w:firstLine="560" w:firstLineChars="200"/>
        <w:rPr>
          <w:rFonts w:hint="eastAsia" w:ascii="华文宋体" w:hAnsi="华文宋体" w:eastAsia="华文宋体" w:cs="华文宋体"/>
          <w:b w:val="0"/>
          <w:bCs w:val="0"/>
          <w:sz w:val="28"/>
          <w:szCs w:val="28"/>
        </w:rPr>
      </w:pPr>
      <w:bookmarkStart w:id="57" w:name="_Toc15396614"/>
      <w:r>
        <w:rPr>
          <w:rFonts w:hint="eastAsia" w:ascii="华文宋体" w:hAnsi="华文宋体" w:eastAsia="华文宋体" w:cs="华文宋体"/>
          <w:b w:val="0"/>
          <w:bCs w:val="0"/>
          <w:sz w:val="28"/>
          <w:szCs w:val="28"/>
          <w:lang w:val="en-US" w:eastAsia="zh-CN"/>
        </w:rPr>
        <w:t>1.财政拨款收入：指单位从同级财政部门取得的财政预算资金。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2.年末结转和结余：指单位按有关规定结转到下年或以后年度继续使用的资金。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3．一般公共预算拨款收入：指县级财政当年拨付的资金。</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4.教育（类）普通教育（款）学前、小学教育（项）：指学校 </w:t>
      </w:r>
    </w:p>
    <w:p>
      <w:pPr>
        <w:spacing w:line="580" w:lineRule="exact"/>
        <w:rPr>
          <w:rFonts w:hint="eastAsia" w:ascii="华文宋体" w:hAnsi="华文宋体" w:eastAsia="华文宋体" w:cs="华文宋体"/>
          <w:b w:val="0"/>
          <w:bCs w:val="0"/>
          <w:sz w:val="28"/>
          <w:szCs w:val="28"/>
          <w:lang w:val="en-US" w:eastAsia="zh-CN"/>
        </w:rPr>
      </w:pPr>
      <w:r>
        <w:rPr>
          <w:rFonts w:hint="eastAsia" w:ascii="华文宋体" w:hAnsi="华文宋体" w:eastAsia="华文宋体" w:cs="华文宋体"/>
          <w:b w:val="0"/>
          <w:bCs w:val="0"/>
          <w:sz w:val="28"/>
          <w:szCs w:val="28"/>
          <w:lang w:val="en-US" w:eastAsia="zh-CN"/>
        </w:rPr>
        <w:t>正常运转的基本支出，包括基本工资、津贴补贴等人员经费，工会经</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费、福利费、办公费、印刷费、水电费等日常公用经费，其他社会保障缴费（失业保险和工伤保险）及遗属生活补助、贫困非寄宿生生活补助等。</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5. 社会保障和就业（类）行政事业单位养老支出（款）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机关事业单位基本养老保险缴费支出（项）：指部门实施养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老保险制度由单位缴纳的养老保险费的支出。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6.其他社会保障和就业支出（类）其他社会保障和就业支出（款）：指财政拨付给单位，再由单位支付给退休人员的一次性退休补贴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7.卫生健康支出（类）行政事业单位医疗（款）事业单 位医疗（项）：指事业单位用于缴纳单位在职及退休人员基本医疗保险支出。</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8.住房保障（类）住房改革支出（款）住房公积金（项）： </w:t>
      </w:r>
    </w:p>
    <w:p>
      <w:pPr>
        <w:spacing w:line="580" w:lineRule="exact"/>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指按照《住房公积金管理条例》的规定，由单位及其在职职工缴存的长期住房储金。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9.基本支出：指为保障机构正常运转、完成日常工作任务而发生的人员支出和公用支出。 </w:t>
      </w:r>
    </w:p>
    <w:p>
      <w:pPr>
        <w:spacing w:line="580" w:lineRule="exact"/>
        <w:ind w:firstLine="560" w:firstLineChars="200"/>
        <w:rPr>
          <w:rFonts w:hint="eastAsia" w:ascii="华文宋体" w:hAnsi="华文宋体" w:eastAsia="华文宋体" w:cs="华文宋体"/>
          <w:b w:val="0"/>
          <w:bCs w:val="0"/>
          <w:sz w:val="28"/>
          <w:szCs w:val="28"/>
        </w:rPr>
      </w:pPr>
      <w:r>
        <w:rPr>
          <w:rFonts w:hint="eastAsia" w:ascii="华文宋体" w:hAnsi="华文宋体" w:eastAsia="华文宋体" w:cs="华文宋体"/>
          <w:b w:val="0"/>
          <w:bCs w:val="0"/>
          <w:sz w:val="28"/>
          <w:szCs w:val="28"/>
          <w:lang w:val="en-US" w:eastAsia="zh-CN"/>
        </w:rPr>
        <w:t xml:space="preserve">10.项目支出：指在基本支出之外为完成特定行政任务和事业发展目标所发生的支出。 </w:t>
      </w:r>
    </w:p>
    <w:p>
      <w:pPr>
        <w:spacing w:line="580" w:lineRule="exact"/>
        <w:ind w:firstLine="560" w:firstLineChars="200"/>
        <w:rPr>
          <w:rFonts w:hint="eastAsia" w:ascii="华文宋体" w:hAnsi="华文宋体" w:eastAsia="华文宋体" w:cs="华文宋体"/>
          <w:b w:val="0"/>
          <w:bCs w:val="0"/>
          <w:sz w:val="28"/>
          <w:szCs w:val="28"/>
          <w:lang w:val="en-US" w:eastAsia="zh-CN"/>
        </w:rPr>
      </w:pPr>
      <w:r>
        <w:rPr>
          <w:rFonts w:hint="eastAsia" w:ascii="华文宋体" w:hAnsi="华文宋体" w:eastAsia="华文宋体" w:cs="华文宋体"/>
          <w:b w:val="0"/>
          <w:bCs w:val="0"/>
          <w:sz w:val="28"/>
          <w:szCs w:val="28"/>
          <w:lang w:val="en-US" w:eastAsia="zh-CN"/>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pStyle w:val="5"/>
        <w:rPr>
          <w:rFonts w:hint="eastAsia" w:ascii="华文宋体" w:hAnsi="华文宋体" w:eastAsia="华文宋体" w:cs="华文宋体"/>
          <w:b w:val="0"/>
          <w:bCs w:val="0"/>
          <w:sz w:val="28"/>
          <w:szCs w:val="28"/>
          <w:lang w:val="en-US" w:eastAsia="zh-CN"/>
        </w:rPr>
      </w:pPr>
    </w:p>
    <w:p>
      <w:pPr>
        <w:rPr>
          <w:rFonts w:hint="eastAsia" w:ascii="华文宋体" w:hAnsi="华文宋体" w:eastAsia="华文宋体" w:cs="华文宋体"/>
          <w:b w:val="0"/>
          <w:bCs w:val="0"/>
          <w:sz w:val="28"/>
          <w:szCs w:val="28"/>
          <w:lang w:val="en-US" w:eastAsia="zh-CN"/>
        </w:rPr>
      </w:pPr>
    </w:p>
    <w:p>
      <w:pPr>
        <w:pStyle w:val="5"/>
        <w:rPr>
          <w:rFonts w:hint="eastAsia"/>
          <w:lang w:val="en-US" w:eastAsia="zh-CN"/>
        </w:rPr>
      </w:pPr>
    </w:p>
    <w:p>
      <w:pPr>
        <w:pStyle w:val="5"/>
        <w:rPr>
          <w:rFonts w:hint="eastAsia" w:ascii="华文宋体" w:hAnsi="华文宋体" w:eastAsia="华文宋体" w:cs="华文宋体"/>
          <w:b w:val="0"/>
          <w:bCs w:val="0"/>
          <w:sz w:val="28"/>
          <w:szCs w:val="28"/>
          <w:lang w:val="en-US" w:eastAsia="zh-CN"/>
        </w:rPr>
      </w:pPr>
    </w:p>
    <w:p>
      <w:pPr>
        <w:rPr>
          <w:rFonts w:hint="eastAsia" w:ascii="华文宋体" w:hAnsi="华文宋体" w:eastAsia="华文宋体" w:cs="华文宋体"/>
          <w:b w:val="0"/>
          <w:bCs w:val="0"/>
          <w:sz w:val="28"/>
          <w:szCs w:val="28"/>
          <w:lang w:val="en-US" w:eastAsia="zh-CN"/>
        </w:rPr>
      </w:pPr>
    </w:p>
    <w:p>
      <w:pPr>
        <w:pStyle w:val="5"/>
        <w:rPr>
          <w:rFonts w:hint="eastAsia"/>
          <w:lang w:val="en-US" w:eastAsia="zh-CN"/>
        </w:rPr>
      </w:pPr>
    </w:p>
    <w:p>
      <w:pPr>
        <w:pStyle w:val="5"/>
        <w:rPr>
          <w:rFonts w:hint="eastAsia" w:ascii="华文宋体" w:hAnsi="华文宋体" w:eastAsia="华文宋体" w:cs="华文宋体"/>
          <w:b w:val="0"/>
          <w:bCs w:val="0"/>
          <w:sz w:val="28"/>
          <w:szCs w:val="28"/>
          <w:lang w:val="en-US" w:eastAsia="zh-CN"/>
        </w:rPr>
      </w:pPr>
    </w:p>
    <w:p>
      <w:pPr>
        <w:spacing w:line="600" w:lineRule="exact"/>
        <w:jc w:val="center"/>
        <w:outlineLvl w:val="0"/>
        <w:rPr>
          <w:rStyle w:val="24"/>
          <w:rFonts w:ascii="仿宋" w:hAnsi="仿宋" w:eastAsia="仿宋"/>
          <w:b w:val="0"/>
          <w:sz w:val="32"/>
          <w:szCs w:val="32"/>
        </w:rPr>
      </w:pPr>
      <w:r>
        <w:rPr>
          <w:rFonts w:hint="eastAsia" w:ascii="仿宋" w:hAnsi="仿宋" w:eastAsia="仿宋"/>
          <w:sz w:val="32"/>
          <w:szCs w:val="32"/>
        </w:rPr>
        <w:t>第</w:t>
      </w:r>
      <w:r>
        <w:rPr>
          <w:rStyle w:val="24"/>
          <w:rFonts w:hint="eastAsia" w:ascii="仿宋" w:hAnsi="仿宋" w:eastAsia="仿宋"/>
          <w:b w:val="0"/>
          <w:sz w:val="32"/>
          <w:szCs w:val="32"/>
        </w:rPr>
        <w:t>四部分 附件</w:t>
      </w:r>
      <w:bookmarkEnd w:id="57"/>
    </w:p>
    <w:p>
      <w:pPr>
        <w:spacing w:line="572" w:lineRule="exact"/>
        <w:jc w:val="center"/>
        <w:rPr>
          <w:rFonts w:hint="eastAsia" w:ascii="仿宋" w:hAnsi="仿宋" w:eastAsia="仿宋"/>
          <w:kern w:val="0"/>
          <w:sz w:val="32"/>
          <w:szCs w:val="32"/>
          <w:lang w:eastAsia="zh-CN"/>
        </w:rPr>
      </w:pPr>
      <w:r>
        <w:rPr>
          <w:rFonts w:hint="eastAsia" w:ascii="仿宋" w:hAnsi="仿宋" w:eastAsia="仿宋"/>
          <w:kern w:val="0"/>
          <w:sz w:val="32"/>
          <w:szCs w:val="32"/>
          <w:lang w:eastAsia="zh-CN"/>
        </w:rPr>
        <w:t>2022</w:t>
      </w:r>
      <w:r>
        <w:rPr>
          <w:rFonts w:hint="eastAsia" w:ascii="仿宋" w:hAnsi="仿宋" w:eastAsia="仿宋"/>
          <w:kern w:val="0"/>
          <w:sz w:val="32"/>
          <w:szCs w:val="32"/>
        </w:rPr>
        <w:t>年</w:t>
      </w:r>
      <w:r>
        <w:rPr>
          <w:rFonts w:hint="eastAsia" w:ascii="仿宋" w:hAnsi="仿宋" w:eastAsia="仿宋"/>
          <w:kern w:val="0"/>
          <w:sz w:val="32"/>
          <w:szCs w:val="32"/>
          <w:lang w:eastAsia="zh-CN"/>
        </w:rPr>
        <w:t>剑阁县上寺小学校</w:t>
      </w:r>
    </w:p>
    <w:p>
      <w:pPr>
        <w:spacing w:line="572" w:lineRule="exact"/>
        <w:jc w:val="center"/>
        <w:rPr>
          <w:rFonts w:ascii="仿宋" w:hAnsi="仿宋" w:eastAsia="仿宋"/>
          <w:kern w:val="0"/>
          <w:sz w:val="32"/>
          <w:szCs w:val="32"/>
          <w:lang w:val="zh-CN"/>
        </w:rPr>
      </w:pPr>
      <w:r>
        <w:rPr>
          <w:rFonts w:hint="eastAsia" w:ascii="仿宋" w:hAnsi="仿宋" w:eastAsia="仿宋"/>
          <w:kern w:val="0"/>
          <w:sz w:val="32"/>
          <w:szCs w:val="32"/>
        </w:rPr>
        <w:t>部门整体绩效评价报告</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一、</w:t>
      </w:r>
      <w:r>
        <w:rPr>
          <w:rFonts w:hint="eastAsia" w:ascii="仿宋" w:hAnsi="仿宋" w:eastAsia="仿宋" w:cs="宋体"/>
          <w:kern w:val="0"/>
          <w:sz w:val="32"/>
          <w:szCs w:val="32"/>
          <w:shd w:val="clear" w:color="auto" w:fill="FFFFFF"/>
          <w:lang w:val="zh-CN"/>
        </w:rPr>
        <w:t>单位概况</w:t>
      </w:r>
    </w:p>
    <w:p>
      <w:pPr>
        <w:keepNext w:val="0"/>
        <w:keepLines w:val="0"/>
        <w:pageBreakBefore w:val="0"/>
        <w:kinsoku/>
        <w:wordWrap/>
        <w:overflowPunct/>
        <w:topLinePunct w:val="0"/>
        <w:autoSpaceDE/>
        <w:autoSpaceDN/>
        <w:bidi w:val="0"/>
        <w:spacing w:line="288" w:lineRule="auto"/>
        <w:ind w:firstLine="560" w:firstLineChars="200"/>
        <w:textAlignment w:val="auto"/>
        <w:rPr>
          <w:rFonts w:hint="eastAsia" w:ascii="华文宋体" w:hAnsi="华文宋体" w:eastAsia="华文宋体" w:cs="华文宋体"/>
          <w:sz w:val="28"/>
          <w:szCs w:val="28"/>
        </w:rPr>
      </w:pPr>
      <w:r>
        <w:rPr>
          <w:rFonts w:hint="eastAsia" w:ascii="华文宋体" w:hAnsi="华文宋体" w:eastAsia="华文宋体" w:cs="华文宋体"/>
          <w:sz w:val="28"/>
          <w:szCs w:val="28"/>
          <w:lang w:eastAsia="zh-CN"/>
        </w:rPr>
        <w:t>剑阁县上寺小学校</w:t>
      </w:r>
      <w:r>
        <w:rPr>
          <w:rFonts w:hint="eastAsia" w:ascii="华文宋体" w:hAnsi="华文宋体" w:eastAsia="华文宋体" w:cs="华文宋体"/>
          <w:sz w:val="28"/>
          <w:szCs w:val="28"/>
        </w:rPr>
        <w:t>属于全额财政拨款一级预算事业单位，是一所义务教育寄宿制完全小学，202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年度执行政府会计制度。</w:t>
      </w:r>
    </w:p>
    <w:p>
      <w:pPr>
        <w:keepNext w:val="0"/>
        <w:keepLines w:val="0"/>
        <w:pageBreakBefore w:val="0"/>
        <w:widowControl/>
        <w:kinsoku/>
        <w:wordWrap/>
        <w:overflowPunct/>
        <w:topLinePunct w:val="0"/>
        <w:autoSpaceDE/>
        <w:autoSpaceDN/>
        <w:bidi w:val="0"/>
        <w:adjustRightInd w:val="0"/>
        <w:snapToGrid w:val="0"/>
        <w:spacing w:line="288" w:lineRule="auto"/>
        <w:ind w:firstLine="560"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rPr>
      </w:pPr>
      <w:r>
        <w:rPr>
          <w:rFonts w:hint="eastAsia" w:ascii="华文宋体" w:hAnsi="华文宋体" w:eastAsia="华文宋体" w:cs="华文宋体"/>
          <w:sz w:val="28"/>
          <w:szCs w:val="28"/>
          <w:lang w:eastAsia="zh-CN"/>
        </w:rPr>
        <w:t>剑阁县上寺小学校</w:t>
      </w:r>
      <w:r>
        <w:rPr>
          <w:rFonts w:hint="eastAsia" w:ascii="华文宋体" w:hAnsi="华文宋体" w:eastAsia="华文宋体" w:cs="华文宋体"/>
          <w:sz w:val="28"/>
          <w:szCs w:val="28"/>
        </w:rPr>
        <w:t>下属二级单位0个，其中行政单位0个，参照公务员法管理的事业单位0个，其他事业单位0个</w:t>
      </w:r>
    </w:p>
    <w:p>
      <w:pPr>
        <w:keepNext w:val="0"/>
        <w:keepLines w:val="0"/>
        <w:pageBreakBefore w:val="0"/>
        <w:widowControl/>
        <w:kinsoku/>
        <w:wordWrap/>
        <w:overflowPunct/>
        <w:topLinePunct w:val="0"/>
        <w:autoSpaceDE/>
        <w:autoSpaceDN/>
        <w:bidi w:val="0"/>
        <w:adjustRightInd w:val="0"/>
        <w:snapToGrid w:val="0"/>
        <w:spacing w:line="288" w:lineRule="auto"/>
        <w:ind w:firstLine="562"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rPr>
      </w:pPr>
      <w:r>
        <w:rPr>
          <w:rFonts w:hint="eastAsia" w:ascii="华文宋体" w:hAnsi="华文宋体" w:eastAsia="华文宋体" w:cs="华文宋体"/>
          <w:b/>
          <w:bCs/>
          <w:color w:val="000000"/>
          <w:kern w:val="0"/>
          <w:sz w:val="28"/>
          <w:szCs w:val="28"/>
          <w:shd w:val="clear" w:color="auto" w:fill="FFFFFF"/>
          <w:lang w:val="zh-CN"/>
        </w:rPr>
        <w:t>（二）机构职能。</w:t>
      </w:r>
      <w:r>
        <w:rPr>
          <w:rFonts w:hint="eastAsia" w:ascii="华文宋体" w:hAnsi="华文宋体" w:eastAsia="华文宋体" w:cs="华文宋体"/>
          <w:sz w:val="28"/>
          <w:szCs w:val="28"/>
        </w:rPr>
        <w:t>本单位主要职能职责是实施小学义务教育，促进基础教育均衡发展。</w:t>
      </w:r>
    </w:p>
    <w:p>
      <w:pPr>
        <w:keepNext w:val="0"/>
        <w:keepLines w:val="0"/>
        <w:pageBreakBefore w:val="0"/>
        <w:widowControl/>
        <w:kinsoku/>
        <w:wordWrap/>
        <w:overflowPunct/>
        <w:topLinePunct w:val="0"/>
        <w:autoSpaceDE/>
        <w:autoSpaceDN/>
        <w:bidi w:val="0"/>
        <w:adjustRightInd w:val="0"/>
        <w:snapToGrid w:val="0"/>
        <w:spacing w:line="288" w:lineRule="auto"/>
        <w:ind w:firstLine="562" w:firstLineChars="200"/>
        <w:contextualSpacing/>
        <w:jc w:val="left"/>
        <w:textAlignment w:val="auto"/>
        <w:rPr>
          <w:rFonts w:hint="eastAsia" w:ascii="华文宋体" w:hAnsi="华文宋体" w:eastAsia="华文宋体" w:cs="华文宋体"/>
          <w:b/>
          <w:bCs/>
          <w:color w:val="000000"/>
          <w:kern w:val="0"/>
          <w:sz w:val="28"/>
          <w:szCs w:val="28"/>
          <w:shd w:val="clear" w:color="auto" w:fill="FFFFFF"/>
          <w:lang w:val="zh-CN"/>
        </w:rPr>
      </w:pPr>
      <w:r>
        <w:rPr>
          <w:rFonts w:hint="eastAsia" w:ascii="华文宋体" w:hAnsi="华文宋体" w:eastAsia="华文宋体" w:cs="华文宋体"/>
          <w:b/>
          <w:bCs/>
          <w:color w:val="000000"/>
          <w:kern w:val="0"/>
          <w:sz w:val="28"/>
          <w:szCs w:val="28"/>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288" w:lineRule="auto"/>
        <w:ind w:firstLine="560" w:firstLineChars="200"/>
        <w:contextualSpacing/>
        <w:jc w:val="left"/>
        <w:textAlignment w:val="auto"/>
        <w:rPr>
          <w:rFonts w:hint="eastAsia" w:ascii="华文宋体" w:hAnsi="华文宋体" w:eastAsia="华文宋体" w:cs="华文宋体"/>
          <w:color w:val="000000"/>
          <w:kern w:val="0"/>
          <w:sz w:val="28"/>
          <w:szCs w:val="28"/>
          <w:shd w:val="clear" w:color="auto" w:fill="FFFFFF"/>
          <w:lang w:val="zh-CN" w:eastAsia="zh-CN"/>
        </w:rPr>
      </w:pPr>
      <w:r>
        <w:rPr>
          <w:rFonts w:hint="eastAsia" w:ascii="华文宋体" w:hAnsi="华文宋体" w:eastAsia="华文宋体" w:cs="华文宋体"/>
          <w:sz w:val="28"/>
          <w:szCs w:val="28"/>
          <w:lang w:eastAsia="zh-CN"/>
        </w:rPr>
        <w:t>剑阁县上寺小学校</w:t>
      </w:r>
      <w:r>
        <w:rPr>
          <w:rFonts w:hint="eastAsia" w:ascii="华文宋体" w:hAnsi="华文宋体" w:eastAsia="华文宋体" w:cs="华文宋体"/>
          <w:sz w:val="28"/>
          <w:szCs w:val="28"/>
        </w:rPr>
        <w:t>总编制</w:t>
      </w:r>
      <w:r>
        <w:rPr>
          <w:rFonts w:hint="eastAsia" w:ascii="华文宋体" w:hAnsi="华文宋体" w:eastAsia="华文宋体" w:cs="华文宋体"/>
          <w:sz w:val="28"/>
          <w:szCs w:val="28"/>
          <w:lang w:val="en-US" w:eastAsia="zh-CN"/>
        </w:rPr>
        <w:t>15</w:t>
      </w:r>
      <w:r>
        <w:rPr>
          <w:rFonts w:hint="eastAsia" w:ascii="华文宋体" w:hAnsi="华文宋体" w:eastAsia="华文宋体" w:cs="华文宋体"/>
          <w:sz w:val="28"/>
          <w:szCs w:val="28"/>
        </w:rPr>
        <w:t>人，其中行政编制0名，参公编制</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名，管理岗编制</w:t>
      </w:r>
      <w:r>
        <w:rPr>
          <w:rFonts w:hint="eastAsia" w:ascii="华文宋体" w:hAnsi="华文宋体" w:eastAsia="华文宋体" w:cs="华文宋体"/>
          <w:sz w:val="28"/>
          <w:szCs w:val="28"/>
          <w:lang w:eastAsia="zh-CN"/>
        </w:rPr>
        <w:t>０</w:t>
      </w:r>
      <w:r>
        <w:rPr>
          <w:rFonts w:hint="eastAsia" w:ascii="华文宋体" w:hAnsi="华文宋体" w:eastAsia="华文宋体" w:cs="华文宋体"/>
          <w:sz w:val="28"/>
          <w:szCs w:val="28"/>
        </w:rPr>
        <w:t>名，专业技术编制</w:t>
      </w:r>
      <w:r>
        <w:rPr>
          <w:rFonts w:hint="eastAsia" w:ascii="华文宋体" w:hAnsi="华文宋体" w:eastAsia="华文宋体" w:cs="华文宋体"/>
          <w:sz w:val="28"/>
          <w:szCs w:val="28"/>
          <w:lang w:val="en-US" w:eastAsia="zh-CN"/>
        </w:rPr>
        <w:t>15</w:t>
      </w:r>
      <w:r>
        <w:rPr>
          <w:rFonts w:hint="eastAsia" w:ascii="华文宋体" w:hAnsi="华文宋体" w:eastAsia="华文宋体" w:cs="华文宋体"/>
          <w:sz w:val="28"/>
          <w:szCs w:val="28"/>
        </w:rPr>
        <w:t>名，事业工勤编制</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名。202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年末实有在职人员总数</w:t>
      </w:r>
      <w:r>
        <w:rPr>
          <w:rFonts w:hint="eastAsia" w:ascii="华文宋体" w:hAnsi="华文宋体" w:eastAsia="华文宋体" w:cs="华文宋体"/>
          <w:sz w:val="28"/>
          <w:szCs w:val="28"/>
          <w:lang w:val="en-US" w:eastAsia="zh-CN"/>
        </w:rPr>
        <w:t>25</w:t>
      </w:r>
      <w:r>
        <w:rPr>
          <w:rFonts w:hint="eastAsia" w:ascii="华文宋体" w:hAnsi="华文宋体" w:eastAsia="华文宋体" w:cs="华文宋体"/>
          <w:sz w:val="28"/>
          <w:szCs w:val="28"/>
        </w:rPr>
        <w:t>人，其中行政人员0人，参公人员0人，事业人员</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人，工勤人员</w:t>
      </w:r>
      <w:r>
        <w:rPr>
          <w:rFonts w:hint="eastAsia" w:ascii="华文宋体" w:hAnsi="华文宋体" w:eastAsia="华文宋体" w:cs="华文宋体"/>
          <w:sz w:val="28"/>
          <w:szCs w:val="28"/>
          <w:lang w:val="en-US" w:eastAsia="zh-CN"/>
        </w:rPr>
        <w:t>0</w:t>
      </w:r>
      <w:r>
        <w:rPr>
          <w:rFonts w:hint="eastAsia" w:ascii="华文宋体" w:hAnsi="华文宋体" w:eastAsia="华文宋体" w:cs="华文宋体"/>
          <w:sz w:val="28"/>
          <w:szCs w:val="28"/>
        </w:rPr>
        <w:t>人；离休人员0人，退休</w:t>
      </w:r>
      <w:r>
        <w:rPr>
          <w:rFonts w:hint="eastAsia" w:ascii="华文宋体" w:hAnsi="华文宋体" w:eastAsia="华文宋体" w:cs="华文宋体"/>
          <w:sz w:val="28"/>
          <w:szCs w:val="28"/>
          <w:lang w:eastAsia="zh-CN"/>
        </w:rPr>
        <w:t>人员</w:t>
      </w:r>
      <w:r>
        <w:rPr>
          <w:rFonts w:hint="eastAsia" w:ascii="华文宋体" w:hAnsi="华文宋体" w:eastAsia="华文宋体" w:cs="华文宋体"/>
          <w:sz w:val="28"/>
          <w:szCs w:val="28"/>
          <w:lang w:val="en-US" w:eastAsia="zh-CN"/>
        </w:rPr>
        <w:t>14</w:t>
      </w:r>
      <w:r>
        <w:rPr>
          <w:rFonts w:hint="eastAsia" w:ascii="华文宋体" w:hAnsi="华文宋体" w:eastAsia="华文宋体" w:cs="华文宋体"/>
          <w:sz w:val="28"/>
          <w:szCs w:val="28"/>
        </w:rPr>
        <w:t>人。202</w:t>
      </w:r>
      <w:r>
        <w:rPr>
          <w:rFonts w:hint="eastAsia" w:ascii="华文宋体" w:hAnsi="华文宋体" w:eastAsia="华文宋体" w:cs="华文宋体"/>
          <w:sz w:val="28"/>
          <w:szCs w:val="28"/>
          <w:lang w:val="en-US" w:eastAsia="zh-CN"/>
        </w:rPr>
        <w:t>2</w:t>
      </w:r>
      <w:r>
        <w:rPr>
          <w:rFonts w:hint="eastAsia" w:ascii="华文宋体" w:hAnsi="华文宋体" w:eastAsia="华文宋体" w:cs="华文宋体"/>
          <w:sz w:val="28"/>
          <w:szCs w:val="28"/>
        </w:rPr>
        <w:t>年末实有学生人数</w:t>
      </w:r>
      <w:r>
        <w:rPr>
          <w:rFonts w:hint="eastAsia" w:ascii="华文宋体" w:hAnsi="华文宋体" w:eastAsia="华文宋体" w:cs="华文宋体"/>
          <w:sz w:val="28"/>
          <w:szCs w:val="28"/>
          <w:lang w:val="en-US" w:eastAsia="zh-CN"/>
        </w:rPr>
        <w:t>81</w:t>
      </w:r>
      <w:r>
        <w:rPr>
          <w:rFonts w:hint="eastAsia" w:ascii="华文宋体" w:hAnsi="华文宋体" w:eastAsia="华文宋体" w:cs="华文宋体"/>
          <w:sz w:val="28"/>
          <w:szCs w:val="28"/>
        </w:rPr>
        <w:t>人</w:t>
      </w:r>
      <w:r>
        <w:rPr>
          <w:rFonts w:hint="eastAsia" w:ascii="华文宋体" w:hAnsi="华文宋体" w:eastAsia="华文宋体" w:cs="华文宋体"/>
          <w:sz w:val="28"/>
          <w:szCs w:val="28"/>
          <w:lang w:eastAsia="zh-CN"/>
        </w:rPr>
        <w:t>。</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（一）部门财政资金收入情况。</w:t>
      </w:r>
    </w:p>
    <w:p>
      <w:pPr>
        <w:pStyle w:val="23"/>
        <w:keepNext w:val="0"/>
        <w:keepLines w:val="0"/>
        <w:pageBreakBefore w:val="0"/>
        <w:kinsoku/>
        <w:wordWrap/>
        <w:overflowPunct/>
        <w:topLinePunct w:val="0"/>
        <w:autoSpaceDE/>
        <w:autoSpaceDN/>
        <w:bidi w:val="0"/>
        <w:spacing w:line="288" w:lineRule="auto"/>
        <w:textAlignment w:val="auto"/>
        <w:outlineLvl w:val="1"/>
        <w:rPr>
          <w:rFonts w:hint="eastAsia" w:ascii="仿宋" w:hAnsi="仿宋" w:eastAsia="仿宋" w:cs="Times New Roman"/>
          <w:sz w:val="32"/>
          <w:szCs w:val="32"/>
          <w:lang w:val="zh-CN" w:eastAsia="zh-CN"/>
        </w:rPr>
      </w:pPr>
      <w:r>
        <w:rPr>
          <w:rFonts w:hint="eastAsia" w:ascii="仿宋" w:hAnsi="仿宋" w:eastAsia="仿宋"/>
          <w:sz w:val="32"/>
          <w:szCs w:val="32"/>
          <w:lang w:eastAsia="zh-CN"/>
        </w:rPr>
        <w:t>2022</w:t>
      </w:r>
      <w:r>
        <w:rPr>
          <w:rFonts w:hint="eastAsia" w:ascii="仿宋" w:hAnsi="仿宋" w:eastAsia="仿宋"/>
          <w:sz w:val="32"/>
          <w:szCs w:val="32"/>
        </w:rPr>
        <w:t>年本年收入合计</w:t>
      </w:r>
      <w:r>
        <w:rPr>
          <w:rFonts w:hint="eastAsia" w:ascii="仿宋" w:hAnsi="仿宋" w:eastAsia="仿宋"/>
          <w:sz w:val="32"/>
          <w:szCs w:val="32"/>
          <w:lang w:val="en-US" w:eastAsia="zh-CN"/>
        </w:rPr>
        <w:t>418.59</w:t>
      </w:r>
      <w:r>
        <w:rPr>
          <w:rFonts w:hint="eastAsia" w:ascii="仿宋" w:hAnsi="仿宋" w:eastAsia="仿宋"/>
          <w:sz w:val="32"/>
          <w:szCs w:val="32"/>
        </w:rPr>
        <w:t>万元，其中：一般公共预算财</w:t>
      </w:r>
      <w:r>
        <w:rPr>
          <w:rFonts w:hint="eastAsia" w:ascii="仿宋" w:hAnsi="仿宋" w:eastAsia="仿宋" w:cs="Times New Roman"/>
          <w:sz w:val="32"/>
          <w:szCs w:val="32"/>
          <w:lang w:val="en-US" w:eastAsia="zh-CN"/>
        </w:rPr>
        <w:t>政拨款收入418.59万元，占100%；政府性基金预算财政拨款收入0万元，占0%。</w:t>
      </w:r>
    </w:p>
    <w:p>
      <w:pPr>
        <w:widowControl/>
        <w:adjustRightInd w:val="0"/>
        <w:snapToGrid w:val="0"/>
        <w:spacing w:line="572" w:lineRule="exact"/>
        <w:ind w:firstLine="960" w:firstLineChars="3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(二)</w:t>
      </w:r>
      <w:r>
        <w:rPr>
          <w:rFonts w:hint="eastAsia" w:ascii="仿宋" w:hAnsi="仿宋" w:eastAsia="仿宋" w:cs="宋体"/>
          <w:kern w:val="0"/>
          <w:sz w:val="32"/>
          <w:szCs w:val="32"/>
          <w:shd w:val="clear" w:color="auto" w:fill="FFFFFF"/>
          <w:lang w:val="zh-CN"/>
        </w:rPr>
        <w:t>部门财政资金支出情况。</w:t>
      </w:r>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lang w:eastAsia="zh-CN"/>
        </w:rPr>
        <w:t>2022</w:t>
      </w:r>
      <w:r>
        <w:rPr>
          <w:rFonts w:hint="eastAsia" w:ascii="仿宋" w:hAnsi="仿宋" w:eastAsia="仿宋"/>
          <w:sz w:val="32"/>
          <w:szCs w:val="32"/>
        </w:rPr>
        <w:t>年本年支出合计</w:t>
      </w:r>
      <w:r>
        <w:rPr>
          <w:rFonts w:hint="eastAsia" w:ascii="仿宋" w:hAnsi="仿宋" w:eastAsia="仿宋"/>
          <w:sz w:val="32"/>
          <w:szCs w:val="32"/>
          <w:lang w:val="en-US" w:eastAsia="zh-CN"/>
        </w:rPr>
        <w:t>418.59</w:t>
      </w:r>
      <w:r>
        <w:rPr>
          <w:rFonts w:hint="eastAsia" w:ascii="仿宋" w:hAnsi="仿宋" w:eastAsia="仿宋"/>
          <w:sz w:val="32"/>
          <w:szCs w:val="32"/>
        </w:rPr>
        <w:t>万元，其中：基本支出</w:t>
      </w:r>
      <w:r>
        <w:rPr>
          <w:rFonts w:hint="eastAsia" w:ascii="仿宋" w:hAnsi="仿宋" w:eastAsia="仿宋"/>
          <w:sz w:val="32"/>
          <w:szCs w:val="32"/>
          <w:lang w:val="en-US" w:eastAsia="zh-CN"/>
        </w:rPr>
        <w:t>418.59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三、部门整体预算绩效管理情况</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（一）预决算编制情况。</w:t>
      </w:r>
    </w:p>
    <w:p>
      <w:pPr>
        <w:spacing w:line="590" w:lineRule="exact"/>
        <w:ind w:firstLine="640" w:firstLineChars="200"/>
        <w:rPr>
          <w:rFonts w:ascii="仿宋" w:hAnsi="仿宋" w:eastAsia="仿宋"/>
          <w:sz w:val="32"/>
          <w:szCs w:val="32"/>
        </w:rPr>
      </w:pPr>
      <w:r>
        <w:rPr>
          <w:rFonts w:hint="eastAsia" w:ascii="仿宋" w:hAnsi="仿宋" w:eastAsia="仿宋"/>
          <w:sz w:val="32"/>
          <w:szCs w:val="32"/>
          <w:lang w:eastAsia="zh-CN"/>
        </w:rPr>
        <w:t>剑阁县上寺小学校</w:t>
      </w:r>
      <w:r>
        <w:rPr>
          <w:rFonts w:hint="eastAsia" w:ascii="仿宋" w:hAnsi="仿宋" w:eastAsia="仿宋"/>
          <w:sz w:val="32"/>
          <w:szCs w:val="32"/>
        </w:rPr>
        <w:t>及时组织财务人员进行预决算的编制，对本年度做到账账相符、账实相符、账证相符</w:t>
      </w:r>
      <w:r>
        <w:rPr>
          <w:rFonts w:hint="eastAsia" w:ascii="仿宋" w:hAnsi="仿宋" w:eastAsia="仿宋"/>
          <w:sz w:val="32"/>
          <w:szCs w:val="32"/>
          <w:lang w:eastAsia="zh-CN"/>
        </w:rPr>
        <w:t>，</w:t>
      </w:r>
      <w:r>
        <w:rPr>
          <w:rFonts w:hint="eastAsia" w:ascii="仿宋" w:hAnsi="仿宋" w:eastAsia="仿宋"/>
          <w:sz w:val="32"/>
          <w:szCs w:val="32"/>
        </w:rPr>
        <w:t>按先预算再支出的原则，及时处理相关事务；对年度绩效目标进行季度梳理和年度分析，及时上报相关报表；对专项预算经费提前细化，分科目上报，做到收支平衡。</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（二）预算执行情况。</w:t>
      </w:r>
    </w:p>
    <w:p>
      <w:pPr>
        <w:spacing w:line="59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剑阁县上寺小学校</w:t>
      </w:r>
      <w:r>
        <w:rPr>
          <w:rFonts w:hint="eastAsia" w:ascii="仿宋" w:hAnsi="仿宋" w:eastAsia="仿宋"/>
          <w:sz w:val="32"/>
          <w:szCs w:val="32"/>
        </w:rPr>
        <w:t>按照县财政局的要求，及时上报相应计划，待县财政局审核通过后，严格按计划执行，各季度执行情况良好。基本支出</w:t>
      </w:r>
      <w:r>
        <w:rPr>
          <w:rFonts w:hint="eastAsia" w:ascii="仿宋" w:hAnsi="仿宋" w:eastAsia="仿宋"/>
          <w:sz w:val="32"/>
          <w:szCs w:val="32"/>
          <w:lang w:eastAsia="zh-CN"/>
        </w:rPr>
        <w:t>2022</w:t>
      </w:r>
      <w:r>
        <w:rPr>
          <w:rFonts w:hint="eastAsia" w:ascii="仿宋" w:hAnsi="仿宋" w:eastAsia="仿宋"/>
          <w:sz w:val="32"/>
          <w:szCs w:val="32"/>
        </w:rPr>
        <w:t>年按月进行申报，其中人员工资按月申报并直接支付，日常公用经费按月进行申报并支付，全年执行进度100%。项目支出按月申报并直接支付，1-12月执行进度100%。</w:t>
      </w:r>
    </w:p>
    <w:p>
      <w:pPr>
        <w:spacing w:line="600" w:lineRule="exact"/>
        <w:ind w:firstLine="645"/>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sz w:val="32"/>
          <w:szCs w:val="32"/>
          <w:lang w:eastAsia="zh-CN"/>
        </w:rPr>
        <w:t>2022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418.53</w:t>
      </w:r>
      <w:r>
        <w:rPr>
          <w:rFonts w:hint="eastAsia" w:ascii="仿宋" w:hAnsi="仿宋" w:eastAsia="仿宋"/>
          <w:sz w:val="32"/>
          <w:szCs w:val="32"/>
        </w:rPr>
        <w:t>万元：</w:t>
      </w: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lang w:val="en-US" w:eastAsia="zh-CN"/>
          <w14:textFill>
            <w14:solidFill>
              <w14:schemeClr w14:val="tx1"/>
            </w14:solidFill>
          </w14:textFill>
        </w:rPr>
        <w:t>379.24</w:t>
      </w:r>
      <w:r>
        <w:rPr>
          <w:rFonts w:hint="eastAsia" w:ascii="仿宋" w:hAnsi="仿宋" w:eastAsia="仿宋"/>
          <w:color w:val="000000" w:themeColor="text1"/>
          <w:sz w:val="32"/>
          <w:szCs w:val="32"/>
          <w14:textFill>
            <w14:solidFill>
              <w14:schemeClr w14:val="tx1"/>
            </w14:solidFill>
          </w14:textFill>
        </w:rPr>
        <w:t>万元，主要包括：基本工资、津贴补贴、奖金、机关事业单位基本养老保险缴费、职工基本医疗保险缴费、其他社会保障缴费、住房公积金、其他工资福利支出、生活补助等</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公用经费</w:t>
      </w:r>
      <w:r>
        <w:rPr>
          <w:rFonts w:hint="eastAsia" w:ascii="仿宋" w:hAnsi="仿宋" w:eastAsia="仿宋"/>
          <w:color w:val="000000" w:themeColor="text1"/>
          <w:sz w:val="32"/>
          <w:szCs w:val="32"/>
          <w:lang w:val="en-US" w:eastAsia="zh-CN"/>
          <w14:textFill>
            <w14:solidFill>
              <w14:schemeClr w14:val="tx1"/>
            </w14:solidFill>
          </w14:textFill>
        </w:rPr>
        <w:t>17.53</w:t>
      </w:r>
      <w:r>
        <w:rPr>
          <w:rFonts w:hint="eastAsia" w:ascii="仿宋" w:hAnsi="仿宋" w:eastAsia="仿宋"/>
          <w:color w:val="000000" w:themeColor="text1"/>
          <w:sz w:val="32"/>
          <w:szCs w:val="32"/>
          <w14:textFill>
            <w14:solidFill>
              <w14:schemeClr w14:val="tx1"/>
            </w14:solidFill>
          </w14:textFill>
        </w:rPr>
        <w:t>万元，主要包括：办公费、印刷费、水费、电费、邮电费、差旅费、会议费、培训费、公务接待费、被装购置费、劳务费、工会经费、福利费、公务用车运行维护费、其他交通费等。</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（三）支出绩效情况</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1.部门支出绩效</w:t>
      </w:r>
    </w:p>
    <w:p>
      <w:pPr>
        <w:spacing w:line="590" w:lineRule="exact"/>
        <w:ind w:firstLine="640" w:firstLineChars="200"/>
        <w:rPr>
          <w:rFonts w:hint="eastAsia" w:ascii="仿宋" w:hAnsi="仿宋" w:eastAsia="仿宋" w:cs="Times New Roman"/>
          <w:sz w:val="32"/>
          <w:szCs w:val="32"/>
          <w:lang w:eastAsia="zh-CN"/>
        </w:rPr>
      </w:pPr>
      <w:r>
        <w:rPr>
          <w:rFonts w:hint="eastAsia" w:ascii="仿宋" w:hAnsi="仿宋" w:eastAsia="仿宋"/>
          <w:sz w:val="32"/>
          <w:szCs w:val="32"/>
          <w:lang w:eastAsia="zh-CN"/>
        </w:rPr>
        <w:t>剑阁县上寺小学校</w:t>
      </w:r>
      <w:r>
        <w:rPr>
          <w:rFonts w:hint="eastAsia" w:ascii="仿宋" w:hAnsi="仿宋" w:eastAsia="仿宋" w:cs="Times New Roman"/>
          <w:sz w:val="32"/>
          <w:szCs w:val="32"/>
          <w:lang w:eastAsia="zh-CN"/>
        </w:rPr>
        <w:t>在2022年度部门决算中反映</w:t>
      </w:r>
      <w:r>
        <w:rPr>
          <w:rFonts w:hint="eastAsia" w:ascii="仿宋" w:hAnsi="仿宋" w:eastAsia="仿宋" w:cs="Times New Roman"/>
          <w:sz w:val="32"/>
          <w:szCs w:val="32"/>
          <w:lang w:val="en-US" w:eastAsia="zh-CN"/>
        </w:rPr>
        <w:t>剑阁县上寺小学校</w:t>
      </w:r>
      <w:r>
        <w:rPr>
          <w:rFonts w:hint="eastAsia" w:ascii="仿宋" w:hAnsi="仿宋" w:eastAsia="仿宋" w:cs="Times New Roman"/>
          <w:sz w:val="32"/>
          <w:szCs w:val="32"/>
          <w:lang w:eastAsia="zh-CN"/>
        </w:rPr>
        <w:t>项目无。</w:t>
      </w:r>
    </w:p>
    <w:p>
      <w:pPr>
        <w:spacing w:line="590" w:lineRule="exact"/>
        <w:ind w:firstLine="642" w:firstLineChars="200"/>
        <w:rPr>
          <w:rFonts w:ascii="仿宋" w:hAnsi="仿宋" w:eastAsia="仿宋"/>
          <w:sz w:val="32"/>
          <w:szCs w:val="32"/>
        </w:rPr>
      </w:pPr>
      <w:r>
        <w:rPr>
          <w:rFonts w:hint="eastAsia" w:ascii="仿宋" w:hAnsi="仿宋" w:eastAsia="仿宋"/>
          <w:b/>
          <w:sz w:val="32"/>
          <w:szCs w:val="32"/>
        </w:rPr>
        <w:t>2、机关厉行节约</w:t>
      </w:r>
    </w:p>
    <w:p>
      <w:pPr>
        <w:spacing w:line="590" w:lineRule="exact"/>
        <w:ind w:firstLine="640" w:firstLineChars="200"/>
        <w:rPr>
          <w:rFonts w:ascii="仿宋" w:hAnsi="仿宋" w:eastAsia="仿宋"/>
          <w:sz w:val="32"/>
          <w:szCs w:val="32"/>
        </w:rPr>
      </w:pPr>
      <w:r>
        <w:rPr>
          <w:rFonts w:hint="eastAsia" w:ascii="仿宋" w:hAnsi="仿宋" w:eastAsia="仿宋"/>
          <w:sz w:val="32"/>
          <w:szCs w:val="32"/>
          <w:lang w:eastAsia="zh-CN"/>
        </w:rPr>
        <w:t>剑阁县上寺小学校</w:t>
      </w:r>
      <w:r>
        <w:rPr>
          <w:rFonts w:hint="eastAsia" w:ascii="仿宋" w:hAnsi="仿宋" w:eastAsia="仿宋"/>
          <w:sz w:val="32"/>
          <w:szCs w:val="32"/>
        </w:rPr>
        <w:t>认真执行中央八项规定，秉承开源节流的宗旨，严格管控三公经费支出，三公经费支出情况如下：</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（1）“三公”经费支出情况：</w:t>
      </w:r>
      <w:r>
        <w:rPr>
          <w:rFonts w:hint="eastAsia" w:ascii="仿宋" w:hAnsi="仿宋" w:eastAsia="仿宋"/>
          <w:sz w:val="32"/>
          <w:szCs w:val="32"/>
          <w:lang w:eastAsia="zh-CN"/>
        </w:rPr>
        <w:t>2022</w:t>
      </w:r>
      <w:r>
        <w:rPr>
          <w:rFonts w:hint="eastAsia" w:ascii="仿宋" w:hAnsi="仿宋" w:eastAsia="仿宋"/>
          <w:sz w:val="32"/>
          <w:szCs w:val="32"/>
        </w:rPr>
        <w:t>年公务接待费</w:t>
      </w:r>
      <w:r>
        <w:rPr>
          <w:rFonts w:hint="eastAsia" w:ascii="仿宋" w:hAnsi="仿宋" w:eastAsia="仿宋"/>
          <w:sz w:val="32"/>
          <w:szCs w:val="32"/>
          <w:lang w:val="en-US" w:eastAsia="zh-CN"/>
        </w:rPr>
        <w:t>0.38</w:t>
      </w:r>
      <w:r>
        <w:rPr>
          <w:rFonts w:hint="eastAsia" w:ascii="仿宋" w:hAnsi="仿宋" w:eastAsia="仿宋"/>
          <w:sz w:val="32"/>
          <w:szCs w:val="32"/>
        </w:rPr>
        <w:t>元，</w:t>
      </w:r>
      <w:r>
        <w:rPr>
          <w:rFonts w:hint="eastAsia" w:ascii="仿宋" w:hAnsi="仿宋" w:eastAsia="仿宋"/>
          <w:sz w:val="32"/>
          <w:szCs w:val="32"/>
          <w:lang w:eastAsia="zh-CN"/>
        </w:rPr>
        <w:t>2022</w:t>
      </w:r>
      <w:r>
        <w:rPr>
          <w:rFonts w:hint="eastAsia" w:ascii="仿宋" w:hAnsi="仿宋" w:eastAsia="仿宋"/>
          <w:sz w:val="32"/>
          <w:szCs w:val="32"/>
        </w:rPr>
        <w:t>年公务用车运行维护费</w:t>
      </w:r>
      <w:r>
        <w:rPr>
          <w:rFonts w:hint="eastAsia" w:ascii="仿宋" w:hAnsi="仿宋" w:eastAsia="仿宋"/>
          <w:sz w:val="32"/>
          <w:szCs w:val="32"/>
          <w:lang w:val="en-US" w:eastAsia="zh-CN"/>
        </w:rPr>
        <w:t>0</w:t>
      </w:r>
      <w:r>
        <w:rPr>
          <w:rFonts w:hint="eastAsia" w:ascii="仿宋" w:hAnsi="仿宋" w:eastAsia="仿宋"/>
          <w:sz w:val="32"/>
          <w:szCs w:val="32"/>
        </w:rPr>
        <w:t>万元，无因公出国（境）费预算及支出。</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（2）会议费支出情况：</w:t>
      </w:r>
      <w:r>
        <w:rPr>
          <w:rFonts w:hint="eastAsia" w:ascii="仿宋" w:hAnsi="仿宋" w:eastAsia="仿宋"/>
          <w:sz w:val="32"/>
          <w:szCs w:val="32"/>
          <w:lang w:eastAsia="zh-CN"/>
        </w:rPr>
        <w:t>2022</w:t>
      </w:r>
      <w:r>
        <w:rPr>
          <w:rFonts w:hint="eastAsia" w:ascii="仿宋" w:hAnsi="仿宋" w:eastAsia="仿宋"/>
          <w:sz w:val="32"/>
          <w:szCs w:val="32"/>
        </w:rPr>
        <w:t>年会议费用</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（3）培训费支出情况：</w:t>
      </w:r>
      <w:r>
        <w:rPr>
          <w:rFonts w:hint="eastAsia" w:ascii="仿宋" w:hAnsi="仿宋" w:eastAsia="仿宋"/>
          <w:sz w:val="32"/>
          <w:szCs w:val="32"/>
          <w:lang w:eastAsia="zh-CN"/>
        </w:rPr>
        <w:t>2022</w:t>
      </w:r>
      <w:r>
        <w:rPr>
          <w:rFonts w:hint="eastAsia" w:ascii="仿宋" w:hAnsi="仿宋" w:eastAsia="仿宋"/>
          <w:sz w:val="32"/>
          <w:szCs w:val="32"/>
        </w:rPr>
        <w:t>年培训费用</w:t>
      </w:r>
      <w:r>
        <w:rPr>
          <w:rFonts w:hint="eastAsia" w:ascii="仿宋" w:hAnsi="仿宋" w:eastAsia="仿宋"/>
          <w:sz w:val="32"/>
          <w:szCs w:val="32"/>
          <w:lang w:val="en-US" w:eastAsia="zh-CN"/>
        </w:rPr>
        <w:t>1</w:t>
      </w:r>
      <w:r>
        <w:rPr>
          <w:rFonts w:hint="eastAsia" w:ascii="仿宋" w:hAnsi="仿宋" w:eastAsia="仿宋"/>
          <w:sz w:val="32"/>
          <w:szCs w:val="32"/>
        </w:rPr>
        <w:t>万元。</w:t>
      </w:r>
    </w:p>
    <w:p>
      <w:pPr>
        <w:spacing w:line="590" w:lineRule="exact"/>
        <w:ind w:firstLine="642" w:firstLineChars="200"/>
        <w:rPr>
          <w:rFonts w:ascii="仿宋" w:hAnsi="仿宋" w:eastAsia="仿宋"/>
          <w:b/>
          <w:sz w:val="32"/>
          <w:szCs w:val="32"/>
        </w:rPr>
      </w:pPr>
      <w:r>
        <w:rPr>
          <w:rFonts w:hint="eastAsia" w:ascii="仿宋" w:hAnsi="仿宋" w:eastAsia="仿宋"/>
          <w:b/>
          <w:sz w:val="32"/>
          <w:szCs w:val="32"/>
        </w:rPr>
        <w:t>3.项目预算支出绩效</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（1）项目资金管理情况</w:t>
      </w:r>
    </w:p>
    <w:p>
      <w:pPr>
        <w:spacing w:line="590" w:lineRule="exact"/>
        <w:ind w:firstLine="640" w:firstLineChars="200"/>
        <w:rPr>
          <w:rFonts w:ascii="仿宋" w:hAnsi="仿宋" w:eastAsia="仿宋"/>
          <w:sz w:val="32"/>
          <w:szCs w:val="32"/>
        </w:rPr>
      </w:pPr>
      <w:r>
        <w:rPr>
          <w:rFonts w:hint="eastAsia" w:ascii="仿宋" w:hAnsi="仿宋" w:eastAsia="仿宋"/>
          <w:sz w:val="32"/>
          <w:szCs w:val="32"/>
          <w:lang w:eastAsia="zh-CN"/>
        </w:rPr>
        <w:t>剑阁县上寺小学校</w:t>
      </w:r>
      <w:r>
        <w:rPr>
          <w:rFonts w:hint="eastAsia" w:ascii="仿宋" w:hAnsi="仿宋" w:eastAsia="仿宋"/>
          <w:sz w:val="32"/>
          <w:szCs w:val="32"/>
        </w:rPr>
        <w:t>项目资金管理严格按照用款计划执行，按照项目资金管理办法实行专款专用。</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（2）绩效目标完成情况</w:t>
      </w:r>
    </w:p>
    <w:p>
      <w:pPr>
        <w:spacing w:line="590" w:lineRule="exact"/>
        <w:ind w:firstLine="640" w:firstLineChars="200"/>
        <w:rPr>
          <w:rFonts w:ascii="仿宋" w:hAnsi="仿宋" w:eastAsia="仿宋" w:cs="宋体"/>
          <w:kern w:val="0"/>
          <w:sz w:val="32"/>
          <w:szCs w:val="32"/>
          <w:shd w:val="clear" w:color="auto" w:fill="FFFFFF"/>
        </w:rPr>
      </w:pPr>
      <w:r>
        <w:rPr>
          <w:rFonts w:hint="eastAsia" w:ascii="仿宋" w:hAnsi="仿宋" w:eastAsia="仿宋"/>
          <w:sz w:val="32"/>
          <w:szCs w:val="32"/>
          <w:lang w:eastAsia="zh-CN"/>
        </w:rPr>
        <w:t>剑阁县上寺小学校</w:t>
      </w:r>
      <w:r>
        <w:rPr>
          <w:rFonts w:hint="eastAsia" w:ascii="仿宋" w:hAnsi="仿宋" w:eastAsia="仿宋"/>
          <w:sz w:val="32"/>
          <w:szCs w:val="32"/>
        </w:rPr>
        <w:t>在资金的管理和使用上，按照年初预算，严守法律底线、纪律底线，无违反财务管理规定、财经纪律情况发生。会计核算真实完整，项目资金支出和原定用途、预算批复用途相符，财政资金使用效率进一步提高。特别是在各类项目资金的管理使用上，严格按照及时拨付，全面完成了各项目标任务。</w:t>
      </w:r>
    </w:p>
    <w:p>
      <w:pPr>
        <w:widowControl/>
        <w:adjustRightInd w:val="0"/>
        <w:snapToGrid w:val="0"/>
        <w:spacing w:line="576"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仿宋" w:hAnsi="仿宋" w:eastAsia="仿宋" w:cs="Times New Roman"/>
          <w:sz w:val="32"/>
          <w:szCs w:val="32"/>
          <w:lang w:val="en-US" w:eastAsia="zh-CN"/>
        </w:rPr>
      </w:pPr>
      <w:r>
        <w:rPr>
          <w:rFonts w:hint="eastAsia" w:ascii="仿宋" w:hAnsi="仿宋" w:eastAsia="仿宋"/>
          <w:sz w:val="32"/>
          <w:szCs w:val="32"/>
          <w:lang w:eastAsia="zh-CN"/>
        </w:rPr>
        <w:t>剑阁县上寺小学校</w:t>
      </w: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w:t>
      </w:r>
      <w:bookmarkStart w:id="73" w:name="_GoBack"/>
      <w:bookmarkEnd w:id="73"/>
      <w:r>
        <w:rPr>
          <w:rFonts w:hint="eastAsia" w:ascii="仿宋" w:hAnsi="仿宋" w:eastAsia="仿宋"/>
          <w:sz w:val="32"/>
          <w:szCs w:val="32"/>
        </w:rPr>
        <w:t>法》按时完成预、决算编制。在执行过程中有计划</w:t>
      </w:r>
      <w:r>
        <w:rPr>
          <w:rFonts w:hint="eastAsia" w:ascii="仿宋" w:hAnsi="仿宋" w:eastAsia="仿宋"/>
          <w:sz w:val="32"/>
          <w:szCs w:val="32"/>
          <w:lang w:eastAsia="zh-CN"/>
        </w:rPr>
        <w:t>地</w:t>
      </w:r>
      <w:r>
        <w:rPr>
          <w:rFonts w:hint="eastAsia" w:ascii="仿宋" w:hAnsi="仿宋" w:eastAsia="仿宋"/>
          <w:sz w:val="32"/>
          <w:szCs w:val="32"/>
        </w:rPr>
        <w:t>进行资金申报、使用，完善资金管理及</w:t>
      </w:r>
      <w:r>
        <w:rPr>
          <w:rFonts w:hint="eastAsia" w:ascii="仿宋" w:hAnsi="仿宋" w:eastAsia="仿宋" w:cs="Times New Roman"/>
          <w:sz w:val="32"/>
          <w:szCs w:val="32"/>
        </w:rPr>
        <w:t>内部控制制度，确保资金安全，做到账款、账账、账实相符。</w:t>
      </w:r>
      <w:r>
        <w:rPr>
          <w:rFonts w:hint="eastAsia" w:ascii="仿宋" w:hAnsi="仿宋" w:eastAsia="仿宋" w:cs="Times New Roman"/>
          <w:sz w:val="32"/>
          <w:szCs w:val="32"/>
          <w:lang w:val="en-US" w:eastAsia="zh-CN"/>
        </w:rPr>
        <w:t>加强预算绩效管理，增强预算约束力，做好预算项目支出绩效目标及各项绩效指标的细化、量化工作，用好用活各类财政资金，提高财政资金的使用效益。</w:t>
      </w:r>
    </w:p>
    <w:p>
      <w:pPr>
        <w:spacing w:line="590" w:lineRule="exact"/>
        <w:ind w:firstLine="640" w:firstLineChars="200"/>
        <w:rPr>
          <w:rFonts w:ascii="仿宋" w:hAnsi="仿宋" w:eastAsia="仿宋"/>
          <w:sz w:val="32"/>
          <w:szCs w:val="32"/>
        </w:rPr>
      </w:pPr>
    </w:p>
    <w:p>
      <w:pPr>
        <w:spacing w:line="600" w:lineRule="exact"/>
        <w:outlineLvl w:val="0"/>
        <w:rPr>
          <w:rFonts w:ascii="仿宋" w:hAnsi="仿宋" w:eastAsia="仿宋"/>
          <w:sz w:val="32"/>
          <w:szCs w:val="32"/>
        </w:rPr>
      </w:pPr>
    </w:p>
    <w:p>
      <w:pPr>
        <w:widowControl/>
        <w:jc w:val="left"/>
        <w:rPr>
          <w:lang w:val="zh-CN"/>
        </w:rPr>
      </w:pPr>
      <w:bookmarkStart w:id="58" w:name="_Toc15377226"/>
      <w:r>
        <w:rPr>
          <w:rFonts w:ascii="仿宋" w:hAnsi="仿宋" w:eastAsia="仿宋"/>
          <w:b/>
          <w:sz w:val="32"/>
          <w:szCs w:val="32"/>
        </w:rPr>
        <w:br w:type="page"/>
      </w:r>
    </w:p>
    <w:p>
      <w:pPr>
        <w:keepNext w:val="0"/>
        <w:keepLines w:val="0"/>
        <w:widowControl/>
        <w:suppressLineNumbers w:val="0"/>
        <w:jc w:val="center"/>
        <w:rPr>
          <w:rFonts w:hint="eastAsia" w:ascii="华文宋体" w:hAnsi="华文宋体" w:eastAsia="华文宋体" w:cs="华文宋体"/>
          <w:b/>
          <w:bCs/>
          <w:sz w:val="36"/>
          <w:szCs w:val="36"/>
        </w:rPr>
      </w:pPr>
      <w:bookmarkStart w:id="59" w:name="_Toc15396618"/>
      <w:r>
        <w:rPr>
          <w:rFonts w:hint="eastAsia" w:ascii="华文宋体" w:hAnsi="华文宋体" w:eastAsia="华文宋体" w:cs="华文宋体"/>
          <w:b/>
          <w:bCs/>
          <w:color w:val="000000"/>
          <w:kern w:val="0"/>
          <w:sz w:val="36"/>
          <w:szCs w:val="36"/>
          <w:lang w:val="en-US" w:eastAsia="zh-CN" w:bidi="ar"/>
        </w:rPr>
        <w:t>剑阁县上寺小学校</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2022年义务教育日常公用经费项目绩效自评报告 </w:t>
      </w:r>
    </w:p>
    <w:p>
      <w:pPr>
        <w:keepNext w:val="0"/>
        <w:keepLines w:val="0"/>
        <w:widowControl/>
        <w:suppressLineNumbers w:val="0"/>
        <w:ind w:firstLine="843" w:firstLineChars="3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一、项目概况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（一）项目基本情况。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为了保障义务教育学校正常运转、完成教育教学活动和其他日常工作任务等方面支出的费用。按照《四川省人民政府关于进一步 完善城乡义务教育经费保障机制的实施意见》(川府发[2016] 9 号) 和《四川省人民政府办公厅关于印发〈四川省基本公共服务领域省与市县共同财政事权和支出责任划分改革方案〉的通知》(川办发[2019]16 号)规定，我单位根据在籍学生人数，按照 650 元/生·年的标准，义务教育阶段残疾学生按 6000元/生·年的标准编制预算；其中教师培训费不低于学校年度公用经费预算总额的 5%，并细化到经济分类款级科目。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1.项目主要内容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贯彻党的教育方针，保障学校正常运转，提升教师业务素养，促进基础教育均衡发展。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2.项目应实现的具体绩效目标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产出指标</w:t>
      </w:r>
      <w:r>
        <w:rPr>
          <w:rFonts w:hint="eastAsia" w:ascii="华文宋体" w:hAnsi="华文宋体" w:eastAsia="华文宋体" w:cs="华文宋体"/>
          <w:color w:val="000000"/>
          <w:kern w:val="0"/>
          <w:sz w:val="28"/>
          <w:szCs w:val="28"/>
          <w:lang w:val="en-US" w:eastAsia="zh-CN" w:bidi="ar"/>
        </w:rPr>
        <w:t>：学校开足开齐课程，教师培训 100%合格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效益指标</w:t>
      </w:r>
      <w:r>
        <w:rPr>
          <w:rFonts w:hint="eastAsia" w:ascii="华文宋体" w:hAnsi="华文宋体" w:eastAsia="华文宋体" w:cs="华文宋体"/>
          <w:color w:val="000000"/>
          <w:kern w:val="0"/>
          <w:sz w:val="28"/>
          <w:szCs w:val="28"/>
          <w:lang w:val="en-US" w:eastAsia="zh-CN" w:bidi="ar"/>
        </w:rPr>
        <w:t>：小学毕业升学率 100%，没有一个学生辍学，保障青少年健康成长。</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满意度指标</w:t>
      </w:r>
      <w:r>
        <w:rPr>
          <w:rFonts w:hint="eastAsia" w:ascii="华文宋体" w:hAnsi="华文宋体" w:eastAsia="华文宋体" w:cs="华文宋体"/>
          <w:color w:val="000000"/>
          <w:kern w:val="0"/>
          <w:sz w:val="28"/>
          <w:szCs w:val="28"/>
          <w:lang w:val="en-US" w:eastAsia="zh-CN" w:bidi="ar"/>
        </w:rPr>
        <w:t xml:space="preserve">：社会满意度达95%以上。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3．本项目是一个贯穿学校教育教学工作的全过程，实施后能保障学校工作正常运转，办好群众家门口的优质教育，且具有可持续性，社会效益凸显，申报目标是合理可行。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（三）项目自评步骤及方法。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建立各类会计及相关人员的岗位责任制，明确各岗位的职责和权限合理设置岗位，每期期末要及时公布账务，积极接受上级财务主管各项督查，及时申报各类财务数据。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1.学校根据年初支出预算开支经费，严格按照学校经费开支制度执行和资金使用范围列支经费。在经费的列支中，外出培训、学习等费用能按照规定执行，该由单位支付的由单位报销，该由个人承担的费用，学校不予报销。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2.学校办公用品的采购均由学校总务处负责，大宗物品的采购均按程序办理。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3.所有支出凭证都有经手人、验收人或证明人、领导签字审批。从而杜绝了支出无序操作，确保了资金合理使用。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4.在经费支出过程中，所有原始凭证合理、合规，做到了内容真实、完整，凭证合法，手续齐全。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二、项目资金申报及使用情况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（一）项目资金申报及批复情况。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在规定时间内部门及时申报项目资金，及时接收财政局批复情 况。 </w:t>
      </w:r>
    </w:p>
    <w:p>
      <w:pPr>
        <w:keepNext w:val="0"/>
        <w:keepLines w:val="0"/>
        <w:widowControl/>
        <w:numPr>
          <w:ilvl w:val="0"/>
          <w:numId w:val="5"/>
        </w:numPr>
        <w:suppressLineNumbers w:val="0"/>
        <w:ind w:left="0" w:leftChars="0"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 xml:space="preserve">资金计划、到位及使用情况 </w:t>
      </w:r>
    </w:p>
    <w:p>
      <w:pPr>
        <w:pStyle w:val="5"/>
        <w:rPr>
          <w:rFonts w:hint="eastAsia"/>
          <w:lang w:val="en-US" w:eastAsia="zh-CN"/>
        </w:rPr>
      </w:pPr>
    </w:p>
    <w:tbl>
      <w:tblPr>
        <w:tblStyle w:val="1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704"/>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项目名称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义务教育日常公用经费支出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王君朝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主管</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部门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kern w:val="0"/>
                <w:sz w:val="24"/>
                <w:szCs w:val="24"/>
                <w:u w:val="none"/>
                <w:lang w:val="en-US" w:eastAsia="zh-CN" w:bidi="ar"/>
              </w:rPr>
              <w:t>剑阁县上寺小学校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资金</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情况</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全年预算数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全年执行数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w:t>
            </w:r>
            <w:r>
              <w:rPr>
                <w:rStyle w:val="31"/>
                <w:rFonts w:hint="eastAsia" w:ascii="华文宋体" w:hAnsi="华文宋体" w:eastAsia="华文宋体" w:cs="华文宋体"/>
                <w:sz w:val="24"/>
                <w:szCs w:val="24"/>
                <w:lang w:val="en-US" w:eastAsia="zh-CN" w:bidi="ar"/>
              </w:rPr>
              <w:t>B</w:t>
            </w:r>
            <w:r>
              <w:rPr>
                <w:rStyle w:val="30"/>
                <w:rFonts w:hint="eastAsia" w:ascii="华文宋体" w:hAnsi="华文宋体" w:eastAsia="华文宋体" w:cs="华文宋体"/>
                <w:sz w:val="24"/>
                <w:szCs w:val="24"/>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执行率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w:t>
            </w:r>
            <w:r>
              <w:rPr>
                <w:rStyle w:val="31"/>
                <w:rFonts w:hint="eastAsia" w:ascii="华文宋体" w:hAnsi="华文宋体" w:eastAsia="华文宋体" w:cs="华文宋体"/>
                <w:sz w:val="24"/>
                <w:szCs w:val="24"/>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单位 （万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17.53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sz w:val="24"/>
                <w:szCs w:val="24"/>
                <w:u w:val="none"/>
                <w:lang w:val="en-US" w:eastAsia="zh-CN"/>
              </w:rPr>
              <w:t>17.53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其中：中央，</w:t>
            </w:r>
          </w:p>
          <w:p>
            <w:pPr>
              <w:keepNext w:val="0"/>
              <w:keepLines w:val="0"/>
              <w:widowControl/>
              <w:suppressLineNumbers w:val="0"/>
              <w:jc w:val="left"/>
              <w:textAlignment w:val="center"/>
              <w:rPr>
                <w:rStyle w:val="30"/>
                <w:rFonts w:hint="eastAsia" w:ascii="华文宋体" w:hAnsi="华文宋体" w:eastAsia="华文宋体" w:cs="华文宋体"/>
                <w:sz w:val="24"/>
                <w:szCs w:val="24"/>
                <w:lang w:val="en-US" w:eastAsia="zh-CN" w:bidi="ar"/>
              </w:rPr>
            </w:pPr>
            <w:r>
              <w:rPr>
                <w:rStyle w:val="30"/>
                <w:rFonts w:hint="eastAsia" w:ascii="华文宋体" w:hAnsi="华文宋体" w:eastAsia="华文宋体" w:cs="华文宋体"/>
                <w:sz w:val="24"/>
                <w:szCs w:val="24"/>
                <w:lang w:val="en-US" w:eastAsia="zh-CN" w:bidi="ar"/>
              </w:rPr>
              <w:t>省、市财政资</w:t>
            </w:r>
          </w:p>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Style w:val="30"/>
                <w:rFonts w:hint="eastAsia" w:ascii="华文宋体" w:hAnsi="华文宋体" w:eastAsia="华文宋体" w:cs="华文宋体"/>
                <w:sz w:val="24"/>
                <w:szCs w:val="24"/>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sz w:val="24"/>
                <w:szCs w:val="24"/>
                <w:u w:val="none"/>
                <w:lang w:val="en-US" w:eastAsia="zh-CN"/>
              </w:rPr>
              <w:t>17.53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4"/>
                <w:szCs w:val="24"/>
                <w:u w:val="none"/>
                <w:lang w:val="en-US"/>
              </w:rPr>
            </w:pPr>
            <w:r>
              <w:rPr>
                <w:rFonts w:hint="eastAsia" w:ascii="华文宋体" w:hAnsi="华文宋体" w:eastAsia="华文宋体" w:cs="华文宋体"/>
                <w:i w:val="0"/>
                <w:iCs w:val="0"/>
                <w:color w:val="000000"/>
                <w:sz w:val="24"/>
                <w:szCs w:val="24"/>
                <w:u w:val="none"/>
                <w:lang w:val="en-US" w:eastAsia="zh-CN"/>
              </w:rPr>
              <w:t>17.53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4"/>
                <w:szCs w:val="24"/>
                <w:u w:val="none"/>
              </w:rPr>
            </w:pPr>
          </w:p>
        </w:tc>
      </w:tr>
    </w:tbl>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(三）项目财务管理情况。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 xml:space="preserve">单位项目实施财务管理制度健全，严格执行财务管理制度，账务处理及时，会计核算规范。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三、项目实施及管理情况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（一）项目组织架构及实施流程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申报项目→项目执行→项目监督→项目评价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（二）项目管理情况。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根据上级部门的要求，我单位不断加强自身的制度建设，进行 不断的梳理和完善，对义务教育日常公用经费支出的各环节加强 制约，不断完善新业务的操作规程和流程，同时加强考核，以考核 促提高，以提高促发展。从制度、会计、审计、全等多方面，形 成相互融通相互制约机制。我单位专门成立业务检查小组，定期、不定期对人员进行考核、检查，并结合案件“专项治理”工作，全 面提高制度执行力。 对财务会计方面，实行领导负责制，对我单位进行管理和检查，实行报告制。①加强学习和内部管理。对上级部门下发的各类文件 和规章制度及时组织内部人员进行学习，并严格按照操作流程办理各项业务，确保结算和核算质量；②加强核算，提高经营效益。③切实加强财务管理制度，合理使用资金。严格按上级部门规定列支 各项费用，坚持勤俭节约，不铺张浪费。</w:t>
      </w:r>
    </w:p>
    <w:p>
      <w:pPr>
        <w:keepNext w:val="0"/>
        <w:keepLines w:val="0"/>
        <w:widowControl/>
        <w:numPr>
          <w:ilvl w:val="0"/>
          <w:numId w:val="5"/>
        </w:numPr>
        <w:suppressLineNumbers w:val="0"/>
        <w:ind w:left="0" w:leftChars="0"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项目监管情况。</w:t>
      </w:r>
    </w:p>
    <w:p>
      <w:pPr>
        <w:keepNext w:val="0"/>
        <w:keepLines w:val="0"/>
        <w:widowControl/>
        <w:numPr>
          <w:ilvl w:val="0"/>
          <w:numId w:val="0"/>
        </w:numPr>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剑阁县上寺小学校义务教育日常公用经费项目的实施，确保</w:t>
      </w:r>
    </w:p>
    <w:p>
      <w:pPr>
        <w:keepNext w:val="0"/>
        <w:keepLines w:val="0"/>
        <w:widowControl/>
        <w:numPr>
          <w:ilvl w:val="0"/>
          <w:numId w:val="0"/>
        </w:numPr>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了学校教育教学秩序的正常运转，努力办好群众家门口的优质教育，改善了育人环境，产生了良好的社会效益。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四、项目绩效情况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（一）项目完成情况。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剑阁县上寺小学校在剑阁县人民政府、剑阁县财政局和剑阁县教育局的领导下，于2022年年初制定了绩效目标，经过一年的 管理，我单位义务教育日常公用经费支出绩效目标管理比较理想， 达到了年初设定的目标。在编制预算时，充分考虑的学校的资金需求情况，结合上级要求，支出是分上下半年，按计划按实际 需求使用预算资金，会计核算也真实、准确。单位上报的计划上级 单位也及时进行了支付。各项支出严格按照各项制度进行，资金使用规范，无违规情况出现。今后，我们将进一步严格执行财务管理的规章制度，完善学校财务内控的长效机制，努力做好学校财务管理工作，力争再上新台阶。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（二）项目效益情况。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本项目实施组织严密，管理规范有序，资金使用管理到位，社 会经济效益凸显。</w:t>
      </w:r>
    </w:p>
    <w:p>
      <w:pPr>
        <w:keepNext w:val="0"/>
        <w:keepLines w:val="0"/>
        <w:widowControl/>
        <w:numPr>
          <w:ilvl w:val="0"/>
          <w:numId w:val="6"/>
        </w:numPr>
        <w:suppressLineNumbers w:val="0"/>
        <w:ind w:firstLine="562"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社会效益：</w:t>
      </w:r>
      <w:r>
        <w:rPr>
          <w:rFonts w:hint="eastAsia" w:ascii="华文宋体" w:hAnsi="华文宋体" w:eastAsia="华文宋体" w:cs="华文宋体"/>
          <w:color w:val="000000"/>
          <w:kern w:val="0"/>
          <w:sz w:val="28"/>
          <w:szCs w:val="28"/>
          <w:lang w:val="en-US" w:eastAsia="zh-CN" w:bidi="ar"/>
        </w:rPr>
        <w:t xml:space="preserve">通过项目的实施，规范了办学环境，营造了良好教育教学秩序，从而促进学校良性发展，赢得社会广泛赞誉。 </w:t>
      </w:r>
    </w:p>
    <w:p>
      <w:pPr>
        <w:keepNext w:val="0"/>
        <w:keepLines w:val="0"/>
        <w:widowControl/>
        <w:numPr>
          <w:ilvl w:val="0"/>
          <w:numId w:val="0"/>
        </w:numPr>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2.可持续发展影响：</w:t>
      </w:r>
      <w:r>
        <w:rPr>
          <w:rFonts w:hint="eastAsia" w:ascii="华文宋体" w:hAnsi="华文宋体" w:eastAsia="华文宋体" w:cs="华文宋体"/>
          <w:color w:val="000000"/>
          <w:kern w:val="0"/>
          <w:sz w:val="28"/>
          <w:szCs w:val="28"/>
          <w:lang w:val="en-US" w:eastAsia="zh-CN" w:bidi="ar"/>
        </w:rPr>
        <w:t xml:space="preserve">家长认可，学生健康成长，教育质量得到辖区人民群众的一致认可。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3.家长满意度：</w:t>
      </w:r>
      <w:r>
        <w:rPr>
          <w:rFonts w:hint="eastAsia" w:ascii="华文宋体" w:hAnsi="华文宋体" w:eastAsia="华文宋体" w:cs="华文宋体"/>
          <w:color w:val="000000"/>
          <w:kern w:val="0"/>
          <w:sz w:val="28"/>
          <w:szCs w:val="28"/>
          <w:lang w:val="en-US" w:eastAsia="zh-CN" w:bidi="ar"/>
        </w:rPr>
        <w:t xml:space="preserve">学生监护人对学校办学质量高度认可，满意度达到95%以上。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五、评价结论及建议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（一）评价结论。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我校2022年严格执行年初部门预算，义务教育日常公用经费支出资金使用及管理规范，制度落实到位，绩效考核目标任务圆满完成：通过学校绩效评价工作的开展，校内工作氛围融洽，办学效益显著，群众满意度高。根据我单位对义务教育日常公用经费项目绩效评价指标表评价，本次评价等次为：优。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（二）存在的问题。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随着资金管理改革的进一步推进，学校内控制度需要进一步地完善并强化财务约束监督体制。要继续加强财务管理水平，提高公用经费规范使用，促进资金使用利益最大化。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（三）相关建议。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①进一步提高预算编制到位率，做准做全基本支出预算，做全项目支出预算，加强预算支出的审核、跟踪及预算执行情况分析，提高预算编制严谨性和可控性。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②严格实行项目管理程序化，实现项目申报、实施、拨付、评价全流程监督与控制，规范专项资金管理，提高专项资金的使用效益，更好地履行义务教育均衡发展的职能。 </w:t>
      </w: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p>
      <w:pPr>
        <w:keepNext w:val="0"/>
        <w:keepLines w:val="0"/>
        <w:widowControl/>
        <w:suppressLineNumbers w:val="0"/>
        <w:jc w:val="left"/>
        <w:rPr>
          <w:rFonts w:hint="eastAsia" w:ascii="华文宋体" w:hAnsi="华文宋体" w:eastAsia="华文宋体" w:cs="华文宋体"/>
          <w:color w:val="000000"/>
          <w:kern w:val="0"/>
          <w:sz w:val="28"/>
          <w:szCs w:val="28"/>
          <w:lang w:val="en-US" w:eastAsia="zh-CN" w:bidi="ar"/>
        </w:rPr>
      </w:pPr>
    </w:p>
    <w:tbl>
      <w:tblPr>
        <w:tblStyle w:val="12"/>
        <w:tblpPr w:leftFromText="180" w:rightFromText="180" w:vertAnchor="text" w:horzAnchor="page" w:tblpX="1401" w:tblpY="278"/>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keepNext w:val="0"/>
              <w:keepLines w:val="0"/>
              <w:widowControl/>
              <w:suppressLineNumbers w:val="0"/>
              <w:jc w:val="center"/>
              <w:rPr>
                <w:rFonts w:hint="eastAsia" w:ascii="华文宋体" w:hAnsi="华文宋体" w:eastAsia="华文宋体" w:cs="华文宋体"/>
                <w:b/>
                <w:bCs/>
                <w:color w:val="000000"/>
                <w:kern w:val="0"/>
                <w:sz w:val="32"/>
                <w:szCs w:val="32"/>
                <w:lang w:val="en-US" w:eastAsia="zh-CN" w:bidi="ar"/>
              </w:rPr>
            </w:pPr>
            <w:r>
              <w:rPr>
                <w:rFonts w:hint="eastAsia" w:ascii="华文宋体" w:hAnsi="华文宋体" w:eastAsia="华文宋体" w:cs="华文宋体"/>
                <w:b/>
                <w:bCs/>
                <w:color w:val="000000"/>
                <w:kern w:val="0"/>
                <w:sz w:val="32"/>
                <w:szCs w:val="32"/>
                <w:lang w:val="en-US" w:eastAsia="zh-CN" w:bidi="ar"/>
              </w:rPr>
              <w:t>2022年剑阁县上寺小学校</w:t>
            </w:r>
          </w:p>
          <w:p>
            <w:pPr>
              <w:keepNext w:val="0"/>
              <w:keepLines w:val="0"/>
              <w:widowControl/>
              <w:suppressLineNumbers w:val="0"/>
              <w:jc w:val="center"/>
              <w:rPr>
                <w:rFonts w:hint="eastAsia" w:ascii="华文宋体" w:hAnsi="华文宋体" w:eastAsia="华文宋体" w:cs="华文宋体"/>
                <w:b/>
                <w:sz w:val="24"/>
                <w:szCs w:val="24"/>
              </w:rPr>
            </w:pPr>
            <w:r>
              <w:rPr>
                <w:rFonts w:hint="eastAsia" w:ascii="华文宋体" w:hAnsi="华文宋体" w:eastAsia="华文宋体" w:cs="华文宋体"/>
                <w:b/>
                <w:bCs/>
                <w:color w:val="000000"/>
                <w:kern w:val="0"/>
                <w:sz w:val="32"/>
                <w:szCs w:val="32"/>
                <w:lang w:val="en-US" w:eastAsia="zh-CN" w:bidi="ar"/>
              </w:rPr>
              <w:t>义务教育日常公用经费</w:t>
            </w:r>
            <w:r>
              <w:rPr>
                <w:rFonts w:hint="eastAsia" w:ascii="华文宋体" w:hAnsi="华文宋体" w:eastAsia="华文宋体" w:cs="华文宋体"/>
                <w:b/>
                <w:sz w:val="32"/>
                <w:szCs w:val="32"/>
              </w:rPr>
              <w:t>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hint="eastAsia" w:ascii="华文宋体" w:hAnsi="华文宋体" w:eastAsia="华文宋体" w:cs="华文宋体"/>
                <w:b/>
                <w:kern w:val="0"/>
                <w:sz w:val="24"/>
                <w:szCs w:val="24"/>
              </w:rPr>
            </w:pPr>
          </w:p>
        </w:tc>
      </w:tr>
      <w:tr>
        <w:tblPrEx>
          <w:tblCellMar>
            <w:top w:w="0" w:type="dxa"/>
            <w:left w:w="108" w:type="dxa"/>
            <w:bottom w:w="0" w:type="dxa"/>
            <w:right w:w="108" w:type="dxa"/>
          </w:tblCellMar>
        </w:tblPrEx>
        <w:trPr>
          <w:gridAfter w:val="1"/>
          <w:wAfter w:w="236" w:type="dxa"/>
          <w:trHeight w:val="295"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611696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剑阁县上寺小学校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项目预算</w:t>
            </w:r>
          </w:p>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执行情况</w:t>
            </w:r>
          </w:p>
          <w:p>
            <w:pPr>
              <w:jc w:val="cente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i w:val="0"/>
                <w:iCs w:val="0"/>
                <w:color w:val="000000"/>
                <w:sz w:val="24"/>
                <w:szCs w:val="24"/>
                <w:u w:val="none"/>
                <w:lang w:val="en-US" w:eastAsia="zh-CN"/>
              </w:rPr>
              <w:t>17.53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i w:val="0"/>
                <w:iCs w:val="0"/>
                <w:color w:val="000000"/>
                <w:sz w:val="24"/>
                <w:szCs w:val="24"/>
                <w:u w:val="none"/>
                <w:lang w:val="en-US" w:eastAsia="zh-CN"/>
              </w:rPr>
              <w:t>17.53</w:t>
            </w:r>
          </w:p>
        </w:tc>
      </w:tr>
      <w:tr>
        <w:tblPrEx>
          <w:tblCellMar>
            <w:top w:w="0" w:type="dxa"/>
            <w:left w:w="108" w:type="dxa"/>
            <w:bottom w:w="0" w:type="dxa"/>
            <w:right w:w="108" w:type="dxa"/>
          </w:tblCellMar>
        </w:tblPrEx>
        <w:trPr>
          <w:gridAfter w:val="1"/>
          <w:wAfter w:w="236" w:type="dxa"/>
          <w:trHeight w:val="64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其中：</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i w:val="0"/>
                <w:iCs w:val="0"/>
                <w:color w:val="000000"/>
                <w:sz w:val="24"/>
                <w:szCs w:val="24"/>
                <w:u w:val="none"/>
                <w:lang w:val="en-US" w:eastAsia="zh-CN"/>
              </w:rPr>
              <w:t>17.53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其中：</w:t>
            </w:r>
          </w:p>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华文宋体" w:hAnsi="华文宋体" w:eastAsia="华文宋体" w:cs="华文宋体"/>
                <w:sz w:val="21"/>
                <w:szCs w:val="21"/>
                <w:lang w:val="en-US" w:eastAsia="zh-CN"/>
              </w:rPr>
            </w:pPr>
            <w:r>
              <w:rPr>
                <w:rFonts w:hint="eastAsia" w:ascii="华文宋体" w:hAnsi="华文宋体" w:eastAsia="华文宋体" w:cs="华文宋体"/>
                <w:i w:val="0"/>
                <w:iCs w:val="0"/>
                <w:color w:val="000000"/>
                <w:sz w:val="24"/>
                <w:szCs w:val="24"/>
                <w:u w:val="none"/>
                <w:lang w:val="en-US" w:eastAsia="zh-CN"/>
              </w:rPr>
              <w:t>17.53</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年度总体目标</w:t>
            </w:r>
          </w:p>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保障学校正常运转，营造良好育人氛围教师 培训合格率 100%。 </w:t>
            </w:r>
          </w:p>
          <w:p>
            <w:pPr>
              <w:rPr>
                <w:rFonts w:hint="eastAsia" w:ascii="华文宋体" w:hAnsi="华文宋体" w:eastAsia="华文宋体" w:cs="华文宋体"/>
                <w:sz w:val="21"/>
                <w:szCs w:val="21"/>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及时支付各种正常支出，保证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单位正常运转，出色完成各项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工作任务。</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sz w:val="21"/>
                <w:szCs w:val="21"/>
              </w:rPr>
            </w:pPr>
            <w:r>
              <w:rPr>
                <w:rFonts w:hint="eastAsia" w:ascii="华文宋体" w:hAnsi="华文宋体" w:eastAsia="华文宋体" w:cs="华文宋体"/>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一级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二级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三级</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完成</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惠及学生人数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81人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81人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教师培训合格率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目标完成时间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2022年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2022年</w:t>
            </w:r>
          </w:p>
        </w:tc>
      </w:tr>
      <w:tr>
        <w:tblPrEx>
          <w:tblCellMar>
            <w:top w:w="0" w:type="dxa"/>
            <w:left w:w="108" w:type="dxa"/>
            <w:bottom w:w="0" w:type="dxa"/>
            <w:right w:w="108" w:type="dxa"/>
          </w:tblCellMar>
        </w:tblPrEx>
        <w:trPr>
          <w:gridAfter w:val="1"/>
          <w:wAfter w:w="236" w:type="dxa"/>
          <w:trHeight w:val="1003"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财政预算足额保障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eastAsia="zh-CN"/>
              </w:rPr>
            </w:pPr>
            <w:r>
              <w:rPr>
                <w:rFonts w:hint="eastAsia" w:ascii="华文宋体" w:hAnsi="华文宋体" w:eastAsia="华文宋体" w:cs="华文宋体"/>
                <w:sz w:val="21"/>
                <w:szCs w:val="21"/>
              </w:rPr>
              <w:t>效益</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保障单位各项工作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正常运转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达到预期目标</w:t>
            </w:r>
          </w:p>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学生毕业率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100%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90" w:hRule="atLeast"/>
        </w:trPr>
        <w:tc>
          <w:tcPr>
            <w:tcW w:w="1976" w:type="dxa"/>
            <w:vMerge w:val="continue"/>
            <w:tcBorders>
              <w:left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办好群众满意的优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质教育</w:t>
            </w:r>
          </w:p>
          <w:p>
            <w:pPr>
              <w:rPr>
                <w:rFonts w:hint="eastAsia" w:ascii="华文宋体" w:hAnsi="华文宋体" w:eastAsia="华文宋体" w:cs="华文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p>
            <w:pPr>
              <w:rPr>
                <w:rFonts w:hint="eastAsia" w:ascii="华文宋体" w:hAnsi="华文宋体" w:eastAsia="华文宋体" w:cs="华文宋体"/>
                <w:sz w:val="21"/>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达到预期 </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目标 </w:t>
            </w:r>
          </w:p>
          <w:p>
            <w:pPr>
              <w:rPr>
                <w:rFonts w:hint="eastAsia" w:ascii="华文宋体" w:hAnsi="华文宋体" w:eastAsia="华文宋体" w:cs="华文宋体"/>
                <w:sz w:val="21"/>
                <w:szCs w:val="21"/>
              </w:rPr>
            </w:pP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eastAsia="zh-CN"/>
              </w:rPr>
            </w:pPr>
            <w:r>
              <w:rPr>
                <w:rFonts w:hint="eastAsia" w:ascii="华文宋体" w:hAnsi="华文宋体" w:eastAsia="华文宋体" w:cs="华文宋体"/>
                <w:sz w:val="21"/>
                <w:szCs w:val="21"/>
              </w:rPr>
              <w:t>满意</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满意度</w:t>
            </w:r>
          </w:p>
          <w:p>
            <w:pPr>
              <w:rPr>
                <w:rFonts w:hint="eastAsia" w:ascii="华文宋体" w:hAnsi="华文宋体" w:eastAsia="华文宋体" w:cs="华文宋体"/>
                <w:sz w:val="21"/>
                <w:szCs w:val="21"/>
              </w:rPr>
            </w:pPr>
            <w:r>
              <w:rPr>
                <w:rFonts w:hint="eastAsia" w:ascii="华文宋体" w:hAnsi="华文宋体" w:eastAsia="华文宋体" w:cs="华文宋体"/>
                <w:sz w:val="21"/>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rPr>
            </w:pPr>
            <w:r>
              <w:rPr>
                <w:rFonts w:hint="eastAsia" w:ascii="华文宋体" w:hAnsi="华文宋体" w:eastAsia="华文宋体" w:cs="华文宋体"/>
                <w:sz w:val="21"/>
                <w:szCs w:val="21"/>
                <w:lang w:val="en-US" w:eastAsia="zh-CN"/>
              </w:rPr>
              <w:t xml:space="preserve">社会满意度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华文宋体" w:hAnsi="华文宋体" w:eastAsia="华文宋体" w:cs="华文宋体"/>
                <w:sz w:val="21"/>
                <w:szCs w:val="21"/>
                <w:lang w:val="en-US" w:eastAsia="zh-CN"/>
              </w:rPr>
            </w:pPr>
            <w:r>
              <w:rPr>
                <w:rFonts w:hint="eastAsia" w:ascii="华文宋体" w:hAnsi="华文宋体" w:eastAsia="华文宋体" w:cs="华文宋体"/>
                <w:sz w:val="21"/>
                <w:szCs w:val="21"/>
                <w:lang w:val="en-US" w:eastAsia="zh-CN"/>
              </w:rPr>
              <w:t>96%以上</w:t>
            </w:r>
          </w:p>
        </w:tc>
      </w:tr>
    </w:tbl>
    <w:p>
      <w:pPr>
        <w:pStyle w:val="5"/>
        <w:rPr>
          <w:rFonts w:hint="eastAsia" w:ascii="华文宋体" w:hAnsi="华文宋体" w:eastAsia="华文宋体" w:cs="华文宋体"/>
          <w:b/>
          <w:bCs/>
          <w:color w:val="000000"/>
          <w:kern w:val="0"/>
          <w:sz w:val="28"/>
          <w:szCs w:val="28"/>
          <w:lang w:val="en-US" w:eastAsia="zh-CN" w:bidi="ar"/>
        </w:rPr>
      </w:pPr>
    </w:p>
    <w:p>
      <w:pPr>
        <w:pStyle w:val="5"/>
        <w:rPr>
          <w:rFonts w:hint="eastAsia" w:ascii="华文宋体" w:hAnsi="华文宋体" w:eastAsia="华文宋体" w:cs="华文宋体"/>
          <w:b/>
          <w:bCs/>
          <w:color w:val="000000"/>
          <w:kern w:val="0"/>
          <w:sz w:val="28"/>
          <w:szCs w:val="28"/>
          <w:lang w:val="en-US" w:eastAsia="zh-CN" w:bidi="ar"/>
        </w:rPr>
      </w:pP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剑阁县上寺小学校</w:t>
      </w: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2022年家庭经济困难学生生活补助</w:t>
      </w:r>
    </w:p>
    <w:p>
      <w:pPr>
        <w:keepNext w:val="0"/>
        <w:keepLines w:val="0"/>
        <w:widowControl/>
        <w:suppressLineNumbers w:val="0"/>
        <w:jc w:val="center"/>
        <w:rPr>
          <w:rFonts w:hint="eastAsia" w:ascii="华文宋体" w:hAnsi="华文宋体" w:eastAsia="华文宋体" w:cs="华文宋体"/>
          <w:b/>
          <w:bCs/>
          <w:sz w:val="32"/>
          <w:szCs w:val="32"/>
        </w:rPr>
      </w:pPr>
      <w:r>
        <w:rPr>
          <w:rFonts w:hint="eastAsia" w:ascii="华文宋体" w:hAnsi="华文宋体" w:eastAsia="华文宋体" w:cs="华文宋体"/>
          <w:b/>
          <w:bCs/>
          <w:color w:val="000000"/>
          <w:kern w:val="0"/>
          <w:sz w:val="32"/>
          <w:szCs w:val="32"/>
          <w:lang w:val="en-US" w:eastAsia="zh-CN" w:bidi="ar"/>
        </w:rPr>
        <w:t>项目绩效自评报告</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一、项目概况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（一）项目基本情况。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剑阁县上寺小学校是一所义务教育完全小学校，学校总编制15名，其中：事业编制15名，工勤编制0名。2022年年末共有25人（事业人员25，工勤人员0人）。截至2022年12月年底，剑阁县上寺小学校共有在校学生81人。</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贫困及非寄宿生生活补助：</w:t>
      </w:r>
      <w:r>
        <w:rPr>
          <w:rFonts w:hint="eastAsia" w:ascii="华文宋体" w:hAnsi="华文宋体" w:eastAsia="华文宋体" w:cs="华文宋体"/>
          <w:color w:val="000000"/>
          <w:kern w:val="0"/>
          <w:sz w:val="28"/>
          <w:szCs w:val="28"/>
          <w:lang w:val="en-US" w:eastAsia="zh-CN" w:bidi="ar"/>
        </w:rPr>
        <w:t xml:space="preserve">义务教育家庭经济困难家庭非寄宿学生生活补助按实际人数，按每人每年250.00元、500元编制预算。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1．项目主要内容：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及时、足额发放义务教育家庭经济困难学生生活补助，确保青少年身体素质得到提升，经济困难家庭学生得到帮助。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2．项目应实现的具体绩效目标。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数量指标</w:t>
      </w:r>
      <w:r>
        <w:rPr>
          <w:rFonts w:hint="eastAsia" w:ascii="华文宋体" w:hAnsi="华文宋体" w:eastAsia="华文宋体" w:cs="华文宋体"/>
          <w:color w:val="000000"/>
          <w:kern w:val="0"/>
          <w:sz w:val="28"/>
          <w:szCs w:val="28"/>
          <w:lang w:val="en-US" w:eastAsia="zh-CN" w:bidi="ar"/>
        </w:rPr>
        <w:t xml:space="preserve">：惠及学生81人次以上。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时效指标：</w:t>
      </w:r>
      <w:r>
        <w:rPr>
          <w:rFonts w:hint="eastAsia" w:ascii="华文宋体" w:hAnsi="华文宋体" w:eastAsia="华文宋体" w:cs="华文宋体"/>
          <w:color w:val="000000"/>
          <w:kern w:val="0"/>
          <w:sz w:val="28"/>
          <w:szCs w:val="28"/>
          <w:lang w:val="en-US" w:eastAsia="zh-CN" w:bidi="ar"/>
        </w:rPr>
        <w:t xml:space="preserve">2022 年12月前完成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社会效益指标： </w:t>
      </w:r>
      <w:r>
        <w:rPr>
          <w:rFonts w:hint="eastAsia" w:ascii="华文宋体" w:hAnsi="华文宋体" w:eastAsia="华文宋体" w:cs="华文宋体"/>
          <w:color w:val="000000"/>
          <w:kern w:val="0"/>
          <w:sz w:val="28"/>
          <w:szCs w:val="28"/>
          <w:lang w:val="en-US" w:eastAsia="zh-CN" w:bidi="ar"/>
        </w:rPr>
        <w:t xml:space="preserve">义务教育家庭经济困难学生生活补助发放及时，保障了义务教育家庭经济困难学生正常学习和生活。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满意度指标：</w:t>
      </w:r>
      <w:r>
        <w:rPr>
          <w:rFonts w:hint="eastAsia" w:ascii="华文宋体" w:hAnsi="华文宋体" w:eastAsia="华文宋体" w:cs="华文宋体"/>
          <w:color w:val="000000"/>
          <w:kern w:val="0"/>
          <w:sz w:val="28"/>
          <w:szCs w:val="28"/>
          <w:lang w:val="en-US" w:eastAsia="zh-CN" w:bidi="ar"/>
        </w:rPr>
        <w:t xml:space="preserve">群众满意度达到 95%。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3．本申报项目是一项惠民公益工程，项目实施后社会效益彰显，具有可持续性。申报内容与实际相符，申报目标合理可行。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（三）项目自评步骤及方法。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单位对各类人员信息及时采集，义务教育家庭经济困难学生生活补助首先通过个体申报、接着学校班（校）评议、随后社区审核、再次学校公示并核定，最后学校财务纳入上级规定时间点发放。至今，没任何学生及监护人异议，深受师生及社会好评。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二、项目资金申报及使用情况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（一）项目资金申报及批复情况。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在规定时间内部门及时申报项目资金，及时接收财政局批复情况。 </w:t>
      </w:r>
    </w:p>
    <w:p>
      <w:pPr>
        <w:keepNext w:val="0"/>
        <w:keepLines w:val="0"/>
        <w:widowControl/>
        <w:numPr>
          <w:ilvl w:val="0"/>
          <w:numId w:val="7"/>
        </w:numPr>
        <w:suppressLineNumbers w:val="0"/>
        <w:ind w:firstLine="562" w:firstLineChars="200"/>
        <w:jc w:val="left"/>
        <w:rPr>
          <w:rFonts w:hint="eastAsia" w:ascii="华文宋体" w:hAnsi="华文宋体" w:eastAsia="华文宋体" w:cs="华文宋体"/>
          <w:b/>
          <w:bCs/>
          <w:color w:val="000000"/>
          <w:kern w:val="0"/>
          <w:sz w:val="28"/>
          <w:szCs w:val="28"/>
          <w:lang w:val="en-US" w:eastAsia="zh-CN" w:bidi="ar"/>
        </w:rPr>
      </w:pPr>
      <w:r>
        <w:rPr>
          <w:rFonts w:hint="eastAsia" w:ascii="华文宋体" w:hAnsi="华文宋体" w:eastAsia="华文宋体" w:cs="华文宋体"/>
          <w:b/>
          <w:bCs/>
          <w:color w:val="000000"/>
          <w:kern w:val="0"/>
          <w:sz w:val="28"/>
          <w:szCs w:val="28"/>
          <w:lang w:val="en-US" w:eastAsia="zh-CN" w:bidi="ar"/>
        </w:rPr>
        <w:t>资金计划、到位及使用情况</w:t>
      </w:r>
    </w:p>
    <w:tbl>
      <w:tblPr>
        <w:tblStyle w:val="12"/>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00"/>
        <w:gridCol w:w="1635"/>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2022年义务教育家庭经济困难学生生活补助</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项目负责人</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260" w:firstLineChars="600"/>
              <w:jc w:val="both"/>
              <w:textAlignment w:val="center"/>
              <w:rPr>
                <w:rFonts w:hint="eastAsia" w:ascii="华文宋体" w:hAnsi="华文宋体" w:eastAsia="华文宋体" w:cs="华文宋体"/>
                <w:i w:val="0"/>
                <w:iCs w:val="0"/>
                <w:color w:val="000000"/>
                <w:sz w:val="21"/>
                <w:szCs w:val="21"/>
                <w:u w:val="none"/>
                <w:lang w:val="en-US" w:eastAsia="zh-CN"/>
              </w:rPr>
            </w:pPr>
            <w:r>
              <w:rPr>
                <w:rFonts w:hint="eastAsia" w:ascii="华文宋体" w:hAnsi="华文宋体" w:eastAsia="华文宋体" w:cs="华文宋体"/>
                <w:i w:val="0"/>
                <w:iCs w:val="0"/>
                <w:color w:val="000000"/>
                <w:sz w:val="21"/>
                <w:szCs w:val="21"/>
                <w:u w:val="none"/>
                <w:lang w:val="en-US" w:eastAsia="zh-CN"/>
              </w:rPr>
              <w:t>王君朝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部门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剑阁县财政局</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实施单位</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剑阁县上寺小学校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资金</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情况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i w:val="0"/>
                <w:iCs w:val="0"/>
                <w:color w:val="000000"/>
                <w:sz w:val="21"/>
                <w:szCs w:val="21"/>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全年预算数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全年执行数</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（B）</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执行率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(B/A)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单位（万</w:t>
            </w:r>
          </w:p>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年度资金总额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其中：中央，</w:t>
            </w:r>
          </w:p>
          <w:p>
            <w:pPr>
              <w:keepNext w:val="0"/>
              <w:keepLines w:val="0"/>
              <w:widowControl/>
              <w:suppressLineNumbers w:val="0"/>
              <w:jc w:val="left"/>
              <w:textAlignment w:val="center"/>
              <w:rPr>
                <w:rFonts w:hint="eastAsia" w:ascii="华文宋体" w:hAnsi="华文宋体" w:eastAsia="华文宋体" w:cs="华文宋体"/>
                <w:i w:val="0"/>
                <w:iCs w:val="0"/>
                <w:color w:val="000000"/>
                <w:kern w:val="0"/>
                <w:sz w:val="21"/>
                <w:szCs w:val="21"/>
                <w:u w:val="none"/>
                <w:lang w:val="en-US" w:eastAsia="zh-CN" w:bidi="ar"/>
              </w:rPr>
            </w:pPr>
            <w:r>
              <w:rPr>
                <w:rFonts w:hint="eastAsia" w:ascii="华文宋体" w:hAnsi="华文宋体" w:eastAsia="华文宋体" w:cs="华文宋体"/>
                <w:i w:val="0"/>
                <w:iCs w:val="0"/>
                <w:color w:val="000000"/>
                <w:kern w:val="0"/>
                <w:sz w:val="21"/>
                <w:szCs w:val="21"/>
                <w:u w:val="none"/>
                <w:lang w:val="en-US" w:eastAsia="zh-CN" w:bidi="ar"/>
              </w:rPr>
              <w:t>省、市财政资</w:t>
            </w:r>
          </w:p>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县级财政资金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sz w:val="21"/>
                <w:szCs w:val="21"/>
                <w:u w:val="none"/>
                <w:lang w:val="en-US"/>
              </w:rPr>
            </w:pPr>
            <w:r>
              <w:rPr>
                <w:rFonts w:hint="eastAsia" w:ascii="华文宋体" w:hAnsi="华文宋体" w:eastAsia="华文宋体" w:cs="华文宋体"/>
                <w:i w:val="0"/>
                <w:iCs w:val="0"/>
                <w:color w:val="000000"/>
                <w:kern w:val="0"/>
                <w:sz w:val="21"/>
                <w:szCs w:val="21"/>
                <w:u w:val="none"/>
                <w:lang w:val="en-US" w:eastAsia="zh-CN" w:bidi="ar"/>
              </w:rPr>
              <w:t>11.34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1"/>
                <w:szCs w:val="21"/>
                <w:u w:val="none"/>
              </w:rPr>
            </w:pPr>
            <w:r>
              <w:rPr>
                <w:rFonts w:hint="eastAsia" w:ascii="华文宋体" w:hAnsi="华文宋体" w:eastAsia="华文宋体" w:cs="华文宋体"/>
                <w:i w:val="0"/>
                <w:iCs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i w:val="0"/>
                <w:iCs w:val="0"/>
                <w:color w:val="000000"/>
                <w:sz w:val="21"/>
                <w:szCs w:val="21"/>
                <w:u w:val="none"/>
              </w:rPr>
            </w:pPr>
          </w:p>
        </w:tc>
      </w:tr>
    </w:tbl>
    <w:p>
      <w:pPr>
        <w:keepNext w:val="0"/>
        <w:keepLines w:val="0"/>
        <w:widowControl/>
        <w:numPr>
          <w:ilvl w:val="0"/>
          <w:numId w:val="0"/>
        </w:numPr>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（三）项目财务管理情况。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单位项目实施财务管理制度健全，严格执行财务管理制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度，账务处理及时，会计核算规范。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三、项目实施及管理情况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（一）项目组织架构及实施流程。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申报项目→项目执行→项目监督→项目评价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（二）项目管理情况。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内部控制管理</w:t>
      </w:r>
      <w:r>
        <w:rPr>
          <w:rFonts w:hint="eastAsia" w:ascii="华文宋体" w:hAnsi="华文宋体" w:eastAsia="华文宋体" w:cs="华文宋体"/>
          <w:color w:val="000000"/>
          <w:kern w:val="0"/>
          <w:sz w:val="28"/>
          <w:szCs w:val="28"/>
          <w:lang w:val="en-US" w:eastAsia="zh-CN" w:bidi="ar"/>
        </w:rPr>
        <w:t xml:space="preserve">：根据上级部门的要求，我单位不断加强自身的制度建设，进行不断地梳理和完善，同时加强考核，以考核促提高，以提高促发展。从制度、会计、审计、安全等多方面形成相互融通相互制约机制。我单位专门成立业务检查小组，定期、不定期对人员进行考核、检查，并结合 案件“专项治理”工作，全面提高制度执行力。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财务会计管理</w:t>
      </w:r>
      <w:r>
        <w:rPr>
          <w:rFonts w:hint="eastAsia" w:ascii="华文宋体" w:hAnsi="华文宋体" w:eastAsia="华文宋体" w:cs="华文宋体"/>
          <w:color w:val="000000"/>
          <w:kern w:val="0"/>
          <w:sz w:val="28"/>
          <w:szCs w:val="28"/>
          <w:lang w:val="en-US" w:eastAsia="zh-CN" w:bidi="ar"/>
        </w:rPr>
        <w:t xml:space="preserve">：对财务会计方面，实行领导负责制，对我单位进行管理和检查，实行报告制。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（1）加强学习和内部管理。</w:t>
      </w:r>
      <w:r>
        <w:rPr>
          <w:rFonts w:hint="eastAsia" w:ascii="华文宋体" w:hAnsi="华文宋体" w:eastAsia="华文宋体" w:cs="华文宋体"/>
          <w:color w:val="000000"/>
          <w:kern w:val="0"/>
          <w:sz w:val="28"/>
          <w:szCs w:val="28"/>
          <w:lang w:val="en-US" w:eastAsia="zh-CN" w:bidi="ar"/>
        </w:rPr>
        <w:t xml:space="preserve">对上级部门下发的各类文件和规章制度及时组织内部人员进行学习，并严格按照操作流程办理各项业务，确保结算和核算质量；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（2）加强核算，提高经营效益。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（3）切实加强财务管理制度，合理使用资金。</w:t>
      </w:r>
      <w:r>
        <w:rPr>
          <w:rFonts w:hint="eastAsia" w:ascii="华文宋体" w:hAnsi="华文宋体" w:eastAsia="华文宋体" w:cs="华文宋体"/>
          <w:color w:val="000000"/>
          <w:kern w:val="0"/>
          <w:sz w:val="28"/>
          <w:szCs w:val="28"/>
          <w:lang w:val="en-US" w:eastAsia="zh-CN" w:bidi="ar"/>
        </w:rPr>
        <w:t xml:space="preserve">严格按上级部门规定列支各项费用，坚持勤俭节约，不铺张浪费。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重大经济事项的决策方式与程序</w:t>
      </w:r>
      <w:r>
        <w:rPr>
          <w:rFonts w:hint="eastAsia" w:ascii="华文宋体" w:hAnsi="华文宋体" w:eastAsia="华文宋体" w:cs="华文宋体"/>
          <w:color w:val="000000"/>
          <w:kern w:val="0"/>
          <w:sz w:val="28"/>
          <w:szCs w:val="28"/>
          <w:lang w:val="en-US" w:eastAsia="zh-CN" w:bidi="ar"/>
        </w:rPr>
        <w:t xml:space="preserve">：坚持依法决策。重大决策必须以宪法、法律和法规为依据，事先进行法律分析或法律审查，防止和纠正违反宪法、法律和法规的行政决策；坚持科学决策。重大决策，必须以基础性、战略性研究或发展规划为依据，对一些专业性强、情况复杂、影响深远的问题，要组织有关专门机构进行论证，并在综合分析的基础上，形成相对完善的方案，或多个比较方案。坚持民主决策。重大决策，应充分征求相关部门的意见；要广泛听取其他部门和社会各界意见。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（二）项目监管情况。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2022年剑阁县上寺小学校义务教育家庭经济困难家庭学生生活补助项目监管工作小组如下：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 xml:space="preserve">组 长：王君朝 </w:t>
      </w:r>
    </w:p>
    <w:p>
      <w:pPr>
        <w:keepNext w:val="0"/>
        <w:keepLines w:val="0"/>
        <w:widowControl/>
        <w:suppressLineNumbers w:val="0"/>
        <w:ind w:firstLine="560" w:firstLineChars="200"/>
        <w:jc w:val="left"/>
        <w:rPr>
          <w:rFonts w:hint="eastAsia" w:ascii="华文宋体" w:hAnsi="华文宋体" w:eastAsia="华文宋体" w:cs="华文宋体"/>
          <w:color w:val="000000"/>
          <w:kern w:val="0"/>
          <w:sz w:val="28"/>
          <w:szCs w:val="28"/>
          <w:lang w:val="en-US" w:eastAsia="zh-CN" w:bidi="ar"/>
        </w:rPr>
      </w:pPr>
      <w:r>
        <w:rPr>
          <w:rFonts w:hint="eastAsia" w:ascii="华文宋体" w:hAnsi="华文宋体" w:eastAsia="华文宋体" w:cs="华文宋体"/>
          <w:color w:val="000000"/>
          <w:kern w:val="0"/>
          <w:sz w:val="28"/>
          <w:szCs w:val="28"/>
          <w:lang w:val="en-US" w:eastAsia="zh-CN" w:bidi="ar"/>
        </w:rPr>
        <w:t>副组长：梁鸿</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成员：罗云才、王冠华及各班班主任。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项目监管工作小组主要任务，加强内部权力制衡，规范内部权力运行。部门对各类人员信息及时采集，学生困难补助首先通过个体申报、接着学校班（校）评议、随后村委审核、再次学校公示并核定，最后学校财务纳入上级规定时间点发放。至今，没任何学生及监护人异议，深受师生及社会好评。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四、项目绩效情况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（一）项目完成情况。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我校2022年严格执行年初部门预算，各类惠民资金使用及管理规范，绩效考核目标任务完成：通过学校绩效评价工作的开展，校内工作人文氛围得到改善，办学社会效益得到彰显，辖区群众幸福指数得到了提升。</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（二）项目效益情况。</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社会效益</w:t>
      </w:r>
      <w:r>
        <w:rPr>
          <w:rFonts w:hint="eastAsia" w:ascii="华文宋体" w:hAnsi="华文宋体" w:eastAsia="华文宋体" w:cs="华文宋体"/>
          <w:color w:val="000000"/>
          <w:kern w:val="0"/>
          <w:sz w:val="28"/>
          <w:szCs w:val="28"/>
          <w:lang w:val="en-US" w:eastAsia="zh-CN" w:bidi="ar"/>
        </w:rPr>
        <w:t xml:space="preserve">：困难家庭学生得到救助，没有一个因贫而辍学，义务教育阶段学生体质明显改善，群众对我校办学高度认可。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可持续影响</w:t>
      </w:r>
      <w:r>
        <w:rPr>
          <w:rFonts w:hint="eastAsia" w:ascii="华文宋体" w:hAnsi="华文宋体" w:eastAsia="华文宋体" w:cs="华文宋体"/>
          <w:color w:val="000000"/>
          <w:kern w:val="0"/>
          <w:sz w:val="28"/>
          <w:szCs w:val="28"/>
          <w:lang w:val="en-US" w:eastAsia="zh-CN" w:bidi="ar"/>
        </w:rPr>
        <w:t xml:space="preserve">：社会稳定，群众安居乐业，办学外部环境进一步得到提升，不断推动当地生产力及学校的发展。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社会满意度：社会对学校高度认可，满意度达95%以上。 </w:t>
      </w:r>
    </w:p>
    <w:p>
      <w:pPr>
        <w:keepNext w:val="0"/>
        <w:keepLines w:val="0"/>
        <w:widowControl/>
        <w:suppressLineNumbers w:val="0"/>
        <w:ind w:firstLine="562" w:firstLineChars="200"/>
        <w:jc w:val="left"/>
        <w:rPr>
          <w:rFonts w:hint="eastAsia" w:ascii="华文宋体" w:hAnsi="华文宋体" w:eastAsia="华文宋体" w:cs="华文宋体"/>
          <w:b/>
          <w:bCs/>
          <w:sz w:val="28"/>
          <w:szCs w:val="28"/>
        </w:rPr>
      </w:pPr>
      <w:r>
        <w:rPr>
          <w:rFonts w:hint="eastAsia" w:ascii="华文宋体" w:hAnsi="华文宋体" w:eastAsia="华文宋体" w:cs="华文宋体"/>
          <w:b/>
          <w:bCs/>
          <w:color w:val="000000"/>
          <w:kern w:val="0"/>
          <w:sz w:val="28"/>
          <w:szCs w:val="28"/>
          <w:lang w:val="en-US" w:eastAsia="zh-CN" w:bidi="ar"/>
        </w:rPr>
        <w:t xml:space="preserve">五、评价结论及建议 </w:t>
      </w:r>
    </w:p>
    <w:p>
      <w:pPr>
        <w:keepNext w:val="0"/>
        <w:keepLines w:val="0"/>
        <w:widowControl/>
        <w:suppressLineNumbers w:val="0"/>
        <w:ind w:firstLine="281" w:firstLineChars="1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（一）评价结论。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我们认为：剑阁县上寺小学校在对义务教育家庭经济困难学生生活补助项目实施中，人员信息摸排准确，严格遵守财务制度，补助资金通过一卡通系统足额、及时发放，惠民工程得到师生广泛拥护，学生体质明显改善，群众对办学质量高度认可。 </w:t>
      </w:r>
    </w:p>
    <w:p>
      <w:pPr>
        <w:keepNext w:val="0"/>
        <w:keepLines w:val="0"/>
        <w:widowControl/>
        <w:suppressLineNumbers w:val="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根据剑阁县上寺小学校在对义务教育家庭经济困难学生生活补助项目绩效指标评价，本次评价等次为：优。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（二）存在的问题。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个别班主任采集、录入信息不规范，造成学生资助不能及时打款发放，影响学校发放进度，容易造成受助学生监护人误解。 </w:t>
      </w:r>
    </w:p>
    <w:p>
      <w:pPr>
        <w:keepNext w:val="0"/>
        <w:keepLines w:val="0"/>
        <w:widowControl/>
        <w:suppressLineNumbers w:val="0"/>
        <w:ind w:firstLine="562" w:firstLineChars="200"/>
        <w:jc w:val="left"/>
        <w:rPr>
          <w:rFonts w:hint="eastAsia" w:ascii="华文宋体" w:hAnsi="华文宋体" w:eastAsia="华文宋体" w:cs="华文宋体"/>
          <w:sz w:val="28"/>
          <w:szCs w:val="28"/>
        </w:rPr>
      </w:pPr>
      <w:r>
        <w:rPr>
          <w:rFonts w:hint="eastAsia" w:ascii="华文宋体" w:hAnsi="华文宋体" w:eastAsia="华文宋体" w:cs="华文宋体"/>
          <w:b/>
          <w:bCs/>
          <w:color w:val="000000"/>
          <w:kern w:val="0"/>
          <w:sz w:val="28"/>
          <w:szCs w:val="28"/>
          <w:lang w:val="en-US" w:eastAsia="zh-CN" w:bidi="ar"/>
        </w:rPr>
        <w:t xml:space="preserve">（三）相关建议。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1、继续加强学习，提高思想站位，确保各类资金准确、及时惠及义务教育家庭经济困难学生； </w:t>
      </w:r>
    </w:p>
    <w:p>
      <w:pPr>
        <w:keepNext w:val="0"/>
        <w:keepLines w:val="0"/>
        <w:widowControl/>
        <w:suppressLineNumbers w:val="0"/>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color w:val="000000"/>
          <w:kern w:val="0"/>
          <w:sz w:val="28"/>
          <w:szCs w:val="28"/>
          <w:lang w:val="en-US" w:eastAsia="zh-CN" w:bidi="ar"/>
        </w:rPr>
        <w:t xml:space="preserve">2、学校要继续加强宣传党的教育方针和惠民政策，进一步提升我党治国理政形象，不断推动当地教育事业的可持续发展。 </w:t>
      </w:r>
    </w:p>
    <w:p>
      <w:pPr>
        <w:pStyle w:val="5"/>
        <w:rPr>
          <w:rFonts w:hint="eastAsia" w:ascii="华文宋体" w:hAnsi="华文宋体" w:eastAsia="华文宋体" w:cs="华文宋体"/>
          <w:sz w:val="28"/>
          <w:szCs w:val="28"/>
          <w:lang w:val="en-US" w:eastAsia="zh-CN"/>
        </w:rPr>
      </w:pPr>
    </w:p>
    <w:p>
      <w:pPr>
        <w:spacing w:line="600" w:lineRule="exact"/>
        <w:jc w:val="center"/>
        <w:outlineLvl w:val="0"/>
        <w:rPr>
          <w:rFonts w:ascii="仿宋" w:hAnsi="仿宋" w:eastAsia="仿宋"/>
          <w:sz w:val="32"/>
          <w:szCs w:val="32"/>
        </w:rPr>
      </w:pPr>
      <w:r>
        <w:rPr>
          <w:rFonts w:hint="eastAsia" w:ascii="仿宋" w:hAnsi="仿宋" w:eastAsia="仿宋"/>
          <w:sz w:val="32"/>
          <w:szCs w:val="32"/>
        </w:rPr>
        <w:t>第</w:t>
      </w:r>
      <w:r>
        <w:rPr>
          <w:rStyle w:val="24"/>
          <w:rFonts w:hint="eastAsia" w:ascii="仿宋" w:hAnsi="仿宋" w:eastAsia="仿宋"/>
          <w:b w:val="0"/>
          <w:sz w:val="32"/>
          <w:szCs w:val="32"/>
        </w:rPr>
        <w:t>五部分 附表</w:t>
      </w:r>
      <w:bookmarkEnd w:id="58"/>
      <w:bookmarkEnd w:id="59"/>
      <w:bookmarkStart w:id="60" w:name="_Toc15396619"/>
    </w:p>
    <w:p>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60"/>
    </w:p>
    <w:p>
      <w:pPr>
        <w:pStyle w:val="3"/>
        <w:rPr>
          <w:rFonts w:ascii="仿宋" w:hAnsi="仿宋" w:eastAsia="仿宋"/>
        </w:rPr>
      </w:pPr>
      <w:bookmarkStart w:id="61" w:name="_Toc15396620"/>
      <w:r>
        <w:rPr>
          <w:rFonts w:hint="eastAsia" w:ascii="仿宋" w:hAnsi="仿宋" w:eastAsia="仿宋"/>
          <w:b w:val="0"/>
        </w:rPr>
        <w:t>二、收</w:t>
      </w:r>
      <w:r>
        <w:rPr>
          <w:rStyle w:val="25"/>
          <w:rFonts w:hint="eastAsia" w:ascii="仿宋" w:hAnsi="仿宋" w:eastAsia="仿宋"/>
          <w:b w:val="0"/>
          <w:bCs w:val="0"/>
        </w:rPr>
        <w:t>入决算表</w:t>
      </w:r>
      <w:bookmarkEnd w:id="61"/>
    </w:p>
    <w:p>
      <w:pPr>
        <w:pStyle w:val="3"/>
        <w:rPr>
          <w:rFonts w:ascii="仿宋" w:hAnsi="仿宋" w:eastAsia="仿宋"/>
        </w:rPr>
      </w:pPr>
      <w:bookmarkStart w:id="62"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2"/>
    </w:p>
    <w:p>
      <w:pPr>
        <w:pStyle w:val="3"/>
        <w:rPr>
          <w:rFonts w:ascii="仿宋" w:hAnsi="仿宋" w:eastAsia="仿宋"/>
          <w:b w:val="0"/>
        </w:rPr>
      </w:pPr>
      <w:bookmarkStart w:id="63"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rPr>
      </w:pPr>
      <w:bookmarkStart w:id="66"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rPr>
      </w:pPr>
      <w:bookmarkStart w:id="67"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rPr>
      </w:pPr>
      <w:bookmarkStart w:id="68"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rPr>
      </w:pPr>
      <w:bookmarkStart w:id="69"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rPr>
      </w:pPr>
      <w:bookmarkStart w:id="70"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rPr>
      </w:pPr>
      <w:bookmarkStart w:id="71"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71"/>
    </w:p>
    <w:p>
      <w:pPr>
        <w:pStyle w:val="3"/>
        <w:rPr>
          <w:rStyle w:val="25"/>
          <w:rFonts w:ascii="仿宋" w:hAnsi="仿宋" w:eastAsia="仿宋"/>
          <w:b w:val="0"/>
          <w:bCs w:val="0"/>
        </w:rPr>
      </w:pPr>
      <w:bookmarkStart w:id="72"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72"/>
    </w:p>
    <w:p>
      <w:pPr>
        <w:rPr>
          <w:rFonts w:ascii="仿宋" w:hAnsi="仿宋" w:eastAsia="仿宋"/>
          <w:sz w:val="32"/>
          <w:szCs w:val="32"/>
        </w:rPr>
      </w:pPr>
      <w:r>
        <w:rPr>
          <w:rStyle w:val="25"/>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宋体">
    <w:altName w:val="方正书宋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808F9F2"/>
    <w:multiLevelType w:val="singleLevel"/>
    <w:tmpl w:val="5808F9F2"/>
    <w:lvl w:ilvl="0" w:tentative="0">
      <w:start w:val="2"/>
      <w:numFmt w:val="chineseCounting"/>
      <w:suff w:val="nothing"/>
      <w:lvlText w:val="（%1）"/>
      <w:lvlJc w:val="left"/>
      <w:rPr>
        <w:rFonts w:hint="eastAsia"/>
      </w:rPr>
    </w:lvl>
  </w:abstractNum>
  <w:abstractNum w:abstractNumId="4">
    <w:nsid w:val="5AD9D7FB"/>
    <w:multiLevelType w:val="singleLevel"/>
    <w:tmpl w:val="5AD9D7FB"/>
    <w:lvl w:ilvl="0" w:tentative="0">
      <w:start w:val="1"/>
      <w:numFmt w:val="decimal"/>
      <w:lvlText w:val="%1."/>
      <w:lvlJc w:val="left"/>
      <w:pPr>
        <w:tabs>
          <w:tab w:val="left" w:pos="312"/>
        </w:tabs>
      </w:pPr>
    </w:lvl>
  </w:abstractNum>
  <w:abstractNum w:abstractNumId="5">
    <w:nsid w:val="5DCCBBFF"/>
    <w:multiLevelType w:val="singleLevel"/>
    <w:tmpl w:val="5DCCBBFF"/>
    <w:lvl w:ilvl="0" w:tentative="0">
      <w:start w:val="2"/>
      <w:numFmt w:val="chineseCounting"/>
      <w:suff w:val="nothing"/>
      <w:lvlText w:val="（%1）"/>
      <w:lvlJc w:val="left"/>
      <w:rPr>
        <w:rFonts w:hint="eastAsia"/>
      </w:rPr>
    </w:lvl>
  </w:abstractNum>
  <w:abstractNum w:abstractNumId="6">
    <w:nsid w:val="5F7031FA"/>
    <w:multiLevelType w:val="singleLevel"/>
    <w:tmpl w:val="5F7031FA"/>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03DF"/>
    <w:rsid w:val="00017F00"/>
    <w:rsid w:val="000222C6"/>
    <w:rsid w:val="0002549F"/>
    <w:rsid w:val="000339AF"/>
    <w:rsid w:val="00044C4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99C"/>
    <w:rsid w:val="000E181C"/>
    <w:rsid w:val="000E6613"/>
    <w:rsid w:val="000E7119"/>
    <w:rsid w:val="000E7CDA"/>
    <w:rsid w:val="000F1116"/>
    <w:rsid w:val="00114E9B"/>
    <w:rsid w:val="00124825"/>
    <w:rsid w:val="00125F3C"/>
    <w:rsid w:val="0013138B"/>
    <w:rsid w:val="001319E4"/>
    <w:rsid w:val="00137A93"/>
    <w:rsid w:val="00142216"/>
    <w:rsid w:val="00144D6A"/>
    <w:rsid w:val="0014729F"/>
    <w:rsid w:val="00157BAB"/>
    <w:rsid w:val="001654D1"/>
    <w:rsid w:val="00165C77"/>
    <w:rsid w:val="00174518"/>
    <w:rsid w:val="0018106D"/>
    <w:rsid w:val="001877A7"/>
    <w:rsid w:val="00191536"/>
    <w:rsid w:val="00196687"/>
    <w:rsid w:val="001A1348"/>
    <w:rsid w:val="001A424B"/>
    <w:rsid w:val="001A4481"/>
    <w:rsid w:val="001B2A81"/>
    <w:rsid w:val="001C0962"/>
    <w:rsid w:val="001D611C"/>
    <w:rsid w:val="001D7531"/>
    <w:rsid w:val="001E737D"/>
    <w:rsid w:val="001F0592"/>
    <w:rsid w:val="001F1456"/>
    <w:rsid w:val="001F7506"/>
    <w:rsid w:val="002006CD"/>
    <w:rsid w:val="00202B36"/>
    <w:rsid w:val="002045BE"/>
    <w:rsid w:val="00204B7A"/>
    <w:rsid w:val="00204CDE"/>
    <w:rsid w:val="0021101A"/>
    <w:rsid w:val="00211C0C"/>
    <w:rsid w:val="00220536"/>
    <w:rsid w:val="00235629"/>
    <w:rsid w:val="00246569"/>
    <w:rsid w:val="00260C38"/>
    <w:rsid w:val="002616C0"/>
    <w:rsid w:val="00265372"/>
    <w:rsid w:val="002662AA"/>
    <w:rsid w:val="00280496"/>
    <w:rsid w:val="00294DC9"/>
    <w:rsid w:val="00295495"/>
    <w:rsid w:val="002A31DE"/>
    <w:rsid w:val="002B2613"/>
    <w:rsid w:val="002D6D05"/>
    <w:rsid w:val="002D6D27"/>
    <w:rsid w:val="002F1818"/>
    <w:rsid w:val="002F567B"/>
    <w:rsid w:val="00310272"/>
    <w:rsid w:val="003216A9"/>
    <w:rsid w:val="00335A74"/>
    <w:rsid w:val="0035473A"/>
    <w:rsid w:val="0036561B"/>
    <w:rsid w:val="0037013F"/>
    <w:rsid w:val="00380C92"/>
    <w:rsid w:val="00387213"/>
    <w:rsid w:val="003A484F"/>
    <w:rsid w:val="003A4883"/>
    <w:rsid w:val="003B0BE0"/>
    <w:rsid w:val="003B0C1B"/>
    <w:rsid w:val="003B51E3"/>
    <w:rsid w:val="003B688C"/>
    <w:rsid w:val="003C0291"/>
    <w:rsid w:val="003C39AE"/>
    <w:rsid w:val="003C7B60"/>
    <w:rsid w:val="003D0C0F"/>
    <w:rsid w:val="003D1FB2"/>
    <w:rsid w:val="003D66DA"/>
    <w:rsid w:val="003D6E43"/>
    <w:rsid w:val="003E1310"/>
    <w:rsid w:val="003E6F55"/>
    <w:rsid w:val="00406254"/>
    <w:rsid w:val="004223DE"/>
    <w:rsid w:val="00434489"/>
    <w:rsid w:val="00437085"/>
    <w:rsid w:val="00443880"/>
    <w:rsid w:val="004464F4"/>
    <w:rsid w:val="00471401"/>
    <w:rsid w:val="00473F31"/>
    <w:rsid w:val="0048263A"/>
    <w:rsid w:val="00484279"/>
    <w:rsid w:val="00487E5D"/>
    <w:rsid w:val="00494937"/>
    <w:rsid w:val="004A2DAF"/>
    <w:rsid w:val="004A711F"/>
    <w:rsid w:val="004B199D"/>
    <w:rsid w:val="004B4690"/>
    <w:rsid w:val="004C48DA"/>
    <w:rsid w:val="004E0A2D"/>
    <w:rsid w:val="004E206B"/>
    <w:rsid w:val="004E6DF7"/>
    <w:rsid w:val="004F0FBD"/>
    <w:rsid w:val="004F28BB"/>
    <w:rsid w:val="00500D0D"/>
    <w:rsid w:val="00505A47"/>
    <w:rsid w:val="00512FDA"/>
    <w:rsid w:val="00520DA0"/>
    <w:rsid w:val="005444F2"/>
    <w:rsid w:val="005664BB"/>
    <w:rsid w:val="00566FFA"/>
    <w:rsid w:val="0057481D"/>
    <w:rsid w:val="0058486E"/>
    <w:rsid w:val="00585B33"/>
    <w:rsid w:val="0059014D"/>
    <w:rsid w:val="005B5C64"/>
    <w:rsid w:val="005C0019"/>
    <w:rsid w:val="005C5337"/>
    <w:rsid w:val="005C6BD0"/>
    <w:rsid w:val="005D1C8B"/>
    <w:rsid w:val="005D468D"/>
    <w:rsid w:val="005D5CED"/>
    <w:rsid w:val="005D5E9E"/>
    <w:rsid w:val="005E57B7"/>
    <w:rsid w:val="005F1A4C"/>
    <w:rsid w:val="005F7F99"/>
    <w:rsid w:val="00605688"/>
    <w:rsid w:val="006070AF"/>
    <w:rsid w:val="00607E6C"/>
    <w:rsid w:val="006101B1"/>
    <w:rsid w:val="00614E44"/>
    <w:rsid w:val="0062270A"/>
    <w:rsid w:val="00622830"/>
    <w:rsid w:val="00623DA0"/>
    <w:rsid w:val="00630985"/>
    <w:rsid w:val="00630AEF"/>
    <w:rsid w:val="006325F8"/>
    <w:rsid w:val="00633463"/>
    <w:rsid w:val="00634C9A"/>
    <w:rsid w:val="006440E4"/>
    <w:rsid w:val="00662BF5"/>
    <w:rsid w:val="0066343B"/>
    <w:rsid w:val="00664777"/>
    <w:rsid w:val="00664963"/>
    <w:rsid w:val="006748A4"/>
    <w:rsid w:val="00681A31"/>
    <w:rsid w:val="00683E73"/>
    <w:rsid w:val="006A3141"/>
    <w:rsid w:val="006A5E34"/>
    <w:rsid w:val="006A6ED1"/>
    <w:rsid w:val="006B2422"/>
    <w:rsid w:val="006B2B9A"/>
    <w:rsid w:val="006C1937"/>
    <w:rsid w:val="006D78BF"/>
    <w:rsid w:val="006F020C"/>
    <w:rsid w:val="007127B7"/>
    <w:rsid w:val="00715AD4"/>
    <w:rsid w:val="0071798E"/>
    <w:rsid w:val="007416B6"/>
    <w:rsid w:val="00746F48"/>
    <w:rsid w:val="00752CA1"/>
    <w:rsid w:val="0075404D"/>
    <w:rsid w:val="0076182A"/>
    <w:rsid w:val="00766E0D"/>
    <w:rsid w:val="00767B7E"/>
    <w:rsid w:val="007770C3"/>
    <w:rsid w:val="00784D24"/>
    <w:rsid w:val="00785FBA"/>
    <w:rsid w:val="00786E4A"/>
    <w:rsid w:val="007875EB"/>
    <w:rsid w:val="0079426B"/>
    <w:rsid w:val="007A66A3"/>
    <w:rsid w:val="007D1682"/>
    <w:rsid w:val="007D312A"/>
    <w:rsid w:val="007D3F19"/>
    <w:rsid w:val="007E23B0"/>
    <w:rsid w:val="007E23E5"/>
    <w:rsid w:val="007F1991"/>
    <w:rsid w:val="007F2C2F"/>
    <w:rsid w:val="007F55FC"/>
    <w:rsid w:val="007F5665"/>
    <w:rsid w:val="00800112"/>
    <w:rsid w:val="008102A3"/>
    <w:rsid w:val="00813348"/>
    <w:rsid w:val="00824A09"/>
    <w:rsid w:val="008253BB"/>
    <w:rsid w:val="00831DC3"/>
    <w:rsid w:val="0083706E"/>
    <w:rsid w:val="008408F6"/>
    <w:rsid w:val="008423A5"/>
    <w:rsid w:val="00850625"/>
    <w:rsid w:val="00853718"/>
    <w:rsid w:val="00855221"/>
    <w:rsid w:val="00860645"/>
    <w:rsid w:val="00871F71"/>
    <w:rsid w:val="00872FD8"/>
    <w:rsid w:val="00885AF4"/>
    <w:rsid w:val="008939CD"/>
    <w:rsid w:val="008A4801"/>
    <w:rsid w:val="008A620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4EC6"/>
    <w:rsid w:val="0098660A"/>
    <w:rsid w:val="009879F6"/>
    <w:rsid w:val="009931C3"/>
    <w:rsid w:val="009B2C43"/>
    <w:rsid w:val="009B4EAE"/>
    <w:rsid w:val="009B7573"/>
    <w:rsid w:val="009C22F4"/>
    <w:rsid w:val="009C2A4B"/>
    <w:rsid w:val="009C2E98"/>
    <w:rsid w:val="009D0E7C"/>
    <w:rsid w:val="009D3447"/>
    <w:rsid w:val="009D4711"/>
    <w:rsid w:val="009F1185"/>
    <w:rsid w:val="009F18CD"/>
    <w:rsid w:val="009F2601"/>
    <w:rsid w:val="009F2A13"/>
    <w:rsid w:val="009F7527"/>
    <w:rsid w:val="00A04EB0"/>
    <w:rsid w:val="00A13CC1"/>
    <w:rsid w:val="00A16847"/>
    <w:rsid w:val="00A22652"/>
    <w:rsid w:val="00A237D8"/>
    <w:rsid w:val="00A268C4"/>
    <w:rsid w:val="00A307CD"/>
    <w:rsid w:val="00A331C8"/>
    <w:rsid w:val="00A40A00"/>
    <w:rsid w:val="00A4142F"/>
    <w:rsid w:val="00A422EB"/>
    <w:rsid w:val="00A45BB7"/>
    <w:rsid w:val="00A54E72"/>
    <w:rsid w:val="00A56DF2"/>
    <w:rsid w:val="00A56E6E"/>
    <w:rsid w:val="00A67AB5"/>
    <w:rsid w:val="00A733B2"/>
    <w:rsid w:val="00A741C2"/>
    <w:rsid w:val="00A77745"/>
    <w:rsid w:val="00A91760"/>
    <w:rsid w:val="00A93B00"/>
    <w:rsid w:val="00A93C21"/>
    <w:rsid w:val="00AA5313"/>
    <w:rsid w:val="00AB64C9"/>
    <w:rsid w:val="00AC0C43"/>
    <w:rsid w:val="00AC3C6A"/>
    <w:rsid w:val="00AD42A2"/>
    <w:rsid w:val="00AD5620"/>
    <w:rsid w:val="00AD656B"/>
    <w:rsid w:val="00AD7C1B"/>
    <w:rsid w:val="00AE16BA"/>
    <w:rsid w:val="00AE1EBE"/>
    <w:rsid w:val="00AF0F15"/>
    <w:rsid w:val="00B03C9D"/>
    <w:rsid w:val="00B060AE"/>
    <w:rsid w:val="00B10517"/>
    <w:rsid w:val="00B14E76"/>
    <w:rsid w:val="00B161B8"/>
    <w:rsid w:val="00B2048C"/>
    <w:rsid w:val="00B305E6"/>
    <w:rsid w:val="00B310B9"/>
    <w:rsid w:val="00B35F3F"/>
    <w:rsid w:val="00B36CBB"/>
    <w:rsid w:val="00B425E0"/>
    <w:rsid w:val="00B440AA"/>
    <w:rsid w:val="00B44B70"/>
    <w:rsid w:val="00B53C56"/>
    <w:rsid w:val="00B57DAF"/>
    <w:rsid w:val="00B77EA6"/>
    <w:rsid w:val="00B804A0"/>
    <w:rsid w:val="00B81598"/>
    <w:rsid w:val="00B841F1"/>
    <w:rsid w:val="00B944D6"/>
    <w:rsid w:val="00BA67A1"/>
    <w:rsid w:val="00BB4DF0"/>
    <w:rsid w:val="00BB65E2"/>
    <w:rsid w:val="00BC289F"/>
    <w:rsid w:val="00BC2D50"/>
    <w:rsid w:val="00BC5361"/>
    <w:rsid w:val="00BC5460"/>
    <w:rsid w:val="00BC6B50"/>
    <w:rsid w:val="00BD0E25"/>
    <w:rsid w:val="00BD46B4"/>
    <w:rsid w:val="00BF5BD6"/>
    <w:rsid w:val="00C03E31"/>
    <w:rsid w:val="00C13EBA"/>
    <w:rsid w:val="00C236B2"/>
    <w:rsid w:val="00C33E72"/>
    <w:rsid w:val="00C354B2"/>
    <w:rsid w:val="00C35554"/>
    <w:rsid w:val="00C42709"/>
    <w:rsid w:val="00C533CC"/>
    <w:rsid w:val="00C53FFA"/>
    <w:rsid w:val="00C56624"/>
    <w:rsid w:val="00C5751C"/>
    <w:rsid w:val="00C61BFC"/>
    <w:rsid w:val="00C62B85"/>
    <w:rsid w:val="00C65438"/>
    <w:rsid w:val="00C744D0"/>
    <w:rsid w:val="00C863DE"/>
    <w:rsid w:val="00C87FD8"/>
    <w:rsid w:val="00C91381"/>
    <w:rsid w:val="00C91CBB"/>
    <w:rsid w:val="00CB4E70"/>
    <w:rsid w:val="00CC09B6"/>
    <w:rsid w:val="00CC666F"/>
    <w:rsid w:val="00CD1E3F"/>
    <w:rsid w:val="00CE406B"/>
    <w:rsid w:val="00CE44F6"/>
    <w:rsid w:val="00CE49DA"/>
    <w:rsid w:val="00CE7B61"/>
    <w:rsid w:val="00CF3173"/>
    <w:rsid w:val="00D00095"/>
    <w:rsid w:val="00D0611C"/>
    <w:rsid w:val="00D114F0"/>
    <w:rsid w:val="00D12B0C"/>
    <w:rsid w:val="00D20620"/>
    <w:rsid w:val="00D254F7"/>
    <w:rsid w:val="00D26091"/>
    <w:rsid w:val="00D2685C"/>
    <w:rsid w:val="00D34E7C"/>
    <w:rsid w:val="00D35489"/>
    <w:rsid w:val="00D36AFE"/>
    <w:rsid w:val="00D51276"/>
    <w:rsid w:val="00D62C46"/>
    <w:rsid w:val="00D7035F"/>
    <w:rsid w:val="00D72DE4"/>
    <w:rsid w:val="00D92359"/>
    <w:rsid w:val="00D94F73"/>
    <w:rsid w:val="00DA0866"/>
    <w:rsid w:val="00DA634F"/>
    <w:rsid w:val="00DA65AC"/>
    <w:rsid w:val="00DB1913"/>
    <w:rsid w:val="00DC410D"/>
    <w:rsid w:val="00DC5A81"/>
    <w:rsid w:val="00DC68CA"/>
    <w:rsid w:val="00DC7CBA"/>
    <w:rsid w:val="00DD244C"/>
    <w:rsid w:val="00DD73B7"/>
    <w:rsid w:val="00DE06F9"/>
    <w:rsid w:val="00DF28BC"/>
    <w:rsid w:val="00DF34B9"/>
    <w:rsid w:val="00E01053"/>
    <w:rsid w:val="00E07ACF"/>
    <w:rsid w:val="00E331A1"/>
    <w:rsid w:val="00E33202"/>
    <w:rsid w:val="00E336A9"/>
    <w:rsid w:val="00E4343A"/>
    <w:rsid w:val="00E472B1"/>
    <w:rsid w:val="00E50624"/>
    <w:rsid w:val="00E54009"/>
    <w:rsid w:val="00E568DF"/>
    <w:rsid w:val="00E64269"/>
    <w:rsid w:val="00E6697B"/>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43A"/>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F6C32"/>
    <w:rsid w:val="066E0107"/>
    <w:rsid w:val="07996F6E"/>
    <w:rsid w:val="0A2032A3"/>
    <w:rsid w:val="101860EC"/>
    <w:rsid w:val="10C055FF"/>
    <w:rsid w:val="118107EC"/>
    <w:rsid w:val="13D50BC4"/>
    <w:rsid w:val="160037E4"/>
    <w:rsid w:val="16BB723D"/>
    <w:rsid w:val="1BE8440E"/>
    <w:rsid w:val="1D155CEE"/>
    <w:rsid w:val="23860B96"/>
    <w:rsid w:val="240371BF"/>
    <w:rsid w:val="26D06F0F"/>
    <w:rsid w:val="29FD04D3"/>
    <w:rsid w:val="2B3E15A1"/>
    <w:rsid w:val="2C8A61B5"/>
    <w:rsid w:val="2DF04E50"/>
    <w:rsid w:val="319F7F4E"/>
    <w:rsid w:val="32D16E72"/>
    <w:rsid w:val="366735CA"/>
    <w:rsid w:val="36AA5135"/>
    <w:rsid w:val="37E16F03"/>
    <w:rsid w:val="3A6114DD"/>
    <w:rsid w:val="3D98207C"/>
    <w:rsid w:val="425B1A07"/>
    <w:rsid w:val="436617D8"/>
    <w:rsid w:val="44E268DA"/>
    <w:rsid w:val="4A627F82"/>
    <w:rsid w:val="4ABA5EA6"/>
    <w:rsid w:val="4B4F25DA"/>
    <w:rsid w:val="4BE068DB"/>
    <w:rsid w:val="4D577224"/>
    <w:rsid w:val="4EAB630A"/>
    <w:rsid w:val="4ECE2238"/>
    <w:rsid w:val="508530A8"/>
    <w:rsid w:val="5AF92295"/>
    <w:rsid w:val="5CD71FC4"/>
    <w:rsid w:val="633155DA"/>
    <w:rsid w:val="6C4A05C8"/>
    <w:rsid w:val="6E7E3605"/>
    <w:rsid w:val="6FBE28FA"/>
    <w:rsid w:val="6FF5CC65"/>
    <w:rsid w:val="715C0E4B"/>
    <w:rsid w:val="72734D90"/>
    <w:rsid w:val="73AD73D5"/>
    <w:rsid w:val="73B6EB34"/>
    <w:rsid w:val="78D85081"/>
    <w:rsid w:val="79EE5BA4"/>
    <w:rsid w:val="7A894339"/>
    <w:rsid w:val="7BA77512"/>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61"/>
    <w:basedOn w:val="13"/>
    <w:qFormat/>
    <w:uiPriority w:val="0"/>
    <w:rPr>
      <w:rFonts w:hint="eastAsia" w:ascii="宋体" w:hAnsi="宋体" w:eastAsia="宋体" w:cs="宋体"/>
      <w:color w:val="000000"/>
      <w:sz w:val="24"/>
      <w:szCs w:val="24"/>
      <w:u w:val="none"/>
    </w:rPr>
  </w:style>
  <w:style w:type="character" w:customStyle="1" w:styleId="31">
    <w:name w:val="font01"/>
    <w:basedOn w:val="13"/>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1309</Words>
  <Characters>7466</Characters>
  <Lines>62</Lines>
  <Paragraphs>17</Paragraphs>
  <TotalTime>45</TotalTime>
  <ScaleCrop>false</ScaleCrop>
  <LinksUpToDate>false</LinksUpToDate>
  <CharactersWithSpaces>8758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2022-08-08T17:11:00Z</cp:lastPrinted>
  <dcterms:modified xsi:type="dcterms:W3CDTF">2023-12-11T16:35:14Z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E28A07574D204B7C9D7E61BDE6BA29C1_13</vt:lpwstr>
  </property>
</Properties>
</file>