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96597"/>
      <w:bookmarkStart w:id="2" w:name="_Toc15377193"/>
      <w:bookmarkStart w:id="3" w:name="_Toc15396475"/>
      <w:bookmarkStart w:id="4" w:name="_Toc15377425"/>
      <w:bookmarkStart w:id="5" w:name="_Toc15396599"/>
      <w:bookmarkStart w:id="6" w:name="_Toc15377196"/>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ascii="方正小标宋简体" w:hAnsi="宋体" w:eastAsia="方正小标宋简体"/>
          <w:color w:val="auto"/>
          <w:sz w:val="56"/>
          <w:szCs w:val="56"/>
          <w:highlight w:val="none"/>
        </w:rPr>
      </w:pPr>
      <w:r>
        <w:rPr>
          <w:rFonts w:ascii="黑体" w:hAnsi="黑体" w:eastAsia="黑体"/>
          <w:color w:val="auto"/>
          <w:sz w:val="56"/>
          <w:szCs w:val="56"/>
          <w:highlight w:val="none"/>
        </w:rPr>
        <w:t>202</w:t>
      </w:r>
      <w:r>
        <w:rPr>
          <w:rFonts w:hint="eastAsia" w:ascii="黑体" w:hAnsi="黑体" w:eastAsia="黑体"/>
          <w:color w:val="auto"/>
          <w:sz w:val="56"/>
          <w:szCs w:val="56"/>
          <w:highlight w:val="none"/>
        </w:rPr>
        <w:t>2</w:t>
      </w:r>
      <w:r>
        <w:rPr>
          <w:rFonts w:hint="eastAsia" w:ascii="方正小标宋简体" w:hAnsi="宋体" w:eastAsia="方正小标宋简体"/>
          <w:color w:val="auto"/>
          <w:sz w:val="56"/>
          <w:szCs w:val="56"/>
          <w:highlight w:val="none"/>
        </w:rPr>
        <w:t>年度</w:t>
      </w:r>
    </w:p>
    <w:p>
      <w:pPr>
        <w:adjustRightInd w:val="0"/>
        <w:snapToGrid w:val="0"/>
        <w:spacing w:line="360" w:lineRule="auto"/>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default" w:ascii="方正小标宋简体" w:hAnsi="宋体" w:eastAsia="方正小标宋简体"/>
          <w:color w:val="auto"/>
          <w:sz w:val="56"/>
          <w:szCs w:val="56"/>
          <w:highlight w:val="none"/>
          <w:lang w:val="en-US" w:eastAsia="zh-CN"/>
        </w:rPr>
      </w:pPr>
      <w:bookmarkStart w:id="7" w:name="_Toc15378442"/>
      <w:bookmarkStart w:id="8" w:name="_Toc15396598"/>
      <w:bookmarkStart w:id="9" w:name="_Toc15377426"/>
      <w:bookmarkStart w:id="10" w:name="_Toc15377194"/>
      <w:bookmarkStart w:id="11" w:name="_Toc15396476"/>
      <w:r>
        <w:rPr>
          <w:rFonts w:hint="eastAsia" w:ascii="方正小标宋简体" w:hAnsi="宋体" w:eastAsia="方正小标宋简体"/>
          <w:color w:val="auto"/>
          <w:sz w:val="56"/>
          <w:szCs w:val="56"/>
          <w:highlight w:val="none"/>
        </w:rPr>
        <w:t>四川省</w:t>
      </w:r>
      <w:bookmarkStart w:id="12" w:name="_Toc15306268"/>
      <w:r>
        <w:rPr>
          <w:rFonts w:hint="eastAsia" w:ascii="方正小标宋简体" w:hAnsi="宋体" w:eastAsia="方正小标宋简体"/>
          <w:color w:val="auto"/>
          <w:sz w:val="56"/>
          <w:szCs w:val="56"/>
          <w:highlight w:val="none"/>
        </w:rPr>
        <w:t>剑阁县</w:t>
      </w:r>
      <w:r>
        <w:rPr>
          <w:rFonts w:hint="eastAsia" w:ascii="方正小标宋简体" w:hAnsi="宋体" w:eastAsia="方正小标宋简体"/>
          <w:color w:val="auto"/>
          <w:sz w:val="56"/>
          <w:szCs w:val="56"/>
          <w:highlight w:val="none"/>
          <w:lang w:val="en-US" w:eastAsia="zh-CN"/>
        </w:rPr>
        <w:t>白龙镇小学校</w:t>
      </w:r>
    </w:p>
    <w:p>
      <w:pPr>
        <w:adjustRightInd w:val="0"/>
        <w:snapToGrid w:val="0"/>
        <w:spacing w:line="360" w:lineRule="auto"/>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ascii="方正小标宋简体" w:hAnsi="宋体" w:eastAsia="方正小标宋简体"/>
          <w:color w:val="auto"/>
          <w:sz w:val="56"/>
          <w:szCs w:val="56"/>
          <w:highlight w:val="none"/>
        </w:rPr>
      </w:pPr>
      <w:r>
        <w:rPr>
          <w:rFonts w:hint="eastAsia" w:ascii="方正小标宋简体" w:hAnsi="宋体" w:eastAsia="方正小标宋简体"/>
          <w:color w:val="auto"/>
          <w:sz w:val="56"/>
          <w:szCs w:val="56"/>
          <w:highlight w:val="none"/>
        </w:rPr>
        <w:t>部门决算</w:t>
      </w:r>
      <w:bookmarkEnd w:id="7"/>
      <w:bookmarkEnd w:id="8"/>
      <w:bookmarkEnd w:id="9"/>
      <w:bookmarkEnd w:id="10"/>
      <w:bookmarkEnd w:id="11"/>
      <w:bookmarkEnd w:id="12"/>
      <w:r>
        <w:rPr>
          <w:rFonts w:hint="eastAsia" w:ascii="方正小标宋简体" w:hAnsi="宋体" w:eastAsia="方正小标宋简体"/>
          <w:color w:val="auto"/>
          <w:sz w:val="56"/>
          <w:szCs w:val="56"/>
          <w:highlight w:val="none"/>
        </w:rPr>
        <w:t>公开</w:t>
      </w:r>
    </w:p>
    <w:p>
      <w:pPr>
        <w:widowControl/>
        <w:ind w:firstLine="2880" w:firstLineChars="800"/>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   录</w:t>
      </w:r>
    </w:p>
    <w:p>
      <w:pPr>
        <w:widowControl/>
        <w:jc w:val="center"/>
        <w:rPr>
          <w:rFonts w:ascii="黑体" w:hAnsi="黑体" w:eastAsia="黑体"/>
          <w:color w:val="auto"/>
          <w:sz w:val="28"/>
          <w:szCs w:val="28"/>
          <w:highlight w:val="none"/>
        </w:rPr>
      </w:pPr>
    </w:p>
    <w:p>
      <w:pPr>
        <w:rPr>
          <w:color w:val="auto"/>
          <w:highlight w:val="none"/>
        </w:rPr>
      </w:pP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一、基本职能及主要工作</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二、机构设置</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第二部分度部门决算情况说明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一、收入支出决算总体情况说明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二、收入决算情况说明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三、支出决算情况说明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四、财政拨款收入支出决算总体情况说明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五、一般公共预算财政拨款支出决算情况说明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六、一般公共预算财政拨款基本支出决算情况说明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七、</w:t>
      </w:r>
      <w:r>
        <w:rPr>
          <w:color w:val="auto"/>
          <w:sz w:val="24"/>
          <w:highlight w:val="none"/>
        </w:rPr>
        <w:t>“</w:t>
      </w:r>
      <w:r>
        <w:rPr>
          <w:rFonts w:hint="eastAsia"/>
          <w:color w:val="auto"/>
          <w:sz w:val="24"/>
          <w:highlight w:val="none"/>
        </w:rPr>
        <w:t>三公”经费财政拨款支出决算情况说明</w:t>
      </w:r>
    </w:p>
    <w:p>
      <w:pPr>
        <w:pStyle w:val="11"/>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八、政府性基金预算支出决算情况说明</w:t>
      </w:r>
    </w:p>
    <w:p>
      <w:pPr>
        <w:pStyle w:val="11"/>
        <w:adjustRightInd w:val="0"/>
        <w:snapToGrid w:val="0"/>
        <w:spacing w:line="440" w:lineRule="exact"/>
        <w:ind w:leftChars="0"/>
        <w:jc w:val="left"/>
        <w:rPr>
          <w:rFonts w:ascii="仿宋" w:hAnsi="仿宋" w:eastAsia="仿宋"/>
          <w:color w:val="auto"/>
          <w:sz w:val="24"/>
          <w:highlight w:val="none"/>
        </w:rPr>
      </w:pPr>
      <w:r>
        <w:rPr>
          <w:rFonts w:hint="eastAsia" w:ascii="仿宋" w:hAnsi="仿宋" w:eastAsia="仿宋"/>
          <w:color w:val="auto"/>
          <w:sz w:val="24"/>
          <w:highlight w:val="none"/>
        </w:rPr>
        <w:t>九、</w:t>
      </w:r>
      <w:r>
        <w:rPr>
          <w:color w:val="auto"/>
          <w:sz w:val="24"/>
          <w:highlight w:val="none"/>
        </w:rPr>
        <w:t xml:space="preserve"> </w:t>
      </w:r>
      <w:r>
        <w:rPr>
          <w:rFonts w:hint="eastAsia"/>
          <w:color w:val="auto"/>
          <w:sz w:val="24"/>
          <w:highlight w:val="none"/>
        </w:rPr>
        <w:t>国有资本经营预算支出决算情况说明</w:t>
      </w:r>
    </w:p>
    <w:p>
      <w:pPr>
        <w:adjustRightInd w:val="0"/>
        <w:snapToGrid w:val="0"/>
        <w:spacing w:line="440" w:lineRule="exact"/>
        <w:ind w:firstLine="480" w:firstLineChars="200"/>
        <w:jc w:val="left"/>
        <w:rPr>
          <w:rFonts w:ascii="仿宋" w:hAnsi="仿宋" w:eastAsia="仿宋"/>
          <w:color w:val="auto"/>
          <w:sz w:val="24"/>
          <w:highlight w:val="none"/>
        </w:rPr>
      </w:pPr>
      <w:r>
        <w:rPr>
          <w:rStyle w:val="16"/>
          <w:rFonts w:hint="eastAsia" w:ascii="仿宋" w:hAnsi="仿宋" w:eastAsia="仿宋"/>
          <w:color w:val="auto"/>
          <w:sz w:val="24"/>
          <w:highlight w:val="none"/>
        </w:rPr>
        <w:t>十、</w:t>
      </w:r>
      <w:r>
        <w:rPr>
          <w:rFonts w:hint="eastAsia"/>
          <w:color w:val="auto"/>
          <w:sz w:val="24"/>
          <w:highlight w:val="none"/>
        </w:rPr>
        <w:t>其他重要事项的情况说明</w:t>
      </w:r>
      <w:r>
        <w:rPr>
          <w:rFonts w:ascii="仿宋" w:hAnsi="仿宋" w:eastAsia="仿宋"/>
          <w:color w:val="auto"/>
          <w:sz w:val="24"/>
          <w:highlight w:val="none"/>
        </w:rPr>
        <w:tab/>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pPr>
        <w:pStyle w:val="10"/>
        <w:adjustRightInd w:val="0"/>
        <w:snapToGrid w:val="0"/>
        <w:spacing w:before="0" w:line="440" w:lineRule="exact"/>
        <w:jc w:val="left"/>
        <w:rPr>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一、</w:t>
      </w:r>
      <w:r>
        <w:rPr>
          <w:rFonts w:hint="eastAsia"/>
          <w:color w:val="auto"/>
          <w:sz w:val="24"/>
          <w:highlight w:val="none"/>
        </w:rPr>
        <w:t>收入支出决算总表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二、</w:t>
      </w:r>
      <w:r>
        <w:rPr>
          <w:rFonts w:hint="eastAsia"/>
          <w:color w:val="auto"/>
          <w:sz w:val="24"/>
          <w:highlight w:val="none"/>
        </w:rPr>
        <w:t>收入</w:t>
      </w:r>
      <w:r>
        <w:rPr>
          <w:rFonts w:hint="eastAsia" w:ascii="仿宋" w:hAnsi="仿宋" w:eastAsia="仿宋"/>
          <w:color w:val="auto"/>
          <w:sz w:val="24"/>
          <w:highlight w:val="none"/>
        </w:rPr>
        <w:t>决算</w:t>
      </w:r>
      <w:r>
        <w:rPr>
          <w:rFonts w:hint="eastAsia"/>
          <w:color w:val="auto"/>
          <w:sz w:val="24"/>
          <w:highlight w:val="none"/>
        </w:rPr>
        <w:t>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三、</w:t>
      </w:r>
      <w:r>
        <w:rPr>
          <w:rFonts w:hint="eastAsia"/>
          <w:color w:val="auto"/>
          <w:sz w:val="24"/>
          <w:highlight w:val="none"/>
        </w:rPr>
        <w:t>支出</w:t>
      </w:r>
      <w:r>
        <w:rPr>
          <w:rFonts w:hint="eastAsia" w:ascii="仿宋" w:hAnsi="仿宋" w:eastAsia="仿宋"/>
          <w:color w:val="auto"/>
          <w:sz w:val="24"/>
          <w:highlight w:val="none"/>
        </w:rPr>
        <w:t>决算</w:t>
      </w:r>
      <w:r>
        <w:rPr>
          <w:rFonts w:hint="eastAsia"/>
          <w:color w:val="auto"/>
          <w:sz w:val="24"/>
          <w:highlight w:val="none"/>
        </w:rPr>
        <w:t>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四、</w:t>
      </w:r>
      <w:r>
        <w:rPr>
          <w:rFonts w:hint="eastAsia"/>
          <w:color w:val="auto"/>
          <w:sz w:val="24"/>
          <w:highlight w:val="none"/>
        </w:rPr>
        <w:t>财政拨款收入支出决算总表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五、财政拨款支出决算明细表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六、</w:t>
      </w:r>
      <w:r>
        <w:rPr>
          <w:rFonts w:hint="eastAsia"/>
          <w:color w:val="auto"/>
          <w:sz w:val="24"/>
          <w:highlight w:val="none"/>
        </w:rPr>
        <w:t>一般公共预算财政拨款支出决算表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七、</w:t>
      </w:r>
      <w:r>
        <w:rPr>
          <w:rFonts w:hint="eastAsia"/>
          <w:color w:val="auto"/>
          <w:sz w:val="24"/>
          <w:highlight w:val="none"/>
        </w:rPr>
        <w:t>一般公共预算财政拨款支出决算明细表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八、</w:t>
      </w:r>
      <w:r>
        <w:rPr>
          <w:rFonts w:hint="eastAsia"/>
          <w:color w:val="auto"/>
          <w:sz w:val="24"/>
          <w:highlight w:val="none"/>
        </w:rPr>
        <w:t>一般公共预算财政拨款基本支出决算表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九、</w:t>
      </w:r>
      <w:r>
        <w:rPr>
          <w:rFonts w:hint="eastAsia"/>
          <w:color w:val="auto"/>
          <w:sz w:val="24"/>
          <w:highlight w:val="none"/>
        </w:rPr>
        <w:t>一般公共预算财政拨款项目支出决算表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十、</w:t>
      </w:r>
      <w:r>
        <w:rPr>
          <w:rFonts w:hint="eastAsia"/>
          <w:color w:val="auto"/>
          <w:sz w:val="24"/>
          <w:highlight w:val="none"/>
        </w:rPr>
        <w:t>一般公共预算财政拨款“三公”经费支出决算表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十一、</w:t>
      </w:r>
      <w:r>
        <w:rPr>
          <w:rFonts w:hint="eastAsia"/>
          <w:color w:val="auto"/>
          <w:sz w:val="24"/>
          <w:highlight w:val="none"/>
        </w:rPr>
        <w:t>政府性基金预算财政拨款收入支出决算表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十二、</w:t>
      </w:r>
      <w:r>
        <w:rPr>
          <w:rFonts w:hint="eastAsia"/>
          <w:color w:val="auto"/>
          <w:sz w:val="24"/>
          <w:highlight w:val="none"/>
        </w:rPr>
        <w:t>政府性基金预算财政拨款“三公”经费支出决算表</w:t>
      </w:r>
    </w:p>
    <w:p>
      <w:pPr>
        <w:pStyle w:val="11"/>
        <w:adjustRightInd w:val="0"/>
        <w:snapToGrid w:val="0"/>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十三、国有资本经营预算财政拨款收入支出决算表</w:t>
      </w:r>
    </w:p>
    <w:p>
      <w:pPr>
        <w:pStyle w:val="11"/>
        <w:adjustRightInd w:val="0"/>
        <w:snapToGrid w:val="0"/>
        <w:spacing w:line="440" w:lineRule="exact"/>
        <w:jc w:val="left"/>
        <w:rPr>
          <w:rStyle w:val="17"/>
          <w:rFonts w:ascii="仿宋" w:hAnsi="仿宋" w:eastAsia="仿宋"/>
          <w:b w:val="0"/>
          <w:bCs w:val="0"/>
          <w:color w:val="auto"/>
          <w:kern w:val="2"/>
          <w:sz w:val="24"/>
          <w:szCs w:val="21"/>
          <w:highlight w:val="none"/>
        </w:rPr>
      </w:pPr>
      <w:r>
        <w:rPr>
          <w:rFonts w:hint="eastAsia" w:ascii="仿宋" w:hAnsi="仿宋" w:eastAsia="仿宋"/>
          <w:color w:val="auto"/>
          <w:sz w:val="24"/>
          <w:highlight w:val="none"/>
        </w:rPr>
        <w:t>十四、国有资本经营预算财政拨款支出决算表</w:t>
      </w:r>
      <w:bookmarkEnd w:id="0"/>
      <w:bookmarkEnd w:id="1"/>
      <w:bookmarkEnd w:id="2"/>
      <w:bookmarkEnd w:id="3"/>
      <w:bookmarkEnd w:id="4"/>
    </w:p>
    <w:p>
      <w:pPr>
        <w:widowControl/>
        <w:jc w:val="center"/>
        <w:rPr>
          <w:rFonts w:ascii="黑体" w:hAnsi="黑体" w:eastAsia="黑体" w:cs="黑体"/>
          <w:bCs/>
          <w:color w:val="auto"/>
          <w:kern w:val="44"/>
          <w:sz w:val="36"/>
          <w:szCs w:val="36"/>
          <w:highlight w:val="none"/>
        </w:rPr>
      </w:pPr>
      <w:r>
        <w:rPr>
          <w:rStyle w:val="17"/>
          <w:rFonts w:hint="eastAsia" w:ascii="黑体" w:hAnsi="黑体" w:eastAsia="黑体" w:cs="黑体"/>
          <w:b w:val="0"/>
          <w:color w:val="auto"/>
          <w:sz w:val="36"/>
          <w:szCs w:val="36"/>
          <w:highlight w:val="none"/>
        </w:rPr>
        <w:t>第一部分 部门概况</w:t>
      </w:r>
      <w:bookmarkEnd w:id="5"/>
      <w:bookmarkEnd w:id="6"/>
      <w:bookmarkStart w:id="13" w:name="_Toc15377197"/>
      <w:bookmarkStart w:id="14" w:name="_Toc15396600"/>
    </w:p>
    <w:bookmarkEnd w:id="13"/>
    <w:bookmarkEnd w:id="14"/>
    <w:p>
      <w:pPr>
        <w:pStyle w:val="3"/>
        <w:pageBreakBefore w:val="0"/>
        <w:kinsoku/>
        <w:wordWrap/>
        <w:overflowPunct/>
        <w:topLinePunct w:val="0"/>
        <w:bidi w:val="0"/>
        <w:spacing w:before="0" w:after="0" w:line="360" w:lineRule="auto"/>
        <w:textAlignment w:val="auto"/>
        <w:rPr>
          <w:rStyle w:val="18"/>
          <w:rFonts w:hint="eastAsia" w:ascii="仿宋" w:hAnsi="仿宋" w:eastAsia="仿宋" w:cs="仿宋"/>
          <w:b/>
          <w:bCs w:val="0"/>
          <w:color w:val="auto"/>
          <w:sz w:val="28"/>
          <w:szCs w:val="28"/>
          <w:highlight w:val="none"/>
        </w:rPr>
      </w:pPr>
      <w:bookmarkStart w:id="15" w:name="_Toc15396602"/>
      <w:bookmarkStart w:id="16" w:name="_Toc15377204"/>
      <w:r>
        <w:rPr>
          <w:rFonts w:hint="eastAsia" w:ascii="仿宋" w:hAnsi="仿宋" w:eastAsia="仿宋" w:cs="仿宋"/>
          <w:b/>
          <w:bCs w:val="0"/>
          <w:color w:val="auto"/>
          <w:sz w:val="28"/>
          <w:szCs w:val="28"/>
          <w:highlight w:val="none"/>
        </w:rPr>
        <w:t>一、基</w:t>
      </w:r>
      <w:r>
        <w:rPr>
          <w:rStyle w:val="18"/>
          <w:rFonts w:hint="eastAsia" w:ascii="仿宋" w:hAnsi="仿宋" w:eastAsia="仿宋" w:cs="仿宋"/>
          <w:b/>
          <w:bCs w:val="0"/>
          <w:color w:val="auto"/>
          <w:sz w:val="28"/>
          <w:szCs w:val="28"/>
          <w:highlight w:val="none"/>
        </w:rPr>
        <w:t>本职能及主要工作</w:t>
      </w:r>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highlight w:val="none"/>
        </w:rPr>
      </w:pPr>
      <w:bookmarkStart w:id="17" w:name="_Toc15378445"/>
      <w:bookmarkStart w:id="18" w:name="_Toc15377198"/>
      <w:r>
        <w:rPr>
          <w:rFonts w:hint="eastAsia" w:ascii="仿宋" w:hAnsi="仿宋" w:eastAsia="仿宋" w:cs="仿宋"/>
          <w:bCs/>
          <w:color w:val="auto"/>
          <w:sz w:val="28"/>
          <w:szCs w:val="28"/>
          <w:highlight w:val="none"/>
        </w:rPr>
        <w:t>（一）主要职能。</w:t>
      </w:r>
      <w:bookmarkEnd w:id="17"/>
      <w:bookmarkEnd w:id="18"/>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剑阁县</w:t>
      </w:r>
      <w:r>
        <w:rPr>
          <w:rFonts w:hint="eastAsia" w:ascii="仿宋" w:hAnsi="仿宋" w:eastAsia="仿宋" w:cs="仿宋"/>
          <w:bCs/>
          <w:color w:val="auto"/>
          <w:sz w:val="28"/>
          <w:szCs w:val="28"/>
          <w:highlight w:val="none"/>
          <w:lang w:val="en-US" w:eastAsia="zh-CN"/>
        </w:rPr>
        <w:t>白龙</w:t>
      </w:r>
      <w:r>
        <w:rPr>
          <w:rFonts w:hint="eastAsia" w:ascii="仿宋" w:hAnsi="仿宋" w:eastAsia="仿宋" w:cs="仿宋"/>
          <w:bCs/>
          <w:color w:val="auto"/>
          <w:sz w:val="28"/>
          <w:szCs w:val="28"/>
          <w:highlight w:val="none"/>
        </w:rPr>
        <w:t>小学</w:t>
      </w:r>
      <w:r>
        <w:rPr>
          <w:rFonts w:hint="eastAsia" w:ascii="仿宋" w:hAnsi="仿宋" w:eastAsia="仿宋" w:cs="仿宋"/>
          <w:bCs/>
          <w:color w:val="auto"/>
          <w:sz w:val="28"/>
          <w:szCs w:val="28"/>
          <w:highlight w:val="none"/>
          <w:lang w:eastAsia="zh-CN"/>
        </w:rPr>
        <w:t>属财政预算一级单位，执行事业单位会计制度，宗旨和业务范围：实施小学业务教育，促进基础教育发展。</w:t>
      </w:r>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highlight w:val="none"/>
        </w:rPr>
      </w:pPr>
      <w:bookmarkStart w:id="19" w:name="_Toc15378446"/>
      <w:bookmarkStart w:id="20" w:name="_Toc15377199"/>
      <w:r>
        <w:rPr>
          <w:rFonts w:hint="eastAsia" w:ascii="仿宋" w:hAnsi="仿宋" w:eastAsia="仿宋" w:cs="仿宋"/>
          <w:bCs/>
          <w:color w:val="auto"/>
          <w:sz w:val="28"/>
          <w:szCs w:val="28"/>
          <w:highlight w:val="none"/>
        </w:rPr>
        <w:t>（二）202</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年重点工作完成情况。</w:t>
      </w:r>
      <w:bookmarkEnd w:id="19"/>
      <w:bookmarkEnd w:id="20"/>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一是学习</w:t>
      </w:r>
      <w:r>
        <w:rPr>
          <w:rFonts w:hint="eastAsia" w:ascii="仿宋" w:hAnsi="仿宋" w:eastAsia="仿宋" w:cs="仿宋"/>
          <w:bCs/>
          <w:color w:val="auto"/>
          <w:sz w:val="28"/>
          <w:szCs w:val="28"/>
          <w:highlight w:val="none"/>
          <w:lang w:eastAsia="zh-CN"/>
        </w:rPr>
        <w:t>习近平总书记的重要讲话精神。</w:t>
      </w:r>
      <w:r>
        <w:rPr>
          <w:rFonts w:hint="eastAsia" w:ascii="仿宋" w:hAnsi="仿宋" w:eastAsia="仿宋" w:cs="仿宋"/>
          <w:bCs/>
          <w:color w:val="auto"/>
          <w:sz w:val="28"/>
          <w:szCs w:val="28"/>
          <w:highlight w:val="none"/>
        </w:rPr>
        <w:t>进一步深入学习宣传</w:t>
      </w:r>
      <w:r>
        <w:rPr>
          <w:rFonts w:hint="eastAsia" w:ascii="仿宋" w:hAnsi="仿宋" w:eastAsia="仿宋" w:cs="仿宋"/>
          <w:bCs/>
          <w:color w:val="auto"/>
          <w:sz w:val="28"/>
          <w:szCs w:val="28"/>
          <w:highlight w:val="none"/>
          <w:lang w:eastAsia="zh-CN"/>
        </w:rPr>
        <w:t>习近平总书记的重要讲话</w:t>
      </w:r>
      <w:r>
        <w:rPr>
          <w:rFonts w:hint="eastAsia" w:ascii="仿宋" w:hAnsi="仿宋" w:eastAsia="仿宋" w:cs="仿宋"/>
          <w:bCs/>
          <w:color w:val="auto"/>
          <w:sz w:val="28"/>
          <w:szCs w:val="28"/>
          <w:highlight w:val="none"/>
        </w:rPr>
        <w:t>精神，把思想和行动统一到</w:t>
      </w:r>
      <w:r>
        <w:rPr>
          <w:rFonts w:hint="eastAsia" w:ascii="仿宋" w:hAnsi="仿宋" w:eastAsia="仿宋" w:cs="仿宋"/>
          <w:bCs/>
          <w:color w:val="auto"/>
          <w:sz w:val="28"/>
          <w:szCs w:val="28"/>
          <w:highlight w:val="none"/>
          <w:lang w:eastAsia="zh-CN"/>
        </w:rPr>
        <w:t>重要讲话</w:t>
      </w:r>
      <w:r>
        <w:rPr>
          <w:rFonts w:hint="eastAsia" w:ascii="仿宋" w:hAnsi="仿宋" w:eastAsia="仿宋" w:cs="仿宋"/>
          <w:bCs/>
          <w:color w:val="auto"/>
          <w:sz w:val="28"/>
          <w:szCs w:val="28"/>
          <w:highlight w:val="none"/>
        </w:rPr>
        <w:t>精神上来，把智慧和力量凝聚到落实</w:t>
      </w:r>
      <w:r>
        <w:rPr>
          <w:rFonts w:hint="eastAsia" w:ascii="仿宋" w:hAnsi="仿宋" w:eastAsia="仿宋" w:cs="仿宋"/>
          <w:bCs/>
          <w:color w:val="auto"/>
          <w:sz w:val="28"/>
          <w:szCs w:val="28"/>
          <w:highlight w:val="none"/>
          <w:lang w:val="en-US" w:eastAsia="zh-CN"/>
        </w:rPr>
        <w:t>2022年</w:t>
      </w:r>
      <w:r>
        <w:rPr>
          <w:rFonts w:hint="eastAsia" w:ascii="仿宋" w:hAnsi="仿宋" w:eastAsia="仿宋" w:cs="仿宋"/>
          <w:bCs/>
          <w:color w:val="auto"/>
          <w:sz w:val="28"/>
          <w:szCs w:val="28"/>
          <w:highlight w:val="none"/>
        </w:rPr>
        <w:t>目标任务上。</w:t>
      </w:r>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二是抓</w:t>
      </w:r>
      <w:r>
        <w:rPr>
          <w:rFonts w:hint="eastAsia" w:ascii="仿宋" w:hAnsi="仿宋" w:eastAsia="仿宋" w:cs="仿宋"/>
          <w:bCs/>
          <w:color w:val="auto"/>
          <w:sz w:val="28"/>
          <w:szCs w:val="28"/>
          <w:highlight w:val="none"/>
          <w:lang w:val="en-US" w:eastAsia="zh-CN"/>
        </w:rPr>
        <w:t>教育扶贫</w:t>
      </w:r>
      <w:r>
        <w:rPr>
          <w:rFonts w:hint="eastAsia" w:ascii="仿宋" w:hAnsi="仿宋" w:eastAsia="仿宋" w:cs="仿宋"/>
          <w:bCs/>
          <w:color w:val="auto"/>
          <w:sz w:val="28"/>
          <w:szCs w:val="28"/>
          <w:highlight w:val="none"/>
        </w:rPr>
        <w:t>工作。充分发挥义务教育作用，坚持教育扶贫扶智</w:t>
      </w:r>
      <w:r>
        <w:rPr>
          <w:rFonts w:hint="eastAsia" w:ascii="仿宋" w:hAnsi="仿宋" w:eastAsia="仿宋" w:cs="仿宋"/>
          <w:bCs/>
          <w:color w:val="auto"/>
          <w:sz w:val="28"/>
          <w:szCs w:val="28"/>
          <w:highlight w:val="none"/>
          <w:lang w:eastAsia="zh-CN"/>
        </w:rPr>
        <w:t>，一个不少，一分不少</w:t>
      </w:r>
      <w:r>
        <w:rPr>
          <w:rFonts w:hint="eastAsia" w:ascii="仿宋" w:hAnsi="仿宋" w:eastAsia="仿宋" w:cs="仿宋"/>
          <w:bCs/>
          <w:color w:val="auto"/>
          <w:sz w:val="28"/>
          <w:szCs w:val="28"/>
          <w:highlight w:val="none"/>
        </w:rPr>
        <w:t xml:space="preserve">。 </w:t>
      </w:r>
      <w:bookmarkStart w:id="76" w:name="_GoBack"/>
      <w:bookmarkEnd w:id="76"/>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三是全面提高教育教学质量。坚持教书育人，服务育人，环境育人方针，加强对学生的思想品德教育</w:t>
      </w:r>
      <w:r>
        <w:rPr>
          <w:rFonts w:hint="eastAsia" w:ascii="仿宋" w:hAnsi="仿宋" w:eastAsia="仿宋" w:cs="仿宋"/>
          <w:bCs/>
          <w:color w:val="auto"/>
          <w:sz w:val="28"/>
          <w:szCs w:val="28"/>
          <w:highlight w:val="none"/>
          <w:lang w:eastAsia="zh-CN"/>
        </w:rPr>
        <w:t>，同时抓好</w:t>
      </w:r>
      <w:r>
        <w:rPr>
          <w:rFonts w:hint="eastAsia" w:ascii="仿宋" w:hAnsi="仿宋" w:eastAsia="仿宋" w:cs="仿宋"/>
          <w:bCs/>
          <w:color w:val="auto"/>
          <w:sz w:val="28"/>
          <w:szCs w:val="28"/>
          <w:highlight w:val="none"/>
        </w:rPr>
        <w:t>教师队伍建设</w:t>
      </w:r>
      <w:r>
        <w:rPr>
          <w:rFonts w:hint="eastAsia" w:ascii="仿宋" w:hAnsi="仿宋" w:eastAsia="仿宋" w:cs="仿宋"/>
          <w:bCs/>
          <w:color w:val="auto"/>
          <w:sz w:val="28"/>
          <w:szCs w:val="28"/>
          <w:highlight w:val="none"/>
          <w:lang w:eastAsia="zh-CN"/>
        </w:rPr>
        <w:t>。</w:t>
      </w:r>
    </w:p>
    <w:p>
      <w:pPr>
        <w:pStyle w:val="5"/>
        <w:pageBreakBefore w:val="0"/>
        <w:kinsoku/>
        <w:wordWrap/>
        <w:overflowPunct/>
        <w:topLinePunct w:val="0"/>
        <w:bidi w:val="0"/>
        <w:adjustRightInd w:val="0"/>
        <w:snapToGrid w:val="0"/>
        <w:spacing w:beforeLines="0" w:line="360" w:lineRule="auto"/>
        <w:ind w:firstLine="588" w:firstLineChars="210"/>
        <w:textAlignment w:val="auto"/>
        <w:outlineLvl w:val="2"/>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四是</w:t>
      </w:r>
      <w:r>
        <w:rPr>
          <w:rFonts w:hint="eastAsia" w:ascii="仿宋" w:hAnsi="仿宋" w:eastAsia="仿宋" w:cs="仿宋"/>
          <w:color w:val="auto"/>
          <w:sz w:val="28"/>
          <w:szCs w:val="28"/>
          <w:highlight w:val="none"/>
        </w:rPr>
        <w:t>做好安全防范，保证学生的</w:t>
      </w:r>
      <w:r>
        <w:rPr>
          <w:rFonts w:hint="eastAsia" w:ascii="仿宋" w:hAnsi="仿宋" w:eastAsia="仿宋" w:cs="仿宋"/>
          <w:color w:val="auto"/>
          <w:sz w:val="28"/>
          <w:szCs w:val="28"/>
          <w:highlight w:val="none"/>
          <w:lang w:eastAsia="zh-CN"/>
        </w:rPr>
        <w:t>人身安全</w:t>
      </w:r>
      <w:r>
        <w:rPr>
          <w:rFonts w:hint="eastAsia" w:ascii="仿宋" w:hAnsi="仿宋" w:eastAsia="仿宋" w:cs="仿宋"/>
          <w:color w:val="auto"/>
          <w:sz w:val="28"/>
          <w:szCs w:val="28"/>
          <w:highlight w:val="none"/>
        </w:rPr>
        <w:t>。</w:t>
      </w:r>
    </w:p>
    <w:p>
      <w:pPr>
        <w:pStyle w:val="3"/>
        <w:pageBreakBefore w:val="0"/>
        <w:kinsoku/>
        <w:wordWrap/>
        <w:overflowPunct/>
        <w:topLinePunct w:val="0"/>
        <w:bidi w:val="0"/>
        <w:spacing w:before="0" w:after="0" w:line="360" w:lineRule="auto"/>
        <w:textAlignment w:val="auto"/>
        <w:rPr>
          <w:rStyle w:val="18"/>
          <w:rFonts w:hint="eastAsia" w:ascii="仿宋" w:hAnsi="仿宋" w:eastAsia="仿宋" w:cs="仿宋"/>
          <w:b/>
          <w:bCs w:val="0"/>
          <w:color w:val="auto"/>
          <w:sz w:val="28"/>
          <w:szCs w:val="28"/>
          <w:highlight w:val="none"/>
        </w:rPr>
      </w:pPr>
      <w:bookmarkStart w:id="21" w:name="_Toc15396601"/>
      <w:bookmarkStart w:id="22" w:name="_Toc15377200"/>
      <w:r>
        <w:rPr>
          <w:rFonts w:hint="eastAsia" w:ascii="仿宋" w:hAnsi="仿宋" w:eastAsia="仿宋" w:cs="仿宋"/>
          <w:b/>
          <w:bCs w:val="0"/>
          <w:color w:val="auto"/>
          <w:sz w:val="28"/>
          <w:szCs w:val="28"/>
          <w:highlight w:val="none"/>
        </w:rPr>
        <w:t>二、机</w:t>
      </w:r>
      <w:r>
        <w:rPr>
          <w:rStyle w:val="18"/>
          <w:rFonts w:hint="eastAsia" w:ascii="仿宋" w:hAnsi="仿宋" w:eastAsia="仿宋" w:cs="仿宋"/>
          <w:b/>
          <w:bCs w:val="0"/>
          <w:color w:val="auto"/>
          <w:sz w:val="28"/>
          <w:szCs w:val="28"/>
          <w:highlight w:val="none"/>
        </w:rPr>
        <w:t>构设置</w:t>
      </w:r>
      <w:bookmarkEnd w:id="21"/>
      <w:bookmarkEnd w:id="22"/>
    </w:p>
    <w:p>
      <w:pPr>
        <w:pStyle w:val="5"/>
        <w:pageBreakBefore w:val="0"/>
        <w:kinsoku/>
        <w:wordWrap/>
        <w:overflowPunct/>
        <w:topLinePunct w:val="0"/>
        <w:bidi w:val="0"/>
        <w:adjustRightInd w:val="0"/>
        <w:snapToGrid w:val="0"/>
        <w:spacing w:beforeLines="0"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本单位下属二级单位</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个，其中行政单位</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个，参照公务员法管理的事业单位</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个，其他事业单位</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个。</w:t>
      </w:r>
    </w:p>
    <w:p>
      <w:pPr>
        <w:widowControl/>
        <w:jc w:val="center"/>
        <w:rPr>
          <w:rStyle w:val="17"/>
          <w:rFonts w:ascii="黑体" w:hAnsi="黑体" w:eastAsia="黑体" w:cs="黑体"/>
          <w:b w:val="0"/>
          <w:color w:val="auto"/>
          <w:sz w:val="36"/>
          <w:szCs w:val="36"/>
          <w:highlight w:val="none"/>
        </w:rPr>
      </w:pPr>
      <w:r>
        <w:rPr>
          <w:rStyle w:val="17"/>
          <w:rFonts w:hint="eastAsia" w:ascii="黑体" w:hAnsi="黑体" w:eastAsia="黑体" w:cs="黑体"/>
          <w:b w:val="0"/>
          <w:color w:val="auto"/>
          <w:sz w:val="36"/>
          <w:szCs w:val="36"/>
          <w:highlight w:val="none"/>
        </w:rPr>
        <w:t xml:space="preserve">第二部分 </w:t>
      </w:r>
      <w:r>
        <w:rPr>
          <w:rStyle w:val="17"/>
          <w:rFonts w:ascii="黑体" w:hAnsi="黑体" w:eastAsia="黑体" w:cs="黑体"/>
          <w:b w:val="0"/>
          <w:color w:val="auto"/>
          <w:sz w:val="36"/>
          <w:szCs w:val="36"/>
          <w:highlight w:val="none"/>
        </w:rPr>
        <w:t>20</w:t>
      </w:r>
      <w:r>
        <w:rPr>
          <w:rStyle w:val="17"/>
          <w:rFonts w:hint="eastAsia" w:ascii="黑体" w:hAnsi="黑体" w:eastAsia="黑体" w:cs="黑体"/>
          <w:b w:val="0"/>
          <w:color w:val="auto"/>
          <w:sz w:val="36"/>
          <w:szCs w:val="36"/>
          <w:highlight w:val="none"/>
        </w:rPr>
        <w:t>22年度部门决算情况说明</w:t>
      </w:r>
      <w:bookmarkEnd w:id="15"/>
      <w:bookmarkEnd w:id="16"/>
    </w:p>
    <w:p>
      <w:pPr>
        <w:pStyle w:val="28"/>
        <w:spacing w:line="600" w:lineRule="exact"/>
        <w:ind w:firstLine="0" w:firstLineChars="0"/>
        <w:outlineLvl w:val="1"/>
        <w:rPr>
          <w:rStyle w:val="18"/>
          <w:rFonts w:ascii="黑体" w:hAnsi="黑体" w:eastAsia="黑体" w:cs="Times New Roman"/>
          <w:b w:val="0"/>
          <w:bCs w:val="0"/>
          <w:color w:val="auto"/>
          <w:sz w:val="28"/>
          <w:szCs w:val="28"/>
          <w:highlight w:val="none"/>
        </w:rPr>
      </w:pPr>
      <w:bookmarkStart w:id="23" w:name="_Toc15377205"/>
      <w:bookmarkStart w:id="24" w:name="_Toc15396603"/>
      <w:r>
        <w:rPr>
          <w:rFonts w:hint="eastAsia" w:ascii="黑体" w:hAnsi="黑体" w:eastAsia="黑体" w:cs="黑体"/>
          <w:color w:val="auto"/>
          <w:sz w:val="28"/>
          <w:szCs w:val="28"/>
          <w:highlight w:val="none"/>
        </w:rPr>
        <w:t>一、收</w:t>
      </w:r>
      <w:r>
        <w:rPr>
          <w:rStyle w:val="18"/>
          <w:rFonts w:hint="eastAsia" w:ascii="黑体" w:hAnsi="黑体" w:eastAsia="黑体" w:cs="黑体"/>
          <w:b w:val="0"/>
          <w:bCs w:val="0"/>
          <w:color w:val="auto"/>
          <w:sz w:val="28"/>
          <w:szCs w:val="28"/>
          <w:highlight w:val="none"/>
        </w:rPr>
        <w:t>入支出决算总体情况说明</w:t>
      </w:r>
      <w:bookmarkEnd w:id="23"/>
      <w:bookmarkEnd w:id="24"/>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22年度收入</w:t>
      </w:r>
      <w:r>
        <w:rPr>
          <w:rFonts w:hint="eastAsia" w:ascii="仿宋" w:hAnsi="仿宋" w:eastAsia="仿宋" w:cs="仿宋"/>
          <w:color w:val="auto"/>
          <w:sz w:val="28"/>
          <w:szCs w:val="28"/>
          <w:highlight w:val="none"/>
          <w:lang w:val="en-US" w:eastAsia="zh-CN"/>
        </w:rPr>
        <w:t>2025.84</w:t>
      </w:r>
      <w:r>
        <w:rPr>
          <w:rFonts w:hint="eastAsia" w:ascii="仿宋" w:hAnsi="仿宋" w:eastAsia="仿宋" w:cs="仿宋"/>
          <w:color w:val="auto"/>
          <w:sz w:val="28"/>
          <w:szCs w:val="28"/>
          <w:highlight w:val="none"/>
        </w:rPr>
        <w:t>万元。与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21年相比，收入总计减少</w:t>
      </w:r>
      <w:r>
        <w:rPr>
          <w:rFonts w:hint="eastAsia" w:ascii="仿宋" w:hAnsi="仿宋" w:eastAsia="仿宋" w:cs="仿宋"/>
          <w:color w:val="auto"/>
          <w:sz w:val="28"/>
          <w:szCs w:val="28"/>
          <w:highlight w:val="none"/>
          <w:lang w:val="en-US" w:eastAsia="zh-CN"/>
        </w:rPr>
        <w:t>2086.58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50.74</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项目资金减少</w:t>
      </w:r>
      <w:r>
        <w:rPr>
          <w:rFonts w:hint="eastAsia" w:ascii="仿宋" w:hAnsi="仿宋" w:eastAsia="仿宋" w:cs="仿宋"/>
          <w:color w:val="auto"/>
          <w:sz w:val="28"/>
          <w:szCs w:val="28"/>
          <w:highlight w:val="none"/>
        </w:rPr>
        <w:t>，学生教师减少，人员经费减少。</w:t>
      </w:r>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2022年度支出总计</w:t>
      </w:r>
      <w:r>
        <w:rPr>
          <w:rFonts w:hint="eastAsia" w:ascii="仿宋" w:hAnsi="仿宋" w:eastAsia="仿宋" w:cs="仿宋"/>
          <w:color w:val="auto"/>
          <w:sz w:val="28"/>
          <w:szCs w:val="28"/>
          <w:highlight w:val="none"/>
          <w:lang w:val="en-US" w:eastAsia="zh-CN"/>
        </w:rPr>
        <w:t>2025.84</w:t>
      </w:r>
      <w:r>
        <w:rPr>
          <w:rFonts w:hint="eastAsia" w:ascii="仿宋" w:hAnsi="仿宋" w:eastAsia="仿宋" w:cs="仿宋"/>
          <w:color w:val="auto"/>
          <w:sz w:val="28"/>
          <w:szCs w:val="28"/>
          <w:highlight w:val="none"/>
        </w:rPr>
        <w:t>万元。与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21年相比，支出总计减少</w:t>
      </w:r>
      <w:r>
        <w:rPr>
          <w:rFonts w:hint="eastAsia" w:ascii="仿宋" w:hAnsi="仿宋" w:eastAsia="仿宋" w:cs="仿宋"/>
          <w:color w:val="auto"/>
          <w:sz w:val="28"/>
          <w:szCs w:val="28"/>
          <w:highlight w:val="none"/>
          <w:lang w:val="en-US" w:eastAsia="zh-CN"/>
        </w:rPr>
        <w:t>2086.58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50.74</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项目减少项目支出减少</w:t>
      </w:r>
      <w:r>
        <w:rPr>
          <w:rFonts w:hint="eastAsia" w:ascii="仿宋" w:hAnsi="仿宋" w:eastAsia="仿宋" w:cs="仿宋"/>
          <w:color w:val="auto"/>
          <w:sz w:val="28"/>
          <w:szCs w:val="28"/>
          <w:highlight w:val="none"/>
        </w:rPr>
        <w:t>，学生教师减少，人员经费</w:t>
      </w:r>
      <w:r>
        <w:rPr>
          <w:rFonts w:hint="eastAsia" w:ascii="仿宋" w:hAnsi="仿宋" w:eastAsia="仿宋" w:cs="仿宋"/>
          <w:color w:val="auto"/>
          <w:sz w:val="28"/>
          <w:szCs w:val="28"/>
          <w:highlight w:val="none"/>
          <w:lang w:val="en-US" w:eastAsia="zh-CN"/>
        </w:rPr>
        <w:t>支出</w:t>
      </w:r>
      <w:r>
        <w:rPr>
          <w:rFonts w:hint="eastAsia" w:ascii="仿宋" w:hAnsi="仿宋" w:eastAsia="仿宋" w:cs="仿宋"/>
          <w:color w:val="auto"/>
          <w:sz w:val="28"/>
          <w:szCs w:val="28"/>
          <w:highlight w:val="none"/>
        </w:rPr>
        <w:t>减少。</w:t>
      </w:r>
    </w:p>
    <w:p>
      <w:pPr>
        <w:pStyle w:val="5"/>
        <w:adjustRightInd w:val="0"/>
        <w:snapToGrid w:val="0"/>
        <w:spacing w:before="93" w:line="600" w:lineRule="exact"/>
        <w:ind w:firstLine="588" w:firstLineChars="210"/>
        <w:outlineLvl w:val="2"/>
        <w:rPr>
          <w:rFonts w:ascii="仿宋" w:hAnsi="仿宋" w:eastAsia="仿宋"/>
          <w:color w:val="auto"/>
          <w:sz w:val="28"/>
          <w:szCs w:val="28"/>
          <w:highlight w:val="none"/>
        </w:rPr>
      </w:pPr>
      <w:r>
        <w:rPr>
          <w:rFonts w:hint="eastAsia" w:ascii="仿宋" w:hAnsi="仿宋" w:eastAsia="仿宋"/>
          <w:color w:val="auto"/>
          <w:sz w:val="28"/>
          <w:szCs w:val="28"/>
          <w:highlight w:val="none"/>
        </w:rPr>
        <w:t>图</w:t>
      </w:r>
      <w:r>
        <w:rPr>
          <w:rFonts w:ascii="仿宋" w:hAnsi="仿宋" w:eastAsia="仿宋"/>
          <w:color w:val="auto"/>
          <w:sz w:val="28"/>
          <w:szCs w:val="28"/>
          <w:highlight w:val="none"/>
        </w:rPr>
        <w:t>1</w:t>
      </w:r>
      <w:r>
        <w:rPr>
          <w:rFonts w:hint="eastAsia" w:ascii="仿宋" w:hAnsi="仿宋" w:eastAsia="仿宋"/>
          <w:color w:val="auto"/>
          <w:sz w:val="28"/>
          <w:szCs w:val="28"/>
          <w:highlight w:val="none"/>
        </w:rPr>
        <w:t>：收、支决算总计变动情况图：</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r>
        <w:rPr>
          <w:color w:val="auto"/>
          <w:highlight w:val="none"/>
        </w:rPr>
        <w:drawing>
          <wp:inline distT="0" distB="0" distL="114300" distR="114300">
            <wp:extent cx="4826000" cy="2743200"/>
            <wp:effectExtent l="4445" t="4445" r="8255" b="8255"/>
            <wp:docPr id="3" name="图片 1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rPr>
          <w:rStyle w:val="18"/>
          <w:rFonts w:ascii="黑体" w:hAnsi="黑体" w:eastAsia="黑体" w:cs="Times New Roman"/>
          <w:b w:val="0"/>
          <w:bCs w:val="0"/>
          <w:color w:val="auto"/>
          <w:sz w:val="28"/>
          <w:szCs w:val="28"/>
          <w:highlight w:val="none"/>
        </w:rPr>
      </w:pPr>
      <w:r>
        <w:rPr>
          <w:rStyle w:val="18"/>
          <w:rFonts w:ascii="黑体" w:hAnsi="黑体" w:eastAsia="黑体" w:cs="黑体"/>
          <w:b w:val="0"/>
          <w:b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5965190</wp:posOffset>
                </wp:positionH>
                <wp:positionV relativeFrom="paragraph">
                  <wp:posOffset>200025</wp:posOffset>
                </wp:positionV>
                <wp:extent cx="45085" cy="110490"/>
                <wp:effectExtent l="5080" t="4445" r="13335" b="12065"/>
                <wp:wrapNone/>
                <wp:docPr id="1" name="文本框 3"/>
                <wp:cNvGraphicFramePr/>
                <a:graphic xmlns:a="http://schemas.openxmlformats.org/drawingml/2006/main">
                  <a:graphicData uri="http://schemas.microsoft.com/office/word/2010/wordprocessingShape">
                    <wps:wsp>
                      <wps:cNvSpPr txBox="true"/>
                      <wps:spPr>
                        <a:xfrm>
                          <a:off x="0" y="0"/>
                          <a:ext cx="45085" cy="1104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5"/>
                                <w:szCs w:val="15"/>
                              </w:rPr>
                            </w:pPr>
                          </w:p>
                        </w:txbxContent>
                      </wps:txbx>
                      <wps:bodyPr upright="true"/>
                    </wps:wsp>
                  </a:graphicData>
                </a:graphic>
              </wp:anchor>
            </w:drawing>
          </mc:Choice>
          <mc:Fallback>
            <w:pict>
              <v:shape id="文本框 3" o:spid="_x0000_s1026" o:spt="202" type="#_x0000_t202" style="position:absolute;left:0pt;margin-left:469.7pt;margin-top:15.75pt;height:8.7pt;width:3.55pt;z-index:251659264;mso-width-relative:page;mso-height-relative:page;" fillcolor="#FFFFFF" filled="t" stroked="t" coordsize="21600,21600" o:gfxdata="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jNYiw2QAAAAkBAAAPAAAAAAAAAAEAIAAAADgAAABk&#10;cnMvZG93bnJldi54bWxQSwECFAAUAAAACACHTuJAq9rBT+8BAADsAwAADgAAAAAAAAABACAAAAA+&#10;AQAAZHJzL2Uyb0RvYy54bWxQSwUGAAAAAAYABgBZAQAAnwUAAAAA&#10;">
                <v:fill on="t" focussize="0,0"/>
                <v:stroke color="#FFFFFF" joinstyle="miter"/>
                <v:imagedata o:title=""/>
                <o:lock v:ext="edit" aspectratio="f"/>
                <v:textbox>
                  <w:txbxContent>
                    <w:p>
                      <w:pPr>
                        <w:rPr>
                          <w:sz w:val="15"/>
                          <w:szCs w:val="15"/>
                        </w:rPr>
                      </w:pPr>
                    </w:p>
                  </w:txbxContent>
                </v:textbox>
              </v:shape>
            </w:pict>
          </mc:Fallback>
        </mc:AlternateContent>
      </w:r>
      <w:r>
        <w:rPr>
          <w:rStyle w:val="18"/>
          <w:rFonts w:ascii="黑体" w:hAnsi="黑体" w:eastAsia="黑体" w:cs="黑体"/>
          <w:b w:val="0"/>
          <w:b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1343025</wp:posOffset>
                </wp:positionV>
                <wp:extent cx="704850" cy="371475"/>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704850" cy="371475"/>
                        </a:xfrm>
                        <a:prstGeom prst="rect">
                          <a:avLst/>
                        </a:prstGeom>
                        <a:solidFill>
                          <a:srgbClr val="FFFFFF">
                            <a:alpha val="0"/>
                          </a:srgbClr>
                        </a:solidFill>
                        <a:ln>
                          <a:noFill/>
                        </a:ln>
                      </wps:spPr>
                      <wps:txbx>
                        <w:txbxContent>
                          <w:p>
                            <w:pPr>
                              <w:rPr>
                                <w:sz w:val="15"/>
                                <w:szCs w:val="15"/>
                              </w:rPr>
                            </w:pPr>
                          </w:p>
                        </w:txbxContent>
                      </wps:txbx>
                      <wps:bodyPr upright="true"/>
                    </wps:wsp>
                  </a:graphicData>
                </a:graphic>
              </wp:anchor>
            </w:drawing>
          </mc:Choice>
          <mc:Fallback>
            <w:pict>
              <v:shape id="文本框 4" o:spid="_x0000_s1026" o:spt="202" type="#_x0000_t202" style="position:absolute;left:0pt;margin-left:45.75pt;margin-top:105.75pt;height:29.25pt;width:55.5pt;z-index:251659264;mso-width-relative:page;mso-height-relative:page;" fillcolor="#FFFFFF" filled="t" stroked="f" coordsize="21600,21600" o:gfxdata="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BM3WUNYAAAAKAQAADwAAAAAAAAABACAAAAA4AAAAZHJzL2Rv&#10;d25yZXYueG1sUEsBAhQAFAAAAAgAh07iQPoKsPq0AQAASwMAAA4AAAAAAAAAAQAgAAAAOwEAAGRy&#10;cy9lMm9Eb2MueG1sUEsFBgAAAAAGAAYAWQEAAGEFAAAAAA==&#10;">
                <v:fill on="t" opacity="0f" focussize="0,0"/>
                <v:stroke on="f"/>
                <v:imagedata o:title=""/>
                <o:lock v:ext="edit" aspectratio="f"/>
                <v:textbox>
                  <w:txbxContent>
                    <w:p>
                      <w:pPr>
                        <w:rPr>
                          <w:sz w:val="15"/>
                          <w:szCs w:val="15"/>
                        </w:rPr>
                      </w:pPr>
                    </w:p>
                  </w:txbxContent>
                </v:textbox>
              </v:shape>
            </w:pict>
          </mc:Fallback>
        </mc:AlternateContent>
      </w:r>
      <w:bookmarkStart w:id="25" w:name="_Toc15396604"/>
      <w:bookmarkStart w:id="26" w:name="_Toc15377206"/>
      <w:r>
        <w:rPr>
          <w:rStyle w:val="18"/>
          <w:rFonts w:hint="eastAsia" w:ascii="黑体" w:hAnsi="黑体" w:eastAsia="黑体" w:cs="黑体"/>
          <w:b w:val="0"/>
          <w:bCs w:val="0"/>
          <w:color w:val="auto"/>
          <w:sz w:val="28"/>
          <w:szCs w:val="28"/>
          <w:highlight w:val="none"/>
        </w:rPr>
        <w:t>二、收入决算情况说明</w:t>
      </w:r>
      <w:bookmarkEnd w:id="25"/>
      <w:bookmarkEnd w:id="26"/>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22年本年收入合计2</w:t>
      </w:r>
      <w:r>
        <w:rPr>
          <w:rFonts w:hint="eastAsia" w:ascii="仿宋" w:hAnsi="仿宋" w:eastAsia="仿宋" w:cs="仿宋"/>
          <w:color w:val="auto"/>
          <w:sz w:val="28"/>
          <w:szCs w:val="28"/>
          <w:highlight w:val="none"/>
          <w:lang w:val="en-US" w:eastAsia="zh-CN"/>
        </w:rPr>
        <w:t>025.84</w:t>
      </w:r>
      <w:r>
        <w:rPr>
          <w:rFonts w:hint="eastAsia" w:ascii="仿宋" w:hAnsi="仿宋" w:eastAsia="仿宋" w:cs="仿宋"/>
          <w:color w:val="auto"/>
          <w:sz w:val="28"/>
          <w:szCs w:val="28"/>
          <w:highlight w:val="none"/>
        </w:rPr>
        <w:t>万元，其中：一般公共预算财政拨款收入2</w:t>
      </w:r>
      <w:r>
        <w:rPr>
          <w:rFonts w:hint="eastAsia" w:ascii="仿宋" w:hAnsi="仿宋" w:eastAsia="仿宋" w:cs="仿宋"/>
          <w:color w:val="auto"/>
          <w:sz w:val="28"/>
          <w:szCs w:val="28"/>
          <w:highlight w:val="none"/>
          <w:lang w:val="en-US" w:eastAsia="zh-CN"/>
        </w:rPr>
        <w:t>023.84</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99.90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政府性基金预算财政拨款收入2万元，占0.10%；</w:t>
      </w:r>
      <w:r>
        <w:rPr>
          <w:rFonts w:hint="eastAsia" w:ascii="仿宋" w:hAnsi="仿宋" w:eastAsia="仿宋" w:cs="仿宋"/>
          <w:color w:val="auto"/>
          <w:sz w:val="28"/>
          <w:szCs w:val="28"/>
          <w:highlight w:val="none"/>
        </w:rPr>
        <w:t>事业收入0万元，占0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；上年结转0万元，占0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pPr>
        <w:spacing w:line="600" w:lineRule="exact"/>
        <w:ind w:firstLine="560" w:firstLineChars="200"/>
        <w:outlineLvl w:val="1"/>
        <w:rPr>
          <w:rFonts w:ascii="仿宋" w:hAnsi="仿宋" w:eastAsia="仿宋"/>
          <w:color w:val="auto"/>
          <w:sz w:val="28"/>
          <w:szCs w:val="28"/>
          <w:highlight w:val="none"/>
        </w:rPr>
      </w:pPr>
      <w:r>
        <w:rPr>
          <w:rFonts w:hint="eastAsia" w:ascii="仿宋" w:hAnsi="仿宋" w:eastAsia="仿宋"/>
          <w:color w:val="auto"/>
          <w:sz w:val="28"/>
          <w:szCs w:val="28"/>
          <w:highlight w:val="none"/>
        </w:rPr>
        <w:t>图2：收入决算结构图：</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r>
        <w:rPr>
          <w:color w:val="auto"/>
          <w:highlight w:val="none"/>
        </w:rPr>
        <w:drawing>
          <wp:inline distT="0" distB="0" distL="114300" distR="114300">
            <wp:extent cx="4826000" cy="2743200"/>
            <wp:effectExtent l="4445" t="4445" r="8255" b="825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8"/>
        <w:spacing w:line="600" w:lineRule="exact"/>
        <w:ind w:firstLine="0" w:firstLineChars="0"/>
        <w:outlineLvl w:val="1"/>
        <w:rPr>
          <w:rStyle w:val="18"/>
          <w:rFonts w:ascii="黑体" w:hAnsi="黑体" w:eastAsia="黑体" w:cs="黑体"/>
          <w:b w:val="0"/>
          <w:bCs w:val="0"/>
          <w:color w:val="auto"/>
          <w:sz w:val="28"/>
          <w:szCs w:val="28"/>
          <w:highlight w:val="none"/>
        </w:rPr>
      </w:pPr>
      <w:bookmarkStart w:id="27" w:name="_Toc15396605"/>
      <w:bookmarkStart w:id="28" w:name="_Toc15377207"/>
      <w:r>
        <w:rPr>
          <w:rStyle w:val="18"/>
          <w:rFonts w:hint="eastAsia" w:ascii="黑体" w:hAnsi="黑体" w:eastAsia="黑体" w:cs="黑体"/>
          <w:color w:val="auto"/>
          <w:sz w:val="28"/>
          <w:szCs w:val="28"/>
          <w:highlight w:val="none"/>
        </w:rPr>
        <w:t>三、支</w:t>
      </w:r>
      <w:r>
        <w:rPr>
          <w:rStyle w:val="18"/>
          <w:rFonts w:hint="eastAsia" w:ascii="黑体" w:hAnsi="黑体" w:eastAsia="黑体" w:cs="黑体"/>
          <w:b w:val="0"/>
          <w:bCs w:val="0"/>
          <w:color w:val="auto"/>
          <w:sz w:val="28"/>
          <w:szCs w:val="28"/>
          <w:highlight w:val="none"/>
        </w:rPr>
        <w:t>出决算情况说明</w:t>
      </w:r>
      <w:bookmarkEnd w:id="27"/>
      <w:bookmarkEnd w:id="28"/>
    </w:p>
    <w:p>
      <w:pPr>
        <w:spacing w:line="600" w:lineRule="exact"/>
        <w:ind w:firstLine="560" w:firstLineChars="200"/>
        <w:outlineLvl w:val="1"/>
        <w:rPr>
          <w:rFonts w:ascii="仿宋" w:hAnsi="仿宋" w:eastAsia="仿宋"/>
          <w:color w:val="auto"/>
          <w:sz w:val="28"/>
          <w:szCs w:val="28"/>
          <w:highlight w:val="none"/>
        </w:rPr>
      </w:pPr>
      <w:r>
        <w:rPr>
          <w:rFonts w:hint="eastAsia" w:ascii="仿宋" w:hAnsi="仿宋" w:eastAsia="仿宋" w:cs="仿宋"/>
          <w:color w:val="auto"/>
          <w:sz w:val="28"/>
          <w:szCs w:val="28"/>
          <w:highlight w:val="none"/>
        </w:rPr>
        <w:t>2022年本年支出合计</w:t>
      </w:r>
      <w:r>
        <w:rPr>
          <w:rFonts w:hint="eastAsia" w:ascii="仿宋" w:hAnsi="仿宋" w:eastAsia="仿宋" w:cs="仿宋"/>
          <w:color w:val="auto"/>
          <w:sz w:val="28"/>
          <w:szCs w:val="28"/>
          <w:highlight w:val="none"/>
          <w:lang w:val="en-US" w:eastAsia="zh-CN"/>
        </w:rPr>
        <w:t>2025.84</w:t>
      </w:r>
      <w:r>
        <w:rPr>
          <w:rFonts w:hint="eastAsia" w:ascii="仿宋" w:hAnsi="仿宋" w:eastAsia="仿宋" w:cs="仿宋"/>
          <w:color w:val="auto"/>
          <w:sz w:val="28"/>
          <w:szCs w:val="28"/>
          <w:highlight w:val="none"/>
        </w:rPr>
        <w:t>万元，其中：基本支出</w:t>
      </w:r>
      <w:r>
        <w:rPr>
          <w:rFonts w:hint="eastAsia" w:ascii="仿宋" w:hAnsi="仿宋" w:eastAsia="仿宋" w:cs="仿宋"/>
          <w:color w:val="auto"/>
          <w:sz w:val="28"/>
          <w:szCs w:val="28"/>
          <w:highlight w:val="none"/>
          <w:lang w:val="en-US" w:eastAsia="zh-CN"/>
        </w:rPr>
        <w:t>2023.84</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99.90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；项目支出</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万元，占</w:t>
      </w:r>
      <w:r>
        <w:rPr>
          <w:rFonts w:hint="eastAsia" w:ascii="仿宋" w:hAnsi="仿宋" w:eastAsia="仿宋" w:cs="仿宋"/>
          <w:color w:val="auto"/>
          <w:sz w:val="28"/>
          <w:szCs w:val="28"/>
          <w:highlight w:val="none"/>
          <w:lang w:val="en-US" w:eastAsia="zh-CN"/>
        </w:rPr>
        <w:t>0.10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r>
        <w:rPr>
          <w:rFonts w:ascii="仿宋" w:hAnsi="仿宋" w:eastAsia="仿宋"/>
          <w:color w:val="auto"/>
          <w:sz w:val="28"/>
          <w:szCs w:val="28"/>
          <w:highlight w:val="none"/>
        </w:rPr>
        <w:t xml:space="preserve"> </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图3：支出决算结构图：</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bookmarkStart w:id="29" w:name="_Toc15396606"/>
      <w:bookmarkStart w:id="30" w:name="_Toc15377208"/>
      <w:r>
        <w:rPr>
          <w:color w:val="auto"/>
          <w:highlight w:val="none"/>
        </w:rPr>
        <w:drawing>
          <wp:inline distT="0" distB="0" distL="114300" distR="114300">
            <wp:extent cx="4826000" cy="2743200"/>
            <wp:effectExtent l="0" t="0" r="0" b="38100"/>
            <wp:docPr id="5" name="图表 7" descr="7b0a202020202263686172745265734964223a202232303436393732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rPr>
          <w:rStyle w:val="18"/>
          <w:rFonts w:ascii="黑体" w:hAnsi="黑体" w:eastAsia="黑体" w:cs="Times New Roman"/>
          <w:b w:val="0"/>
          <w:bCs w:val="0"/>
          <w:color w:val="auto"/>
          <w:sz w:val="28"/>
          <w:szCs w:val="28"/>
          <w:highlight w:val="none"/>
        </w:rPr>
      </w:pPr>
      <w:r>
        <w:rPr>
          <w:rFonts w:hint="eastAsia" w:ascii="黑体" w:hAnsi="黑体" w:eastAsia="黑体" w:cs="黑体"/>
          <w:color w:val="auto"/>
          <w:sz w:val="28"/>
          <w:szCs w:val="28"/>
          <w:highlight w:val="none"/>
        </w:rPr>
        <w:t>四、财</w:t>
      </w:r>
      <w:r>
        <w:rPr>
          <w:rStyle w:val="18"/>
          <w:rFonts w:hint="eastAsia" w:ascii="黑体" w:hAnsi="黑体" w:eastAsia="黑体" w:cs="黑体"/>
          <w:b w:val="0"/>
          <w:bCs w:val="0"/>
          <w:color w:val="auto"/>
          <w:sz w:val="28"/>
          <w:szCs w:val="28"/>
          <w:highlight w:val="none"/>
        </w:rPr>
        <w:t>政拨款收入支出决算总体情况说明</w:t>
      </w:r>
      <w:bookmarkEnd w:id="29"/>
      <w:bookmarkEnd w:id="30"/>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2022年财政拨款收入总计</w:t>
      </w:r>
      <w:r>
        <w:rPr>
          <w:rFonts w:hint="eastAsia" w:ascii="仿宋" w:hAnsi="仿宋" w:eastAsia="仿宋" w:cs="仿宋"/>
          <w:color w:val="auto"/>
          <w:sz w:val="28"/>
          <w:szCs w:val="28"/>
          <w:highlight w:val="none"/>
          <w:lang w:val="en-US" w:eastAsia="zh-CN"/>
        </w:rPr>
        <w:t>2025.84</w:t>
      </w:r>
      <w:r>
        <w:rPr>
          <w:rFonts w:hint="eastAsia" w:ascii="仿宋" w:hAnsi="仿宋" w:eastAsia="仿宋" w:cs="仿宋"/>
          <w:color w:val="auto"/>
          <w:sz w:val="28"/>
          <w:szCs w:val="28"/>
          <w:highlight w:val="none"/>
        </w:rPr>
        <w:t>万元。与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21年相比，财政拨款收入减少</w:t>
      </w:r>
      <w:r>
        <w:rPr>
          <w:rFonts w:hint="eastAsia" w:ascii="仿宋" w:hAnsi="仿宋" w:eastAsia="仿宋" w:cs="仿宋"/>
          <w:color w:val="auto"/>
          <w:sz w:val="28"/>
          <w:szCs w:val="28"/>
          <w:highlight w:val="none"/>
          <w:lang w:val="en-US" w:eastAsia="zh-CN"/>
        </w:rPr>
        <w:t>2086.58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50.74</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项目资金减少</w:t>
      </w:r>
      <w:r>
        <w:rPr>
          <w:rFonts w:hint="eastAsia" w:ascii="仿宋" w:hAnsi="仿宋" w:eastAsia="仿宋" w:cs="仿宋"/>
          <w:color w:val="auto"/>
          <w:sz w:val="28"/>
          <w:szCs w:val="28"/>
          <w:highlight w:val="none"/>
        </w:rPr>
        <w:t>，学生教师减少，人员经费减少。</w:t>
      </w:r>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2022年财政拨款支出总计</w:t>
      </w:r>
      <w:r>
        <w:rPr>
          <w:rFonts w:hint="eastAsia" w:ascii="仿宋" w:hAnsi="仿宋" w:eastAsia="仿宋" w:cs="仿宋"/>
          <w:color w:val="auto"/>
          <w:sz w:val="28"/>
          <w:szCs w:val="28"/>
          <w:highlight w:val="none"/>
          <w:lang w:val="en-US" w:eastAsia="zh-CN"/>
        </w:rPr>
        <w:t>2025.84</w:t>
      </w:r>
      <w:r>
        <w:rPr>
          <w:rFonts w:hint="eastAsia" w:ascii="仿宋" w:hAnsi="仿宋" w:eastAsia="仿宋" w:cs="仿宋"/>
          <w:color w:val="auto"/>
          <w:sz w:val="28"/>
          <w:szCs w:val="28"/>
          <w:highlight w:val="none"/>
        </w:rPr>
        <w:t>万元。与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21年相比，财政拨款支出减少</w:t>
      </w:r>
      <w:r>
        <w:rPr>
          <w:rFonts w:hint="eastAsia" w:ascii="仿宋" w:hAnsi="仿宋" w:eastAsia="仿宋" w:cs="仿宋"/>
          <w:color w:val="auto"/>
          <w:sz w:val="28"/>
          <w:szCs w:val="28"/>
          <w:highlight w:val="none"/>
          <w:lang w:val="en-US" w:eastAsia="zh-CN"/>
        </w:rPr>
        <w:t>2086.58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50.74</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项目减少项目支出减少</w:t>
      </w:r>
      <w:r>
        <w:rPr>
          <w:rFonts w:hint="eastAsia" w:ascii="仿宋" w:hAnsi="仿宋" w:eastAsia="仿宋" w:cs="仿宋"/>
          <w:color w:val="auto"/>
          <w:sz w:val="28"/>
          <w:szCs w:val="28"/>
          <w:highlight w:val="none"/>
        </w:rPr>
        <w:t>，学生教师减少，人员经费</w:t>
      </w:r>
      <w:r>
        <w:rPr>
          <w:rFonts w:hint="eastAsia" w:ascii="仿宋" w:hAnsi="仿宋" w:eastAsia="仿宋" w:cs="仿宋"/>
          <w:color w:val="auto"/>
          <w:sz w:val="28"/>
          <w:szCs w:val="28"/>
          <w:highlight w:val="none"/>
          <w:lang w:val="en-US" w:eastAsia="zh-CN"/>
        </w:rPr>
        <w:t>支出</w:t>
      </w:r>
      <w:r>
        <w:rPr>
          <w:rFonts w:hint="eastAsia" w:ascii="仿宋" w:hAnsi="仿宋" w:eastAsia="仿宋" w:cs="仿宋"/>
          <w:color w:val="auto"/>
          <w:sz w:val="28"/>
          <w:szCs w:val="28"/>
          <w:highlight w:val="none"/>
        </w:rPr>
        <w:t>减少。</w:t>
      </w:r>
    </w:p>
    <w:p>
      <w:pPr>
        <w:spacing w:line="6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图4：财政拨款收、支决算总计变动情况：</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bookmarkStart w:id="31" w:name="_Toc15396607"/>
      <w:bookmarkStart w:id="32" w:name="_Toc15377209"/>
      <w:r>
        <w:rPr>
          <w:color w:val="auto"/>
          <w:highlight w:val="none"/>
        </w:rPr>
        <w:drawing>
          <wp:inline distT="0" distB="0" distL="114300" distR="114300">
            <wp:extent cx="5080000" cy="3124200"/>
            <wp:effectExtent l="4445" t="4445" r="8255" b="8255"/>
            <wp:docPr id="6" name="图表 2" descr="7b0a202020202263686172745265734964223a202232303437313031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outlineLvl w:val="1"/>
        <w:rPr>
          <w:rStyle w:val="18"/>
          <w:rFonts w:ascii="黑体" w:hAnsi="黑体" w:eastAsia="黑体" w:cs="Times New Roman"/>
          <w:b w:val="0"/>
          <w:bCs w:val="0"/>
          <w:color w:val="auto"/>
          <w:sz w:val="28"/>
          <w:szCs w:val="28"/>
          <w:highlight w:val="none"/>
        </w:rPr>
      </w:pPr>
      <w:r>
        <w:rPr>
          <w:rFonts w:hint="eastAsia" w:ascii="黑体" w:hAnsi="黑体" w:eastAsia="黑体" w:cs="黑体"/>
          <w:color w:val="auto"/>
          <w:sz w:val="28"/>
          <w:szCs w:val="28"/>
          <w:highlight w:val="none"/>
        </w:rPr>
        <w:t>五、</w:t>
      </w:r>
      <w:r>
        <w:rPr>
          <w:rFonts w:hint="eastAsia" w:ascii="黑体" w:hAnsi="黑体" w:eastAsia="黑体" w:cs="黑体"/>
          <w:b/>
          <w:bCs/>
          <w:color w:val="auto"/>
          <w:sz w:val="28"/>
          <w:szCs w:val="28"/>
          <w:highlight w:val="none"/>
        </w:rPr>
        <w:t>一</w:t>
      </w:r>
      <w:r>
        <w:rPr>
          <w:rStyle w:val="18"/>
          <w:rFonts w:hint="eastAsia" w:ascii="黑体" w:hAnsi="黑体" w:eastAsia="黑体" w:cs="黑体"/>
          <w:b w:val="0"/>
          <w:bCs w:val="0"/>
          <w:color w:val="auto"/>
          <w:sz w:val="28"/>
          <w:szCs w:val="28"/>
          <w:highlight w:val="none"/>
        </w:rPr>
        <w:t>般公共预算财政拨款支出决算情况说明</w:t>
      </w:r>
      <w:bookmarkEnd w:id="31"/>
      <w:bookmarkEnd w:id="32"/>
    </w:p>
    <w:p>
      <w:pPr>
        <w:pStyle w:val="5"/>
        <w:adjustRightInd w:val="0"/>
        <w:snapToGrid w:val="0"/>
        <w:spacing w:before="93" w:line="600" w:lineRule="exact"/>
        <w:ind w:firstLine="140" w:firstLineChars="50"/>
        <w:outlineLvl w:val="2"/>
        <w:rPr>
          <w:rFonts w:ascii="仿宋" w:hAnsi="仿宋" w:eastAsia="仿宋" w:cs="仿宋"/>
          <w:b/>
          <w:color w:val="auto"/>
          <w:sz w:val="28"/>
          <w:szCs w:val="28"/>
          <w:highlight w:val="none"/>
        </w:rPr>
      </w:pPr>
      <w:bookmarkStart w:id="33" w:name="_Toc15377210"/>
      <w:r>
        <w:rPr>
          <w:rFonts w:hint="eastAsia" w:ascii="仿宋" w:hAnsi="仿宋" w:eastAsia="仿宋" w:cs="仿宋"/>
          <w:b/>
          <w:color w:val="auto"/>
          <w:sz w:val="28"/>
          <w:szCs w:val="28"/>
          <w:highlight w:val="none"/>
        </w:rPr>
        <w:t>（一）一般公共预算财政拨款支出决算总体情况</w:t>
      </w:r>
      <w:bookmarkEnd w:id="33"/>
    </w:p>
    <w:p>
      <w:pPr>
        <w:pStyle w:val="5"/>
        <w:adjustRightInd w:val="0"/>
        <w:snapToGrid w:val="0"/>
        <w:spacing w:before="93" w:line="600" w:lineRule="exact"/>
        <w:ind w:firstLine="588" w:firstLineChars="210"/>
        <w:outlineLvl w:val="2"/>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22年一般公共预算财政拨款支出</w:t>
      </w:r>
      <w:r>
        <w:rPr>
          <w:rFonts w:hint="eastAsia" w:ascii="仿宋" w:hAnsi="仿宋" w:eastAsia="仿宋" w:cs="仿宋"/>
          <w:color w:val="auto"/>
          <w:sz w:val="28"/>
          <w:szCs w:val="28"/>
          <w:highlight w:val="none"/>
          <w:lang w:val="en-US" w:eastAsia="zh-CN"/>
        </w:rPr>
        <w:t>2023.84</w:t>
      </w:r>
      <w:r>
        <w:rPr>
          <w:rFonts w:hint="eastAsia" w:ascii="仿宋" w:hAnsi="仿宋" w:eastAsia="仿宋" w:cs="仿宋"/>
          <w:color w:val="auto"/>
          <w:sz w:val="28"/>
          <w:szCs w:val="28"/>
          <w:highlight w:val="none"/>
        </w:rPr>
        <w:t>万元，占本年支出合计的</w:t>
      </w:r>
      <w:r>
        <w:rPr>
          <w:rFonts w:hint="eastAsia" w:ascii="仿宋" w:hAnsi="仿宋" w:eastAsia="仿宋" w:cs="仿宋"/>
          <w:color w:val="auto"/>
          <w:sz w:val="28"/>
          <w:szCs w:val="28"/>
          <w:highlight w:val="none"/>
          <w:lang w:val="en-US" w:eastAsia="zh-CN"/>
        </w:rPr>
        <w:t>99.90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。与</w:t>
      </w: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21年相比，一般公共预算财政拨款支出减少</w:t>
      </w:r>
      <w:r>
        <w:rPr>
          <w:rFonts w:hint="eastAsia" w:ascii="仿宋" w:hAnsi="仿宋" w:eastAsia="仿宋" w:cs="仿宋"/>
          <w:color w:val="auto"/>
          <w:sz w:val="28"/>
          <w:szCs w:val="28"/>
          <w:highlight w:val="none"/>
          <w:lang w:val="en-US" w:eastAsia="zh-CN"/>
        </w:rPr>
        <w:t>1619.46</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44.45</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。主要变动原因是</w:t>
      </w:r>
      <w:r>
        <w:rPr>
          <w:rFonts w:hint="eastAsia" w:ascii="仿宋" w:hAnsi="仿宋" w:eastAsia="仿宋" w:cs="仿宋"/>
          <w:color w:val="auto"/>
          <w:sz w:val="28"/>
          <w:szCs w:val="28"/>
          <w:highlight w:val="none"/>
          <w:lang w:val="en-US" w:eastAsia="zh-CN"/>
        </w:rPr>
        <w:t>项目减少项目支出减少</w:t>
      </w:r>
      <w:r>
        <w:rPr>
          <w:rFonts w:hint="eastAsia" w:ascii="仿宋" w:hAnsi="仿宋" w:eastAsia="仿宋" w:cs="仿宋"/>
          <w:color w:val="auto"/>
          <w:sz w:val="28"/>
          <w:szCs w:val="28"/>
          <w:highlight w:val="none"/>
        </w:rPr>
        <w:t>，学生教师减少，人员经费</w:t>
      </w:r>
      <w:r>
        <w:rPr>
          <w:rFonts w:hint="eastAsia" w:ascii="仿宋" w:hAnsi="仿宋" w:eastAsia="仿宋" w:cs="仿宋"/>
          <w:color w:val="auto"/>
          <w:sz w:val="28"/>
          <w:szCs w:val="28"/>
          <w:highlight w:val="none"/>
          <w:lang w:val="en-US" w:eastAsia="zh-CN"/>
        </w:rPr>
        <w:t>支出</w:t>
      </w:r>
      <w:r>
        <w:rPr>
          <w:rFonts w:hint="eastAsia" w:ascii="仿宋" w:hAnsi="仿宋" w:eastAsia="仿宋" w:cs="仿宋"/>
          <w:color w:val="auto"/>
          <w:sz w:val="28"/>
          <w:szCs w:val="28"/>
          <w:highlight w:val="none"/>
        </w:rPr>
        <w:t>减少。</w:t>
      </w:r>
    </w:p>
    <w:p>
      <w:pPr>
        <w:spacing w:line="6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图5：一般公共预算财政拨款支出决算变动情况：</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p>
    <w:p>
      <w:pPr>
        <w:jc w:val="center"/>
        <w:rPr>
          <w:color w:val="auto"/>
          <w:highlight w:val="none"/>
        </w:rPr>
      </w:pPr>
      <w:r>
        <w:rPr>
          <w:color w:val="auto"/>
          <w:highlight w:val="none"/>
        </w:rPr>
        <w:drawing>
          <wp:inline distT="0" distB="0" distL="114300" distR="114300">
            <wp:extent cx="4826000" cy="2743200"/>
            <wp:effectExtent l="4445" t="4445" r="8255" b="8255"/>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color w:val="auto"/>
          <w:highlight w:val="none"/>
        </w:rPr>
      </w:pPr>
    </w:p>
    <w:p>
      <w:pPr>
        <w:spacing w:line="600" w:lineRule="exact"/>
        <w:ind w:firstLine="137" w:firstLineChars="49"/>
        <w:outlineLvl w:val="2"/>
        <w:rPr>
          <w:rFonts w:ascii="仿宋" w:hAnsi="仿宋" w:eastAsia="仿宋"/>
          <w:b/>
          <w:bCs/>
          <w:color w:val="auto"/>
          <w:sz w:val="28"/>
          <w:szCs w:val="28"/>
          <w:highlight w:val="none"/>
        </w:rPr>
      </w:pPr>
      <w:bookmarkStart w:id="34" w:name="_Toc15377211"/>
      <w:r>
        <w:rPr>
          <w:rFonts w:hint="eastAsia" w:ascii="仿宋" w:hAnsi="仿宋" w:eastAsia="仿宋" w:cs="仿宋"/>
          <w:b/>
          <w:bCs/>
          <w:color w:val="auto"/>
          <w:sz w:val="28"/>
          <w:szCs w:val="28"/>
          <w:highlight w:val="none"/>
        </w:rPr>
        <w:t>（二）一般公共预算财政拨款支出决算结构情况</w:t>
      </w:r>
      <w:bookmarkEnd w:id="34"/>
    </w:p>
    <w:p>
      <w:pPr>
        <w:spacing w:line="600" w:lineRule="exact"/>
        <w:ind w:firstLine="640"/>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22年一般公共预算财政拨款支出</w:t>
      </w:r>
      <w:r>
        <w:rPr>
          <w:rFonts w:hint="eastAsia" w:ascii="仿宋" w:hAnsi="仿宋" w:eastAsia="仿宋" w:cs="仿宋"/>
          <w:color w:val="auto"/>
          <w:sz w:val="28"/>
          <w:szCs w:val="28"/>
          <w:highlight w:val="none"/>
          <w:lang w:val="en-US" w:eastAsia="zh-CN"/>
        </w:rPr>
        <w:t>2023.84</w:t>
      </w:r>
      <w:r>
        <w:rPr>
          <w:rFonts w:hint="eastAsia" w:ascii="仿宋" w:hAnsi="仿宋" w:eastAsia="仿宋" w:cs="仿宋"/>
          <w:color w:val="auto"/>
          <w:sz w:val="28"/>
          <w:szCs w:val="28"/>
          <w:highlight w:val="none"/>
        </w:rPr>
        <w:t>万元，主要用于以下方面</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教育支出（类）</w:t>
      </w:r>
      <w:r>
        <w:rPr>
          <w:rFonts w:hint="eastAsia" w:ascii="仿宋" w:hAnsi="仿宋" w:eastAsia="仿宋" w:cs="仿宋"/>
          <w:b w:val="0"/>
          <w:bCs w:val="0"/>
          <w:color w:val="auto"/>
          <w:sz w:val="28"/>
          <w:szCs w:val="28"/>
          <w:highlight w:val="none"/>
          <w:lang w:val="en-US" w:eastAsia="zh-CN"/>
        </w:rPr>
        <w:t>1710.97</w:t>
      </w:r>
      <w:r>
        <w:rPr>
          <w:rFonts w:hint="eastAsia" w:ascii="仿宋" w:hAnsi="仿宋" w:eastAsia="仿宋" w:cs="仿宋"/>
          <w:b w:val="0"/>
          <w:bCs w:val="0"/>
          <w:color w:val="auto"/>
          <w:sz w:val="28"/>
          <w:szCs w:val="28"/>
          <w:highlight w:val="none"/>
        </w:rPr>
        <w:t>万元，占8</w:t>
      </w:r>
      <w:r>
        <w:rPr>
          <w:rFonts w:hint="eastAsia" w:ascii="仿宋" w:hAnsi="仿宋" w:eastAsia="仿宋" w:cs="仿宋"/>
          <w:b w:val="0"/>
          <w:bCs w:val="0"/>
          <w:color w:val="auto"/>
          <w:sz w:val="28"/>
          <w:szCs w:val="28"/>
          <w:highlight w:val="none"/>
          <w:lang w:val="en-US" w:eastAsia="zh-CN"/>
        </w:rPr>
        <w:t>4.54</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rPr>
        <w:t>；社会保障和就业（类）支出1</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9.4</w:t>
      </w: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6.89</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rPr>
        <w:t>；卫生健康支出</w:t>
      </w:r>
      <w:r>
        <w:rPr>
          <w:rFonts w:hint="eastAsia" w:ascii="仿宋" w:hAnsi="仿宋" w:eastAsia="仿宋" w:cs="仿宋"/>
          <w:b w:val="0"/>
          <w:bCs w:val="0"/>
          <w:color w:val="auto"/>
          <w:sz w:val="28"/>
          <w:szCs w:val="28"/>
          <w:highlight w:val="none"/>
          <w:lang w:val="en-US" w:eastAsia="zh-CN"/>
        </w:rPr>
        <w:t>68</w:t>
      </w:r>
      <w:r>
        <w:rPr>
          <w:rFonts w:hint="eastAsia" w:ascii="仿宋" w:hAnsi="仿宋" w:eastAsia="仿宋" w:cs="仿宋"/>
          <w:b w:val="0"/>
          <w:bCs w:val="0"/>
          <w:color w:val="auto"/>
          <w:sz w:val="28"/>
          <w:szCs w:val="28"/>
          <w:highlight w:val="none"/>
        </w:rPr>
        <w:t>.74万元，占3.</w:t>
      </w:r>
      <w:r>
        <w:rPr>
          <w:rFonts w:hint="eastAsia" w:ascii="仿宋" w:hAnsi="仿宋" w:eastAsia="仿宋" w:cs="仿宋"/>
          <w:b w:val="0"/>
          <w:bCs w:val="0"/>
          <w:color w:val="auto"/>
          <w:sz w:val="28"/>
          <w:szCs w:val="28"/>
          <w:highlight w:val="none"/>
          <w:lang w:val="en-US" w:eastAsia="zh-CN"/>
        </w:rPr>
        <w:t>4</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rPr>
        <w:t>；住房保障支出</w:t>
      </w:r>
      <w:r>
        <w:rPr>
          <w:rFonts w:hint="eastAsia" w:ascii="仿宋" w:hAnsi="仿宋" w:eastAsia="仿宋" w:cs="仿宋"/>
          <w:b w:val="0"/>
          <w:bCs w:val="0"/>
          <w:color w:val="auto"/>
          <w:sz w:val="28"/>
          <w:szCs w:val="28"/>
          <w:highlight w:val="none"/>
          <w:lang w:val="en-US" w:eastAsia="zh-CN"/>
        </w:rPr>
        <w:t>104.66</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5.17</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其他支出0.00万元，占0.00%</w:t>
      </w:r>
      <w:r>
        <w:rPr>
          <w:rFonts w:hint="eastAsia" w:ascii="仿宋" w:hAnsi="仿宋" w:eastAsia="仿宋" w:cs="仿宋"/>
          <w:b w:val="0"/>
          <w:bCs w:val="0"/>
          <w:color w:val="auto"/>
          <w:sz w:val="28"/>
          <w:szCs w:val="28"/>
          <w:highlight w:val="none"/>
        </w:rPr>
        <w:t>。</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图6：一般公共预算财政拨款支出决算结构：</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p>
    <w:p>
      <w:pPr>
        <w:jc w:val="center"/>
        <w:rPr>
          <w:color w:val="auto"/>
          <w:highlight w:val="none"/>
        </w:rPr>
      </w:pPr>
      <w:r>
        <w:rPr>
          <w:color w:val="auto"/>
          <w:highlight w:val="none"/>
        </w:rPr>
        <w:drawing>
          <wp:inline distT="0" distB="0" distL="114300" distR="114300">
            <wp:extent cx="4826000" cy="2743200"/>
            <wp:effectExtent l="4445" t="4445" r="8255" b="825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37" w:firstLineChars="49"/>
        <w:outlineLvl w:val="2"/>
        <w:rPr>
          <w:rFonts w:ascii="仿宋" w:hAnsi="仿宋" w:eastAsia="仿宋" w:cs="仿宋"/>
          <w:b/>
          <w:color w:val="auto"/>
          <w:kern w:val="0"/>
          <w:sz w:val="28"/>
          <w:szCs w:val="28"/>
          <w:highlight w:val="none"/>
        </w:rPr>
      </w:pPr>
      <w:bookmarkStart w:id="35" w:name="_Toc15377212"/>
      <w:r>
        <w:rPr>
          <w:rFonts w:hint="eastAsia" w:ascii="仿宋" w:hAnsi="仿宋" w:eastAsia="仿宋" w:cs="仿宋"/>
          <w:b/>
          <w:color w:val="auto"/>
          <w:kern w:val="0"/>
          <w:sz w:val="28"/>
          <w:szCs w:val="28"/>
          <w:highlight w:val="none"/>
        </w:rPr>
        <w:t>（三）一般公共预算财政拨款支出决算具体情况</w:t>
      </w:r>
      <w:bookmarkEnd w:id="35"/>
    </w:p>
    <w:p>
      <w:pPr>
        <w:spacing w:line="600" w:lineRule="exact"/>
        <w:ind w:firstLine="562" w:firstLineChars="200"/>
        <w:outlineLvl w:val="2"/>
        <w:rPr>
          <w:rFonts w:ascii="仿宋" w:hAnsi="仿宋" w:eastAsia="仿宋"/>
          <w:color w:val="auto"/>
          <w:sz w:val="28"/>
          <w:szCs w:val="28"/>
          <w:highlight w:val="none"/>
        </w:rPr>
      </w:pPr>
      <w:bookmarkStart w:id="36" w:name="_Toc15377444"/>
      <w:bookmarkStart w:id="37" w:name="_Toc15378460"/>
      <w:bookmarkStart w:id="38" w:name="_Toc15377213"/>
      <w:r>
        <w:rPr>
          <w:rFonts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rPr>
        <w:t>22年一般公共预算支出决算数为</w:t>
      </w:r>
      <w:r>
        <w:rPr>
          <w:rFonts w:hint="eastAsia" w:ascii="仿宋" w:hAnsi="仿宋" w:eastAsia="仿宋" w:cs="仿宋"/>
          <w:b/>
          <w:bCs/>
          <w:color w:val="auto"/>
          <w:sz w:val="28"/>
          <w:szCs w:val="28"/>
          <w:highlight w:val="none"/>
          <w:lang w:val="en-US" w:eastAsia="zh-CN"/>
        </w:rPr>
        <w:t>2025.84</w:t>
      </w:r>
      <w:r>
        <w:rPr>
          <w:rFonts w:hint="eastAsia" w:ascii="仿宋" w:hAnsi="仿宋" w:eastAsia="仿宋" w:cs="仿宋"/>
          <w:b/>
          <w:bCs/>
          <w:color w:val="auto"/>
          <w:sz w:val="28"/>
          <w:szCs w:val="28"/>
          <w:highlight w:val="none"/>
        </w:rPr>
        <w:t>万元</w:t>
      </w:r>
      <w:r>
        <w:rPr>
          <w:rFonts w:hint="eastAsia" w:ascii="仿宋" w:hAnsi="仿宋" w:eastAsia="仿宋" w:cs="仿宋"/>
          <w:color w:val="auto"/>
          <w:sz w:val="28"/>
          <w:szCs w:val="28"/>
          <w:highlight w:val="none"/>
        </w:rPr>
        <w:t>，</w:t>
      </w:r>
      <w:r>
        <w:rPr>
          <w:rStyle w:val="15"/>
          <w:rFonts w:hint="eastAsia" w:ascii="仿宋" w:hAnsi="仿宋" w:eastAsia="仿宋" w:cs="仿宋"/>
          <w:color w:val="auto"/>
          <w:sz w:val="28"/>
          <w:szCs w:val="28"/>
          <w:highlight w:val="none"/>
        </w:rPr>
        <w:t>完成预算100</w:t>
      </w:r>
      <w:r>
        <w:rPr>
          <w:rStyle w:val="15"/>
          <w:rFonts w:ascii="仿宋" w:hAnsi="仿宋" w:eastAsia="仿宋" w:cs="仿宋"/>
          <w:color w:val="auto"/>
          <w:sz w:val="28"/>
          <w:szCs w:val="28"/>
          <w:highlight w:val="none"/>
        </w:rPr>
        <w:t>%</w:t>
      </w:r>
      <w:r>
        <w:rPr>
          <w:rStyle w:val="15"/>
          <w:rFonts w:hint="eastAsia" w:ascii="仿宋" w:hAnsi="仿宋" w:eastAsia="仿宋" w:cs="仿宋"/>
          <w:color w:val="auto"/>
          <w:sz w:val="28"/>
          <w:szCs w:val="28"/>
          <w:highlight w:val="none"/>
        </w:rPr>
        <w:t>。其中：</w:t>
      </w:r>
      <w:bookmarkEnd w:id="36"/>
      <w:bookmarkEnd w:id="37"/>
      <w:bookmarkEnd w:id="38"/>
    </w:p>
    <w:p>
      <w:pPr>
        <w:spacing w:line="600" w:lineRule="exact"/>
        <w:ind w:firstLine="562" w:firstLineChars="200"/>
        <w:rPr>
          <w:rFonts w:ascii="仿宋" w:hAnsi="仿宋" w:eastAsia="仿宋"/>
          <w:b/>
          <w:bCs/>
          <w:color w:val="auto"/>
          <w:sz w:val="28"/>
          <w:szCs w:val="28"/>
          <w:highlight w:val="none"/>
        </w:rPr>
      </w:pPr>
      <w:r>
        <w:rPr>
          <w:rStyle w:val="15"/>
          <w:rFonts w:hint="eastAsia" w:ascii="仿宋" w:hAnsi="仿宋" w:eastAsia="仿宋" w:cs="仿宋"/>
          <w:color w:val="auto"/>
          <w:sz w:val="28"/>
          <w:szCs w:val="28"/>
          <w:highlight w:val="none"/>
        </w:rPr>
        <w:t>1</w:t>
      </w:r>
      <w:r>
        <w:rPr>
          <w:rStyle w:val="15"/>
          <w:rFonts w:ascii="仿宋" w:hAnsi="仿宋" w:eastAsia="仿宋" w:cs="仿宋"/>
          <w:color w:val="auto"/>
          <w:sz w:val="28"/>
          <w:szCs w:val="28"/>
          <w:highlight w:val="none"/>
        </w:rPr>
        <w:t>.</w:t>
      </w:r>
      <w:r>
        <w:rPr>
          <w:rFonts w:hint="eastAsia" w:asciiTheme="minorEastAsia" w:hAnsiTheme="minorEastAsia" w:cstheme="minorEastAsia"/>
          <w:bCs/>
          <w:color w:val="auto"/>
          <w:sz w:val="28"/>
          <w:szCs w:val="28"/>
          <w:highlight w:val="none"/>
        </w:rPr>
        <w:t xml:space="preserve"> 教育支出（类）普通教育（款）初中教育（项）</w:t>
      </w:r>
      <w:r>
        <w:rPr>
          <w:rFonts w:hint="eastAsia" w:asciiTheme="minorEastAsia" w:hAnsiTheme="minorEastAsia" w:cstheme="minorEastAsia"/>
          <w:bCs/>
          <w:color w:val="auto"/>
          <w:sz w:val="28"/>
          <w:szCs w:val="28"/>
          <w:highlight w:val="none"/>
          <w:lang w:eastAsia="zh-CN"/>
        </w:rPr>
        <w:t>：</w:t>
      </w:r>
      <w:r>
        <w:rPr>
          <w:rStyle w:val="15"/>
          <w:rFonts w:hint="eastAsia" w:ascii="仿宋" w:hAnsi="仿宋" w:eastAsia="仿宋" w:cs="仿宋"/>
          <w:b w:val="0"/>
          <w:bCs w:val="0"/>
          <w:color w:val="auto"/>
          <w:sz w:val="28"/>
          <w:szCs w:val="28"/>
          <w:highlight w:val="none"/>
        </w:rPr>
        <w:t>支出决算为1</w:t>
      </w:r>
      <w:r>
        <w:rPr>
          <w:rStyle w:val="15"/>
          <w:rFonts w:hint="eastAsia" w:ascii="仿宋" w:hAnsi="仿宋" w:eastAsia="仿宋" w:cs="仿宋"/>
          <w:b w:val="0"/>
          <w:bCs w:val="0"/>
          <w:color w:val="auto"/>
          <w:sz w:val="28"/>
          <w:szCs w:val="28"/>
          <w:highlight w:val="none"/>
          <w:lang w:val="en-US" w:eastAsia="zh-CN"/>
        </w:rPr>
        <w:t>710.97</w:t>
      </w:r>
      <w:r>
        <w:rPr>
          <w:rStyle w:val="15"/>
          <w:rFonts w:hint="eastAsia" w:ascii="仿宋" w:hAnsi="仿宋" w:eastAsia="仿宋" w:cs="仿宋"/>
          <w:b w:val="0"/>
          <w:bCs w:val="0"/>
          <w:color w:val="auto"/>
          <w:sz w:val="28"/>
          <w:szCs w:val="28"/>
          <w:highlight w:val="none"/>
        </w:rPr>
        <w:t>万元，完成预算100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，决算数等于预算数。</w:t>
      </w:r>
    </w:p>
    <w:p>
      <w:pPr>
        <w:spacing w:line="600" w:lineRule="exact"/>
        <w:ind w:firstLine="562" w:firstLineChars="200"/>
        <w:rPr>
          <w:rFonts w:ascii="仿宋" w:hAnsi="仿宋" w:eastAsia="仿宋"/>
          <w:b/>
          <w:bCs/>
          <w:color w:val="auto"/>
          <w:sz w:val="28"/>
          <w:szCs w:val="28"/>
          <w:highlight w:val="none"/>
        </w:rPr>
      </w:pPr>
      <w:r>
        <w:rPr>
          <w:rStyle w:val="15"/>
          <w:rFonts w:hint="eastAsia" w:ascii="仿宋" w:hAnsi="仿宋" w:eastAsia="仿宋" w:cs="仿宋"/>
          <w:color w:val="auto"/>
          <w:sz w:val="28"/>
          <w:szCs w:val="28"/>
          <w:highlight w:val="none"/>
        </w:rPr>
        <w:t>2</w:t>
      </w:r>
      <w:r>
        <w:rPr>
          <w:rStyle w:val="15"/>
          <w:rFonts w:ascii="仿宋" w:hAnsi="仿宋" w:eastAsia="仿宋" w:cs="仿宋"/>
          <w:color w:val="auto"/>
          <w:sz w:val="28"/>
          <w:szCs w:val="28"/>
          <w:highlight w:val="none"/>
        </w:rPr>
        <w:t>.</w:t>
      </w:r>
      <w:r>
        <w:rPr>
          <w:rFonts w:hint="eastAsia" w:asciiTheme="minorEastAsia" w:hAnsiTheme="minorEastAsia" w:cstheme="minorEastAsia"/>
          <w:bCs/>
          <w:color w:val="auto"/>
          <w:sz w:val="28"/>
          <w:szCs w:val="28"/>
          <w:highlight w:val="none"/>
        </w:rPr>
        <w:t xml:space="preserve"> 社会保障和就业（类）行政事业单位离退休（款）机关事业单位基本养老保险缴费支出（项）</w:t>
      </w:r>
      <w:r>
        <w:rPr>
          <w:rFonts w:hint="eastAsia" w:asciiTheme="minorEastAsia" w:hAnsiTheme="minorEastAsia" w:cstheme="minorEastAsia"/>
          <w:bCs/>
          <w:color w:val="auto"/>
          <w:sz w:val="28"/>
          <w:szCs w:val="28"/>
          <w:highlight w:val="none"/>
          <w:lang w:eastAsia="zh-CN"/>
        </w:rPr>
        <w:t>：</w:t>
      </w:r>
      <w:r>
        <w:rPr>
          <w:rStyle w:val="15"/>
          <w:rFonts w:hint="eastAsia" w:ascii="仿宋" w:hAnsi="仿宋" w:eastAsia="仿宋" w:cs="仿宋"/>
          <w:b w:val="0"/>
          <w:bCs w:val="0"/>
          <w:color w:val="auto"/>
          <w:sz w:val="28"/>
          <w:szCs w:val="28"/>
          <w:highlight w:val="none"/>
        </w:rPr>
        <w:t>支出决算为139.4</w:t>
      </w:r>
      <w:r>
        <w:rPr>
          <w:rStyle w:val="15"/>
          <w:rFonts w:hint="eastAsia" w:ascii="仿宋" w:hAnsi="仿宋" w:eastAsia="仿宋" w:cs="仿宋"/>
          <w:b w:val="0"/>
          <w:bCs w:val="0"/>
          <w:color w:val="auto"/>
          <w:sz w:val="28"/>
          <w:szCs w:val="28"/>
          <w:highlight w:val="none"/>
          <w:lang w:val="en-US" w:eastAsia="zh-CN"/>
        </w:rPr>
        <w:t>7</w:t>
      </w:r>
      <w:r>
        <w:rPr>
          <w:rStyle w:val="15"/>
          <w:rFonts w:hint="eastAsia" w:ascii="仿宋" w:hAnsi="仿宋" w:eastAsia="仿宋" w:cs="仿宋"/>
          <w:b w:val="0"/>
          <w:bCs w:val="0"/>
          <w:color w:val="auto"/>
          <w:sz w:val="28"/>
          <w:szCs w:val="28"/>
          <w:highlight w:val="none"/>
        </w:rPr>
        <w:t>万元，完成预算100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，决算数等于预算数。</w:t>
      </w:r>
    </w:p>
    <w:p>
      <w:pPr>
        <w:spacing w:line="600" w:lineRule="exact"/>
        <w:ind w:firstLine="562" w:firstLineChars="200"/>
        <w:rPr>
          <w:rStyle w:val="15"/>
          <w:rFonts w:hint="eastAsia" w:ascii="仿宋" w:hAnsi="仿宋" w:eastAsia="仿宋" w:cs="仿宋"/>
          <w:b w:val="0"/>
          <w:bCs w:val="0"/>
          <w:color w:val="auto"/>
          <w:sz w:val="28"/>
          <w:szCs w:val="28"/>
          <w:highlight w:val="none"/>
        </w:rPr>
      </w:pPr>
      <w:r>
        <w:rPr>
          <w:rStyle w:val="15"/>
          <w:rFonts w:hint="eastAsia" w:ascii="仿宋" w:hAnsi="仿宋" w:eastAsia="仿宋" w:cs="仿宋"/>
          <w:color w:val="auto"/>
          <w:sz w:val="28"/>
          <w:szCs w:val="28"/>
          <w:highlight w:val="none"/>
        </w:rPr>
        <w:t>3</w:t>
      </w:r>
      <w:r>
        <w:rPr>
          <w:rStyle w:val="15"/>
          <w:rFonts w:ascii="仿宋" w:hAnsi="仿宋" w:eastAsia="仿宋" w:cs="仿宋"/>
          <w:color w:val="auto"/>
          <w:sz w:val="28"/>
          <w:szCs w:val="28"/>
          <w:highlight w:val="none"/>
        </w:rPr>
        <w:t>.</w:t>
      </w:r>
      <w:r>
        <w:rPr>
          <w:rFonts w:hint="eastAsia" w:asciiTheme="minorEastAsia" w:hAnsiTheme="minorEastAsia" w:cstheme="minorEastAsia"/>
          <w:bCs/>
          <w:color w:val="auto"/>
          <w:sz w:val="28"/>
          <w:szCs w:val="28"/>
          <w:highlight w:val="none"/>
        </w:rPr>
        <w:t xml:space="preserve"> 卫生健康（类）行政事业单位医疗（款）行政单位医疗（项）</w:t>
      </w:r>
      <w:r>
        <w:rPr>
          <w:rFonts w:hint="eastAsia" w:asciiTheme="minorEastAsia" w:hAnsiTheme="minorEastAsia" w:cstheme="minorEastAsia"/>
          <w:bCs/>
          <w:color w:val="auto"/>
          <w:sz w:val="28"/>
          <w:szCs w:val="28"/>
          <w:highlight w:val="none"/>
          <w:lang w:eastAsia="zh-CN"/>
        </w:rPr>
        <w:t>：</w:t>
      </w:r>
      <w:r>
        <w:rPr>
          <w:rStyle w:val="15"/>
          <w:rFonts w:hint="eastAsia" w:ascii="仿宋" w:hAnsi="仿宋" w:eastAsia="仿宋" w:cs="仿宋"/>
          <w:b w:val="0"/>
          <w:bCs w:val="0"/>
          <w:color w:val="auto"/>
          <w:sz w:val="28"/>
          <w:szCs w:val="28"/>
          <w:highlight w:val="none"/>
        </w:rPr>
        <w:t>支出决算为68.74万元，完成预算100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，决算数等于预算数。</w:t>
      </w:r>
    </w:p>
    <w:p>
      <w:pPr>
        <w:spacing w:line="600" w:lineRule="exact"/>
        <w:ind w:firstLine="560" w:firstLineChars="200"/>
        <w:rPr>
          <w:rStyle w:val="15"/>
          <w:rFonts w:hint="eastAsia" w:ascii="仿宋" w:hAnsi="仿宋" w:eastAsia="仿宋" w:cs="仿宋"/>
          <w:b w:val="0"/>
          <w:bCs w:val="0"/>
          <w:color w:val="auto"/>
          <w:sz w:val="28"/>
          <w:szCs w:val="28"/>
          <w:highlight w:val="none"/>
        </w:rPr>
      </w:pPr>
      <w:r>
        <w:rPr>
          <w:rStyle w:val="15"/>
          <w:rFonts w:hint="eastAsia" w:ascii="仿宋" w:hAnsi="仿宋" w:eastAsia="仿宋" w:cs="仿宋"/>
          <w:b w:val="0"/>
          <w:bCs w:val="0"/>
          <w:color w:val="auto"/>
          <w:sz w:val="28"/>
          <w:szCs w:val="28"/>
          <w:highlight w:val="none"/>
        </w:rPr>
        <w:t>4.</w:t>
      </w:r>
      <w:r>
        <w:rPr>
          <w:rFonts w:hint="eastAsia" w:asciiTheme="minorEastAsia" w:hAnsiTheme="minorEastAsia" w:cstheme="minorEastAsia"/>
          <w:bCs/>
          <w:color w:val="auto"/>
          <w:sz w:val="28"/>
          <w:szCs w:val="28"/>
          <w:highlight w:val="none"/>
        </w:rPr>
        <w:t xml:space="preserve"> 住房保障（类）住房改革支出（款）住房公积金（项）：</w:t>
      </w:r>
      <w:r>
        <w:rPr>
          <w:rStyle w:val="15"/>
          <w:rFonts w:hint="eastAsia" w:ascii="仿宋" w:hAnsi="仿宋" w:eastAsia="仿宋" w:cs="仿宋"/>
          <w:b w:val="0"/>
          <w:bCs w:val="0"/>
          <w:color w:val="auto"/>
          <w:sz w:val="28"/>
          <w:szCs w:val="28"/>
          <w:highlight w:val="none"/>
        </w:rPr>
        <w:t>支出决算为104.66万元，完成预算100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，决算数等于预算数。</w:t>
      </w:r>
      <w:bookmarkStart w:id="39" w:name="_Toc15377214"/>
      <w:bookmarkStart w:id="40" w:name="_Toc15396608"/>
    </w:p>
    <w:p>
      <w:pPr>
        <w:pStyle w:val="5"/>
        <w:rPr>
          <w:rFonts w:hint="default" w:eastAsia="仿宋"/>
          <w:color w:val="auto"/>
          <w:highlight w:val="none"/>
          <w:lang w:val="en-US" w:eastAsia="zh-CN"/>
        </w:rPr>
      </w:pPr>
      <w:r>
        <w:rPr>
          <w:rStyle w:val="15"/>
          <w:rFonts w:hint="eastAsia" w:ascii="仿宋" w:hAnsi="仿宋" w:eastAsia="仿宋" w:cs="仿宋"/>
          <w:b w:val="0"/>
          <w:bCs w:val="0"/>
          <w:color w:val="auto"/>
          <w:sz w:val="28"/>
          <w:szCs w:val="28"/>
          <w:highlight w:val="none"/>
          <w:lang w:val="en-US" w:eastAsia="zh-CN"/>
        </w:rPr>
        <w:t xml:space="preserve">    5.其他支出（类）(</w:t>
      </w:r>
      <w:r>
        <w:rPr>
          <w:rFonts w:hint="eastAsia" w:ascii="宋体" w:hAnsi="宋体" w:eastAsia="宋体" w:cs="宋体"/>
          <w:color w:val="auto"/>
          <w:sz w:val="24"/>
          <w:szCs w:val="24"/>
          <w:highlight w:val="none"/>
          <w:lang w:val="en-US" w:eastAsia="zh-CN"/>
        </w:rPr>
        <w:t>款</w:t>
      </w:r>
      <w:r>
        <w:rPr>
          <w:rStyle w:val="15"/>
          <w:rFonts w:hint="eastAsia" w:ascii="仿宋" w:hAnsi="仿宋" w:eastAsia="仿宋" w:cs="仿宋"/>
          <w:b w:val="0"/>
          <w:bCs w:val="0"/>
          <w:color w:val="auto"/>
          <w:sz w:val="28"/>
          <w:szCs w:val="28"/>
          <w:highlight w:val="none"/>
          <w:lang w:val="en-US" w:eastAsia="zh-CN"/>
        </w:rPr>
        <w:t>) 支出（项）：支出决算为0.00万元</w:t>
      </w:r>
      <w:r>
        <w:rPr>
          <w:rStyle w:val="15"/>
          <w:rFonts w:hint="eastAsia" w:ascii="仿宋" w:hAnsi="仿宋" w:eastAsia="仿宋" w:cs="仿宋"/>
          <w:b w:val="0"/>
          <w:bCs w:val="0"/>
          <w:color w:val="auto"/>
          <w:sz w:val="28"/>
          <w:szCs w:val="28"/>
          <w:highlight w:val="none"/>
        </w:rPr>
        <w:t>。</w:t>
      </w:r>
    </w:p>
    <w:p>
      <w:pPr>
        <w:spacing w:line="600" w:lineRule="exact"/>
        <w:ind w:firstLine="562" w:firstLineChars="200"/>
        <w:rPr>
          <w:rFonts w:ascii="仿宋" w:hAnsi="仿宋" w:eastAsia="仿宋"/>
          <w:b/>
          <w:bCs/>
          <w:color w:val="auto"/>
          <w:sz w:val="28"/>
          <w:szCs w:val="28"/>
          <w:highlight w:val="none"/>
        </w:rPr>
      </w:pPr>
    </w:p>
    <w:p>
      <w:pPr>
        <w:tabs>
          <w:tab w:val="right" w:pos="8306"/>
        </w:tabs>
        <w:spacing w:line="600" w:lineRule="exact"/>
        <w:outlineLvl w:val="1"/>
        <w:rPr>
          <w:rStyle w:val="18"/>
          <w:color w:val="auto"/>
          <w:sz w:val="28"/>
          <w:szCs w:val="28"/>
          <w:highlight w:val="none"/>
        </w:rPr>
      </w:pPr>
      <w:r>
        <w:rPr>
          <w:rFonts w:hint="eastAsia" w:ascii="黑体" w:eastAsia="黑体" w:cs="黑体"/>
          <w:color w:val="auto"/>
          <w:sz w:val="28"/>
          <w:szCs w:val="28"/>
          <w:highlight w:val="none"/>
        </w:rPr>
        <w:t>六</w:t>
      </w:r>
      <w:r>
        <w:rPr>
          <w:rFonts w:hint="eastAsia" w:ascii="黑体" w:eastAsia="黑体" w:cs="黑体"/>
          <w:b/>
          <w:bCs/>
          <w:color w:val="auto"/>
          <w:sz w:val="28"/>
          <w:szCs w:val="28"/>
          <w:highlight w:val="none"/>
        </w:rPr>
        <w:t>、</w:t>
      </w:r>
      <w:r>
        <w:rPr>
          <w:rFonts w:hint="eastAsia" w:ascii="黑体" w:hAnsi="黑体" w:eastAsia="黑体" w:cs="黑体"/>
          <w:b/>
          <w:bCs/>
          <w:color w:val="auto"/>
          <w:sz w:val="28"/>
          <w:szCs w:val="28"/>
          <w:highlight w:val="none"/>
        </w:rPr>
        <w:t>一</w:t>
      </w:r>
      <w:r>
        <w:rPr>
          <w:rStyle w:val="18"/>
          <w:rFonts w:hint="eastAsia" w:ascii="黑体" w:hAnsi="黑体" w:eastAsia="黑体" w:cs="黑体"/>
          <w:b w:val="0"/>
          <w:bCs w:val="0"/>
          <w:color w:val="auto"/>
          <w:sz w:val="28"/>
          <w:szCs w:val="28"/>
          <w:highlight w:val="none"/>
        </w:rPr>
        <w:t>般公共预算财政拨款基本支出决算情况说明</w:t>
      </w:r>
      <w:bookmarkEnd w:id="39"/>
      <w:bookmarkEnd w:id="40"/>
      <w:r>
        <w:rPr>
          <w:rStyle w:val="18"/>
          <w:rFonts w:ascii="黑体" w:hAnsi="黑体" w:eastAsia="黑体" w:cs="Times New Roman"/>
          <w:b w:val="0"/>
          <w:bCs w:val="0"/>
          <w:color w:val="auto"/>
          <w:sz w:val="28"/>
          <w:szCs w:val="28"/>
          <w:highlight w:val="none"/>
        </w:rPr>
        <w:tab/>
      </w:r>
    </w:p>
    <w:p>
      <w:pPr>
        <w:spacing w:line="600" w:lineRule="exact"/>
        <w:ind w:firstLine="645"/>
        <w:rPr>
          <w:rFonts w:ascii="仿宋" w:hAnsi="仿宋" w:eastAsia="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22年一般公共预算财政拨款基本支出</w:t>
      </w:r>
      <w:r>
        <w:rPr>
          <w:rFonts w:hint="eastAsia" w:ascii="仿宋" w:hAnsi="仿宋" w:eastAsia="仿宋" w:cs="仿宋"/>
          <w:color w:val="auto"/>
          <w:sz w:val="28"/>
          <w:szCs w:val="28"/>
          <w:highlight w:val="none"/>
          <w:lang w:val="en-US" w:eastAsia="zh-CN"/>
        </w:rPr>
        <w:t>2025.84</w:t>
      </w:r>
      <w:r>
        <w:rPr>
          <w:rFonts w:hint="eastAsia" w:ascii="仿宋" w:hAnsi="仿宋" w:eastAsia="仿宋" w:cs="仿宋"/>
          <w:color w:val="auto"/>
          <w:sz w:val="28"/>
          <w:szCs w:val="28"/>
          <w:highlight w:val="none"/>
        </w:rPr>
        <w:t>万元，其中：</w:t>
      </w:r>
    </w:p>
    <w:p>
      <w:pPr>
        <w:spacing w:line="6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人员经费</w:t>
      </w:r>
      <w:r>
        <w:rPr>
          <w:rFonts w:hint="eastAsia" w:ascii="仿宋" w:hAnsi="仿宋" w:eastAsia="仿宋" w:cs="仿宋"/>
          <w:color w:val="auto"/>
          <w:sz w:val="28"/>
          <w:szCs w:val="28"/>
          <w:highlight w:val="none"/>
          <w:lang w:val="en-US" w:eastAsia="zh-CN"/>
        </w:rPr>
        <w:t>1866.42</w:t>
      </w:r>
      <w:r>
        <w:rPr>
          <w:rFonts w:hint="eastAsia" w:ascii="仿宋" w:hAnsi="仿宋" w:eastAsia="仿宋" w:cs="仿宋"/>
          <w:color w:val="auto"/>
          <w:sz w:val="28"/>
          <w:szCs w:val="28"/>
          <w:highlight w:val="none"/>
          <w:lang w:eastAsia="zh-CN"/>
        </w:rPr>
        <w:t>万</w:t>
      </w:r>
      <w:r>
        <w:rPr>
          <w:rFonts w:hint="eastAsia" w:ascii="仿宋" w:hAnsi="仿宋" w:eastAsia="仿宋" w:cs="仿宋"/>
          <w:color w:val="auto"/>
          <w:sz w:val="28"/>
          <w:szCs w:val="28"/>
          <w:highlight w:val="none"/>
        </w:rPr>
        <w:t>元，主要包括：基本工资</w:t>
      </w:r>
      <w:r>
        <w:rPr>
          <w:rFonts w:hint="eastAsia" w:ascii="仿宋" w:hAnsi="仿宋" w:eastAsia="仿宋" w:cs="仿宋"/>
          <w:color w:val="auto"/>
          <w:sz w:val="28"/>
          <w:szCs w:val="28"/>
          <w:highlight w:val="none"/>
          <w:lang w:val="en-US" w:eastAsia="zh-CN"/>
        </w:rPr>
        <w:t>557.79</w:t>
      </w:r>
      <w:r>
        <w:rPr>
          <w:rFonts w:hint="eastAsia" w:ascii="仿宋" w:hAnsi="仿宋" w:eastAsia="仿宋" w:cs="仿宋"/>
          <w:color w:val="auto"/>
          <w:sz w:val="28"/>
          <w:szCs w:val="28"/>
          <w:highlight w:val="none"/>
        </w:rPr>
        <w:t>万元、津贴补贴7</w:t>
      </w:r>
      <w:r>
        <w:rPr>
          <w:rFonts w:hint="eastAsia" w:ascii="仿宋" w:hAnsi="仿宋" w:eastAsia="仿宋" w:cs="仿宋"/>
          <w:color w:val="auto"/>
          <w:sz w:val="28"/>
          <w:szCs w:val="28"/>
          <w:highlight w:val="none"/>
          <w:lang w:val="en-US" w:eastAsia="zh-CN"/>
        </w:rPr>
        <w:t>3.07</w:t>
      </w:r>
      <w:r>
        <w:rPr>
          <w:rFonts w:hint="eastAsia" w:ascii="仿宋" w:hAnsi="仿宋" w:eastAsia="仿宋" w:cs="仿宋"/>
          <w:color w:val="auto"/>
          <w:sz w:val="28"/>
          <w:szCs w:val="28"/>
          <w:highlight w:val="none"/>
        </w:rPr>
        <w:t>万元、绩效工资3</w:t>
      </w:r>
      <w:r>
        <w:rPr>
          <w:rFonts w:hint="eastAsia" w:ascii="仿宋" w:hAnsi="仿宋" w:eastAsia="仿宋" w:cs="仿宋"/>
          <w:color w:val="auto"/>
          <w:sz w:val="28"/>
          <w:szCs w:val="28"/>
          <w:highlight w:val="none"/>
          <w:lang w:val="en-US" w:eastAsia="zh-CN"/>
        </w:rPr>
        <w:t>43.18</w:t>
      </w:r>
      <w:r>
        <w:rPr>
          <w:rFonts w:hint="eastAsia" w:ascii="仿宋" w:hAnsi="仿宋" w:eastAsia="仿宋" w:cs="仿宋"/>
          <w:color w:val="auto"/>
          <w:sz w:val="28"/>
          <w:szCs w:val="28"/>
          <w:highlight w:val="none"/>
        </w:rPr>
        <w:t>万元、机关事业单位基本养老保险缴费</w:t>
      </w:r>
      <w:r>
        <w:rPr>
          <w:rStyle w:val="15"/>
          <w:rFonts w:hint="eastAsia" w:ascii="仿宋" w:hAnsi="仿宋" w:eastAsia="仿宋" w:cs="仿宋"/>
          <w:b w:val="0"/>
          <w:bCs w:val="0"/>
          <w:color w:val="auto"/>
          <w:sz w:val="28"/>
          <w:szCs w:val="28"/>
          <w:highlight w:val="none"/>
        </w:rPr>
        <w:t>139.47</w:t>
      </w:r>
      <w:r>
        <w:rPr>
          <w:rFonts w:hint="eastAsia" w:ascii="仿宋" w:hAnsi="仿宋" w:eastAsia="仿宋" w:cs="仿宋"/>
          <w:color w:val="auto"/>
          <w:sz w:val="28"/>
          <w:szCs w:val="28"/>
          <w:highlight w:val="none"/>
        </w:rPr>
        <w:t>万元、其他社会保障缴费</w:t>
      </w:r>
      <w:r>
        <w:rPr>
          <w:rFonts w:hint="eastAsia" w:ascii="仿宋" w:hAnsi="仿宋" w:eastAsia="仿宋" w:cs="仿宋"/>
          <w:color w:val="auto"/>
          <w:sz w:val="28"/>
          <w:szCs w:val="28"/>
          <w:highlight w:val="none"/>
          <w:lang w:val="en-US" w:eastAsia="zh-CN"/>
        </w:rPr>
        <w:t>9.45</w:t>
      </w:r>
      <w:r>
        <w:rPr>
          <w:rFonts w:hint="eastAsia" w:ascii="仿宋" w:hAnsi="仿宋" w:eastAsia="仿宋" w:cs="仿宋"/>
          <w:color w:val="auto"/>
          <w:sz w:val="28"/>
          <w:szCs w:val="28"/>
          <w:highlight w:val="none"/>
        </w:rPr>
        <w:t>万元、职工基本医疗保险医疗费</w:t>
      </w:r>
      <w:r>
        <w:rPr>
          <w:rStyle w:val="15"/>
          <w:rFonts w:hint="eastAsia" w:ascii="仿宋" w:hAnsi="仿宋" w:eastAsia="仿宋" w:cs="仿宋"/>
          <w:b w:val="0"/>
          <w:bCs w:val="0"/>
          <w:color w:val="auto"/>
          <w:sz w:val="28"/>
          <w:szCs w:val="28"/>
          <w:highlight w:val="none"/>
        </w:rPr>
        <w:t>68.74</w:t>
      </w:r>
      <w:r>
        <w:rPr>
          <w:rFonts w:hint="eastAsia" w:ascii="仿宋" w:hAnsi="仿宋" w:eastAsia="仿宋" w:cs="仿宋"/>
          <w:color w:val="auto"/>
          <w:sz w:val="28"/>
          <w:szCs w:val="28"/>
          <w:highlight w:val="none"/>
        </w:rPr>
        <w:t>万元、奖励金</w:t>
      </w:r>
      <w:r>
        <w:rPr>
          <w:rFonts w:hint="eastAsia" w:ascii="仿宋" w:hAnsi="仿宋" w:eastAsia="仿宋" w:cs="仿宋"/>
          <w:color w:val="auto"/>
          <w:sz w:val="28"/>
          <w:szCs w:val="28"/>
          <w:highlight w:val="none"/>
          <w:lang w:val="en-US" w:eastAsia="zh-CN"/>
        </w:rPr>
        <w:t>289.14</w:t>
      </w:r>
      <w:r>
        <w:rPr>
          <w:rFonts w:hint="eastAsia" w:ascii="仿宋" w:hAnsi="仿宋" w:eastAsia="仿宋" w:cs="仿宋"/>
          <w:color w:val="auto"/>
          <w:sz w:val="28"/>
          <w:szCs w:val="28"/>
          <w:highlight w:val="none"/>
        </w:rPr>
        <w:t>万元、住房公积金</w:t>
      </w:r>
      <w:r>
        <w:rPr>
          <w:rFonts w:hint="eastAsia" w:ascii="仿宋" w:hAnsi="仿宋" w:eastAsia="仿宋" w:cs="仿宋"/>
          <w:color w:val="auto"/>
          <w:sz w:val="28"/>
          <w:szCs w:val="28"/>
          <w:highlight w:val="none"/>
          <w:lang w:val="en-US" w:eastAsia="zh-CN"/>
        </w:rPr>
        <w:t>104.66</w:t>
      </w:r>
      <w:r>
        <w:rPr>
          <w:rFonts w:hint="eastAsia" w:ascii="仿宋" w:hAnsi="仿宋" w:eastAsia="仿宋" w:cs="仿宋"/>
          <w:color w:val="auto"/>
          <w:sz w:val="28"/>
          <w:szCs w:val="28"/>
          <w:highlight w:val="none"/>
        </w:rPr>
        <w:t>万元、生活补助</w:t>
      </w:r>
      <w:r>
        <w:rPr>
          <w:rFonts w:hint="eastAsia" w:ascii="仿宋" w:hAnsi="仿宋" w:eastAsia="仿宋" w:cs="仿宋"/>
          <w:color w:val="auto"/>
          <w:sz w:val="28"/>
          <w:szCs w:val="28"/>
          <w:highlight w:val="none"/>
          <w:lang w:val="en-US" w:eastAsia="zh-CN"/>
        </w:rPr>
        <w:t>275.01</w:t>
      </w:r>
      <w:r>
        <w:rPr>
          <w:rFonts w:hint="eastAsia" w:ascii="仿宋" w:hAnsi="仿宋" w:eastAsia="仿宋" w:cs="仿宋"/>
          <w:color w:val="auto"/>
          <w:sz w:val="28"/>
          <w:szCs w:val="28"/>
          <w:highlight w:val="none"/>
        </w:rPr>
        <w:t>万元，其他对个人和家庭的补助支出</w:t>
      </w:r>
      <w:r>
        <w:rPr>
          <w:rFonts w:hint="eastAsia" w:ascii="仿宋" w:hAnsi="仿宋" w:eastAsia="仿宋" w:cs="仿宋"/>
          <w:color w:val="auto"/>
          <w:sz w:val="28"/>
          <w:szCs w:val="28"/>
          <w:highlight w:val="none"/>
          <w:lang w:val="en-US" w:eastAsia="zh-CN"/>
        </w:rPr>
        <w:t>5.91</w:t>
      </w:r>
      <w:r>
        <w:rPr>
          <w:rFonts w:hint="eastAsia" w:ascii="仿宋" w:hAnsi="仿宋" w:eastAsia="仿宋" w:cs="仿宋"/>
          <w:color w:val="auto"/>
          <w:sz w:val="28"/>
          <w:szCs w:val="28"/>
          <w:highlight w:val="none"/>
        </w:rPr>
        <w:t>万元。</w:t>
      </w:r>
    </w:p>
    <w:p>
      <w:pPr>
        <w:spacing w:line="60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日常公用经费</w:t>
      </w:r>
      <w:r>
        <w:rPr>
          <w:rFonts w:hint="eastAsia" w:ascii="仿宋" w:hAnsi="仿宋" w:eastAsia="仿宋" w:cs="仿宋"/>
          <w:color w:val="auto"/>
          <w:sz w:val="28"/>
          <w:szCs w:val="28"/>
          <w:highlight w:val="none"/>
          <w:lang w:val="en-US" w:eastAsia="zh-CN"/>
        </w:rPr>
        <w:t>157.43</w:t>
      </w:r>
      <w:r>
        <w:rPr>
          <w:rFonts w:hint="eastAsia" w:ascii="仿宋" w:hAnsi="仿宋" w:eastAsia="仿宋" w:cs="仿宋"/>
          <w:color w:val="auto"/>
          <w:sz w:val="28"/>
          <w:szCs w:val="28"/>
          <w:highlight w:val="none"/>
        </w:rPr>
        <w:t>万元，主要包括：办公费</w:t>
      </w:r>
      <w:r>
        <w:rPr>
          <w:rFonts w:hint="eastAsia" w:ascii="仿宋" w:hAnsi="仿宋" w:eastAsia="仿宋" w:cs="仿宋"/>
          <w:color w:val="auto"/>
          <w:sz w:val="28"/>
          <w:szCs w:val="28"/>
          <w:highlight w:val="none"/>
          <w:lang w:val="en-US" w:eastAsia="zh-CN"/>
        </w:rPr>
        <w:t>21.92</w:t>
      </w:r>
      <w:r>
        <w:rPr>
          <w:rFonts w:hint="eastAsia" w:ascii="仿宋" w:hAnsi="仿宋" w:eastAsia="仿宋" w:cs="仿宋"/>
          <w:color w:val="auto"/>
          <w:sz w:val="28"/>
          <w:szCs w:val="28"/>
          <w:highlight w:val="none"/>
        </w:rPr>
        <w:t>万元、印刷费</w:t>
      </w:r>
      <w:r>
        <w:rPr>
          <w:rFonts w:hint="eastAsia" w:ascii="仿宋" w:hAnsi="仿宋" w:eastAsia="仿宋" w:cs="仿宋"/>
          <w:color w:val="auto"/>
          <w:sz w:val="28"/>
          <w:szCs w:val="28"/>
          <w:highlight w:val="none"/>
          <w:lang w:val="en-US" w:eastAsia="zh-CN"/>
        </w:rPr>
        <w:t>18.56</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手续费0.4万元、</w:t>
      </w:r>
      <w:r>
        <w:rPr>
          <w:rFonts w:hint="eastAsia" w:ascii="仿宋" w:hAnsi="仿宋" w:eastAsia="仿宋" w:cs="仿宋"/>
          <w:color w:val="auto"/>
          <w:sz w:val="28"/>
          <w:szCs w:val="28"/>
          <w:highlight w:val="none"/>
        </w:rPr>
        <w:t>水费</w:t>
      </w:r>
      <w:r>
        <w:rPr>
          <w:rFonts w:hint="eastAsia" w:ascii="仿宋" w:hAnsi="仿宋" w:eastAsia="仿宋" w:cs="仿宋"/>
          <w:color w:val="auto"/>
          <w:sz w:val="28"/>
          <w:szCs w:val="28"/>
          <w:highlight w:val="none"/>
          <w:lang w:val="en-US" w:eastAsia="zh-CN"/>
        </w:rPr>
        <w:t>12.14</w:t>
      </w:r>
      <w:r>
        <w:rPr>
          <w:rFonts w:hint="eastAsia" w:ascii="仿宋" w:hAnsi="仿宋" w:eastAsia="仿宋" w:cs="仿宋"/>
          <w:color w:val="auto"/>
          <w:sz w:val="28"/>
          <w:szCs w:val="28"/>
          <w:highlight w:val="none"/>
        </w:rPr>
        <w:t>万元、电费</w:t>
      </w:r>
      <w:r>
        <w:rPr>
          <w:rFonts w:hint="eastAsia" w:ascii="仿宋" w:hAnsi="仿宋" w:eastAsia="仿宋" w:cs="仿宋"/>
          <w:color w:val="auto"/>
          <w:sz w:val="28"/>
          <w:szCs w:val="28"/>
          <w:highlight w:val="none"/>
          <w:lang w:val="en-US" w:eastAsia="zh-CN"/>
        </w:rPr>
        <w:t>15.19</w:t>
      </w:r>
      <w:r>
        <w:rPr>
          <w:rFonts w:hint="eastAsia" w:ascii="仿宋" w:hAnsi="仿宋" w:eastAsia="仿宋" w:cs="仿宋"/>
          <w:color w:val="auto"/>
          <w:sz w:val="28"/>
          <w:szCs w:val="28"/>
          <w:highlight w:val="none"/>
        </w:rPr>
        <w:t>万元、邮电费</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万元、物业管理费0万元、差旅费</w:t>
      </w:r>
      <w:r>
        <w:rPr>
          <w:rFonts w:hint="eastAsia" w:ascii="仿宋" w:hAnsi="仿宋" w:eastAsia="仿宋" w:cs="仿宋"/>
          <w:color w:val="auto"/>
          <w:sz w:val="28"/>
          <w:szCs w:val="28"/>
          <w:highlight w:val="none"/>
          <w:lang w:val="en-US" w:eastAsia="zh-CN"/>
        </w:rPr>
        <w:t>26.80</w:t>
      </w:r>
      <w:r>
        <w:rPr>
          <w:rFonts w:hint="eastAsia" w:ascii="仿宋" w:hAnsi="仿宋" w:eastAsia="仿宋" w:cs="仿宋"/>
          <w:color w:val="auto"/>
          <w:sz w:val="28"/>
          <w:szCs w:val="28"/>
          <w:highlight w:val="none"/>
        </w:rPr>
        <w:t>万元、维修（护）费</w:t>
      </w:r>
      <w:r>
        <w:rPr>
          <w:rFonts w:hint="eastAsia" w:ascii="仿宋" w:hAnsi="仿宋" w:eastAsia="仿宋" w:cs="仿宋"/>
          <w:color w:val="auto"/>
          <w:sz w:val="28"/>
          <w:szCs w:val="28"/>
          <w:highlight w:val="none"/>
          <w:lang w:val="en-US" w:eastAsia="zh-CN"/>
        </w:rPr>
        <w:t>26.01</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租赁费4万元、会议费0.2万元、</w:t>
      </w:r>
      <w:r>
        <w:rPr>
          <w:rFonts w:hint="eastAsia" w:ascii="仿宋" w:hAnsi="仿宋" w:eastAsia="仿宋" w:cs="仿宋"/>
          <w:color w:val="auto"/>
          <w:sz w:val="28"/>
          <w:szCs w:val="28"/>
          <w:highlight w:val="none"/>
        </w:rPr>
        <w:t>培训费</w:t>
      </w:r>
      <w:r>
        <w:rPr>
          <w:rFonts w:hint="eastAsia" w:ascii="仿宋" w:hAnsi="仿宋" w:eastAsia="仿宋" w:cs="仿宋"/>
          <w:color w:val="auto"/>
          <w:sz w:val="28"/>
          <w:szCs w:val="28"/>
          <w:highlight w:val="none"/>
          <w:lang w:val="en-US" w:eastAsia="zh-CN"/>
        </w:rPr>
        <w:t>8.04</w:t>
      </w:r>
      <w:r>
        <w:rPr>
          <w:rFonts w:hint="eastAsia" w:ascii="仿宋" w:hAnsi="仿宋" w:eastAsia="仿宋" w:cs="仿宋"/>
          <w:color w:val="auto"/>
          <w:sz w:val="28"/>
          <w:szCs w:val="28"/>
          <w:highlight w:val="none"/>
        </w:rPr>
        <w:t>万元、公务接待费0.</w:t>
      </w:r>
      <w:r>
        <w:rPr>
          <w:rFonts w:hint="eastAsia" w:ascii="仿宋" w:hAnsi="仿宋" w:eastAsia="仿宋" w:cs="仿宋"/>
          <w:color w:val="auto"/>
          <w:sz w:val="28"/>
          <w:szCs w:val="28"/>
          <w:highlight w:val="none"/>
          <w:lang w:val="en-US" w:eastAsia="zh-CN"/>
        </w:rPr>
        <w:t>52</w:t>
      </w:r>
      <w:r>
        <w:rPr>
          <w:rFonts w:hint="eastAsia" w:ascii="仿宋" w:hAnsi="仿宋" w:eastAsia="仿宋" w:cs="仿宋"/>
          <w:color w:val="auto"/>
          <w:sz w:val="28"/>
          <w:szCs w:val="28"/>
          <w:highlight w:val="none"/>
        </w:rPr>
        <w:t>万元、劳务费</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万元、工会经费</w:t>
      </w:r>
      <w:r>
        <w:rPr>
          <w:rFonts w:hint="eastAsia" w:ascii="仿宋" w:hAnsi="仿宋" w:eastAsia="仿宋" w:cs="仿宋"/>
          <w:color w:val="auto"/>
          <w:sz w:val="28"/>
          <w:szCs w:val="28"/>
          <w:highlight w:val="none"/>
          <w:lang w:val="en-US" w:eastAsia="zh-CN"/>
        </w:rPr>
        <w:t>5.54</w:t>
      </w:r>
      <w:r>
        <w:rPr>
          <w:rFonts w:hint="eastAsia" w:ascii="仿宋" w:hAnsi="仿宋" w:eastAsia="仿宋" w:cs="仿宋"/>
          <w:color w:val="auto"/>
          <w:sz w:val="28"/>
          <w:szCs w:val="28"/>
          <w:highlight w:val="none"/>
        </w:rPr>
        <w:t>万元、福利费</w:t>
      </w:r>
      <w:r>
        <w:rPr>
          <w:rFonts w:hint="eastAsia" w:ascii="仿宋" w:hAnsi="仿宋" w:eastAsia="仿宋" w:cs="仿宋"/>
          <w:color w:val="auto"/>
          <w:sz w:val="28"/>
          <w:szCs w:val="28"/>
          <w:highlight w:val="none"/>
          <w:lang w:val="en-US" w:eastAsia="zh-CN"/>
        </w:rPr>
        <w:t>10.11</w:t>
      </w:r>
      <w:r>
        <w:rPr>
          <w:rFonts w:hint="eastAsia" w:ascii="仿宋" w:hAnsi="仿宋" w:eastAsia="仿宋" w:cs="仿宋"/>
          <w:color w:val="auto"/>
          <w:sz w:val="28"/>
          <w:szCs w:val="28"/>
          <w:highlight w:val="none"/>
        </w:rPr>
        <w:t>万元，专用材料费0万元，其他商品和服务支出0万元。</w:t>
      </w:r>
    </w:p>
    <w:p>
      <w:pPr>
        <w:spacing w:line="600" w:lineRule="exact"/>
        <w:ind w:firstLine="640"/>
        <w:rPr>
          <w:rFonts w:ascii="仿宋" w:hAnsi="仿宋" w:eastAsia="仿宋"/>
          <w:b/>
          <w:color w:val="auto"/>
          <w:sz w:val="28"/>
          <w:szCs w:val="28"/>
          <w:highlight w:val="none"/>
        </w:rPr>
      </w:pPr>
      <w:r>
        <w:rPr>
          <w:rFonts w:hint="eastAsia" w:ascii="仿宋" w:hAnsi="仿宋" w:eastAsia="仿宋"/>
          <w:color w:val="auto"/>
          <w:sz w:val="28"/>
          <w:szCs w:val="28"/>
          <w:highlight w:val="none"/>
        </w:rPr>
        <w:t>图7：</w:t>
      </w:r>
      <w:r>
        <w:rPr>
          <w:rFonts w:hint="eastAsia" w:ascii="仿宋" w:hAnsi="仿宋" w:eastAsia="仿宋"/>
          <w:b/>
          <w:color w:val="auto"/>
          <w:sz w:val="28"/>
          <w:szCs w:val="28"/>
          <w:highlight w:val="none"/>
        </w:rPr>
        <w:t>一</w:t>
      </w:r>
      <w:r>
        <w:rPr>
          <w:rStyle w:val="18"/>
          <w:rFonts w:hint="eastAsia" w:ascii="仿宋" w:hAnsi="仿宋" w:eastAsia="仿宋"/>
          <w:color w:val="auto"/>
          <w:sz w:val="28"/>
          <w:szCs w:val="28"/>
          <w:highlight w:val="none"/>
        </w:rPr>
        <w:t>般公共预算财政拨款基本支出决算结构</w:t>
      </w:r>
      <w:r>
        <w:rPr>
          <w:rFonts w:hint="eastAsia" w:ascii="仿宋" w:hAnsi="仿宋" w:eastAsia="仿宋"/>
          <w:b/>
          <w:color w:val="auto"/>
          <w:sz w:val="28"/>
          <w:szCs w:val="28"/>
          <w:highlight w:val="none"/>
        </w:rPr>
        <w:t>：</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rPr>
          <w:color w:val="auto"/>
          <w:highlight w:val="none"/>
        </w:rPr>
      </w:pPr>
      <w:r>
        <w:rPr>
          <w:color w:val="auto"/>
          <w:highlight w:val="none"/>
        </w:rPr>
        <w:drawing>
          <wp:inline distT="0" distB="0" distL="114300" distR="114300">
            <wp:extent cx="4826000" cy="2743200"/>
            <wp:effectExtent l="4445" t="4445" r="8255" b="825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outlineLvl w:val="1"/>
        <w:rPr>
          <w:rStyle w:val="18"/>
          <w:rFonts w:ascii="黑体" w:hAnsi="黑体" w:eastAsia="黑体" w:cs="Times New Roman"/>
          <w:b w:val="0"/>
          <w:bCs w:val="0"/>
          <w:color w:val="auto"/>
          <w:sz w:val="28"/>
          <w:szCs w:val="28"/>
          <w:highlight w:val="none"/>
        </w:rPr>
      </w:pPr>
      <w:bookmarkStart w:id="41" w:name="_Toc15396609"/>
      <w:bookmarkStart w:id="42" w:name="_Toc15377215"/>
      <w:r>
        <w:rPr>
          <w:rFonts w:hint="eastAsia" w:ascii="黑体" w:eastAsia="黑体" w:cs="黑体"/>
          <w:color w:val="auto"/>
          <w:sz w:val="28"/>
          <w:szCs w:val="28"/>
          <w:highlight w:val="none"/>
        </w:rPr>
        <w:t>七、</w:t>
      </w:r>
      <w:r>
        <w:rPr>
          <w:rStyle w:val="18"/>
          <w:rFonts w:hint="eastAsia" w:ascii="黑体" w:hAnsi="黑体" w:eastAsia="黑体" w:cs="黑体"/>
          <w:color w:val="auto"/>
          <w:sz w:val="28"/>
          <w:szCs w:val="28"/>
          <w:highlight w:val="none"/>
        </w:rPr>
        <w:t>“</w:t>
      </w:r>
      <w:r>
        <w:rPr>
          <w:rStyle w:val="18"/>
          <w:rFonts w:hint="eastAsia" w:ascii="黑体" w:hAnsi="黑体" w:eastAsia="黑体" w:cs="黑体"/>
          <w:b w:val="0"/>
          <w:bCs w:val="0"/>
          <w:color w:val="auto"/>
          <w:sz w:val="28"/>
          <w:szCs w:val="28"/>
          <w:highlight w:val="none"/>
        </w:rPr>
        <w:t>三公”经费财政拨款支出决算情况说明</w:t>
      </w:r>
      <w:bookmarkEnd w:id="41"/>
      <w:bookmarkEnd w:id="42"/>
    </w:p>
    <w:p>
      <w:pPr>
        <w:spacing w:line="600" w:lineRule="exact"/>
        <w:ind w:firstLine="137" w:firstLineChars="49"/>
        <w:outlineLvl w:val="2"/>
        <w:rPr>
          <w:rFonts w:ascii="仿宋" w:hAnsi="仿宋" w:eastAsia="仿宋"/>
          <w:b/>
          <w:bCs/>
          <w:color w:val="auto"/>
          <w:sz w:val="28"/>
          <w:szCs w:val="28"/>
          <w:highlight w:val="none"/>
        </w:rPr>
      </w:pPr>
      <w:bookmarkStart w:id="43" w:name="_Toc15377216"/>
      <w:r>
        <w:rPr>
          <w:rFonts w:hint="eastAsia" w:ascii="仿宋" w:hAnsi="仿宋" w:eastAsia="仿宋" w:cs="仿宋"/>
          <w:b/>
          <w:bCs/>
          <w:color w:val="auto"/>
          <w:sz w:val="28"/>
          <w:szCs w:val="28"/>
          <w:highlight w:val="none"/>
        </w:rPr>
        <w:t>（一）“三公”经费财政拨款支出决算总体情况说明</w:t>
      </w:r>
      <w:bookmarkEnd w:id="43"/>
    </w:p>
    <w:p>
      <w:pPr>
        <w:spacing w:line="600" w:lineRule="exact"/>
        <w:ind w:firstLine="640"/>
        <w:rPr>
          <w:rFonts w:ascii="仿宋" w:hAnsi="仿宋" w:eastAsia="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22年“三公”经费财政拨款支出决算为0</w:t>
      </w:r>
      <w:r>
        <w:rPr>
          <w:rFonts w:hint="eastAsia" w:ascii="仿宋" w:hAnsi="仿宋" w:eastAsia="仿宋" w:cs="仿宋"/>
          <w:color w:val="auto"/>
          <w:sz w:val="28"/>
          <w:szCs w:val="28"/>
          <w:highlight w:val="none"/>
          <w:lang w:val="en-US" w:eastAsia="zh-CN"/>
        </w:rPr>
        <w:t>.52</w:t>
      </w:r>
      <w:r>
        <w:rPr>
          <w:rFonts w:hint="eastAsia" w:ascii="仿宋" w:hAnsi="仿宋" w:eastAsia="仿宋" w:cs="仿宋"/>
          <w:color w:val="auto"/>
          <w:sz w:val="28"/>
          <w:szCs w:val="28"/>
          <w:highlight w:val="none"/>
        </w:rPr>
        <w:t>万元，完成预算100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，决算数与预算数基本持平。</w:t>
      </w:r>
    </w:p>
    <w:p>
      <w:pPr>
        <w:spacing w:line="600" w:lineRule="exact"/>
        <w:ind w:firstLine="137" w:firstLineChars="49"/>
        <w:outlineLvl w:val="2"/>
        <w:rPr>
          <w:rFonts w:ascii="仿宋" w:hAnsi="仿宋" w:eastAsia="仿宋"/>
          <w:b/>
          <w:bCs/>
          <w:color w:val="auto"/>
          <w:sz w:val="28"/>
          <w:szCs w:val="28"/>
          <w:highlight w:val="none"/>
        </w:rPr>
      </w:pPr>
      <w:bookmarkStart w:id="44" w:name="_Toc15377217"/>
      <w:r>
        <w:rPr>
          <w:rFonts w:hint="eastAsia" w:ascii="仿宋" w:hAnsi="仿宋" w:eastAsia="仿宋" w:cs="仿宋"/>
          <w:b/>
          <w:bCs/>
          <w:color w:val="auto"/>
          <w:sz w:val="28"/>
          <w:szCs w:val="28"/>
          <w:highlight w:val="none"/>
        </w:rPr>
        <w:t>（二）“三公”经费财政拨款支出决算具体情况说明</w:t>
      </w:r>
      <w:bookmarkEnd w:id="44"/>
    </w:p>
    <w:p>
      <w:pPr>
        <w:spacing w:line="600" w:lineRule="exact"/>
        <w:ind w:firstLine="640"/>
        <w:rPr>
          <w:rFonts w:ascii="仿宋" w:hAnsi="仿宋" w:eastAsia="仿宋" w:cs="仿宋"/>
          <w:color w:val="auto"/>
          <w:sz w:val="28"/>
          <w:szCs w:val="28"/>
          <w:highlight w:val="none"/>
        </w:rPr>
      </w:pPr>
      <w:r>
        <w:rPr>
          <w:rFonts w:ascii="仿宋" w:hAnsi="仿宋" w:eastAsia="仿宋" w:cs="仿宋"/>
          <w:color w:val="auto"/>
          <w:sz w:val="28"/>
          <w:szCs w:val="28"/>
          <w:highlight w:val="none"/>
        </w:rPr>
        <w:t>20</w:t>
      </w:r>
      <w:r>
        <w:rPr>
          <w:rFonts w:hint="eastAsia" w:ascii="仿宋" w:hAnsi="仿宋" w:eastAsia="仿宋" w:cs="仿宋"/>
          <w:color w:val="auto"/>
          <w:sz w:val="28"/>
          <w:szCs w:val="28"/>
          <w:highlight w:val="none"/>
        </w:rPr>
        <w:t>22年“三公”经费财政拨款支出决算中，因公出国（境）费支出决算0万元，占0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；公务用车购置及运行维护费支出决算0万元，占0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；公务接待费支出决算0.</w:t>
      </w:r>
      <w:r>
        <w:rPr>
          <w:rFonts w:hint="eastAsia" w:ascii="仿宋" w:hAnsi="仿宋" w:eastAsia="仿宋" w:cs="仿宋"/>
          <w:color w:val="auto"/>
          <w:sz w:val="28"/>
          <w:szCs w:val="28"/>
          <w:highlight w:val="none"/>
          <w:lang w:val="en-US" w:eastAsia="zh-CN"/>
        </w:rPr>
        <w:t>52</w:t>
      </w:r>
      <w:r>
        <w:rPr>
          <w:rFonts w:hint="eastAsia" w:ascii="仿宋" w:hAnsi="仿宋" w:eastAsia="仿宋" w:cs="仿宋"/>
          <w:color w:val="auto"/>
          <w:sz w:val="28"/>
          <w:szCs w:val="28"/>
          <w:highlight w:val="none"/>
        </w:rPr>
        <w:t>万元，占100</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。具体情况如下：</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图8：“三公”经费财政拨款支出结构：</w:t>
      </w:r>
    </w:p>
    <w:p>
      <w:pPr>
        <w:spacing w:line="600" w:lineRule="exact"/>
        <w:ind w:firstLine="640"/>
        <w:rPr>
          <w:rFonts w:ascii="仿宋" w:hAnsi="仿宋" w:eastAsia="仿宋"/>
          <w:color w:val="auto"/>
          <w:sz w:val="28"/>
          <w:szCs w:val="28"/>
          <w:highlight w:val="none"/>
        </w:rPr>
      </w:pPr>
      <w:r>
        <w:rPr>
          <w:rFonts w:hint="eastAsia" w:ascii="仿宋" w:hAnsi="仿宋" w:eastAsia="仿宋"/>
          <w:color w:val="auto"/>
          <w:sz w:val="28"/>
          <w:szCs w:val="28"/>
          <w:highlight w:val="none"/>
        </w:rPr>
        <w:t>单位：万元</w:t>
      </w:r>
    </w:p>
    <w:p>
      <w:pPr>
        <w:spacing w:line="600" w:lineRule="exact"/>
        <w:ind w:firstLine="640"/>
        <w:rPr>
          <w:rFonts w:ascii="仿宋" w:hAnsi="仿宋" w:eastAsia="仿宋"/>
          <w:color w:val="auto"/>
          <w:sz w:val="28"/>
          <w:szCs w:val="28"/>
          <w:highlight w:val="none"/>
        </w:rPr>
      </w:pPr>
    </w:p>
    <w:p>
      <w:pPr>
        <w:rPr>
          <w:rFonts w:ascii="仿宋" w:hAnsi="仿宋" w:eastAsia="仿宋"/>
          <w:b/>
          <w:color w:val="auto"/>
          <w:sz w:val="32"/>
          <w:szCs w:val="32"/>
          <w:highlight w:val="none"/>
        </w:rPr>
      </w:pPr>
      <w:r>
        <w:rPr>
          <w:color w:val="auto"/>
          <w:highlight w:val="none"/>
        </w:rPr>
        <w:drawing>
          <wp:inline distT="0" distB="0" distL="114300" distR="114300">
            <wp:extent cx="4826000" cy="2743200"/>
            <wp:effectExtent l="4445" t="4445" r="8255" b="8255"/>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color w:val="auto"/>
          <w:highlight w:val="none"/>
        </w:rPr>
        <w:t xml:space="preserve">    </w:t>
      </w:r>
      <w:r>
        <w:rPr>
          <w:rFonts w:ascii="仿宋_GB2312" w:eastAsia="仿宋_GB2312" w:cs="仿宋_GB2312"/>
          <w:b/>
          <w:bCs/>
          <w:color w:val="auto"/>
          <w:sz w:val="28"/>
          <w:szCs w:val="28"/>
          <w:highlight w:val="none"/>
        </w:rPr>
        <w:t>1.</w:t>
      </w:r>
      <w:r>
        <w:rPr>
          <w:rFonts w:hint="eastAsia" w:ascii="仿宋_GB2312" w:eastAsia="仿宋_GB2312" w:cs="仿宋_GB2312"/>
          <w:b/>
          <w:bCs/>
          <w:color w:val="auto"/>
          <w:sz w:val="28"/>
          <w:szCs w:val="28"/>
          <w:highlight w:val="none"/>
        </w:rPr>
        <w:t>因公出国（境）经费支出</w:t>
      </w:r>
      <w:r>
        <w:rPr>
          <w:rFonts w:hint="eastAsia" w:ascii="仿宋_GB2312" w:eastAsia="仿宋_GB2312" w:cs="仿宋_GB2312"/>
          <w:color w:val="auto"/>
          <w:sz w:val="28"/>
          <w:szCs w:val="28"/>
          <w:highlight w:val="none"/>
        </w:rPr>
        <w:t>0万元，</w:t>
      </w:r>
      <w:r>
        <w:rPr>
          <w:rStyle w:val="15"/>
          <w:rFonts w:hint="eastAsia" w:ascii="仿宋" w:hAnsi="仿宋" w:eastAsia="仿宋" w:cs="仿宋"/>
          <w:b w:val="0"/>
          <w:bCs w:val="0"/>
          <w:color w:val="auto"/>
          <w:sz w:val="28"/>
          <w:szCs w:val="28"/>
          <w:highlight w:val="none"/>
        </w:rPr>
        <w:t>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w:t>
      </w:r>
      <w:r>
        <w:rPr>
          <w:rFonts w:hint="eastAsia" w:ascii="仿宋" w:hAnsi="仿宋" w:eastAsia="仿宋"/>
          <w:color w:val="auto"/>
          <w:sz w:val="32"/>
          <w:szCs w:val="32"/>
          <w:highlight w:val="none"/>
        </w:rPr>
        <w:t>全年安排因公出国（境）团组0次，出国（境）0人。因公出国（境）支出决算</w:t>
      </w:r>
      <w:r>
        <w:rPr>
          <w:rFonts w:hint="eastAsia" w:ascii="仿宋" w:hAnsi="仿宋" w:eastAsia="仿宋"/>
          <w:color w:val="auto"/>
          <w:sz w:val="32"/>
          <w:szCs w:val="32"/>
          <w:highlight w:val="none"/>
          <w:lang w:eastAsia="zh-CN"/>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rPr>
        <w:t>21年持平，主要原因是无因公出国（境）支出安排。</w:t>
      </w:r>
    </w:p>
    <w:p>
      <w:pPr>
        <w:spacing w:line="600" w:lineRule="exact"/>
        <w:ind w:firstLine="640"/>
        <w:rPr>
          <w:color w:val="auto"/>
          <w:sz w:val="32"/>
          <w:szCs w:val="32"/>
          <w:highlight w:val="none"/>
        </w:rPr>
      </w:pPr>
      <w:r>
        <w:rPr>
          <w:rFonts w:ascii="仿宋_GB2312" w:eastAsia="仿宋_GB2312" w:cs="仿宋_GB2312"/>
          <w:b/>
          <w:bCs/>
          <w:color w:val="auto"/>
          <w:sz w:val="28"/>
          <w:szCs w:val="28"/>
          <w:highlight w:val="none"/>
        </w:rPr>
        <w:t>2.</w:t>
      </w:r>
      <w:r>
        <w:rPr>
          <w:rFonts w:hint="eastAsia" w:ascii="仿宋_GB2312" w:eastAsia="仿宋_GB2312" w:cs="仿宋_GB2312"/>
          <w:b/>
          <w:bCs/>
          <w:color w:val="auto"/>
          <w:sz w:val="28"/>
          <w:szCs w:val="28"/>
          <w:highlight w:val="none"/>
        </w:rPr>
        <w:t>公务用车购置及运行维护费支出</w:t>
      </w:r>
      <w:r>
        <w:rPr>
          <w:rFonts w:hint="eastAsia" w:ascii="仿宋_GB2312" w:eastAsia="仿宋_GB2312" w:cs="仿宋_GB2312"/>
          <w:color w:val="auto"/>
          <w:sz w:val="28"/>
          <w:szCs w:val="28"/>
          <w:highlight w:val="none"/>
        </w:rPr>
        <w:t>0万元</w:t>
      </w:r>
      <w:r>
        <w:rPr>
          <w:rFonts w:hint="eastAsia" w:ascii="仿宋_GB2312" w:eastAsia="仿宋_GB2312" w:cs="仿宋_GB2312"/>
          <w:color w:val="auto"/>
          <w:sz w:val="28"/>
          <w:szCs w:val="28"/>
          <w:highlight w:val="none"/>
          <w:lang w:eastAsia="zh-CN"/>
        </w:rPr>
        <w:t>，</w:t>
      </w:r>
      <w:r>
        <w:rPr>
          <w:rStyle w:val="15"/>
          <w:rFonts w:hint="eastAsia" w:ascii="仿宋" w:hAnsi="仿宋" w:eastAsia="仿宋" w:cs="仿宋"/>
          <w:b w:val="0"/>
          <w:bCs w:val="0"/>
          <w:color w:val="auto"/>
          <w:sz w:val="28"/>
          <w:szCs w:val="28"/>
          <w:highlight w:val="none"/>
        </w:rPr>
        <w:t>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eastAsia="zh-CN"/>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rPr>
        <w:t>21年持平，主要原因是无公务用车购置及运行维护费支出安排。</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其中：</w:t>
      </w:r>
      <w:r>
        <w:rPr>
          <w:rFonts w:hint="eastAsia" w:ascii="仿宋" w:hAnsi="仿宋" w:eastAsia="仿宋"/>
          <w:b/>
          <w:color w:val="auto"/>
          <w:sz w:val="32"/>
          <w:szCs w:val="32"/>
          <w:highlight w:val="none"/>
        </w:rPr>
        <w:t>公务用车购置支出</w:t>
      </w:r>
      <w:r>
        <w:rPr>
          <w:rFonts w:hint="eastAsia" w:ascii="仿宋" w:hAnsi="仿宋" w:eastAsia="仿宋"/>
          <w:color w:val="auto"/>
          <w:sz w:val="32"/>
          <w:szCs w:val="32"/>
          <w:highlight w:val="none"/>
        </w:rPr>
        <w:t>0万元。全年</w:t>
      </w:r>
      <w:r>
        <w:rPr>
          <w:rFonts w:hint="eastAsia" w:ascii="仿宋" w:hAnsi="仿宋" w:eastAsia="仿宋"/>
          <w:color w:val="auto"/>
          <w:sz w:val="32"/>
          <w:szCs w:val="32"/>
          <w:highlight w:val="none"/>
          <w:lang w:eastAsia="zh-CN"/>
        </w:rPr>
        <w:t>新</w:t>
      </w:r>
      <w:r>
        <w:rPr>
          <w:rFonts w:hint="eastAsia" w:ascii="仿宋" w:hAnsi="仿宋" w:eastAsia="仿宋"/>
          <w:color w:val="auto"/>
          <w:sz w:val="32"/>
          <w:szCs w:val="32"/>
          <w:highlight w:val="none"/>
        </w:rPr>
        <w:t>购置公务用车0辆，其中：轿车0辆、金额0万元，越野车0辆、金额0万元，载客汽车0辆、金额0万元。截至</w:t>
      </w:r>
      <w:r>
        <w:rPr>
          <w:rFonts w:ascii="仿宋" w:hAnsi="仿宋" w:eastAsia="仿宋"/>
          <w:color w:val="auto"/>
          <w:sz w:val="32"/>
          <w:szCs w:val="32"/>
          <w:highlight w:val="none"/>
        </w:rPr>
        <w:t>20</w:t>
      </w:r>
      <w:r>
        <w:rPr>
          <w:rFonts w:hint="eastAsia" w:ascii="仿宋" w:hAnsi="仿宋" w:eastAsia="仿宋"/>
          <w:color w:val="auto"/>
          <w:sz w:val="32"/>
          <w:szCs w:val="32"/>
          <w:highlight w:val="none"/>
        </w:rPr>
        <w:t>21年</w:t>
      </w:r>
      <w:r>
        <w:rPr>
          <w:rFonts w:ascii="仿宋" w:hAnsi="仿宋" w:eastAsia="仿宋"/>
          <w:color w:val="auto"/>
          <w:sz w:val="32"/>
          <w:szCs w:val="32"/>
          <w:highlight w:val="none"/>
        </w:rPr>
        <w:t>12</w:t>
      </w:r>
      <w:r>
        <w:rPr>
          <w:rFonts w:hint="eastAsia" w:ascii="仿宋" w:hAnsi="仿宋" w:eastAsia="仿宋"/>
          <w:color w:val="auto"/>
          <w:sz w:val="32"/>
          <w:szCs w:val="32"/>
          <w:highlight w:val="none"/>
        </w:rPr>
        <w:t>月底，单位共有公务用车0辆，其中：轿车0辆、越野车0辆、载客汽车0辆。</w:t>
      </w:r>
    </w:p>
    <w:p>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公务用车运行维护费支出</w:t>
      </w:r>
      <w:r>
        <w:rPr>
          <w:rFonts w:hint="eastAsia" w:ascii="仿宋" w:hAnsi="仿宋" w:eastAsia="仿宋"/>
          <w:color w:val="auto"/>
          <w:sz w:val="32"/>
          <w:szCs w:val="32"/>
          <w:highlight w:val="none"/>
        </w:rPr>
        <w:t>0万元。</w:t>
      </w:r>
    </w:p>
    <w:p>
      <w:pPr>
        <w:spacing w:line="600" w:lineRule="exact"/>
        <w:ind w:firstLine="640"/>
        <w:rPr>
          <w:rFonts w:ascii="仿宋_GB2312" w:eastAsia="仿宋_GB2312"/>
          <w:color w:val="auto"/>
          <w:sz w:val="28"/>
          <w:szCs w:val="28"/>
          <w:highlight w:val="none"/>
        </w:rPr>
      </w:pPr>
      <w:r>
        <w:rPr>
          <w:rFonts w:ascii="仿宋_GB2312" w:eastAsia="仿宋_GB2312" w:cs="仿宋_GB2312"/>
          <w:b/>
          <w:bCs/>
          <w:color w:val="auto"/>
          <w:sz w:val="28"/>
          <w:szCs w:val="28"/>
          <w:highlight w:val="none"/>
        </w:rPr>
        <w:t>3.</w:t>
      </w:r>
      <w:r>
        <w:rPr>
          <w:rFonts w:hint="eastAsia" w:ascii="仿宋_GB2312" w:eastAsia="仿宋_GB2312" w:cs="仿宋_GB2312"/>
          <w:b/>
          <w:bCs/>
          <w:color w:val="auto"/>
          <w:sz w:val="28"/>
          <w:szCs w:val="28"/>
          <w:highlight w:val="none"/>
        </w:rPr>
        <w:t>公务接待费支出</w:t>
      </w:r>
      <w:r>
        <w:rPr>
          <w:rFonts w:hint="eastAsia" w:ascii="仿宋_GB2312" w:eastAsia="仿宋_GB2312" w:cs="仿宋_GB2312"/>
          <w:color w:val="auto"/>
          <w:sz w:val="28"/>
          <w:szCs w:val="28"/>
          <w:highlight w:val="none"/>
        </w:rPr>
        <w:t>0.</w:t>
      </w:r>
      <w:r>
        <w:rPr>
          <w:rFonts w:hint="eastAsia" w:ascii="仿宋_GB2312" w:eastAsia="仿宋_GB2312" w:cs="仿宋_GB2312"/>
          <w:color w:val="auto"/>
          <w:sz w:val="28"/>
          <w:szCs w:val="28"/>
          <w:highlight w:val="none"/>
          <w:lang w:val="en-US" w:eastAsia="zh-CN"/>
        </w:rPr>
        <w:t>52</w:t>
      </w:r>
      <w:r>
        <w:rPr>
          <w:rFonts w:hint="eastAsia" w:ascii="仿宋_GB2312" w:eastAsia="仿宋_GB2312" w:cs="仿宋_GB2312"/>
          <w:color w:val="auto"/>
          <w:sz w:val="28"/>
          <w:szCs w:val="28"/>
          <w:highlight w:val="none"/>
        </w:rPr>
        <w:t>万元，</w:t>
      </w:r>
      <w:r>
        <w:rPr>
          <w:rStyle w:val="15"/>
          <w:rFonts w:hint="eastAsia" w:ascii="仿宋" w:hAnsi="仿宋" w:eastAsia="仿宋" w:cs="仿宋"/>
          <w:b w:val="0"/>
          <w:bCs w:val="0"/>
          <w:color w:val="auto"/>
          <w:sz w:val="28"/>
          <w:szCs w:val="28"/>
          <w:highlight w:val="none"/>
        </w:rPr>
        <w:t>完成预算100</w:t>
      </w:r>
      <w:r>
        <w:rPr>
          <w:rStyle w:val="15"/>
          <w:rFonts w:ascii="仿宋" w:hAnsi="仿宋" w:eastAsia="仿宋" w:cs="仿宋"/>
          <w:b w:val="0"/>
          <w:bCs w:val="0"/>
          <w:color w:val="auto"/>
          <w:sz w:val="28"/>
          <w:szCs w:val="28"/>
          <w:highlight w:val="none"/>
        </w:rPr>
        <w:t>%</w:t>
      </w:r>
      <w:r>
        <w:rPr>
          <w:rStyle w:val="15"/>
          <w:rFonts w:hint="eastAsia" w:ascii="仿宋" w:hAnsi="仿宋" w:eastAsia="仿宋" w:cs="仿宋"/>
          <w:b w:val="0"/>
          <w:bCs w:val="0"/>
          <w:color w:val="auto"/>
          <w:sz w:val="28"/>
          <w:szCs w:val="28"/>
          <w:highlight w:val="none"/>
        </w:rPr>
        <w:t>。</w:t>
      </w:r>
      <w:r>
        <w:rPr>
          <w:rFonts w:hint="eastAsia" w:ascii="仿宋_GB2312" w:eastAsia="仿宋_GB2312" w:cs="仿宋_GB2312"/>
          <w:color w:val="auto"/>
          <w:sz w:val="28"/>
          <w:szCs w:val="28"/>
          <w:highlight w:val="none"/>
        </w:rPr>
        <w:t>公务接待费支出决算与2021年相比，</w:t>
      </w:r>
      <w:r>
        <w:rPr>
          <w:rFonts w:hint="eastAsia" w:ascii="仿宋_GB2312" w:eastAsia="仿宋_GB2312" w:cs="仿宋_GB2312"/>
          <w:color w:val="auto"/>
          <w:sz w:val="28"/>
          <w:szCs w:val="28"/>
          <w:highlight w:val="none"/>
          <w:lang w:val="en-US" w:eastAsia="zh-CN"/>
        </w:rPr>
        <w:t>增加</w:t>
      </w:r>
      <w:r>
        <w:rPr>
          <w:rFonts w:hint="eastAsia" w:ascii="仿宋_GB2312" w:eastAsia="仿宋_GB2312" w:cs="仿宋_GB2312"/>
          <w:color w:val="auto"/>
          <w:sz w:val="28"/>
          <w:szCs w:val="28"/>
          <w:highlight w:val="none"/>
        </w:rPr>
        <w:t>0.</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万元。主要原因是公务接待</w:t>
      </w:r>
      <w:r>
        <w:rPr>
          <w:rFonts w:hint="eastAsia" w:ascii="仿宋_GB2312" w:eastAsia="仿宋_GB2312" w:cs="仿宋_GB2312"/>
          <w:color w:val="auto"/>
          <w:sz w:val="28"/>
          <w:szCs w:val="28"/>
          <w:highlight w:val="none"/>
          <w:lang w:val="en-US" w:eastAsia="zh-CN"/>
        </w:rPr>
        <w:t>人次增加</w:t>
      </w:r>
      <w:r>
        <w:rPr>
          <w:rFonts w:hint="eastAsia" w:ascii="仿宋_GB2312" w:eastAsia="仿宋_GB2312" w:cs="仿宋_GB2312"/>
          <w:color w:val="auto"/>
          <w:sz w:val="28"/>
          <w:szCs w:val="28"/>
          <w:highlight w:val="none"/>
        </w:rPr>
        <w:t>。其中：</w:t>
      </w:r>
    </w:p>
    <w:p>
      <w:pPr>
        <w:widowControl/>
        <w:shd w:val="clear" w:color="auto" w:fill="FFFFFF"/>
        <w:spacing w:line="500" w:lineRule="exact"/>
        <w:ind w:firstLine="562" w:firstLineChars="200"/>
        <w:jc w:val="left"/>
        <w:rPr>
          <w:rFonts w:ascii="仿宋_GB2312" w:eastAsia="仿宋_GB2312" w:cs="仿宋_GB2312"/>
          <w:color w:val="auto"/>
          <w:sz w:val="28"/>
          <w:szCs w:val="28"/>
          <w:highlight w:val="none"/>
        </w:rPr>
      </w:pPr>
      <w:r>
        <w:rPr>
          <w:rFonts w:hint="eastAsia" w:ascii="仿宋" w:hAnsi="仿宋" w:eastAsia="仿宋" w:cs="仿宋"/>
          <w:b/>
          <w:bCs/>
          <w:color w:val="auto"/>
          <w:sz w:val="28"/>
          <w:szCs w:val="28"/>
          <w:highlight w:val="none"/>
        </w:rPr>
        <w:t>国内公务接待支出</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52</w:t>
      </w:r>
      <w:r>
        <w:rPr>
          <w:rFonts w:hint="eastAsia" w:ascii="仿宋_GB2312" w:eastAsia="仿宋_GB2312" w:cs="仿宋_GB2312"/>
          <w:color w:val="auto"/>
          <w:sz w:val="28"/>
          <w:szCs w:val="28"/>
          <w:highlight w:val="none"/>
        </w:rPr>
        <w:t>万元，主要用于</w:t>
      </w:r>
      <w:r>
        <w:rPr>
          <w:rFonts w:hint="eastAsia" w:asciiTheme="minorEastAsia" w:hAnsiTheme="minorEastAsia" w:cstheme="minorEastAsia"/>
          <w:bCs/>
          <w:color w:val="auto"/>
          <w:sz w:val="28"/>
          <w:szCs w:val="28"/>
          <w:highlight w:val="none"/>
        </w:rPr>
        <w:t xml:space="preserve">执行公务、考察调研、检查指导等公务活动开支的交通费、住宿费、用餐费等。 </w:t>
      </w:r>
      <w:r>
        <w:rPr>
          <w:rFonts w:hint="eastAsia" w:ascii="仿宋_GB2312" w:eastAsia="仿宋_GB2312" w:cs="仿宋_GB2312"/>
          <w:color w:val="auto"/>
          <w:sz w:val="28"/>
          <w:szCs w:val="28"/>
          <w:highlight w:val="none"/>
        </w:rPr>
        <w:t>国内公务接待1</w:t>
      </w:r>
      <w:r>
        <w:rPr>
          <w:rFonts w:hint="eastAsia" w:ascii="仿宋_GB2312" w:eastAsia="仿宋_GB2312" w:cs="仿宋_GB2312"/>
          <w:color w:val="auto"/>
          <w:sz w:val="28"/>
          <w:szCs w:val="28"/>
          <w:highlight w:val="none"/>
          <w:lang w:val="en-US" w:eastAsia="zh-CN"/>
        </w:rPr>
        <w:t>6</w:t>
      </w:r>
      <w:r>
        <w:rPr>
          <w:rFonts w:hint="eastAsia" w:ascii="仿宋_GB2312" w:eastAsia="仿宋_GB2312" w:cs="仿宋_GB2312"/>
          <w:color w:val="auto"/>
          <w:sz w:val="28"/>
          <w:szCs w:val="28"/>
          <w:highlight w:val="none"/>
        </w:rPr>
        <w:t>批次，</w:t>
      </w:r>
      <w:r>
        <w:rPr>
          <w:rFonts w:hint="eastAsia" w:ascii="仿宋_GB2312" w:eastAsia="仿宋_GB2312" w:cs="仿宋_GB2312"/>
          <w:color w:val="auto"/>
          <w:sz w:val="28"/>
          <w:szCs w:val="28"/>
          <w:highlight w:val="none"/>
          <w:lang w:val="en-US" w:eastAsia="zh-CN"/>
        </w:rPr>
        <w:t>142</w:t>
      </w:r>
      <w:r>
        <w:rPr>
          <w:rFonts w:hint="eastAsia" w:ascii="仿宋_GB2312" w:eastAsia="仿宋_GB2312" w:cs="仿宋_GB2312"/>
          <w:color w:val="auto"/>
          <w:sz w:val="28"/>
          <w:szCs w:val="28"/>
          <w:highlight w:val="none"/>
        </w:rPr>
        <w:t>人次（不包括陪同人员），共计支出0.</w:t>
      </w:r>
      <w:r>
        <w:rPr>
          <w:rFonts w:hint="eastAsia" w:ascii="仿宋_GB2312" w:eastAsia="仿宋_GB2312" w:cs="仿宋_GB2312"/>
          <w:color w:val="auto"/>
          <w:sz w:val="28"/>
          <w:szCs w:val="28"/>
          <w:highlight w:val="none"/>
          <w:lang w:val="en-US" w:eastAsia="zh-CN"/>
        </w:rPr>
        <w:t>52</w:t>
      </w:r>
      <w:r>
        <w:rPr>
          <w:rFonts w:hint="eastAsia" w:ascii="仿宋_GB2312" w:eastAsia="仿宋_GB2312" w:cs="仿宋_GB2312"/>
          <w:color w:val="auto"/>
          <w:sz w:val="28"/>
          <w:szCs w:val="28"/>
          <w:highlight w:val="none"/>
        </w:rPr>
        <w:t>万元，具体内容包括：兄弟学校校本教研活动支出0.</w:t>
      </w:r>
      <w:r>
        <w:rPr>
          <w:rFonts w:hint="eastAsia" w:ascii="仿宋_GB2312" w:eastAsia="仿宋_GB2312" w:cs="仿宋_GB2312"/>
          <w:color w:val="auto"/>
          <w:sz w:val="28"/>
          <w:szCs w:val="28"/>
          <w:highlight w:val="none"/>
          <w:lang w:val="en-US" w:eastAsia="zh-CN"/>
        </w:rPr>
        <w:t>52</w:t>
      </w:r>
      <w:r>
        <w:rPr>
          <w:rFonts w:hint="eastAsia" w:ascii="仿宋_GB2312" w:eastAsia="仿宋_GB2312" w:cs="仿宋_GB2312"/>
          <w:color w:val="auto"/>
          <w:sz w:val="28"/>
          <w:szCs w:val="28"/>
          <w:highlight w:val="none"/>
        </w:rPr>
        <w:t>万元。</w:t>
      </w:r>
    </w:p>
    <w:p>
      <w:pPr>
        <w:spacing w:line="600" w:lineRule="exact"/>
        <w:ind w:firstLine="642" w:firstLineChars="200"/>
        <w:rPr>
          <w:rFonts w:ascii="仿宋" w:hAnsi="仿宋" w:eastAsia="仿宋"/>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rPr>
        <w:t>0万元，外事接待0批次，0人，共计支出0万元。</w:t>
      </w:r>
    </w:p>
    <w:p>
      <w:pPr>
        <w:spacing w:line="600" w:lineRule="exact"/>
        <w:outlineLvl w:val="1"/>
        <w:rPr>
          <w:rStyle w:val="18"/>
          <w:rFonts w:ascii="黑体" w:hAnsi="黑体" w:eastAsia="黑体" w:cs="Times New Roman"/>
          <w:color w:val="auto"/>
          <w:sz w:val="28"/>
          <w:szCs w:val="28"/>
          <w:highlight w:val="none"/>
        </w:rPr>
      </w:pPr>
      <w:bookmarkStart w:id="45" w:name="_Toc15396610"/>
      <w:bookmarkStart w:id="46" w:name="_Toc15377218"/>
      <w:r>
        <w:rPr>
          <w:rFonts w:hint="eastAsia" w:ascii="黑体" w:eastAsia="黑体" w:cs="黑体"/>
          <w:color w:val="auto"/>
          <w:sz w:val="28"/>
          <w:szCs w:val="28"/>
          <w:highlight w:val="none"/>
        </w:rPr>
        <w:t>八、</w:t>
      </w:r>
      <w:r>
        <w:rPr>
          <w:rStyle w:val="18"/>
          <w:rFonts w:hint="eastAsia" w:ascii="黑体" w:hAnsi="黑体" w:eastAsia="黑体" w:cs="黑体"/>
          <w:b w:val="0"/>
          <w:bCs w:val="0"/>
          <w:color w:val="auto"/>
          <w:sz w:val="28"/>
          <w:szCs w:val="28"/>
          <w:highlight w:val="none"/>
        </w:rPr>
        <w:t>政府性基金预算支出决算情况说明</w:t>
      </w:r>
      <w:bookmarkEnd w:id="45"/>
      <w:bookmarkEnd w:id="46"/>
    </w:p>
    <w:p>
      <w:pPr>
        <w:spacing w:line="600" w:lineRule="exact"/>
        <w:ind w:firstLine="640"/>
        <w:rPr>
          <w:rFonts w:ascii="仿宋_GB2312" w:eastAsia="仿宋_GB2312"/>
          <w:color w:val="auto"/>
          <w:sz w:val="28"/>
          <w:szCs w:val="28"/>
          <w:highlight w:val="none"/>
        </w:rPr>
      </w:pP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22年政府性基金预算拨款支出</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万元。</w:t>
      </w:r>
    </w:p>
    <w:p>
      <w:pPr>
        <w:spacing w:line="600" w:lineRule="exact"/>
        <w:outlineLvl w:val="1"/>
        <w:rPr>
          <w:rStyle w:val="18"/>
          <w:rFonts w:ascii="黑体" w:hAnsi="黑体" w:eastAsia="黑体" w:cs="Times New Roman"/>
          <w:b w:val="0"/>
          <w:bCs w:val="0"/>
          <w:color w:val="auto"/>
          <w:sz w:val="28"/>
          <w:szCs w:val="28"/>
          <w:highlight w:val="none"/>
        </w:rPr>
      </w:pPr>
      <w:bookmarkStart w:id="47" w:name="_Toc15396611"/>
      <w:bookmarkStart w:id="48" w:name="_Toc15377219"/>
      <w:r>
        <w:rPr>
          <w:rStyle w:val="18"/>
          <w:rFonts w:hint="eastAsia" w:ascii="黑体" w:hAnsi="黑体" w:eastAsia="黑体" w:cs="黑体"/>
          <w:b w:val="0"/>
          <w:bCs w:val="0"/>
          <w:color w:val="auto"/>
          <w:sz w:val="28"/>
          <w:szCs w:val="28"/>
          <w:highlight w:val="none"/>
        </w:rPr>
        <w:t>九、国有资本经营预算支出决算情况说明</w:t>
      </w:r>
      <w:bookmarkEnd w:id="47"/>
      <w:bookmarkEnd w:id="48"/>
    </w:p>
    <w:p>
      <w:pPr>
        <w:spacing w:line="600" w:lineRule="exact"/>
        <w:ind w:firstLine="640"/>
        <w:rPr>
          <w:rFonts w:ascii="仿宋_GB2312" w:eastAsia="仿宋_GB2312"/>
          <w:color w:val="auto"/>
          <w:sz w:val="28"/>
          <w:szCs w:val="28"/>
          <w:highlight w:val="none"/>
        </w:rPr>
      </w:pP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22年国有资本经营预算拨款支出0万元。</w:t>
      </w:r>
    </w:p>
    <w:p>
      <w:pPr>
        <w:spacing w:line="600" w:lineRule="exact"/>
        <w:outlineLvl w:val="1"/>
        <w:rPr>
          <w:rStyle w:val="18"/>
          <w:rFonts w:ascii="黑体" w:hAnsi="黑体" w:eastAsia="黑体" w:cs="Times New Roman"/>
          <w:color w:val="auto"/>
          <w:sz w:val="28"/>
          <w:szCs w:val="28"/>
          <w:highlight w:val="none"/>
        </w:rPr>
      </w:pPr>
      <w:bookmarkStart w:id="49" w:name="_Toc15396612"/>
      <w:bookmarkStart w:id="50" w:name="_Toc15377221"/>
      <w:r>
        <w:rPr>
          <w:rFonts w:hint="eastAsia" w:ascii="黑体" w:hAnsi="黑体" w:eastAsia="黑体" w:cs="黑体"/>
          <w:color w:val="auto"/>
          <w:sz w:val="28"/>
          <w:szCs w:val="28"/>
          <w:highlight w:val="none"/>
        </w:rPr>
        <w:t>十</w:t>
      </w:r>
      <w:r>
        <w:rPr>
          <w:rStyle w:val="18"/>
          <w:rFonts w:hint="eastAsia" w:ascii="黑体" w:hAnsi="黑体" w:eastAsia="黑体" w:cs="黑体"/>
          <w:color w:val="auto"/>
          <w:sz w:val="28"/>
          <w:szCs w:val="28"/>
          <w:highlight w:val="none"/>
        </w:rPr>
        <w:t>、</w:t>
      </w:r>
      <w:r>
        <w:rPr>
          <w:rStyle w:val="18"/>
          <w:rFonts w:hint="eastAsia" w:ascii="黑体" w:hAnsi="黑体" w:eastAsia="黑体" w:cs="黑体"/>
          <w:b w:val="0"/>
          <w:bCs w:val="0"/>
          <w:color w:val="auto"/>
          <w:sz w:val="28"/>
          <w:szCs w:val="28"/>
          <w:highlight w:val="none"/>
        </w:rPr>
        <w:t>其他重要事项的情况说明</w:t>
      </w:r>
      <w:bookmarkEnd w:id="49"/>
      <w:bookmarkEnd w:id="50"/>
    </w:p>
    <w:p>
      <w:pPr>
        <w:spacing w:line="600" w:lineRule="exact"/>
        <w:ind w:firstLine="137" w:firstLineChars="49"/>
        <w:outlineLvl w:val="2"/>
        <w:rPr>
          <w:rFonts w:ascii="仿宋" w:hAnsi="仿宋" w:eastAsia="仿宋"/>
          <w:color w:val="auto"/>
          <w:sz w:val="28"/>
          <w:szCs w:val="28"/>
          <w:highlight w:val="none"/>
        </w:rPr>
      </w:pPr>
      <w:bookmarkStart w:id="51" w:name="_Toc15377222"/>
      <w:r>
        <w:rPr>
          <w:rFonts w:hint="eastAsia" w:ascii="仿宋" w:hAnsi="仿宋" w:eastAsia="仿宋" w:cs="仿宋"/>
          <w:b/>
          <w:bCs/>
          <w:color w:val="auto"/>
          <w:sz w:val="28"/>
          <w:szCs w:val="28"/>
          <w:highlight w:val="none"/>
        </w:rPr>
        <w:t>（一）机关运行经费支出情况</w:t>
      </w:r>
      <w:bookmarkEnd w:id="51"/>
    </w:p>
    <w:p>
      <w:pPr>
        <w:spacing w:line="600" w:lineRule="exact"/>
        <w:ind w:firstLine="700" w:firstLineChars="250"/>
        <w:rPr>
          <w:rFonts w:ascii="仿宋" w:hAnsi="仿宋" w:eastAsia="仿宋"/>
          <w:b/>
          <w:bCs/>
          <w:color w:val="auto"/>
          <w:sz w:val="28"/>
          <w:szCs w:val="28"/>
          <w:highlight w:val="none"/>
        </w:rPr>
      </w:pP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22年，白龙</w:t>
      </w:r>
      <w:r>
        <w:rPr>
          <w:rFonts w:hint="eastAsia" w:ascii="仿宋_GB2312" w:eastAsia="仿宋_GB2312" w:cs="仿宋_GB2312"/>
          <w:color w:val="auto"/>
          <w:sz w:val="28"/>
          <w:szCs w:val="28"/>
          <w:highlight w:val="none"/>
          <w:lang w:val="en-US" w:eastAsia="zh-CN"/>
        </w:rPr>
        <w:t>小</w:t>
      </w:r>
      <w:r>
        <w:rPr>
          <w:rFonts w:hint="eastAsia" w:ascii="仿宋_GB2312" w:eastAsia="仿宋_GB2312" w:cs="仿宋_GB2312"/>
          <w:color w:val="auto"/>
          <w:sz w:val="28"/>
          <w:szCs w:val="28"/>
          <w:highlight w:val="none"/>
        </w:rPr>
        <w:t>学机关运行经费支出0万元。</w:t>
      </w:r>
    </w:p>
    <w:p>
      <w:pPr>
        <w:autoSpaceDE w:val="0"/>
        <w:autoSpaceDN w:val="0"/>
        <w:adjustRightInd w:val="0"/>
        <w:spacing w:line="600" w:lineRule="exact"/>
        <w:ind w:firstLine="137" w:firstLineChars="49"/>
        <w:jc w:val="left"/>
        <w:outlineLvl w:val="2"/>
        <w:rPr>
          <w:rFonts w:ascii="仿宋" w:hAnsi="仿宋" w:eastAsia="仿宋"/>
          <w:b/>
          <w:bCs/>
          <w:color w:val="auto"/>
          <w:sz w:val="28"/>
          <w:szCs w:val="28"/>
          <w:highlight w:val="none"/>
        </w:rPr>
      </w:pPr>
      <w:bookmarkStart w:id="52" w:name="_Toc15377223"/>
      <w:r>
        <w:rPr>
          <w:rFonts w:hint="eastAsia" w:ascii="仿宋" w:hAnsi="仿宋" w:eastAsia="仿宋" w:cs="仿宋"/>
          <w:b/>
          <w:bCs/>
          <w:color w:val="auto"/>
          <w:sz w:val="28"/>
          <w:szCs w:val="28"/>
          <w:highlight w:val="none"/>
        </w:rPr>
        <w:t>（二）政府采购支出情况</w:t>
      </w:r>
      <w:bookmarkEnd w:id="52"/>
    </w:p>
    <w:p>
      <w:pPr>
        <w:spacing w:line="600" w:lineRule="exact"/>
        <w:ind w:firstLine="700" w:firstLineChars="250"/>
        <w:rPr>
          <w:rFonts w:ascii="仿宋" w:hAnsi="仿宋" w:eastAsia="仿宋"/>
          <w:b/>
          <w:bCs/>
          <w:color w:val="auto"/>
          <w:sz w:val="28"/>
          <w:szCs w:val="28"/>
          <w:highlight w:val="none"/>
        </w:rPr>
      </w:pP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22年，白龙</w:t>
      </w:r>
      <w:r>
        <w:rPr>
          <w:rFonts w:hint="eastAsia" w:ascii="仿宋_GB2312" w:eastAsia="仿宋_GB2312" w:cs="仿宋_GB2312"/>
          <w:color w:val="auto"/>
          <w:sz w:val="28"/>
          <w:szCs w:val="28"/>
          <w:highlight w:val="none"/>
          <w:lang w:eastAsia="zh-CN"/>
        </w:rPr>
        <w:t>小</w:t>
      </w:r>
      <w:r>
        <w:rPr>
          <w:rFonts w:hint="eastAsia" w:ascii="仿宋_GB2312" w:eastAsia="仿宋_GB2312" w:cs="仿宋_GB2312"/>
          <w:color w:val="auto"/>
          <w:sz w:val="28"/>
          <w:szCs w:val="28"/>
          <w:highlight w:val="none"/>
        </w:rPr>
        <w:t>学政府采购支出总额0万元。</w:t>
      </w:r>
    </w:p>
    <w:p>
      <w:pPr>
        <w:autoSpaceDE w:val="0"/>
        <w:autoSpaceDN w:val="0"/>
        <w:adjustRightInd w:val="0"/>
        <w:spacing w:line="600" w:lineRule="exact"/>
        <w:ind w:firstLine="137" w:firstLineChars="49"/>
        <w:jc w:val="left"/>
        <w:outlineLvl w:val="2"/>
        <w:rPr>
          <w:rFonts w:ascii="仿宋" w:hAnsi="仿宋" w:eastAsia="仿宋"/>
          <w:b/>
          <w:bCs/>
          <w:color w:val="auto"/>
          <w:sz w:val="28"/>
          <w:szCs w:val="28"/>
          <w:highlight w:val="none"/>
        </w:rPr>
      </w:pPr>
      <w:bookmarkStart w:id="53" w:name="_Toc15377224"/>
      <w:r>
        <w:rPr>
          <w:rFonts w:hint="eastAsia" w:ascii="仿宋" w:hAnsi="仿宋" w:eastAsia="仿宋" w:cs="仿宋"/>
          <w:b/>
          <w:bCs/>
          <w:color w:val="auto"/>
          <w:sz w:val="28"/>
          <w:szCs w:val="28"/>
          <w:highlight w:val="none"/>
        </w:rPr>
        <w:t>（三）国有资产占有使用情况</w:t>
      </w:r>
      <w:bookmarkEnd w:id="53"/>
    </w:p>
    <w:p>
      <w:pPr>
        <w:autoSpaceDE w:val="0"/>
        <w:autoSpaceDN w:val="0"/>
        <w:adjustRightInd w:val="0"/>
        <w:spacing w:line="600" w:lineRule="exact"/>
        <w:ind w:firstLine="700" w:firstLineChars="250"/>
        <w:jc w:val="left"/>
        <w:rPr>
          <w:rFonts w:ascii="仿宋" w:hAnsi="仿宋" w:eastAsia="仿宋"/>
          <w:b/>
          <w:bCs/>
          <w:color w:val="auto"/>
          <w:sz w:val="28"/>
          <w:szCs w:val="28"/>
          <w:highlight w:val="none"/>
        </w:rPr>
      </w:pPr>
      <w:r>
        <w:rPr>
          <w:rFonts w:hint="eastAsia" w:ascii="仿宋_GB2312" w:eastAsia="仿宋_GB2312" w:cs="仿宋_GB2312"/>
          <w:color w:val="auto"/>
          <w:sz w:val="28"/>
          <w:szCs w:val="28"/>
          <w:highlight w:val="none"/>
        </w:rPr>
        <w:t>截至</w:t>
      </w:r>
      <w:r>
        <w:rPr>
          <w:rFonts w:ascii="仿宋_GB2312" w:eastAsia="仿宋_GB2312" w:cs="仿宋_GB2312"/>
          <w:color w:val="auto"/>
          <w:sz w:val="28"/>
          <w:szCs w:val="28"/>
          <w:highlight w:val="none"/>
        </w:rPr>
        <w:t>20</w:t>
      </w:r>
      <w:r>
        <w:rPr>
          <w:rFonts w:hint="eastAsia" w:ascii="仿宋_GB2312" w:eastAsia="仿宋_GB2312" w:cs="仿宋_GB2312"/>
          <w:color w:val="auto"/>
          <w:sz w:val="28"/>
          <w:szCs w:val="28"/>
          <w:highlight w:val="none"/>
        </w:rPr>
        <w:t>22年</w:t>
      </w:r>
      <w:r>
        <w:rPr>
          <w:rFonts w:ascii="仿宋_GB2312" w:eastAsia="仿宋_GB2312" w:cs="仿宋_GB2312"/>
          <w:color w:val="auto"/>
          <w:sz w:val="28"/>
          <w:szCs w:val="28"/>
          <w:highlight w:val="none"/>
        </w:rPr>
        <w:t>12</w:t>
      </w:r>
      <w:r>
        <w:rPr>
          <w:rFonts w:hint="eastAsia" w:ascii="仿宋_GB2312" w:eastAsia="仿宋_GB2312" w:cs="仿宋_GB2312"/>
          <w:color w:val="auto"/>
          <w:sz w:val="28"/>
          <w:szCs w:val="28"/>
          <w:highlight w:val="none"/>
        </w:rPr>
        <w:t>月</w:t>
      </w:r>
      <w:r>
        <w:rPr>
          <w:rFonts w:ascii="仿宋_GB2312" w:eastAsia="仿宋_GB2312" w:cs="仿宋_GB2312"/>
          <w:color w:val="auto"/>
          <w:sz w:val="28"/>
          <w:szCs w:val="28"/>
          <w:highlight w:val="none"/>
        </w:rPr>
        <w:t>31</w:t>
      </w:r>
      <w:r>
        <w:rPr>
          <w:rFonts w:hint="eastAsia" w:ascii="仿宋_GB2312" w:eastAsia="仿宋_GB2312" w:cs="仿宋_GB2312"/>
          <w:color w:val="auto"/>
          <w:sz w:val="28"/>
          <w:szCs w:val="28"/>
          <w:highlight w:val="none"/>
        </w:rPr>
        <w:t>日，白龙</w:t>
      </w:r>
      <w:r>
        <w:rPr>
          <w:rFonts w:hint="eastAsia" w:ascii="仿宋_GB2312" w:eastAsia="仿宋_GB2312" w:cs="仿宋_GB2312"/>
          <w:color w:val="auto"/>
          <w:sz w:val="28"/>
          <w:szCs w:val="28"/>
          <w:highlight w:val="none"/>
          <w:lang w:eastAsia="zh-CN"/>
        </w:rPr>
        <w:t>小</w:t>
      </w:r>
      <w:r>
        <w:rPr>
          <w:rFonts w:hint="eastAsia" w:ascii="仿宋_GB2312" w:eastAsia="仿宋_GB2312" w:cs="仿宋_GB2312"/>
          <w:color w:val="auto"/>
          <w:sz w:val="28"/>
          <w:szCs w:val="28"/>
          <w:highlight w:val="none"/>
        </w:rPr>
        <w:t>学无公务车辆。</w:t>
      </w:r>
    </w:p>
    <w:p>
      <w:pPr>
        <w:autoSpaceDE w:val="0"/>
        <w:autoSpaceDN w:val="0"/>
        <w:adjustRightInd w:val="0"/>
        <w:spacing w:line="600" w:lineRule="exact"/>
        <w:ind w:firstLine="137" w:firstLineChars="49"/>
        <w:jc w:val="left"/>
        <w:outlineLvl w:val="2"/>
        <w:rPr>
          <w:rFonts w:ascii="仿宋" w:hAnsi="仿宋" w:eastAsia="仿宋"/>
          <w:b/>
          <w:bCs/>
          <w:color w:val="auto"/>
          <w:sz w:val="28"/>
          <w:szCs w:val="28"/>
          <w:highlight w:val="none"/>
        </w:rPr>
      </w:pPr>
      <w:r>
        <w:rPr>
          <w:rFonts w:hint="eastAsia" w:ascii="仿宋" w:hAnsi="仿宋" w:eastAsia="仿宋" w:cs="仿宋"/>
          <w:b/>
          <w:bCs/>
          <w:color w:val="auto"/>
          <w:sz w:val="28"/>
          <w:szCs w:val="28"/>
          <w:highlight w:val="none"/>
        </w:rPr>
        <w:t>（四）预算绩效管理情况。</w:t>
      </w:r>
    </w:p>
    <w:p>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根据预算绩效管理要求，白龙</w:t>
      </w:r>
      <w:r>
        <w:rPr>
          <w:rFonts w:hint="eastAsia" w:ascii="仿宋_GB2312" w:hAnsi="仿宋_GB2312" w:eastAsia="仿宋_GB2312" w:cs="仿宋_GB2312"/>
          <w:color w:val="auto"/>
          <w:sz w:val="32"/>
          <w:szCs w:val="32"/>
          <w:highlight w:val="none"/>
          <w:lang w:eastAsia="zh-CN"/>
        </w:rPr>
        <w:t>小</w:t>
      </w:r>
      <w:r>
        <w:rPr>
          <w:rFonts w:hint="eastAsia" w:ascii="仿宋_GB2312" w:hAnsi="仿宋_GB2312" w:eastAsia="仿宋_GB2312" w:cs="仿宋_GB2312"/>
          <w:color w:val="auto"/>
          <w:sz w:val="32"/>
          <w:szCs w:val="32"/>
          <w:highlight w:val="none"/>
        </w:rPr>
        <w:t>学在2022年度预算编制阶段，组织对白龙</w:t>
      </w:r>
      <w:r>
        <w:rPr>
          <w:rFonts w:hint="eastAsia" w:ascii="仿宋_GB2312" w:hAnsi="仿宋_GB2312" w:eastAsia="仿宋_GB2312" w:cs="仿宋_GB2312"/>
          <w:color w:val="auto"/>
          <w:sz w:val="32"/>
          <w:szCs w:val="32"/>
          <w:highlight w:val="none"/>
          <w:lang w:eastAsia="zh-CN"/>
        </w:rPr>
        <w:t>小</w:t>
      </w:r>
      <w:r>
        <w:rPr>
          <w:rFonts w:hint="eastAsia" w:ascii="仿宋_GB2312" w:hAnsi="仿宋_GB2312" w:eastAsia="仿宋_GB2312" w:cs="仿宋_GB2312"/>
          <w:color w:val="auto"/>
          <w:sz w:val="32"/>
          <w:szCs w:val="32"/>
          <w:highlight w:val="none"/>
        </w:rPr>
        <w:t>学学生营养餐等</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个项目开展了预算绩效目标编制，预算执行过程中，对学生营养餐等</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个项目开展绩效监控，开展了绩效自评。同时，白龙</w:t>
      </w:r>
      <w:r>
        <w:rPr>
          <w:rFonts w:hint="eastAsia" w:ascii="仿宋_GB2312" w:hAnsi="仿宋_GB2312" w:eastAsia="仿宋_GB2312" w:cs="仿宋_GB2312"/>
          <w:color w:val="auto"/>
          <w:sz w:val="32"/>
          <w:szCs w:val="32"/>
          <w:highlight w:val="none"/>
          <w:lang w:eastAsia="zh-CN"/>
        </w:rPr>
        <w:t>小</w:t>
      </w:r>
      <w:r>
        <w:rPr>
          <w:rFonts w:hint="eastAsia" w:ascii="仿宋_GB2312" w:hAnsi="仿宋_GB2312" w:eastAsia="仿宋_GB2312" w:cs="仿宋_GB2312"/>
          <w:color w:val="auto"/>
          <w:sz w:val="32"/>
          <w:szCs w:val="32"/>
          <w:highlight w:val="none"/>
        </w:rPr>
        <w:t>学对2022年部门整体开展绩效自评，《2022年白龙</w:t>
      </w:r>
      <w:r>
        <w:rPr>
          <w:rFonts w:hint="eastAsia" w:ascii="仿宋_GB2312" w:hAnsi="仿宋_GB2312" w:eastAsia="仿宋_GB2312" w:cs="仿宋_GB2312"/>
          <w:color w:val="auto"/>
          <w:sz w:val="32"/>
          <w:szCs w:val="32"/>
          <w:highlight w:val="none"/>
          <w:lang w:eastAsia="zh-CN"/>
        </w:rPr>
        <w:t>小</w:t>
      </w:r>
      <w:r>
        <w:rPr>
          <w:rFonts w:hint="eastAsia" w:ascii="仿宋_GB2312" w:hAnsi="仿宋_GB2312" w:eastAsia="仿宋_GB2312" w:cs="仿宋_GB2312"/>
          <w:color w:val="auto"/>
          <w:sz w:val="32"/>
          <w:szCs w:val="32"/>
          <w:highlight w:val="none"/>
        </w:rPr>
        <w:t>学部门整体绩效评价报告》及《2022年白龙</w:t>
      </w:r>
      <w:r>
        <w:rPr>
          <w:rFonts w:hint="eastAsia" w:ascii="仿宋_GB2312" w:hAnsi="仿宋_GB2312" w:eastAsia="仿宋_GB2312" w:cs="仿宋_GB2312"/>
          <w:color w:val="auto"/>
          <w:sz w:val="32"/>
          <w:szCs w:val="32"/>
          <w:highlight w:val="none"/>
          <w:lang w:eastAsia="zh-CN"/>
        </w:rPr>
        <w:t>小</w:t>
      </w:r>
      <w:r>
        <w:rPr>
          <w:rFonts w:hint="eastAsia" w:ascii="仿宋_GB2312" w:hAnsi="仿宋_GB2312" w:eastAsia="仿宋_GB2312" w:cs="仿宋_GB2312"/>
          <w:color w:val="auto"/>
          <w:sz w:val="32"/>
          <w:szCs w:val="32"/>
          <w:highlight w:val="none"/>
        </w:rPr>
        <w:t>学预算项目支出绩效自评表》见附件（第四部分）。</w:t>
      </w:r>
    </w:p>
    <w:p>
      <w:pPr>
        <w:widowControl/>
        <w:jc w:val="left"/>
        <w:rPr>
          <w:rFonts w:ascii="仿宋_GB2312" w:eastAsia="仿宋_GB2312"/>
          <w:b/>
          <w:bCs/>
          <w:color w:val="auto"/>
          <w:sz w:val="28"/>
          <w:szCs w:val="28"/>
          <w:highlight w:val="none"/>
        </w:rPr>
      </w:pPr>
    </w:p>
    <w:p>
      <w:pPr>
        <w:widowControl/>
        <w:jc w:val="center"/>
        <w:rPr>
          <w:rStyle w:val="17"/>
          <w:rFonts w:ascii="黑体" w:hAnsi="黑体" w:eastAsia="黑体" w:cs="黑体"/>
          <w:b w:val="0"/>
          <w:color w:val="auto"/>
          <w:sz w:val="36"/>
          <w:szCs w:val="36"/>
          <w:highlight w:val="none"/>
        </w:rPr>
      </w:pPr>
      <w:bookmarkStart w:id="54" w:name="_Toc15396613"/>
      <w:bookmarkStart w:id="55" w:name="_Toc15377225"/>
      <w:r>
        <w:rPr>
          <w:rStyle w:val="17"/>
          <w:rFonts w:hint="eastAsia" w:ascii="黑体" w:hAnsi="黑体" w:eastAsia="黑体" w:cs="黑体"/>
          <w:b w:val="0"/>
          <w:color w:val="auto"/>
          <w:sz w:val="36"/>
          <w:szCs w:val="36"/>
          <w:highlight w:val="none"/>
        </w:rPr>
        <w:t>第三部分</w:t>
      </w:r>
      <w:r>
        <w:rPr>
          <w:rStyle w:val="17"/>
          <w:rFonts w:hint="eastAsia" w:ascii="黑体" w:hAnsi="黑体" w:cs="黑体"/>
          <w:color w:val="auto"/>
          <w:sz w:val="36"/>
          <w:szCs w:val="36"/>
          <w:highlight w:val="none"/>
        </w:rPr>
        <w:t xml:space="preserve"> 名</w:t>
      </w:r>
      <w:r>
        <w:rPr>
          <w:rStyle w:val="17"/>
          <w:rFonts w:hint="eastAsia" w:ascii="黑体" w:hAnsi="黑体" w:eastAsia="黑体" w:cs="黑体"/>
          <w:b w:val="0"/>
          <w:color w:val="auto"/>
          <w:sz w:val="36"/>
          <w:szCs w:val="36"/>
          <w:highlight w:val="none"/>
        </w:rPr>
        <w:t>词解释</w:t>
      </w:r>
      <w:bookmarkEnd w:id="54"/>
      <w:bookmarkEnd w:id="55"/>
    </w:p>
    <w:p>
      <w:pPr>
        <w:spacing w:line="600" w:lineRule="exact"/>
        <w:jc w:val="left"/>
        <w:rPr>
          <w:rFonts w:ascii="宋体"/>
          <w:b/>
          <w:bCs/>
          <w:color w:val="auto"/>
          <w:sz w:val="28"/>
          <w:szCs w:val="28"/>
          <w:highlight w:val="none"/>
        </w:rPr>
      </w:pPr>
    </w:p>
    <w:p>
      <w:pPr>
        <w:pStyle w:val="27"/>
        <w:pageBreakBefore w:val="0"/>
        <w:numPr>
          <w:ilvl w:val="0"/>
          <w:numId w:val="0"/>
        </w:numPr>
        <w:kinsoku/>
        <w:wordWrap/>
        <w:overflowPunct/>
        <w:topLinePunct w:val="0"/>
        <w:bidi w:val="0"/>
        <w:spacing w:line="360" w:lineRule="auto"/>
        <w:ind w:firstLine="560" w:firstLineChars="200"/>
        <w:textAlignment w:val="auto"/>
        <w:rPr>
          <w:rFonts w:hint="eastAsia" w:hAnsi="仿宋" w:cs="仿宋"/>
          <w:color w:val="auto"/>
          <w:sz w:val="28"/>
          <w:szCs w:val="28"/>
          <w:highlight w:val="none"/>
          <w:lang w:val="en-US" w:eastAsia="zh-CN"/>
        </w:rPr>
      </w:pPr>
      <w:bookmarkStart w:id="56" w:name="_Toc15377226"/>
      <w:r>
        <w:rPr>
          <w:rFonts w:hint="eastAsia" w:hAnsi="仿宋" w:cs="仿宋"/>
          <w:color w:val="auto"/>
          <w:sz w:val="28"/>
          <w:szCs w:val="28"/>
          <w:highlight w:val="none"/>
          <w:lang w:val="en-US" w:eastAsia="zh-CN"/>
        </w:rPr>
        <w:t>1.</w:t>
      </w:r>
      <w:r>
        <w:rPr>
          <w:rFonts w:hint="eastAsia" w:ascii="仿宋" w:hAnsi="仿宋" w:eastAsia="仿宋" w:cs="仿宋"/>
          <w:color w:val="auto"/>
          <w:sz w:val="28"/>
          <w:szCs w:val="28"/>
          <w:highlight w:val="none"/>
        </w:rPr>
        <w:t>财政拨款收入：指单位从</w:t>
      </w:r>
      <w:r>
        <w:rPr>
          <w:rFonts w:hint="eastAsia" w:hAnsi="仿宋" w:cs="仿宋"/>
          <w:color w:val="auto"/>
          <w:sz w:val="28"/>
          <w:szCs w:val="28"/>
          <w:highlight w:val="none"/>
          <w:lang w:val="en-US" w:eastAsia="zh-CN"/>
        </w:rPr>
        <w:t>县</w:t>
      </w:r>
      <w:r>
        <w:rPr>
          <w:rFonts w:hint="eastAsia" w:ascii="仿宋" w:hAnsi="仿宋" w:eastAsia="仿宋" w:cs="仿宋"/>
          <w:color w:val="auto"/>
          <w:sz w:val="28"/>
          <w:szCs w:val="28"/>
          <w:highlight w:val="none"/>
        </w:rPr>
        <w:t>级财政部门取得的财政预算资</w:t>
      </w:r>
      <w:r>
        <w:rPr>
          <w:rFonts w:hint="eastAsia" w:hAnsi="仿宋" w:cs="仿宋"/>
          <w:color w:val="auto"/>
          <w:sz w:val="28"/>
          <w:szCs w:val="28"/>
          <w:highlight w:val="none"/>
          <w:lang w:val="en-US" w:eastAsia="zh-CN"/>
        </w:rPr>
        <w:t>金。</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.基本支出：指为保障机构正常运转、完成日常工作任务而发生的人员支出和公用支出。</w:t>
      </w:r>
    </w:p>
    <w:p>
      <w:pPr>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.项目支出：指在基本支出之外为完成特定行政任务和事业发展目标所发生的支出。 </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Style w:val="15"/>
          <w:rFonts w:hint="eastAsia" w:ascii="仿宋" w:hAnsi="仿宋" w:eastAsia="仿宋" w:cs="仿宋"/>
          <w:bCs/>
          <w:color w:val="auto"/>
          <w:sz w:val="28"/>
          <w:szCs w:val="28"/>
          <w:highlight w:val="none"/>
        </w:rPr>
        <w:t>教育（类）普通教育（款）学前教育（项）</w:t>
      </w:r>
      <w:r>
        <w:rPr>
          <w:rFonts w:hint="eastAsia" w:ascii="仿宋" w:hAnsi="仿宋" w:eastAsia="仿宋" w:cs="仿宋"/>
          <w:color w:val="auto"/>
          <w:sz w:val="28"/>
          <w:szCs w:val="28"/>
          <w:highlight w:val="none"/>
        </w:rPr>
        <w:t>：反映本单位</w:t>
      </w:r>
      <w:r>
        <w:rPr>
          <w:rFonts w:hint="eastAsia" w:ascii="仿宋" w:hAnsi="仿宋" w:eastAsia="仿宋" w:cs="仿宋"/>
          <w:color w:val="auto"/>
          <w:sz w:val="28"/>
          <w:szCs w:val="28"/>
          <w:highlight w:val="none"/>
          <w:lang w:val="en-US" w:eastAsia="zh-CN"/>
        </w:rPr>
        <w:t>学前</w:t>
      </w:r>
      <w:r>
        <w:rPr>
          <w:rFonts w:hint="eastAsia" w:ascii="仿宋" w:hAnsi="仿宋" w:eastAsia="仿宋" w:cs="仿宋"/>
          <w:color w:val="auto"/>
          <w:sz w:val="28"/>
          <w:szCs w:val="28"/>
          <w:highlight w:val="none"/>
        </w:rPr>
        <w:t>教育支出。</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Style w:val="15"/>
          <w:rFonts w:hint="eastAsia" w:ascii="仿宋" w:hAnsi="仿宋" w:eastAsia="仿宋" w:cs="仿宋"/>
          <w:bCs/>
          <w:color w:val="auto"/>
          <w:sz w:val="28"/>
          <w:szCs w:val="28"/>
          <w:highlight w:val="none"/>
        </w:rPr>
        <w:t>教育（类）普通教育（款）</w:t>
      </w:r>
      <w:r>
        <w:rPr>
          <w:rStyle w:val="15"/>
          <w:rFonts w:hint="eastAsia" w:ascii="仿宋" w:hAnsi="仿宋" w:eastAsia="仿宋" w:cs="仿宋"/>
          <w:bCs/>
          <w:color w:val="auto"/>
          <w:sz w:val="28"/>
          <w:szCs w:val="28"/>
          <w:highlight w:val="none"/>
          <w:lang w:val="en-US" w:eastAsia="zh-CN"/>
        </w:rPr>
        <w:t>小学</w:t>
      </w:r>
      <w:r>
        <w:rPr>
          <w:rStyle w:val="15"/>
          <w:rFonts w:hint="eastAsia" w:ascii="仿宋" w:hAnsi="仿宋" w:eastAsia="仿宋" w:cs="仿宋"/>
          <w:bCs/>
          <w:color w:val="auto"/>
          <w:sz w:val="28"/>
          <w:szCs w:val="28"/>
          <w:highlight w:val="none"/>
        </w:rPr>
        <w:t>教育（项）</w:t>
      </w:r>
      <w:r>
        <w:rPr>
          <w:rFonts w:hint="eastAsia" w:ascii="仿宋" w:hAnsi="仿宋" w:eastAsia="仿宋" w:cs="仿宋"/>
          <w:color w:val="auto"/>
          <w:sz w:val="28"/>
          <w:szCs w:val="28"/>
          <w:highlight w:val="none"/>
        </w:rPr>
        <w:t>：反映本单位</w:t>
      </w:r>
      <w:r>
        <w:rPr>
          <w:rFonts w:hint="eastAsia" w:ascii="仿宋" w:hAnsi="仿宋" w:eastAsia="仿宋" w:cs="仿宋"/>
          <w:color w:val="auto"/>
          <w:sz w:val="28"/>
          <w:szCs w:val="28"/>
          <w:highlight w:val="none"/>
          <w:lang w:val="en-US" w:eastAsia="zh-CN"/>
        </w:rPr>
        <w:t>小学</w:t>
      </w:r>
      <w:r>
        <w:rPr>
          <w:rFonts w:hint="eastAsia" w:ascii="仿宋" w:hAnsi="仿宋" w:eastAsia="仿宋" w:cs="仿宋"/>
          <w:color w:val="auto"/>
          <w:sz w:val="28"/>
          <w:szCs w:val="28"/>
          <w:highlight w:val="none"/>
        </w:rPr>
        <w:t>教育支出。</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b/>
          <w:bCs/>
          <w:color w:val="auto"/>
          <w:sz w:val="28"/>
          <w:szCs w:val="28"/>
          <w:highlight w:val="none"/>
        </w:rPr>
        <w:t>住房保障</w:t>
      </w:r>
      <w:r>
        <w:rPr>
          <w:rStyle w:val="15"/>
          <w:rFonts w:hint="eastAsia" w:ascii="仿宋" w:hAnsi="仿宋" w:eastAsia="仿宋" w:cs="仿宋"/>
          <w:bCs/>
          <w:color w:val="auto"/>
          <w:sz w:val="28"/>
          <w:szCs w:val="28"/>
          <w:highlight w:val="none"/>
        </w:rPr>
        <w:t>（类）住房改革（款）住房公积金（项）</w:t>
      </w:r>
      <w:r>
        <w:rPr>
          <w:rFonts w:hint="eastAsia" w:ascii="仿宋" w:hAnsi="仿宋" w:eastAsia="仿宋" w:cs="仿宋"/>
          <w:color w:val="auto"/>
          <w:sz w:val="28"/>
          <w:szCs w:val="28"/>
          <w:highlight w:val="none"/>
        </w:rPr>
        <w:t>：住房公积金反映本单位按人力资源和社会保障部、财政部规定的基本工资和津贴补贴以及规定比例为职工缴纳的住房公积金。</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Style w:val="15"/>
          <w:rFonts w:hint="eastAsia" w:ascii="仿宋" w:hAnsi="仿宋" w:eastAsia="仿宋" w:cs="仿宋"/>
          <w:bCs/>
          <w:color w:val="auto"/>
          <w:sz w:val="28"/>
          <w:szCs w:val="28"/>
          <w:highlight w:val="none"/>
        </w:rPr>
        <w:t>社会保障和就业（类）行政事业单位养老（款）机关事业单位基本养老保险缴费（项）</w:t>
      </w:r>
      <w:r>
        <w:rPr>
          <w:rFonts w:hint="eastAsia" w:ascii="仿宋" w:hAnsi="仿宋" w:eastAsia="仿宋" w:cs="仿宋"/>
          <w:color w:val="auto"/>
          <w:sz w:val="28"/>
          <w:szCs w:val="28"/>
          <w:highlight w:val="none"/>
        </w:rPr>
        <w:t>：机关事业单位基本养老保险缴费支出指机关事业单位实施养老保险制度由单位缴纳的基本养老保险费的支出。</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b/>
          <w:bCs/>
          <w:color w:val="auto"/>
          <w:sz w:val="28"/>
          <w:szCs w:val="28"/>
          <w:highlight w:val="none"/>
        </w:rPr>
        <w:t>卫生健康</w:t>
      </w:r>
      <w:r>
        <w:rPr>
          <w:rStyle w:val="15"/>
          <w:rFonts w:hint="eastAsia" w:ascii="仿宋" w:hAnsi="仿宋" w:eastAsia="仿宋" w:cs="仿宋"/>
          <w:bCs/>
          <w:color w:val="auto"/>
          <w:sz w:val="28"/>
          <w:szCs w:val="28"/>
          <w:highlight w:val="none"/>
        </w:rPr>
        <w:t>（类）行政事业单位医疗（款） 事业单位医疗（项）</w:t>
      </w:r>
      <w:r>
        <w:rPr>
          <w:rFonts w:hint="eastAsia" w:ascii="仿宋" w:hAnsi="仿宋" w:eastAsia="仿宋" w:cs="仿宋"/>
          <w:color w:val="auto"/>
          <w:sz w:val="28"/>
          <w:szCs w:val="28"/>
          <w:highlight w:val="none"/>
        </w:rPr>
        <w:t>：行政单位医疗指财政部门集中安排的行政单位基本医疗保险缴费经费，未参加医疗保险的行政单位的公费医疗经费，按国家规定享受离休人员、红军老战士待遇人员的医疗经费。</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hAnsi="仿宋" w:cs="仿宋"/>
          <w:color w:val="auto"/>
          <w:sz w:val="28"/>
          <w:szCs w:val="28"/>
          <w:highlight w:val="none"/>
          <w:lang w:val="en-US" w:eastAsia="zh-CN"/>
        </w:rPr>
        <w:t>9</w:t>
      </w:r>
      <w:r>
        <w:rPr>
          <w:rFonts w:hint="eastAsia" w:ascii="仿宋" w:hAnsi="仿宋" w:eastAsia="仿宋" w:cs="仿宋"/>
          <w:color w:val="auto"/>
          <w:sz w:val="28"/>
          <w:szCs w:val="28"/>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pageBreakBefore w:val="0"/>
        <w:kinsoku/>
        <w:wordWrap/>
        <w:overflowPunct/>
        <w:topLinePunct w:val="0"/>
        <w:bidi w:val="0"/>
        <w:spacing w:line="360" w:lineRule="auto"/>
        <w:ind w:firstLine="560" w:firstLineChars="200"/>
        <w:textAlignment w:val="auto"/>
        <w:rPr>
          <w:rFonts w:hint="eastAsia" w:ascii="仿宋" w:hAnsi="仿宋" w:eastAsia="仿宋" w:cs="仿宋"/>
          <w:color w:val="auto"/>
          <w:sz w:val="28"/>
          <w:szCs w:val="28"/>
          <w:highlight w:val="none"/>
        </w:rPr>
      </w:pPr>
    </w:p>
    <w:p>
      <w:pPr>
        <w:pStyle w:val="27"/>
        <w:spacing w:line="560" w:lineRule="exact"/>
        <w:ind w:firstLine="560" w:firstLineChars="200"/>
        <w:rPr>
          <w:rFonts w:ascii="仿宋_GB2312" w:eastAsia="仿宋_GB2312"/>
          <w:color w:val="auto"/>
          <w:sz w:val="28"/>
          <w:szCs w:val="28"/>
          <w:highlight w:val="none"/>
        </w:rPr>
      </w:pPr>
    </w:p>
    <w:p>
      <w:pPr>
        <w:spacing w:line="600" w:lineRule="exact"/>
        <w:jc w:val="center"/>
        <w:outlineLvl w:val="0"/>
        <w:rPr>
          <w:rFonts w:ascii="黑体" w:hAnsi="黑体" w:eastAsia="黑体"/>
          <w:color w:val="auto"/>
          <w:sz w:val="44"/>
          <w:szCs w:val="44"/>
          <w:highlight w:val="none"/>
        </w:rPr>
      </w:pPr>
      <w:bookmarkStart w:id="57" w:name="_Toc15396614"/>
    </w:p>
    <w:p>
      <w:pPr>
        <w:spacing w:line="600" w:lineRule="exact"/>
        <w:jc w:val="center"/>
        <w:outlineLvl w:val="0"/>
        <w:rPr>
          <w:rFonts w:ascii="黑体" w:hAnsi="黑体" w:eastAsia="黑体"/>
          <w:color w:val="auto"/>
          <w:sz w:val="44"/>
          <w:szCs w:val="44"/>
          <w:highlight w:val="none"/>
        </w:rPr>
      </w:pPr>
    </w:p>
    <w:p>
      <w:pPr>
        <w:spacing w:line="600" w:lineRule="exact"/>
        <w:jc w:val="center"/>
        <w:outlineLvl w:val="0"/>
        <w:rPr>
          <w:rStyle w:val="17"/>
          <w:rFonts w:ascii="黑体" w:hAnsi="黑体" w:eastAsia="黑体"/>
          <w:b w:val="0"/>
          <w:color w:val="auto"/>
          <w:highlight w:val="none"/>
        </w:rPr>
      </w:pPr>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四部分</w:t>
      </w:r>
      <w:r>
        <w:rPr>
          <w:rStyle w:val="17"/>
          <w:rFonts w:ascii="黑体" w:hAnsi="黑体" w:eastAsia="黑体"/>
          <w:b w:val="0"/>
          <w:color w:val="auto"/>
          <w:highlight w:val="none"/>
        </w:rPr>
        <w:t xml:space="preserve"> </w:t>
      </w:r>
      <w:r>
        <w:rPr>
          <w:rStyle w:val="17"/>
          <w:rFonts w:hint="eastAsia" w:ascii="黑体" w:hAnsi="黑体" w:eastAsia="黑体"/>
          <w:b w:val="0"/>
          <w:color w:val="auto"/>
          <w:highlight w:val="none"/>
        </w:rPr>
        <w:t>附件</w:t>
      </w:r>
      <w:bookmarkEnd w:id="57"/>
    </w:p>
    <w:p>
      <w:pPr>
        <w:spacing w:line="580" w:lineRule="exact"/>
        <w:rPr>
          <w:rFonts w:asciiTheme="minorEastAsia" w:hAnsiTheme="minorEastAsia"/>
          <w:color w:val="auto"/>
          <w:sz w:val="32"/>
          <w:szCs w:val="32"/>
          <w:highlight w:val="none"/>
          <w:lang w:val="zh-CN" w:bidi="zh-CN"/>
        </w:rPr>
      </w:pPr>
      <w:r>
        <w:rPr>
          <w:rFonts w:hint="eastAsia" w:asciiTheme="minorEastAsia" w:hAnsiTheme="minorEastAsia"/>
          <w:color w:val="auto"/>
          <w:sz w:val="32"/>
          <w:szCs w:val="32"/>
          <w:highlight w:val="none"/>
          <w:lang w:val="zh-CN" w:bidi="zh-CN"/>
        </w:rPr>
        <w:t>附件1：</w:t>
      </w:r>
    </w:p>
    <w:p>
      <w:pPr>
        <w:spacing w:line="560" w:lineRule="exact"/>
        <w:contextualSpacing/>
        <w:rPr>
          <w:rFonts w:hint="eastAsia" w:asciiTheme="minorEastAsia" w:hAnsiTheme="minorEastAsia"/>
          <w:color w:val="auto"/>
          <w:sz w:val="32"/>
          <w:szCs w:val="32"/>
          <w:highlight w:val="none"/>
          <w:lang w:val="zh-CN" w:bidi="zh-CN"/>
        </w:rPr>
      </w:pPr>
      <w:bookmarkStart w:id="58" w:name="bookmark13"/>
      <w:bookmarkStart w:id="59" w:name="bookmark4"/>
    </w:p>
    <w:p>
      <w:pPr>
        <w:spacing w:line="560" w:lineRule="exact"/>
        <w:contextualSpacing/>
        <w:jc w:val="center"/>
        <w:rPr>
          <w:rFonts w:hint="eastAsia" w:ascii="宋体" w:hAnsi="宋体" w:eastAsia="宋体"/>
          <w:b/>
          <w:color w:val="auto"/>
          <w:sz w:val="44"/>
          <w:szCs w:val="44"/>
          <w:highlight w:val="none"/>
          <w:shd w:val="clear" w:color="auto" w:fill="FFFFFF"/>
          <w:lang w:eastAsia="zh-CN"/>
        </w:rPr>
      </w:pPr>
      <w:r>
        <w:rPr>
          <w:rFonts w:hint="eastAsia" w:ascii="宋体" w:hAnsi="宋体" w:eastAsia="宋体"/>
          <w:b/>
          <w:color w:val="auto"/>
          <w:sz w:val="44"/>
          <w:szCs w:val="44"/>
          <w:highlight w:val="none"/>
          <w:shd w:val="clear" w:color="auto" w:fill="FFFFFF"/>
        </w:rPr>
        <w:t>剑阁县</w:t>
      </w:r>
      <w:r>
        <w:rPr>
          <w:rFonts w:hint="eastAsia" w:ascii="宋体" w:hAnsi="宋体" w:eastAsia="宋体"/>
          <w:b/>
          <w:color w:val="auto"/>
          <w:sz w:val="44"/>
          <w:szCs w:val="44"/>
          <w:highlight w:val="none"/>
          <w:shd w:val="clear" w:color="auto" w:fill="FFFFFF"/>
          <w:lang w:eastAsia="zh-CN"/>
        </w:rPr>
        <w:t>白龙镇小学校</w:t>
      </w:r>
    </w:p>
    <w:p>
      <w:pPr>
        <w:widowControl/>
        <w:spacing w:line="560" w:lineRule="exact"/>
        <w:contextualSpacing/>
        <w:jc w:val="center"/>
        <w:rPr>
          <w:rFonts w:ascii="宋体" w:hAnsi="宋体" w:eastAsia="宋体"/>
          <w:b/>
          <w:color w:val="auto"/>
          <w:sz w:val="44"/>
          <w:szCs w:val="44"/>
          <w:highlight w:val="none"/>
          <w:shd w:val="clear" w:color="auto" w:fill="FFFFFF"/>
        </w:rPr>
      </w:pPr>
      <w:r>
        <w:rPr>
          <w:rFonts w:hint="eastAsia" w:ascii="宋体" w:hAnsi="宋体" w:eastAsia="宋体"/>
          <w:b/>
          <w:color w:val="auto"/>
          <w:sz w:val="44"/>
          <w:szCs w:val="44"/>
          <w:highlight w:val="none"/>
          <w:shd w:val="clear" w:color="auto" w:fill="FFFFFF"/>
        </w:rPr>
        <w:t>2022年部门整体支出绩效评价报告</w:t>
      </w:r>
    </w:p>
    <w:p>
      <w:pPr>
        <w:jc w:val="left"/>
        <w:rPr>
          <w:rFonts w:hint="eastAsia" w:ascii="仿宋" w:hAnsi="仿宋" w:eastAsia="仿宋" w:cs="仿宋"/>
          <w:b/>
          <w:color w:val="auto"/>
          <w:sz w:val="48"/>
          <w:szCs w:val="28"/>
          <w:highlight w:val="none"/>
          <w:lang w:val="zh-CN" w:bidi="zh-CN"/>
        </w:rPr>
      </w:pP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为深入贯彻落实省委、省政府关于全面实施预算绩效管理的决策部署，根据《四川省省级财政预算管理办法》(省政府令第356号)、《中共四川省委办公厅四川省人民政府办公厅关于深入实施预算绩效管理的通知》(川委厅〔2022〕5号)相关工作要求。按照“谁支出、谁自评”的原则和绩效目标自评全覆盖的要求，县财政局组织各预算单位开展2022年度财政支出绩效自评工作，着力提升绩效自评质量，进一步提升绩效工作水平结合实际，白龙小学成立了绩效评价工作小组，评价小组采取座谈等方式听取情况，检查基本支出，项目支出有关账目，收集整理支出相关资料，进行分析，总结。现将我单位整体支出绩效自评结果报告如下：</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一、部门</w:t>
      </w:r>
      <w:bookmarkEnd w:id="58"/>
      <w:r>
        <w:rPr>
          <w:rFonts w:hint="eastAsia" w:ascii="宋体" w:hAnsi="宋体" w:eastAsia="宋体" w:cs="宋体"/>
          <w:b/>
          <w:bCs/>
          <w:color w:val="auto"/>
          <w:sz w:val="32"/>
          <w:szCs w:val="32"/>
          <w:highlight w:val="none"/>
          <w:lang w:val="zh-CN" w:bidi="zh-CN"/>
        </w:rPr>
        <w:t>基本情况</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（一）机构组成。</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en-US" w:bidi="zh-CN"/>
        </w:rPr>
        <w:t>白龙</w:t>
      </w:r>
      <w:r>
        <w:rPr>
          <w:rFonts w:hint="eastAsia" w:ascii="宋体" w:hAnsi="宋体" w:eastAsia="宋体" w:cs="宋体"/>
          <w:color w:val="auto"/>
          <w:sz w:val="28"/>
          <w:szCs w:val="28"/>
          <w:highlight w:val="none"/>
          <w:lang w:val="zh-CN" w:bidi="zh-CN"/>
        </w:rPr>
        <w:t>小学纳入预算编报范围的机构个数1个，下属二级预算单位0个，其中行政单位0个，参照公务员法管理的事业单位0个，全额事业单位0个，差额事业单位0个。单位内设机构</w:t>
      </w:r>
      <w:r>
        <w:rPr>
          <w:rFonts w:hint="eastAsia" w:ascii="宋体" w:hAnsi="宋体" w:eastAsia="宋体" w:cs="宋体"/>
          <w:color w:val="auto"/>
          <w:sz w:val="28"/>
          <w:szCs w:val="28"/>
          <w:highlight w:val="none"/>
          <w:lang w:val="en-US" w:bidi="zh-CN"/>
        </w:rPr>
        <w:t>4</w:t>
      </w:r>
      <w:r>
        <w:rPr>
          <w:rFonts w:hint="eastAsia" w:ascii="宋体" w:hAnsi="宋体" w:eastAsia="宋体" w:cs="宋体"/>
          <w:color w:val="auto"/>
          <w:sz w:val="28"/>
          <w:szCs w:val="28"/>
          <w:highlight w:val="none"/>
          <w:lang w:val="zh-CN" w:bidi="zh-CN"/>
        </w:rPr>
        <w:t>个，分别为：党建办、教务处、德育处、总务处。</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（二）机构职能。</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1.配合教育局制定符合党的教育方针和国家教育法律法规的农村完全</w:t>
      </w:r>
      <w:r>
        <w:rPr>
          <w:rFonts w:hint="eastAsia" w:ascii="宋体" w:hAnsi="宋体" w:eastAsia="宋体" w:cs="宋体"/>
          <w:color w:val="auto"/>
          <w:sz w:val="28"/>
          <w:szCs w:val="28"/>
          <w:highlight w:val="none"/>
          <w:lang w:val="en-US" w:bidi="zh-CN"/>
        </w:rPr>
        <w:t>小</w:t>
      </w:r>
      <w:r>
        <w:rPr>
          <w:rFonts w:hint="eastAsia" w:ascii="宋体" w:hAnsi="宋体" w:eastAsia="宋体" w:cs="宋体"/>
          <w:color w:val="auto"/>
          <w:sz w:val="28"/>
          <w:szCs w:val="28"/>
          <w:highlight w:val="none"/>
          <w:lang w:val="zh-CN" w:bidi="zh-CN"/>
        </w:rPr>
        <w:t>学教育发展规划并抓好组织实施和落实工作。</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2.贯彻、执行教育法律法规和政策规定，坚持依法治教、依法治学。</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3.指导、管理、检查、评价学校的教育教学工作，提高办学质量和办学效益。</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4.负责教育教学管理及教研教改工作，全力推进素质教育实施。</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5.协助上级教育主管部门做好学校教师考核工作，负责教师管理、继续教育、考核考评等工作。</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6.负责财务管理，筹措资金，改善办学条件等工作。</w:t>
      </w:r>
    </w:p>
    <w:p>
      <w:pPr>
        <w:keepNext w:val="0"/>
        <w:keepLines w:val="0"/>
        <w:pageBreakBefore w:val="0"/>
        <w:tabs>
          <w:tab w:val="center" w:pos="4819"/>
        </w:tabs>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（三）人员概况。</w:t>
      </w:r>
      <w:r>
        <w:rPr>
          <w:rFonts w:hint="eastAsia" w:ascii="宋体" w:hAnsi="宋体" w:eastAsia="宋体" w:cs="宋体"/>
          <w:b/>
          <w:bCs/>
          <w:color w:val="auto"/>
          <w:sz w:val="32"/>
          <w:szCs w:val="32"/>
          <w:highlight w:val="none"/>
          <w:lang w:val="zh-CN" w:bidi="zh-CN"/>
        </w:rPr>
        <w:tab/>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bCs/>
          <w:color w:val="auto"/>
          <w:sz w:val="28"/>
          <w:szCs w:val="28"/>
          <w:highlight w:val="none"/>
        </w:rPr>
        <w:t>我校机构编制管理部门核定编制人数为</w:t>
      </w:r>
      <w:r>
        <w:rPr>
          <w:rFonts w:hint="eastAsia" w:ascii="宋体" w:hAnsi="宋体" w:eastAsia="宋体" w:cs="宋体"/>
          <w:bCs/>
          <w:color w:val="auto"/>
          <w:sz w:val="28"/>
          <w:szCs w:val="28"/>
          <w:highlight w:val="none"/>
          <w:lang w:val="en-US" w:eastAsia="zh-CN"/>
        </w:rPr>
        <w:t>124</w:t>
      </w:r>
      <w:r>
        <w:rPr>
          <w:rFonts w:hint="eastAsia" w:ascii="宋体" w:hAnsi="宋体" w:eastAsia="宋体" w:cs="宋体"/>
          <w:bCs/>
          <w:color w:val="auto"/>
          <w:sz w:val="28"/>
          <w:szCs w:val="28"/>
          <w:highlight w:val="none"/>
        </w:rPr>
        <w:t>人，其中：管理岗位</w:t>
      </w: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人，专业技术编</w:t>
      </w:r>
      <w:r>
        <w:rPr>
          <w:rFonts w:hint="eastAsia" w:ascii="宋体" w:hAnsi="宋体" w:eastAsia="宋体" w:cs="宋体"/>
          <w:bCs/>
          <w:color w:val="auto"/>
          <w:sz w:val="28"/>
          <w:szCs w:val="28"/>
          <w:highlight w:val="none"/>
          <w:lang w:val="en-US" w:eastAsia="zh-CN"/>
        </w:rPr>
        <w:t>118</w:t>
      </w:r>
      <w:r>
        <w:rPr>
          <w:rFonts w:hint="eastAsia" w:ascii="宋体" w:hAnsi="宋体" w:eastAsia="宋体" w:cs="宋体"/>
          <w:bCs/>
          <w:color w:val="auto"/>
          <w:sz w:val="28"/>
          <w:szCs w:val="28"/>
          <w:highlight w:val="none"/>
        </w:rPr>
        <w:t>人，工人编制人数为</w:t>
      </w: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人。现有教职工共</w:t>
      </w:r>
      <w:r>
        <w:rPr>
          <w:rFonts w:hint="eastAsia" w:ascii="宋体" w:hAnsi="宋体" w:eastAsia="宋体" w:cs="宋体"/>
          <w:bCs/>
          <w:color w:val="auto"/>
          <w:sz w:val="28"/>
          <w:szCs w:val="28"/>
          <w:highlight w:val="none"/>
          <w:lang w:val="en-US" w:eastAsia="zh-CN"/>
        </w:rPr>
        <w:t>122</w:t>
      </w:r>
      <w:r>
        <w:rPr>
          <w:rFonts w:hint="eastAsia" w:ascii="宋体" w:hAnsi="宋体" w:eastAsia="宋体" w:cs="宋体"/>
          <w:bCs/>
          <w:color w:val="auto"/>
          <w:sz w:val="28"/>
          <w:szCs w:val="28"/>
          <w:highlight w:val="none"/>
        </w:rPr>
        <w:t>人，其中工勤</w:t>
      </w:r>
      <w:r>
        <w:rPr>
          <w:rFonts w:hint="eastAsia" w:ascii="宋体" w:hAnsi="宋体" w:eastAsia="宋体" w:cs="宋体"/>
          <w:bCs/>
          <w:color w:val="auto"/>
          <w:sz w:val="28"/>
          <w:szCs w:val="28"/>
          <w:highlight w:val="none"/>
          <w:lang w:val="en-US" w:eastAsia="zh-CN"/>
        </w:rPr>
        <w:t>0</w:t>
      </w:r>
      <w:r>
        <w:rPr>
          <w:rFonts w:hint="eastAsia" w:ascii="宋体" w:hAnsi="宋体" w:eastAsia="宋体" w:cs="宋体"/>
          <w:bCs/>
          <w:color w:val="auto"/>
          <w:sz w:val="28"/>
          <w:szCs w:val="28"/>
          <w:highlight w:val="none"/>
        </w:rPr>
        <w:t>人</w:t>
      </w:r>
      <w:r>
        <w:rPr>
          <w:rFonts w:hint="eastAsia" w:ascii="宋体" w:hAnsi="宋体" w:cs="宋体"/>
          <w:bCs/>
          <w:color w:val="auto"/>
          <w:sz w:val="28"/>
          <w:szCs w:val="28"/>
          <w:highlight w:val="none"/>
          <w:lang w:eastAsia="zh-CN"/>
        </w:rPr>
        <w:t>，</w:t>
      </w:r>
      <w:r>
        <w:rPr>
          <w:rFonts w:hint="eastAsia" w:ascii="宋体" w:hAnsi="宋体" w:eastAsia="宋体" w:cs="宋体"/>
          <w:bCs/>
          <w:color w:val="auto"/>
          <w:sz w:val="28"/>
          <w:szCs w:val="28"/>
          <w:highlight w:val="none"/>
        </w:rPr>
        <w:t>遗属人员</w:t>
      </w:r>
      <w:r>
        <w:rPr>
          <w:rFonts w:hint="eastAsia" w:ascii="宋体" w:hAnsi="宋体" w:eastAsia="宋体" w:cs="宋体"/>
          <w:bCs/>
          <w:color w:val="auto"/>
          <w:sz w:val="28"/>
          <w:szCs w:val="28"/>
          <w:highlight w:val="none"/>
          <w:lang w:val="en-US" w:eastAsia="zh-CN"/>
        </w:rPr>
        <w:t>10</w:t>
      </w:r>
      <w:r>
        <w:rPr>
          <w:rFonts w:hint="eastAsia" w:ascii="宋体" w:hAnsi="宋体" w:eastAsia="宋体" w:cs="宋体"/>
          <w:bCs/>
          <w:color w:val="auto"/>
          <w:sz w:val="28"/>
          <w:szCs w:val="28"/>
          <w:highlight w:val="none"/>
        </w:rPr>
        <w:t>人。现有在校</w:t>
      </w:r>
      <w:r>
        <w:rPr>
          <w:rFonts w:hint="eastAsia" w:ascii="宋体" w:hAnsi="宋体" w:eastAsia="宋体" w:cs="宋体"/>
          <w:bCs/>
          <w:color w:val="auto"/>
          <w:sz w:val="28"/>
          <w:szCs w:val="28"/>
          <w:highlight w:val="none"/>
          <w:lang w:eastAsia="zh-CN"/>
        </w:rPr>
        <w:t>小学生</w:t>
      </w:r>
      <w:r>
        <w:rPr>
          <w:rFonts w:hint="eastAsia" w:ascii="宋体" w:hAnsi="宋体" w:eastAsia="宋体" w:cs="宋体"/>
          <w:bCs/>
          <w:color w:val="auto"/>
          <w:sz w:val="28"/>
          <w:szCs w:val="28"/>
          <w:highlight w:val="none"/>
        </w:rPr>
        <w:t>生共</w:t>
      </w:r>
      <w:r>
        <w:rPr>
          <w:rFonts w:hint="eastAsia" w:ascii="宋体" w:hAnsi="宋体" w:eastAsia="宋体" w:cs="宋体"/>
          <w:bCs/>
          <w:color w:val="auto"/>
          <w:sz w:val="28"/>
          <w:szCs w:val="28"/>
          <w:highlight w:val="none"/>
          <w:lang w:val="en-US" w:eastAsia="zh-CN"/>
        </w:rPr>
        <w:t>1889</w:t>
      </w:r>
      <w:r>
        <w:rPr>
          <w:rFonts w:hint="eastAsia" w:ascii="宋体" w:hAnsi="宋体" w:eastAsia="宋体" w:cs="宋体"/>
          <w:bCs/>
          <w:color w:val="auto"/>
          <w:sz w:val="28"/>
          <w:szCs w:val="28"/>
          <w:highlight w:val="none"/>
        </w:rPr>
        <w:t>人，</w:t>
      </w:r>
      <w:r>
        <w:rPr>
          <w:rFonts w:hint="eastAsia" w:ascii="宋体" w:hAnsi="宋体" w:eastAsia="宋体" w:cs="宋体"/>
          <w:color w:val="auto"/>
          <w:sz w:val="28"/>
          <w:szCs w:val="28"/>
          <w:highlight w:val="none"/>
          <w:lang w:val="zh-CN" w:bidi="zh-CN"/>
        </w:rPr>
        <w:t>退休人员</w:t>
      </w:r>
      <w:r>
        <w:rPr>
          <w:rFonts w:hint="eastAsia" w:ascii="宋体" w:hAnsi="宋体" w:eastAsia="宋体" w:cs="宋体"/>
          <w:color w:val="auto"/>
          <w:sz w:val="28"/>
          <w:szCs w:val="28"/>
          <w:highlight w:val="none"/>
          <w:lang w:val="en-US" w:bidi="zh-CN"/>
        </w:rPr>
        <w:t>75</w:t>
      </w:r>
      <w:r>
        <w:rPr>
          <w:rFonts w:hint="eastAsia" w:ascii="宋体" w:hAnsi="宋体" w:eastAsia="宋体" w:cs="宋体"/>
          <w:color w:val="auto"/>
          <w:sz w:val="28"/>
          <w:szCs w:val="28"/>
          <w:highlight w:val="none"/>
          <w:lang w:val="zh-CN" w:bidi="zh-CN"/>
        </w:rPr>
        <w:t>人。固定资产总额</w:t>
      </w:r>
      <w:r>
        <w:rPr>
          <w:rFonts w:hint="eastAsia" w:ascii="宋体" w:hAnsi="宋体" w:eastAsia="宋体" w:cs="宋体"/>
          <w:color w:val="auto"/>
          <w:sz w:val="28"/>
          <w:szCs w:val="28"/>
          <w:highlight w:val="none"/>
          <w:lang w:val="en-US" w:bidi="zh-CN"/>
        </w:rPr>
        <w:t>1157.01</w:t>
      </w:r>
      <w:r>
        <w:rPr>
          <w:rFonts w:hint="eastAsia" w:ascii="宋体" w:hAnsi="宋体" w:eastAsia="宋体" w:cs="宋体"/>
          <w:color w:val="auto"/>
          <w:sz w:val="28"/>
          <w:szCs w:val="28"/>
          <w:highlight w:val="none"/>
          <w:lang w:val="zh-CN" w:bidi="zh-CN"/>
        </w:rPr>
        <w:t xml:space="preserve">万元。 </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bookmarkStart w:id="60" w:name="bookmark14"/>
      <w:r>
        <w:rPr>
          <w:rFonts w:hint="eastAsia" w:ascii="宋体" w:hAnsi="宋体" w:eastAsia="宋体" w:cs="宋体"/>
          <w:b/>
          <w:bCs/>
          <w:color w:val="auto"/>
          <w:sz w:val="32"/>
          <w:szCs w:val="32"/>
          <w:highlight w:val="none"/>
          <w:lang w:val="zh-CN" w:bidi="zh-CN"/>
        </w:rPr>
        <w:t>二、部门资金收支情况</w:t>
      </w:r>
      <w:bookmarkEnd w:id="60"/>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(一）部门财政资金收入情况。</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eastAsia="zh-CN"/>
        </w:rPr>
        <w:t>剑阁县</w:t>
      </w:r>
      <w:r>
        <w:rPr>
          <w:rFonts w:hint="eastAsia" w:ascii="宋体" w:hAnsi="宋体" w:eastAsia="宋体" w:cs="宋体"/>
          <w:color w:val="auto"/>
          <w:sz w:val="28"/>
          <w:szCs w:val="28"/>
          <w:highlight w:val="none"/>
          <w:lang w:val="en-US" w:eastAsia="zh-CN"/>
        </w:rPr>
        <w:t>白龙镇</w:t>
      </w:r>
      <w:r>
        <w:rPr>
          <w:rFonts w:hint="eastAsia" w:ascii="宋体" w:hAnsi="宋体" w:eastAsia="宋体" w:cs="宋体"/>
          <w:color w:val="auto"/>
          <w:sz w:val="28"/>
          <w:szCs w:val="28"/>
          <w:highlight w:val="none"/>
          <w:lang w:eastAsia="zh-CN"/>
        </w:rPr>
        <w:t>小学校</w:t>
      </w:r>
      <w:r>
        <w:rPr>
          <w:rFonts w:hint="eastAsia" w:ascii="宋体" w:hAnsi="宋体" w:eastAsia="宋体" w:cs="宋体"/>
          <w:color w:val="auto"/>
          <w:sz w:val="28"/>
          <w:szCs w:val="28"/>
          <w:highlight w:val="none"/>
        </w:rPr>
        <w:t>本年收入合计</w:t>
      </w:r>
      <w:r>
        <w:rPr>
          <w:rFonts w:hint="eastAsia" w:ascii="宋体" w:hAnsi="宋体" w:cs="宋体"/>
          <w:color w:val="auto"/>
          <w:sz w:val="28"/>
          <w:szCs w:val="28"/>
          <w:highlight w:val="none"/>
          <w:lang w:val="en-US" w:eastAsia="zh-CN"/>
        </w:rPr>
        <w:t>2025.84</w:t>
      </w:r>
      <w:r>
        <w:rPr>
          <w:rFonts w:hint="eastAsia" w:ascii="宋体" w:hAnsi="宋体" w:eastAsia="宋体" w:cs="宋体"/>
          <w:color w:val="auto"/>
          <w:sz w:val="28"/>
          <w:szCs w:val="28"/>
          <w:highlight w:val="none"/>
        </w:rPr>
        <w:t>万元，其中：财政拨款收入</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023.84</w:t>
      </w:r>
      <w:r>
        <w:rPr>
          <w:rFonts w:hint="eastAsia" w:ascii="宋体" w:hAnsi="宋体" w:eastAsia="宋体" w:cs="宋体"/>
          <w:color w:val="auto"/>
          <w:sz w:val="28"/>
          <w:szCs w:val="28"/>
          <w:highlight w:val="none"/>
        </w:rPr>
        <w:t>万元政府性基金：</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万元，事业收入0万元</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上年结转0万元。</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 xml:space="preserve"> (二）部门财政资金支出情况。</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highlight w:val="none"/>
          <w:lang w:val="en-US" w:eastAsia="zh-CN"/>
        </w:rPr>
      </w:pPr>
      <w:bookmarkStart w:id="61" w:name="bookmark15"/>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eastAsia="zh-CN"/>
        </w:rPr>
        <w:t>剑阁县</w:t>
      </w:r>
      <w:r>
        <w:rPr>
          <w:rFonts w:hint="eastAsia" w:ascii="宋体" w:hAnsi="宋体" w:eastAsia="宋体" w:cs="宋体"/>
          <w:color w:val="auto"/>
          <w:sz w:val="28"/>
          <w:szCs w:val="28"/>
          <w:highlight w:val="none"/>
          <w:lang w:val="en-US" w:eastAsia="zh-CN"/>
        </w:rPr>
        <w:t>白龙镇</w:t>
      </w:r>
      <w:r>
        <w:rPr>
          <w:rFonts w:hint="eastAsia" w:ascii="宋体" w:hAnsi="宋体" w:eastAsia="宋体" w:cs="宋体"/>
          <w:color w:val="auto"/>
          <w:sz w:val="28"/>
          <w:szCs w:val="28"/>
          <w:highlight w:val="none"/>
          <w:lang w:eastAsia="zh-CN"/>
        </w:rPr>
        <w:t>小学校</w:t>
      </w:r>
      <w:r>
        <w:rPr>
          <w:rFonts w:hint="eastAsia" w:ascii="宋体" w:hAnsi="宋体" w:eastAsia="宋体" w:cs="宋体"/>
          <w:color w:val="auto"/>
          <w:sz w:val="28"/>
          <w:szCs w:val="28"/>
          <w:highlight w:val="none"/>
        </w:rPr>
        <w:t>本年支出合计</w:t>
      </w:r>
      <w:r>
        <w:rPr>
          <w:rFonts w:hint="eastAsia" w:ascii="宋体" w:hAnsi="宋体" w:cs="宋体"/>
          <w:color w:val="auto"/>
          <w:sz w:val="28"/>
          <w:szCs w:val="28"/>
          <w:highlight w:val="none"/>
          <w:lang w:val="en-US" w:eastAsia="zh-CN"/>
        </w:rPr>
        <w:t>2025.84</w:t>
      </w:r>
      <w:r>
        <w:rPr>
          <w:rFonts w:hint="eastAsia" w:ascii="宋体" w:hAnsi="宋体" w:eastAsia="宋体" w:cs="宋体"/>
          <w:color w:val="auto"/>
          <w:sz w:val="28"/>
          <w:szCs w:val="28"/>
          <w:highlight w:val="none"/>
        </w:rPr>
        <w:t>万元，其中：基本支出</w:t>
      </w:r>
      <w:r>
        <w:rPr>
          <w:rFonts w:hint="eastAsia" w:ascii="宋体" w:hAnsi="宋体" w:cs="宋体"/>
          <w:color w:val="auto"/>
          <w:sz w:val="28"/>
          <w:szCs w:val="28"/>
          <w:highlight w:val="none"/>
          <w:lang w:val="en-US" w:eastAsia="zh-CN"/>
        </w:rPr>
        <w:t>2023.84</w:t>
      </w:r>
      <w:r>
        <w:rPr>
          <w:rFonts w:hint="eastAsia" w:ascii="宋体" w:hAnsi="宋体" w:eastAsia="宋体" w:cs="宋体"/>
          <w:color w:val="auto"/>
          <w:sz w:val="28"/>
          <w:szCs w:val="28"/>
          <w:highlight w:val="none"/>
        </w:rPr>
        <w:t>万元，占</w:t>
      </w:r>
      <w:r>
        <w:rPr>
          <w:rFonts w:hint="eastAsia" w:ascii="宋体" w:hAnsi="宋体" w:cs="宋体"/>
          <w:color w:val="auto"/>
          <w:sz w:val="28"/>
          <w:szCs w:val="28"/>
          <w:highlight w:val="none"/>
          <w:lang w:val="en-US" w:eastAsia="zh-CN"/>
        </w:rPr>
        <w:t>99.90</w:t>
      </w:r>
      <w:r>
        <w:rPr>
          <w:rFonts w:hint="eastAsia" w:ascii="宋体" w:hAnsi="宋体" w:eastAsia="宋体" w:cs="宋体"/>
          <w:color w:val="auto"/>
          <w:sz w:val="28"/>
          <w:szCs w:val="28"/>
          <w:highlight w:val="none"/>
        </w:rPr>
        <w:t>%；项目支出</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万元，占</w:t>
      </w:r>
      <w:r>
        <w:rPr>
          <w:rFonts w:hint="eastAsia" w:ascii="宋体" w:hAnsi="宋体" w:cs="宋体"/>
          <w:color w:val="auto"/>
          <w:sz w:val="28"/>
          <w:szCs w:val="28"/>
          <w:highlight w:val="none"/>
          <w:lang w:val="en-US" w:eastAsia="zh-CN"/>
        </w:rPr>
        <w:t>0.00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政府性基金支出2万元，占0.</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2022年</w:t>
      </w:r>
      <w:r>
        <w:rPr>
          <w:rFonts w:hint="eastAsia" w:ascii="宋体" w:hAnsi="宋体" w:eastAsia="宋体" w:cs="宋体"/>
          <w:color w:val="auto"/>
          <w:sz w:val="28"/>
          <w:szCs w:val="28"/>
          <w:highlight w:val="none"/>
          <w:shd w:val="clear" w:color="auto" w:fill="FFFFFF"/>
        </w:rPr>
        <w:t>支</w:t>
      </w:r>
      <w:r>
        <w:rPr>
          <w:rFonts w:hint="eastAsia" w:ascii="宋体" w:hAnsi="宋体" w:eastAsia="宋体" w:cs="宋体"/>
          <w:color w:val="auto"/>
          <w:sz w:val="28"/>
          <w:szCs w:val="28"/>
          <w:highlight w:val="none"/>
          <w:shd w:val="clear" w:color="auto" w:fill="FFFFFF"/>
          <w:lang w:eastAsia="zh-CN"/>
        </w:rPr>
        <w:t>出总计</w:t>
      </w:r>
      <w:r>
        <w:rPr>
          <w:rFonts w:hint="eastAsia" w:ascii="宋体" w:hAnsi="宋体" w:cs="宋体"/>
          <w:color w:val="auto"/>
          <w:sz w:val="28"/>
          <w:szCs w:val="28"/>
          <w:highlight w:val="none"/>
          <w:lang w:val="en-US" w:eastAsia="zh-CN"/>
        </w:rPr>
        <w:t>2025.84</w:t>
      </w:r>
      <w:r>
        <w:rPr>
          <w:rFonts w:hint="eastAsia" w:ascii="宋体" w:hAnsi="宋体" w:eastAsia="宋体" w:cs="宋体"/>
          <w:color w:val="auto"/>
          <w:sz w:val="28"/>
          <w:szCs w:val="28"/>
          <w:highlight w:val="none"/>
          <w:shd w:val="clear" w:color="auto" w:fill="FFFFFF"/>
        </w:rPr>
        <w:t>万元。与20</w:t>
      </w:r>
      <w:r>
        <w:rPr>
          <w:rFonts w:hint="eastAsia" w:ascii="宋体" w:hAnsi="宋体" w:eastAsia="宋体" w:cs="宋体"/>
          <w:color w:val="auto"/>
          <w:sz w:val="28"/>
          <w:szCs w:val="28"/>
          <w:highlight w:val="none"/>
          <w:shd w:val="clear" w:color="auto" w:fill="FFFFFF"/>
          <w:lang w:val="en-US" w:eastAsia="zh-CN"/>
        </w:rPr>
        <w:t>21</w:t>
      </w:r>
      <w:r>
        <w:rPr>
          <w:rFonts w:hint="eastAsia" w:ascii="宋体" w:hAnsi="宋体" w:eastAsia="宋体" w:cs="宋体"/>
          <w:color w:val="auto"/>
          <w:sz w:val="28"/>
          <w:szCs w:val="28"/>
          <w:highlight w:val="none"/>
          <w:shd w:val="clear" w:color="auto" w:fill="FFFFFF"/>
        </w:rPr>
        <w:t>年相比，财政拨款支</w:t>
      </w:r>
      <w:r>
        <w:rPr>
          <w:rFonts w:hint="eastAsia" w:ascii="宋体" w:hAnsi="宋体" w:eastAsia="宋体" w:cs="宋体"/>
          <w:color w:val="auto"/>
          <w:sz w:val="28"/>
          <w:szCs w:val="28"/>
          <w:highlight w:val="none"/>
          <w:shd w:val="clear" w:color="auto" w:fill="FFFFFF"/>
          <w:lang w:eastAsia="zh-CN"/>
        </w:rPr>
        <w:t>出</w:t>
      </w:r>
      <w:r>
        <w:rPr>
          <w:rFonts w:hint="eastAsia" w:ascii="宋体" w:hAnsi="宋体" w:eastAsia="宋体" w:cs="宋体"/>
          <w:color w:val="auto"/>
          <w:sz w:val="28"/>
          <w:szCs w:val="28"/>
          <w:highlight w:val="none"/>
          <w:shd w:val="clear" w:color="auto" w:fill="FFFFFF"/>
        </w:rPr>
        <w:t>总计</w:t>
      </w:r>
      <w:r>
        <w:rPr>
          <w:rFonts w:hint="eastAsia" w:ascii="宋体" w:hAnsi="宋体" w:cs="宋体"/>
          <w:color w:val="auto"/>
          <w:sz w:val="28"/>
          <w:szCs w:val="28"/>
          <w:highlight w:val="none"/>
          <w:shd w:val="clear" w:color="auto" w:fill="FFFFFF"/>
          <w:lang w:val="en-US" w:eastAsia="zh-CN"/>
        </w:rPr>
        <w:t>减少</w:t>
      </w:r>
      <w:r>
        <w:rPr>
          <w:rFonts w:hint="eastAsia" w:ascii="仿宋" w:hAnsi="仿宋" w:eastAsia="仿宋" w:cs="仿宋"/>
          <w:color w:val="auto"/>
          <w:sz w:val="28"/>
          <w:szCs w:val="28"/>
          <w:highlight w:val="none"/>
          <w:lang w:val="en-US" w:eastAsia="zh-CN"/>
        </w:rPr>
        <w:t>2086.58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50.74</w:t>
      </w:r>
      <w:r>
        <w:rPr>
          <w:rFonts w:hint="eastAsia" w:ascii="宋体" w:hAnsi="宋体" w:eastAsia="宋体" w:cs="宋体"/>
          <w:color w:val="auto"/>
          <w:sz w:val="28"/>
          <w:szCs w:val="28"/>
          <w:highlight w:val="none"/>
          <w:shd w:val="clear" w:color="auto" w:fill="FFFFFF"/>
        </w:rPr>
        <w:t>%，变动的主要原因是</w:t>
      </w:r>
      <w:r>
        <w:rPr>
          <w:rFonts w:hint="eastAsia" w:ascii="宋体" w:hAnsi="宋体" w:eastAsia="宋体" w:cs="宋体"/>
          <w:color w:val="auto"/>
          <w:sz w:val="28"/>
          <w:szCs w:val="28"/>
          <w:highlight w:val="none"/>
          <w:shd w:val="clear" w:color="auto" w:fill="FFFFFF"/>
          <w:lang w:val="en-US" w:eastAsia="zh-CN"/>
        </w:rPr>
        <w:t>项目减少，项目支出减少</w:t>
      </w:r>
      <w:r>
        <w:rPr>
          <w:rFonts w:hint="eastAsia" w:ascii="宋体" w:hAnsi="宋体" w:cs="宋体"/>
          <w:color w:val="auto"/>
          <w:sz w:val="28"/>
          <w:szCs w:val="28"/>
          <w:highlight w:val="none"/>
          <w:shd w:val="clear" w:color="auto" w:fill="FFFFFF"/>
          <w:lang w:val="en-US" w:eastAsia="zh-CN"/>
        </w:rPr>
        <w:t>，学生及教师人数减少，人员经费减少</w:t>
      </w:r>
      <w:r>
        <w:rPr>
          <w:rFonts w:hint="eastAsia" w:ascii="宋体" w:hAnsi="宋体" w:eastAsia="宋体" w:cs="宋体"/>
          <w:color w:val="auto"/>
          <w:sz w:val="28"/>
          <w:szCs w:val="28"/>
          <w:highlight w:val="none"/>
          <w:shd w:val="clear" w:color="auto" w:fill="FFFFFF"/>
          <w:lang w:val="en-US" w:eastAsia="zh-CN"/>
        </w:rPr>
        <w:t>。</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rPr>
        <w:t>（三）</w:t>
      </w:r>
      <w:r>
        <w:rPr>
          <w:rFonts w:hint="eastAsia" w:ascii="宋体" w:hAnsi="宋体" w:eastAsia="宋体" w:cs="宋体"/>
          <w:b/>
          <w:bCs/>
          <w:color w:val="auto"/>
          <w:sz w:val="32"/>
          <w:szCs w:val="32"/>
          <w:highlight w:val="none"/>
          <w:lang w:val="zh-CN" w:bidi="zh-CN"/>
        </w:rPr>
        <w:t>部门财政资金收支分析。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1．收入支出与预算对比分析。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收入支出与预算持平。</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2．收入支出结构分析。</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eastAsia="zh-CN"/>
        </w:rPr>
        <w:t>剑阁县</w:t>
      </w:r>
      <w:r>
        <w:rPr>
          <w:rFonts w:hint="eastAsia" w:ascii="宋体" w:hAnsi="宋体" w:eastAsia="宋体" w:cs="宋体"/>
          <w:color w:val="auto"/>
          <w:sz w:val="28"/>
          <w:szCs w:val="28"/>
          <w:highlight w:val="none"/>
          <w:lang w:val="en-US" w:eastAsia="zh-CN"/>
        </w:rPr>
        <w:t>白龙镇</w:t>
      </w:r>
      <w:r>
        <w:rPr>
          <w:rFonts w:hint="eastAsia" w:ascii="宋体" w:hAnsi="宋体" w:eastAsia="宋体" w:cs="宋体"/>
          <w:color w:val="auto"/>
          <w:sz w:val="28"/>
          <w:szCs w:val="28"/>
          <w:highlight w:val="none"/>
          <w:lang w:eastAsia="zh-CN"/>
        </w:rPr>
        <w:t>小学校</w:t>
      </w:r>
      <w:r>
        <w:rPr>
          <w:rFonts w:hint="eastAsia" w:ascii="宋体" w:hAnsi="宋体" w:eastAsia="宋体" w:cs="宋体"/>
          <w:color w:val="auto"/>
          <w:sz w:val="28"/>
          <w:szCs w:val="28"/>
          <w:highlight w:val="none"/>
        </w:rPr>
        <w:t>本年收入合计</w:t>
      </w:r>
      <w:r>
        <w:rPr>
          <w:rFonts w:hint="eastAsia" w:ascii="宋体" w:hAnsi="宋体" w:cs="宋体"/>
          <w:color w:val="auto"/>
          <w:sz w:val="28"/>
          <w:szCs w:val="28"/>
          <w:highlight w:val="none"/>
          <w:lang w:val="en-US" w:eastAsia="zh-CN"/>
        </w:rPr>
        <w:t>2025.84</w:t>
      </w:r>
      <w:r>
        <w:rPr>
          <w:rFonts w:hint="eastAsia" w:ascii="宋体" w:hAnsi="宋体" w:eastAsia="宋体" w:cs="宋体"/>
          <w:color w:val="auto"/>
          <w:sz w:val="28"/>
          <w:szCs w:val="28"/>
          <w:highlight w:val="none"/>
        </w:rPr>
        <w:t>万元，其中：财政拨款收入</w:t>
      </w:r>
      <w:r>
        <w:rPr>
          <w:rFonts w:hint="eastAsia" w:ascii="宋体" w:hAnsi="宋体" w:cs="宋体"/>
          <w:color w:val="auto"/>
          <w:sz w:val="28"/>
          <w:szCs w:val="28"/>
          <w:highlight w:val="none"/>
          <w:lang w:val="en-US" w:eastAsia="zh-CN"/>
        </w:rPr>
        <w:t>2023.84</w:t>
      </w:r>
      <w:r>
        <w:rPr>
          <w:rFonts w:hint="eastAsia" w:ascii="宋体" w:hAnsi="宋体" w:eastAsia="宋体" w:cs="宋体"/>
          <w:color w:val="auto"/>
          <w:sz w:val="28"/>
          <w:szCs w:val="28"/>
          <w:highlight w:val="none"/>
        </w:rPr>
        <w:t>万元政府性基金：</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万元，事业收入0万元</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 xml:space="preserve">上年结转0万元。 </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highlight w:val="none"/>
          <w:shd w:val="clear" w:color="auto" w:fill="FFFFFF"/>
          <w:lang w:val="en-US" w:eastAsia="zh-CN"/>
        </w:rPr>
      </w:pPr>
      <w:r>
        <w:rPr>
          <w:rFonts w:hint="eastAsia" w:ascii="宋体" w:hAnsi="宋体" w:eastAsia="宋体" w:cs="宋体"/>
          <w:color w:val="auto"/>
          <w:sz w:val="28"/>
          <w:szCs w:val="28"/>
          <w:highlight w:val="none"/>
          <w:shd w:val="clear" w:color="auto" w:fill="FFFFFF"/>
          <w:lang w:val="en-US" w:eastAsia="zh-CN"/>
        </w:rPr>
        <w:t>2022年</w:t>
      </w:r>
      <w:r>
        <w:rPr>
          <w:rFonts w:hint="eastAsia" w:ascii="宋体" w:hAnsi="宋体" w:eastAsia="宋体" w:cs="宋体"/>
          <w:color w:val="auto"/>
          <w:sz w:val="28"/>
          <w:szCs w:val="28"/>
          <w:highlight w:val="none"/>
          <w:shd w:val="clear" w:color="auto" w:fill="FFFFFF"/>
        </w:rPr>
        <w:t>支</w:t>
      </w:r>
      <w:r>
        <w:rPr>
          <w:rFonts w:hint="eastAsia" w:ascii="宋体" w:hAnsi="宋体" w:eastAsia="宋体" w:cs="宋体"/>
          <w:color w:val="auto"/>
          <w:sz w:val="28"/>
          <w:szCs w:val="28"/>
          <w:highlight w:val="none"/>
          <w:shd w:val="clear" w:color="auto" w:fill="FFFFFF"/>
          <w:lang w:eastAsia="zh-CN"/>
        </w:rPr>
        <w:t>出总计</w:t>
      </w:r>
      <w:r>
        <w:rPr>
          <w:rFonts w:hint="eastAsia" w:ascii="宋体" w:hAnsi="宋体" w:cs="宋体"/>
          <w:color w:val="auto"/>
          <w:sz w:val="28"/>
          <w:szCs w:val="28"/>
          <w:highlight w:val="none"/>
          <w:lang w:val="en-US" w:eastAsia="zh-CN"/>
        </w:rPr>
        <w:t>2025.84</w:t>
      </w:r>
      <w:r>
        <w:rPr>
          <w:rFonts w:hint="eastAsia" w:ascii="宋体" w:hAnsi="宋体" w:eastAsia="宋体" w:cs="宋体"/>
          <w:color w:val="auto"/>
          <w:sz w:val="28"/>
          <w:szCs w:val="28"/>
          <w:highlight w:val="none"/>
          <w:shd w:val="clear" w:color="auto" w:fill="FFFFFF"/>
        </w:rPr>
        <w:t>万元。与20</w:t>
      </w:r>
      <w:r>
        <w:rPr>
          <w:rFonts w:hint="eastAsia" w:ascii="宋体" w:hAnsi="宋体" w:eastAsia="宋体" w:cs="宋体"/>
          <w:color w:val="auto"/>
          <w:sz w:val="28"/>
          <w:szCs w:val="28"/>
          <w:highlight w:val="none"/>
          <w:shd w:val="clear" w:color="auto" w:fill="FFFFFF"/>
          <w:lang w:val="en-US" w:eastAsia="zh-CN"/>
        </w:rPr>
        <w:t>21</w:t>
      </w:r>
      <w:r>
        <w:rPr>
          <w:rFonts w:hint="eastAsia" w:ascii="宋体" w:hAnsi="宋体" w:eastAsia="宋体" w:cs="宋体"/>
          <w:color w:val="auto"/>
          <w:sz w:val="28"/>
          <w:szCs w:val="28"/>
          <w:highlight w:val="none"/>
          <w:shd w:val="clear" w:color="auto" w:fill="FFFFFF"/>
        </w:rPr>
        <w:t>年相比，财政拨款支</w:t>
      </w:r>
      <w:r>
        <w:rPr>
          <w:rFonts w:hint="eastAsia" w:ascii="宋体" w:hAnsi="宋体" w:eastAsia="宋体" w:cs="宋体"/>
          <w:color w:val="auto"/>
          <w:sz w:val="28"/>
          <w:szCs w:val="28"/>
          <w:highlight w:val="none"/>
          <w:shd w:val="clear" w:color="auto" w:fill="FFFFFF"/>
          <w:lang w:eastAsia="zh-CN"/>
        </w:rPr>
        <w:t>出</w:t>
      </w:r>
      <w:r>
        <w:rPr>
          <w:rFonts w:hint="eastAsia" w:ascii="宋体" w:hAnsi="宋体" w:eastAsia="宋体" w:cs="宋体"/>
          <w:color w:val="auto"/>
          <w:sz w:val="28"/>
          <w:szCs w:val="28"/>
          <w:highlight w:val="none"/>
          <w:shd w:val="clear" w:color="auto" w:fill="FFFFFF"/>
        </w:rPr>
        <w:t>总计</w:t>
      </w:r>
      <w:r>
        <w:rPr>
          <w:rFonts w:hint="eastAsia" w:ascii="宋体" w:hAnsi="宋体" w:eastAsia="宋体" w:cs="宋体"/>
          <w:color w:val="auto"/>
          <w:sz w:val="28"/>
          <w:szCs w:val="28"/>
          <w:highlight w:val="none"/>
          <w:shd w:val="clear" w:color="auto" w:fill="FFFFFF"/>
          <w:lang w:val="en-US" w:eastAsia="zh-CN"/>
        </w:rPr>
        <w:t>减少</w:t>
      </w:r>
      <w:r>
        <w:rPr>
          <w:rFonts w:hint="eastAsia" w:ascii="仿宋" w:hAnsi="仿宋" w:eastAsia="仿宋" w:cs="仿宋"/>
          <w:color w:val="auto"/>
          <w:sz w:val="28"/>
          <w:szCs w:val="28"/>
          <w:highlight w:val="none"/>
          <w:lang w:val="en-US" w:eastAsia="zh-CN"/>
        </w:rPr>
        <w:t>2086.58</w:t>
      </w:r>
      <w:r>
        <w:rPr>
          <w:rFonts w:hint="eastAsia" w:ascii="仿宋" w:hAnsi="仿宋" w:eastAsia="仿宋" w:cs="仿宋"/>
          <w:color w:val="auto"/>
          <w:sz w:val="28"/>
          <w:szCs w:val="28"/>
          <w:highlight w:val="none"/>
        </w:rPr>
        <w:t>万元，减少</w:t>
      </w:r>
      <w:r>
        <w:rPr>
          <w:rFonts w:hint="eastAsia" w:ascii="仿宋" w:hAnsi="仿宋" w:eastAsia="仿宋" w:cs="仿宋"/>
          <w:color w:val="auto"/>
          <w:sz w:val="28"/>
          <w:szCs w:val="28"/>
          <w:highlight w:val="none"/>
          <w:lang w:val="en-US" w:eastAsia="zh-CN"/>
        </w:rPr>
        <w:t>50.74</w:t>
      </w:r>
      <w:r>
        <w:rPr>
          <w:rFonts w:hint="eastAsia" w:ascii="宋体" w:hAnsi="宋体" w:eastAsia="宋体" w:cs="宋体"/>
          <w:color w:val="auto"/>
          <w:sz w:val="28"/>
          <w:szCs w:val="28"/>
          <w:highlight w:val="none"/>
          <w:shd w:val="clear" w:color="auto" w:fill="FFFFFF"/>
        </w:rPr>
        <w:t>%，变动的主要原因是</w:t>
      </w:r>
      <w:r>
        <w:rPr>
          <w:rFonts w:hint="eastAsia" w:ascii="宋体" w:hAnsi="宋体" w:eastAsia="宋体" w:cs="宋体"/>
          <w:color w:val="auto"/>
          <w:sz w:val="28"/>
          <w:szCs w:val="28"/>
          <w:highlight w:val="none"/>
          <w:shd w:val="clear" w:color="auto" w:fill="FFFFFF"/>
          <w:lang w:val="en-US" w:eastAsia="zh-CN"/>
        </w:rPr>
        <w:t>项目减少，项目支出减少</w:t>
      </w:r>
      <w:r>
        <w:rPr>
          <w:rFonts w:hint="eastAsia" w:ascii="宋体" w:hAnsi="宋体" w:cs="宋体"/>
          <w:color w:val="auto"/>
          <w:sz w:val="28"/>
          <w:szCs w:val="28"/>
          <w:highlight w:val="none"/>
          <w:shd w:val="clear" w:color="auto" w:fill="FFFFFF"/>
          <w:lang w:val="en-US" w:eastAsia="zh-CN"/>
        </w:rPr>
        <w:t>，学生及教师人数减少，人员经费减少</w:t>
      </w:r>
      <w:r>
        <w:rPr>
          <w:rFonts w:hint="eastAsia" w:ascii="宋体" w:hAnsi="宋体" w:eastAsia="宋体" w:cs="宋体"/>
          <w:color w:val="auto"/>
          <w:sz w:val="28"/>
          <w:szCs w:val="28"/>
          <w:highlight w:val="none"/>
          <w:shd w:val="clear" w:color="auto" w:fill="FFFFFF"/>
          <w:lang w:val="en-US" w:eastAsia="zh-CN"/>
        </w:rPr>
        <w:t>。</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3．支出按经济分类科目分析。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（1）工资福利经费支出情况：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仿宋" w:hAnsi="仿宋" w:eastAsia="仿宋" w:cs="仿宋"/>
          <w:color w:val="auto"/>
          <w:sz w:val="28"/>
          <w:szCs w:val="28"/>
          <w:highlight w:val="none"/>
        </w:rPr>
        <w:t>人员经费</w:t>
      </w:r>
      <w:r>
        <w:rPr>
          <w:rFonts w:hint="eastAsia" w:ascii="仿宋" w:hAnsi="仿宋" w:eastAsia="仿宋" w:cs="仿宋"/>
          <w:color w:val="auto"/>
          <w:sz w:val="28"/>
          <w:szCs w:val="28"/>
          <w:highlight w:val="none"/>
          <w:lang w:val="en-US" w:eastAsia="zh-CN"/>
        </w:rPr>
        <w:t>1866.42</w:t>
      </w:r>
      <w:r>
        <w:rPr>
          <w:rFonts w:hint="eastAsia" w:ascii="仿宋" w:hAnsi="仿宋" w:eastAsia="仿宋" w:cs="仿宋"/>
          <w:color w:val="auto"/>
          <w:sz w:val="28"/>
          <w:szCs w:val="28"/>
          <w:highlight w:val="none"/>
          <w:lang w:eastAsia="zh-CN"/>
        </w:rPr>
        <w:t>万</w:t>
      </w:r>
      <w:r>
        <w:rPr>
          <w:rFonts w:hint="eastAsia" w:ascii="仿宋" w:hAnsi="仿宋" w:eastAsia="仿宋" w:cs="仿宋"/>
          <w:color w:val="auto"/>
          <w:sz w:val="28"/>
          <w:szCs w:val="28"/>
          <w:highlight w:val="none"/>
        </w:rPr>
        <w:t>元，主要包括：基本工资</w:t>
      </w:r>
      <w:r>
        <w:rPr>
          <w:rFonts w:hint="eastAsia" w:ascii="仿宋" w:hAnsi="仿宋" w:eastAsia="仿宋" w:cs="仿宋"/>
          <w:color w:val="auto"/>
          <w:sz w:val="28"/>
          <w:szCs w:val="28"/>
          <w:highlight w:val="none"/>
          <w:lang w:val="en-US" w:eastAsia="zh-CN"/>
        </w:rPr>
        <w:t>557.79</w:t>
      </w:r>
      <w:r>
        <w:rPr>
          <w:rFonts w:hint="eastAsia" w:ascii="仿宋" w:hAnsi="仿宋" w:eastAsia="仿宋" w:cs="仿宋"/>
          <w:color w:val="auto"/>
          <w:sz w:val="28"/>
          <w:szCs w:val="28"/>
          <w:highlight w:val="none"/>
        </w:rPr>
        <w:t>万元、津贴补贴7</w:t>
      </w:r>
      <w:r>
        <w:rPr>
          <w:rFonts w:hint="eastAsia" w:ascii="仿宋" w:hAnsi="仿宋" w:eastAsia="仿宋" w:cs="仿宋"/>
          <w:color w:val="auto"/>
          <w:sz w:val="28"/>
          <w:szCs w:val="28"/>
          <w:highlight w:val="none"/>
          <w:lang w:val="en-US" w:eastAsia="zh-CN"/>
        </w:rPr>
        <w:t>3.07</w:t>
      </w:r>
      <w:r>
        <w:rPr>
          <w:rFonts w:hint="eastAsia" w:ascii="仿宋" w:hAnsi="仿宋" w:eastAsia="仿宋" w:cs="仿宋"/>
          <w:color w:val="auto"/>
          <w:sz w:val="28"/>
          <w:szCs w:val="28"/>
          <w:highlight w:val="none"/>
        </w:rPr>
        <w:t>万元、绩效工资3</w:t>
      </w:r>
      <w:r>
        <w:rPr>
          <w:rFonts w:hint="eastAsia" w:ascii="仿宋" w:hAnsi="仿宋" w:eastAsia="仿宋" w:cs="仿宋"/>
          <w:color w:val="auto"/>
          <w:sz w:val="28"/>
          <w:szCs w:val="28"/>
          <w:highlight w:val="none"/>
          <w:lang w:val="en-US" w:eastAsia="zh-CN"/>
        </w:rPr>
        <w:t>43.18</w:t>
      </w:r>
      <w:r>
        <w:rPr>
          <w:rFonts w:hint="eastAsia" w:ascii="仿宋" w:hAnsi="仿宋" w:eastAsia="仿宋" w:cs="仿宋"/>
          <w:color w:val="auto"/>
          <w:sz w:val="28"/>
          <w:szCs w:val="28"/>
          <w:highlight w:val="none"/>
        </w:rPr>
        <w:t>万元、机关事业单位基本养老保险缴费</w:t>
      </w:r>
      <w:r>
        <w:rPr>
          <w:rStyle w:val="15"/>
          <w:rFonts w:hint="eastAsia" w:ascii="仿宋" w:hAnsi="仿宋" w:eastAsia="仿宋" w:cs="仿宋"/>
          <w:b w:val="0"/>
          <w:bCs w:val="0"/>
          <w:color w:val="auto"/>
          <w:sz w:val="28"/>
          <w:szCs w:val="28"/>
          <w:highlight w:val="none"/>
        </w:rPr>
        <w:t>139.47</w:t>
      </w:r>
      <w:r>
        <w:rPr>
          <w:rFonts w:hint="eastAsia" w:ascii="仿宋" w:hAnsi="仿宋" w:eastAsia="仿宋" w:cs="仿宋"/>
          <w:color w:val="auto"/>
          <w:sz w:val="28"/>
          <w:szCs w:val="28"/>
          <w:highlight w:val="none"/>
        </w:rPr>
        <w:t>万元、其他社会保障缴费</w:t>
      </w:r>
      <w:r>
        <w:rPr>
          <w:rFonts w:hint="eastAsia" w:ascii="仿宋" w:hAnsi="仿宋" w:eastAsia="仿宋" w:cs="仿宋"/>
          <w:color w:val="auto"/>
          <w:sz w:val="28"/>
          <w:szCs w:val="28"/>
          <w:highlight w:val="none"/>
          <w:lang w:val="en-US" w:eastAsia="zh-CN"/>
        </w:rPr>
        <w:t>9.45</w:t>
      </w:r>
      <w:r>
        <w:rPr>
          <w:rFonts w:hint="eastAsia" w:ascii="仿宋" w:hAnsi="仿宋" w:eastAsia="仿宋" w:cs="仿宋"/>
          <w:color w:val="auto"/>
          <w:sz w:val="28"/>
          <w:szCs w:val="28"/>
          <w:highlight w:val="none"/>
        </w:rPr>
        <w:t>万元、职工基本医疗保险医疗费</w:t>
      </w:r>
      <w:r>
        <w:rPr>
          <w:rStyle w:val="15"/>
          <w:rFonts w:hint="eastAsia" w:ascii="仿宋" w:hAnsi="仿宋" w:eastAsia="仿宋" w:cs="仿宋"/>
          <w:b w:val="0"/>
          <w:bCs w:val="0"/>
          <w:color w:val="auto"/>
          <w:sz w:val="28"/>
          <w:szCs w:val="28"/>
          <w:highlight w:val="none"/>
        </w:rPr>
        <w:t>68.74</w:t>
      </w:r>
      <w:r>
        <w:rPr>
          <w:rFonts w:hint="eastAsia" w:ascii="仿宋" w:hAnsi="仿宋" w:eastAsia="仿宋" w:cs="仿宋"/>
          <w:color w:val="auto"/>
          <w:sz w:val="28"/>
          <w:szCs w:val="28"/>
          <w:highlight w:val="none"/>
        </w:rPr>
        <w:t>万元、奖励金</w:t>
      </w:r>
      <w:r>
        <w:rPr>
          <w:rFonts w:hint="eastAsia" w:ascii="仿宋" w:hAnsi="仿宋" w:eastAsia="仿宋" w:cs="仿宋"/>
          <w:color w:val="auto"/>
          <w:sz w:val="28"/>
          <w:szCs w:val="28"/>
          <w:highlight w:val="none"/>
          <w:lang w:val="en-US" w:eastAsia="zh-CN"/>
        </w:rPr>
        <w:t>289.14</w:t>
      </w:r>
      <w:r>
        <w:rPr>
          <w:rFonts w:hint="eastAsia" w:ascii="仿宋" w:hAnsi="仿宋" w:eastAsia="仿宋" w:cs="仿宋"/>
          <w:color w:val="auto"/>
          <w:sz w:val="28"/>
          <w:szCs w:val="28"/>
          <w:highlight w:val="none"/>
        </w:rPr>
        <w:t>万元、住房公积金</w:t>
      </w:r>
      <w:r>
        <w:rPr>
          <w:rFonts w:hint="eastAsia" w:ascii="仿宋" w:hAnsi="仿宋" w:eastAsia="仿宋" w:cs="仿宋"/>
          <w:color w:val="auto"/>
          <w:sz w:val="28"/>
          <w:szCs w:val="28"/>
          <w:highlight w:val="none"/>
          <w:lang w:val="en-US" w:eastAsia="zh-CN"/>
        </w:rPr>
        <w:t>104.66</w:t>
      </w:r>
      <w:r>
        <w:rPr>
          <w:rFonts w:hint="eastAsia" w:ascii="仿宋" w:hAnsi="仿宋" w:eastAsia="仿宋" w:cs="仿宋"/>
          <w:color w:val="auto"/>
          <w:sz w:val="28"/>
          <w:szCs w:val="28"/>
          <w:highlight w:val="none"/>
        </w:rPr>
        <w:t>万元、生活补助</w:t>
      </w:r>
      <w:r>
        <w:rPr>
          <w:rFonts w:hint="eastAsia" w:ascii="仿宋" w:hAnsi="仿宋" w:eastAsia="仿宋" w:cs="仿宋"/>
          <w:color w:val="auto"/>
          <w:sz w:val="28"/>
          <w:szCs w:val="28"/>
          <w:highlight w:val="none"/>
          <w:lang w:val="en-US" w:eastAsia="zh-CN"/>
        </w:rPr>
        <w:t>275.01</w:t>
      </w:r>
      <w:r>
        <w:rPr>
          <w:rFonts w:hint="eastAsia" w:ascii="仿宋" w:hAnsi="仿宋" w:eastAsia="仿宋" w:cs="仿宋"/>
          <w:color w:val="auto"/>
          <w:sz w:val="28"/>
          <w:szCs w:val="28"/>
          <w:highlight w:val="none"/>
        </w:rPr>
        <w:t>万元，其他对个人和家庭的补助支出</w:t>
      </w:r>
      <w:r>
        <w:rPr>
          <w:rFonts w:hint="eastAsia" w:ascii="仿宋" w:hAnsi="仿宋" w:eastAsia="仿宋" w:cs="仿宋"/>
          <w:color w:val="auto"/>
          <w:sz w:val="28"/>
          <w:szCs w:val="28"/>
          <w:highlight w:val="none"/>
          <w:lang w:val="en-US" w:eastAsia="zh-CN"/>
        </w:rPr>
        <w:t>5.91</w:t>
      </w:r>
      <w:r>
        <w:rPr>
          <w:rFonts w:hint="eastAsia" w:ascii="仿宋" w:hAnsi="仿宋" w:eastAsia="仿宋" w:cs="仿宋"/>
          <w:color w:val="auto"/>
          <w:sz w:val="28"/>
          <w:szCs w:val="28"/>
          <w:highlight w:val="none"/>
        </w:rPr>
        <w:t>万元。</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（2）商品和服务经费支出情况：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日常公用经费</w:t>
      </w:r>
      <w:r>
        <w:rPr>
          <w:rFonts w:hint="eastAsia" w:ascii="仿宋" w:hAnsi="仿宋" w:eastAsia="仿宋" w:cs="仿宋"/>
          <w:color w:val="auto"/>
          <w:sz w:val="28"/>
          <w:szCs w:val="28"/>
          <w:highlight w:val="none"/>
          <w:lang w:val="en-US" w:eastAsia="zh-CN"/>
        </w:rPr>
        <w:t>157.43</w:t>
      </w:r>
      <w:r>
        <w:rPr>
          <w:rFonts w:hint="eastAsia" w:ascii="仿宋" w:hAnsi="仿宋" w:eastAsia="仿宋" w:cs="仿宋"/>
          <w:color w:val="auto"/>
          <w:sz w:val="28"/>
          <w:szCs w:val="28"/>
          <w:highlight w:val="none"/>
        </w:rPr>
        <w:t>万元，主要包括：办公费</w:t>
      </w:r>
      <w:r>
        <w:rPr>
          <w:rFonts w:hint="eastAsia" w:ascii="仿宋" w:hAnsi="仿宋" w:eastAsia="仿宋" w:cs="仿宋"/>
          <w:color w:val="auto"/>
          <w:sz w:val="28"/>
          <w:szCs w:val="28"/>
          <w:highlight w:val="none"/>
          <w:lang w:val="en-US" w:eastAsia="zh-CN"/>
        </w:rPr>
        <w:t>21.92</w:t>
      </w:r>
      <w:r>
        <w:rPr>
          <w:rFonts w:hint="eastAsia" w:ascii="仿宋" w:hAnsi="仿宋" w:eastAsia="仿宋" w:cs="仿宋"/>
          <w:color w:val="auto"/>
          <w:sz w:val="28"/>
          <w:szCs w:val="28"/>
          <w:highlight w:val="none"/>
        </w:rPr>
        <w:t>万元、印刷费</w:t>
      </w:r>
      <w:r>
        <w:rPr>
          <w:rFonts w:hint="eastAsia" w:ascii="仿宋" w:hAnsi="仿宋" w:eastAsia="仿宋" w:cs="仿宋"/>
          <w:color w:val="auto"/>
          <w:sz w:val="28"/>
          <w:szCs w:val="28"/>
          <w:highlight w:val="none"/>
          <w:lang w:val="en-US" w:eastAsia="zh-CN"/>
        </w:rPr>
        <w:t>18.56</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手续费0.4万元、</w:t>
      </w:r>
      <w:r>
        <w:rPr>
          <w:rFonts w:hint="eastAsia" w:ascii="仿宋" w:hAnsi="仿宋" w:eastAsia="仿宋" w:cs="仿宋"/>
          <w:color w:val="auto"/>
          <w:sz w:val="28"/>
          <w:szCs w:val="28"/>
          <w:highlight w:val="none"/>
        </w:rPr>
        <w:t>水费</w:t>
      </w:r>
      <w:r>
        <w:rPr>
          <w:rFonts w:hint="eastAsia" w:ascii="仿宋" w:hAnsi="仿宋" w:eastAsia="仿宋" w:cs="仿宋"/>
          <w:color w:val="auto"/>
          <w:sz w:val="28"/>
          <w:szCs w:val="28"/>
          <w:highlight w:val="none"/>
          <w:lang w:val="en-US" w:eastAsia="zh-CN"/>
        </w:rPr>
        <w:t>12.14</w:t>
      </w:r>
      <w:r>
        <w:rPr>
          <w:rFonts w:hint="eastAsia" w:ascii="仿宋" w:hAnsi="仿宋" w:eastAsia="仿宋" w:cs="仿宋"/>
          <w:color w:val="auto"/>
          <w:sz w:val="28"/>
          <w:szCs w:val="28"/>
          <w:highlight w:val="none"/>
        </w:rPr>
        <w:t>万元、电费</w:t>
      </w:r>
      <w:r>
        <w:rPr>
          <w:rFonts w:hint="eastAsia" w:ascii="仿宋" w:hAnsi="仿宋" w:eastAsia="仿宋" w:cs="仿宋"/>
          <w:color w:val="auto"/>
          <w:sz w:val="28"/>
          <w:szCs w:val="28"/>
          <w:highlight w:val="none"/>
          <w:lang w:val="en-US" w:eastAsia="zh-CN"/>
        </w:rPr>
        <w:t>15.19</w:t>
      </w:r>
      <w:r>
        <w:rPr>
          <w:rFonts w:hint="eastAsia" w:ascii="仿宋" w:hAnsi="仿宋" w:eastAsia="仿宋" w:cs="仿宋"/>
          <w:color w:val="auto"/>
          <w:sz w:val="28"/>
          <w:szCs w:val="28"/>
          <w:highlight w:val="none"/>
        </w:rPr>
        <w:t>万元、邮电费</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万元、物业管理费0万元、差旅费</w:t>
      </w:r>
      <w:r>
        <w:rPr>
          <w:rFonts w:hint="eastAsia" w:ascii="仿宋" w:hAnsi="仿宋" w:eastAsia="仿宋" w:cs="仿宋"/>
          <w:color w:val="auto"/>
          <w:sz w:val="28"/>
          <w:szCs w:val="28"/>
          <w:highlight w:val="none"/>
          <w:lang w:val="en-US" w:eastAsia="zh-CN"/>
        </w:rPr>
        <w:t>26.80</w:t>
      </w:r>
      <w:r>
        <w:rPr>
          <w:rFonts w:hint="eastAsia" w:ascii="仿宋" w:hAnsi="仿宋" w:eastAsia="仿宋" w:cs="仿宋"/>
          <w:color w:val="auto"/>
          <w:sz w:val="28"/>
          <w:szCs w:val="28"/>
          <w:highlight w:val="none"/>
        </w:rPr>
        <w:t>万元、维修（护）费</w:t>
      </w:r>
      <w:r>
        <w:rPr>
          <w:rFonts w:hint="eastAsia" w:ascii="仿宋" w:hAnsi="仿宋" w:eastAsia="仿宋" w:cs="仿宋"/>
          <w:color w:val="auto"/>
          <w:sz w:val="28"/>
          <w:szCs w:val="28"/>
          <w:highlight w:val="none"/>
          <w:lang w:val="en-US" w:eastAsia="zh-CN"/>
        </w:rPr>
        <w:t>26.01</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租赁费4万元、会议费0.2万元、</w:t>
      </w:r>
      <w:r>
        <w:rPr>
          <w:rFonts w:hint="eastAsia" w:ascii="仿宋" w:hAnsi="仿宋" w:eastAsia="仿宋" w:cs="仿宋"/>
          <w:color w:val="auto"/>
          <w:sz w:val="28"/>
          <w:szCs w:val="28"/>
          <w:highlight w:val="none"/>
        </w:rPr>
        <w:t>培训费</w:t>
      </w:r>
      <w:r>
        <w:rPr>
          <w:rFonts w:hint="eastAsia" w:ascii="仿宋" w:hAnsi="仿宋" w:eastAsia="仿宋" w:cs="仿宋"/>
          <w:color w:val="auto"/>
          <w:sz w:val="28"/>
          <w:szCs w:val="28"/>
          <w:highlight w:val="none"/>
          <w:lang w:val="en-US" w:eastAsia="zh-CN"/>
        </w:rPr>
        <w:t>8.04</w:t>
      </w:r>
      <w:r>
        <w:rPr>
          <w:rFonts w:hint="eastAsia" w:ascii="仿宋" w:hAnsi="仿宋" w:eastAsia="仿宋" w:cs="仿宋"/>
          <w:color w:val="auto"/>
          <w:sz w:val="28"/>
          <w:szCs w:val="28"/>
          <w:highlight w:val="none"/>
        </w:rPr>
        <w:t>万元、公务接待费0.</w:t>
      </w:r>
      <w:r>
        <w:rPr>
          <w:rFonts w:hint="eastAsia" w:ascii="仿宋" w:hAnsi="仿宋" w:eastAsia="仿宋" w:cs="仿宋"/>
          <w:color w:val="auto"/>
          <w:sz w:val="28"/>
          <w:szCs w:val="28"/>
          <w:highlight w:val="none"/>
          <w:lang w:val="en-US" w:eastAsia="zh-CN"/>
        </w:rPr>
        <w:t>52</w:t>
      </w:r>
      <w:r>
        <w:rPr>
          <w:rFonts w:hint="eastAsia" w:ascii="仿宋" w:hAnsi="仿宋" w:eastAsia="仿宋" w:cs="仿宋"/>
          <w:color w:val="auto"/>
          <w:sz w:val="28"/>
          <w:szCs w:val="28"/>
          <w:highlight w:val="none"/>
        </w:rPr>
        <w:t>万元、劳务费</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万元、工会经费</w:t>
      </w:r>
      <w:r>
        <w:rPr>
          <w:rFonts w:hint="eastAsia" w:ascii="仿宋" w:hAnsi="仿宋" w:eastAsia="仿宋" w:cs="仿宋"/>
          <w:color w:val="auto"/>
          <w:sz w:val="28"/>
          <w:szCs w:val="28"/>
          <w:highlight w:val="none"/>
          <w:lang w:val="en-US" w:eastAsia="zh-CN"/>
        </w:rPr>
        <w:t>5.54</w:t>
      </w:r>
      <w:r>
        <w:rPr>
          <w:rFonts w:hint="eastAsia" w:ascii="仿宋" w:hAnsi="仿宋" w:eastAsia="仿宋" w:cs="仿宋"/>
          <w:color w:val="auto"/>
          <w:sz w:val="28"/>
          <w:szCs w:val="28"/>
          <w:highlight w:val="none"/>
        </w:rPr>
        <w:t>万元、福利费</w:t>
      </w:r>
      <w:r>
        <w:rPr>
          <w:rFonts w:hint="eastAsia" w:ascii="仿宋" w:hAnsi="仿宋" w:eastAsia="仿宋" w:cs="仿宋"/>
          <w:color w:val="auto"/>
          <w:sz w:val="28"/>
          <w:szCs w:val="28"/>
          <w:highlight w:val="none"/>
          <w:lang w:val="en-US" w:eastAsia="zh-CN"/>
        </w:rPr>
        <w:t>10.11</w:t>
      </w:r>
      <w:r>
        <w:rPr>
          <w:rFonts w:hint="eastAsia" w:ascii="仿宋" w:hAnsi="仿宋" w:eastAsia="仿宋" w:cs="仿宋"/>
          <w:color w:val="auto"/>
          <w:sz w:val="28"/>
          <w:szCs w:val="28"/>
          <w:highlight w:val="none"/>
        </w:rPr>
        <w:t>万元，专用材料费0万元，其他商品和服务支出0万元。</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4.财政拨款</w:t>
      </w:r>
      <w:r>
        <w:rPr>
          <w:rFonts w:hint="eastAsia" w:ascii="宋体" w:hAnsi="宋体" w:cs="宋体"/>
          <w:color w:val="auto"/>
          <w:sz w:val="28"/>
          <w:szCs w:val="28"/>
          <w:highlight w:val="none"/>
          <w:lang w:eastAsia="zh-CN"/>
        </w:rPr>
        <w:t>收入支出</w:t>
      </w:r>
      <w:r>
        <w:rPr>
          <w:rFonts w:hint="eastAsia" w:ascii="宋体" w:hAnsi="宋体" w:eastAsia="宋体" w:cs="宋体"/>
          <w:color w:val="auto"/>
          <w:sz w:val="28"/>
          <w:szCs w:val="28"/>
          <w:highlight w:val="none"/>
        </w:rPr>
        <w:t>分析。</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我单位2022年财政拨款收入总预算</w:t>
      </w:r>
      <w:r>
        <w:rPr>
          <w:rFonts w:hint="eastAsia" w:ascii="宋体" w:hAnsi="宋体" w:cs="宋体"/>
          <w:color w:val="auto"/>
          <w:sz w:val="28"/>
          <w:szCs w:val="28"/>
          <w:highlight w:val="none"/>
          <w:lang w:val="en-US" w:eastAsia="zh-CN"/>
        </w:rPr>
        <w:t>2025.84</w:t>
      </w:r>
      <w:r>
        <w:rPr>
          <w:rFonts w:hint="eastAsia" w:ascii="宋体" w:hAnsi="宋体" w:eastAsia="宋体" w:cs="宋体"/>
          <w:bCs/>
          <w:color w:val="auto"/>
          <w:sz w:val="28"/>
          <w:szCs w:val="28"/>
          <w:highlight w:val="none"/>
        </w:rPr>
        <w:t>万元。收入包括：一般公共预算拨款收入</w:t>
      </w:r>
      <w:r>
        <w:rPr>
          <w:rFonts w:hint="eastAsia" w:ascii="宋体" w:hAnsi="宋体" w:cs="宋体"/>
          <w:color w:val="auto"/>
          <w:sz w:val="28"/>
          <w:szCs w:val="28"/>
          <w:highlight w:val="none"/>
          <w:lang w:val="en-US" w:eastAsia="zh-CN"/>
        </w:rPr>
        <w:t>2023.84</w:t>
      </w:r>
      <w:r>
        <w:rPr>
          <w:rFonts w:hint="eastAsia" w:ascii="宋体" w:hAnsi="宋体" w:eastAsia="宋体" w:cs="宋体"/>
          <w:bCs/>
          <w:color w:val="auto"/>
          <w:sz w:val="28"/>
          <w:szCs w:val="28"/>
          <w:highlight w:val="none"/>
        </w:rPr>
        <w:t>万元，占</w:t>
      </w:r>
      <w:r>
        <w:rPr>
          <w:rFonts w:hint="eastAsia" w:ascii="宋体" w:hAnsi="宋体" w:eastAsia="宋体" w:cs="宋体"/>
          <w:bCs/>
          <w:color w:val="auto"/>
          <w:sz w:val="28"/>
          <w:szCs w:val="28"/>
          <w:highlight w:val="none"/>
          <w:lang w:val="en-US" w:eastAsia="zh-CN"/>
        </w:rPr>
        <w:t>99.9</w:t>
      </w:r>
      <w:r>
        <w:rPr>
          <w:rFonts w:hint="eastAsia" w:ascii="宋体" w:hAnsi="宋体" w:cs="宋体"/>
          <w:bCs/>
          <w:color w:val="auto"/>
          <w:sz w:val="28"/>
          <w:szCs w:val="28"/>
          <w:highlight w:val="none"/>
          <w:lang w:val="en-US" w:eastAsia="zh-CN"/>
        </w:rPr>
        <w:t>0</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lang w:eastAsia="zh-CN"/>
        </w:rPr>
        <w:t>政府性基金</w:t>
      </w:r>
      <w:r>
        <w:rPr>
          <w:rFonts w:hint="eastAsia" w:ascii="宋体" w:hAnsi="宋体" w:eastAsia="宋体" w:cs="宋体"/>
          <w:color w:val="auto"/>
          <w:sz w:val="28"/>
          <w:szCs w:val="28"/>
          <w:highlight w:val="none"/>
          <w:lang w:val="en-US" w:eastAsia="zh-CN"/>
        </w:rPr>
        <w:t>2万元，占0.</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 xml:space="preserve"> </w:t>
      </w:r>
    </w:p>
    <w:p>
      <w:pPr>
        <w:spacing w:line="600" w:lineRule="exact"/>
        <w:ind w:firstLine="64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财政拨款支出</w:t>
      </w:r>
      <w:r>
        <w:rPr>
          <w:rFonts w:hint="eastAsia" w:ascii="宋体" w:hAnsi="宋体" w:cs="宋体"/>
          <w:color w:val="auto"/>
          <w:sz w:val="28"/>
          <w:szCs w:val="28"/>
          <w:highlight w:val="none"/>
          <w:lang w:val="en-US" w:eastAsia="zh-CN"/>
        </w:rPr>
        <w:t>2025.84</w:t>
      </w:r>
      <w:r>
        <w:rPr>
          <w:rFonts w:hint="eastAsia" w:ascii="宋体" w:hAnsi="宋体" w:eastAsia="宋体" w:cs="宋体"/>
          <w:color w:val="auto"/>
          <w:sz w:val="28"/>
          <w:szCs w:val="28"/>
          <w:highlight w:val="none"/>
          <w:shd w:val="clear" w:color="auto" w:fill="FFFFFF"/>
        </w:rPr>
        <w:t>万元，</w:t>
      </w:r>
      <w:r>
        <w:rPr>
          <w:rFonts w:hint="eastAsia" w:ascii="宋体" w:hAnsi="宋体" w:eastAsia="宋体" w:cs="宋体"/>
          <w:color w:val="auto"/>
          <w:sz w:val="28"/>
          <w:szCs w:val="28"/>
          <w:highlight w:val="none"/>
          <w:shd w:val="clear" w:color="auto" w:fill="FFFFFF"/>
          <w:lang w:eastAsia="zh-CN"/>
        </w:rPr>
        <w:t>其中</w:t>
      </w:r>
      <w:r>
        <w:rPr>
          <w:rFonts w:hint="eastAsia" w:ascii="宋体" w:hAnsi="宋体" w:cs="宋体"/>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rPr>
        <w:t>教育支出</w:t>
      </w:r>
      <w:r>
        <w:rPr>
          <w:rFonts w:hint="eastAsia" w:ascii="仿宋" w:hAnsi="仿宋" w:eastAsia="仿宋" w:cs="仿宋"/>
          <w:b w:val="0"/>
          <w:bCs w:val="0"/>
          <w:color w:val="auto"/>
          <w:sz w:val="28"/>
          <w:szCs w:val="28"/>
          <w:highlight w:val="none"/>
          <w:lang w:val="en-US" w:eastAsia="zh-CN"/>
        </w:rPr>
        <w:t>1710.97</w:t>
      </w:r>
      <w:r>
        <w:rPr>
          <w:rFonts w:hint="eastAsia" w:ascii="仿宋" w:hAnsi="仿宋" w:eastAsia="仿宋" w:cs="仿宋"/>
          <w:b w:val="0"/>
          <w:bCs w:val="0"/>
          <w:color w:val="auto"/>
          <w:sz w:val="28"/>
          <w:szCs w:val="28"/>
          <w:highlight w:val="none"/>
        </w:rPr>
        <w:t>万元，占8</w:t>
      </w:r>
      <w:r>
        <w:rPr>
          <w:rFonts w:hint="eastAsia" w:ascii="仿宋" w:hAnsi="仿宋" w:eastAsia="仿宋" w:cs="仿宋"/>
          <w:b w:val="0"/>
          <w:bCs w:val="0"/>
          <w:color w:val="auto"/>
          <w:sz w:val="28"/>
          <w:szCs w:val="28"/>
          <w:highlight w:val="none"/>
          <w:lang w:val="en-US" w:eastAsia="zh-CN"/>
        </w:rPr>
        <w:t>4.46</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rPr>
        <w:t>；社会保障和就业支出1</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9.4</w:t>
      </w: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6.88</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rPr>
        <w:t>；卫生健康支出</w:t>
      </w:r>
      <w:r>
        <w:rPr>
          <w:rFonts w:hint="eastAsia" w:ascii="仿宋" w:hAnsi="仿宋" w:eastAsia="仿宋" w:cs="仿宋"/>
          <w:b w:val="0"/>
          <w:bCs w:val="0"/>
          <w:color w:val="auto"/>
          <w:sz w:val="28"/>
          <w:szCs w:val="28"/>
          <w:highlight w:val="none"/>
          <w:lang w:val="en-US" w:eastAsia="zh-CN"/>
        </w:rPr>
        <w:t>68</w:t>
      </w:r>
      <w:r>
        <w:rPr>
          <w:rFonts w:hint="eastAsia" w:ascii="仿宋" w:hAnsi="仿宋" w:eastAsia="仿宋" w:cs="仿宋"/>
          <w:b w:val="0"/>
          <w:bCs w:val="0"/>
          <w:color w:val="auto"/>
          <w:sz w:val="28"/>
          <w:szCs w:val="28"/>
          <w:highlight w:val="none"/>
        </w:rPr>
        <w:t>.74万元，占3.</w:t>
      </w:r>
      <w:r>
        <w:rPr>
          <w:rFonts w:hint="eastAsia" w:ascii="仿宋" w:hAnsi="仿宋" w:eastAsia="仿宋" w:cs="仿宋"/>
          <w:b w:val="0"/>
          <w:bCs w:val="0"/>
          <w:color w:val="auto"/>
          <w:sz w:val="28"/>
          <w:szCs w:val="28"/>
          <w:highlight w:val="none"/>
          <w:lang w:val="en-US" w:eastAsia="zh-CN"/>
        </w:rPr>
        <w:t>39</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rPr>
        <w:t>；住房保障支出</w:t>
      </w:r>
      <w:r>
        <w:rPr>
          <w:rFonts w:hint="eastAsia" w:ascii="仿宋" w:hAnsi="仿宋" w:eastAsia="仿宋" w:cs="仿宋"/>
          <w:b w:val="0"/>
          <w:bCs w:val="0"/>
          <w:color w:val="auto"/>
          <w:sz w:val="28"/>
          <w:szCs w:val="28"/>
          <w:highlight w:val="none"/>
          <w:lang w:val="en-US" w:eastAsia="zh-CN"/>
        </w:rPr>
        <w:t>104.66</w:t>
      </w:r>
      <w:r>
        <w:rPr>
          <w:rFonts w:hint="eastAsia" w:ascii="仿宋" w:hAnsi="仿宋" w:eastAsia="仿宋" w:cs="仿宋"/>
          <w:b w:val="0"/>
          <w:bCs w:val="0"/>
          <w:color w:val="auto"/>
          <w:sz w:val="28"/>
          <w:szCs w:val="28"/>
          <w:highlight w:val="none"/>
        </w:rPr>
        <w:t>万元，占</w:t>
      </w:r>
      <w:r>
        <w:rPr>
          <w:rFonts w:hint="eastAsia" w:ascii="仿宋" w:hAnsi="仿宋" w:eastAsia="仿宋" w:cs="仿宋"/>
          <w:b w:val="0"/>
          <w:bCs w:val="0"/>
          <w:color w:val="auto"/>
          <w:sz w:val="28"/>
          <w:szCs w:val="28"/>
          <w:highlight w:val="none"/>
          <w:lang w:val="en-US" w:eastAsia="zh-CN"/>
        </w:rPr>
        <w:t>5.17</w:t>
      </w:r>
      <w:r>
        <w:rPr>
          <w:rFonts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其他支出2.00万元，占0.10%</w:t>
      </w:r>
      <w:r>
        <w:rPr>
          <w:rFonts w:hint="eastAsia" w:ascii="仿宋" w:hAnsi="仿宋" w:eastAsia="仿宋" w:cs="仿宋"/>
          <w:b w:val="0"/>
          <w:bCs w:val="0"/>
          <w:color w:val="auto"/>
          <w:sz w:val="28"/>
          <w:szCs w:val="28"/>
          <w:highlight w:val="none"/>
        </w:rPr>
        <w:t>。</w:t>
      </w:r>
    </w:p>
    <w:p>
      <w:pPr>
        <w:keepNext w:val="0"/>
        <w:keepLines w:val="0"/>
        <w:pageBreakBefore w:val="0"/>
        <w:kinsoku/>
        <w:wordWrap/>
        <w:overflowPunct/>
        <w:topLinePunct w:val="0"/>
        <w:autoSpaceDE/>
        <w:autoSpaceDN/>
        <w:bidi w:val="0"/>
        <w:adjustRightInd/>
        <w:snapToGrid w:val="0"/>
        <w:spacing w:line="360" w:lineRule="auto"/>
        <w:ind w:firstLine="642"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(三)年末结转和结余情况</w:t>
      </w:r>
    </w:p>
    <w:p>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本年度</w:t>
      </w:r>
      <w:r>
        <w:rPr>
          <w:rFonts w:hint="eastAsia" w:ascii="宋体" w:hAnsi="宋体" w:eastAsia="宋体" w:cs="宋体"/>
          <w:color w:val="auto"/>
          <w:sz w:val="28"/>
          <w:szCs w:val="28"/>
          <w:highlight w:val="none"/>
          <w:lang w:eastAsia="zh-CN"/>
        </w:rPr>
        <w:t>白龙小学</w:t>
      </w:r>
      <w:r>
        <w:rPr>
          <w:rFonts w:hint="eastAsia" w:ascii="宋体" w:hAnsi="宋体" w:eastAsia="宋体" w:cs="宋体"/>
          <w:color w:val="auto"/>
          <w:sz w:val="28"/>
          <w:szCs w:val="28"/>
          <w:highlight w:val="none"/>
        </w:rPr>
        <w:t>年终结转资金0万元，其中公用经费0万元，人员经费0万元，主要本年</w:t>
      </w:r>
      <w:r>
        <w:rPr>
          <w:rFonts w:hint="eastAsia" w:ascii="宋体" w:hAnsi="宋体" w:cs="宋体"/>
          <w:color w:val="auto"/>
          <w:sz w:val="28"/>
          <w:szCs w:val="28"/>
          <w:highlight w:val="none"/>
          <w:lang w:val="en-US" w:eastAsia="zh-CN"/>
        </w:rPr>
        <w:t>度</w:t>
      </w:r>
      <w:r>
        <w:rPr>
          <w:rFonts w:hint="eastAsia" w:ascii="宋体" w:hAnsi="宋体" w:eastAsia="宋体" w:cs="宋体"/>
          <w:color w:val="auto"/>
          <w:sz w:val="28"/>
          <w:szCs w:val="28"/>
          <w:highlight w:val="none"/>
        </w:rPr>
        <w:t>财政加大支付力度，本年度资金全部支付到位。</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三、部门整体预算绩效管理情况</w:t>
      </w:r>
      <w:bookmarkEnd w:id="61"/>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(一）</w:t>
      </w:r>
      <w:r>
        <w:rPr>
          <w:rFonts w:hint="eastAsia" w:ascii="宋体" w:hAnsi="宋体" w:eastAsia="宋体" w:cs="宋体"/>
          <w:b/>
          <w:bCs/>
          <w:color w:val="auto"/>
          <w:sz w:val="32"/>
          <w:szCs w:val="32"/>
          <w:highlight w:val="none"/>
          <w:lang w:val="zh-CN" w:bidi="zh-CN"/>
        </w:rPr>
        <w:tab/>
      </w:r>
      <w:r>
        <w:rPr>
          <w:rFonts w:hint="eastAsia" w:ascii="宋体" w:hAnsi="宋体" w:eastAsia="宋体" w:cs="宋体"/>
          <w:b/>
          <w:bCs/>
          <w:color w:val="auto"/>
          <w:sz w:val="32"/>
          <w:szCs w:val="32"/>
          <w:highlight w:val="none"/>
          <w:lang w:val="zh-CN" w:bidi="zh-CN"/>
        </w:rPr>
        <w:t>部门预算管理。</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2022年我校所有财政性资金、专项资金都纳入绩效管理的范围。我校各项开支严格执行预算，控制成本，开源节流，每一分钱的使用都有它的经济性、效率性、有效性和可持续性，促进学校教育教学各项活动的开动，提升质量，学生学习生活的环境得到极大的改善，教师的生活环境也得到了相应改善。对各项资金均进行制度化管理，按规划组织实施，保证了各项资金使用的真实、合法、有效，提高了资金的使用率。保证单位的高效运转；确保各项决策部署得到有效落实产生了良好的社会效应，也取得了发展的可持续性、长效性。</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color w:val="auto"/>
          <w:sz w:val="28"/>
          <w:szCs w:val="28"/>
          <w:highlight w:val="none"/>
          <w:lang w:val="zh-CN" w:bidi="zh-CN"/>
        </w:rPr>
      </w:pPr>
      <w:r>
        <w:rPr>
          <w:rFonts w:hint="eastAsia" w:ascii="宋体" w:hAnsi="宋体" w:eastAsia="宋体" w:cs="宋体"/>
          <w:b/>
          <w:bCs/>
          <w:color w:val="auto"/>
          <w:sz w:val="32"/>
          <w:szCs w:val="32"/>
          <w:highlight w:val="none"/>
          <w:lang w:val="zh-CN" w:bidi="zh-CN"/>
        </w:rPr>
        <w:t>(二）结果应用情况</w:t>
      </w:r>
      <w:r>
        <w:rPr>
          <w:rFonts w:hint="eastAsia" w:ascii="宋体" w:hAnsi="宋体" w:eastAsia="宋体" w:cs="宋体"/>
          <w:b/>
          <w:color w:val="auto"/>
          <w:sz w:val="28"/>
          <w:szCs w:val="28"/>
          <w:highlight w:val="none"/>
          <w:lang w:val="zh-CN" w:bidi="zh-CN"/>
        </w:rPr>
        <w:t>。</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教育基本经费的使用，力保学校教育教学工作的有效开展以及学校工作的正常运行。</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学校的教育发展专项经费的使用，给学校教育教学设备设施得到充实，学校办学条件得到很大改善，大力推动了学校办学条件达标建设。</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四、评价结论及建议</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(一）评价结论。</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2022年白龙小学绩效管理情况较为理想，达到了年初设定的各项绩效目标。所有资金使用严格按审批程序办理、操作规范，会计核算结果真实、准确，各项支出严格按照各项制度执行。</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部门整体支出绩效情况：自评优良</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(二）存在问题。</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编制教师人员多为女性，请产假较多，临聘人员较多，进而导致日常经费开支增加。财政预算资金到位比较迟缓，各项目经费支付较滞后。</w:t>
      </w:r>
    </w:p>
    <w:p>
      <w:pPr>
        <w:keepNext w:val="0"/>
        <w:keepLines w:val="0"/>
        <w:pageBreakBefore w:val="0"/>
        <w:kinsoku/>
        <w:wordWrap/>
        <w:overflowPunct/>
        <w:topLinePunct w:val="0"/>
        <w:autoSpaceDE/>
        <w:autoSpaceDN/>
        <w:bidi w:val="0"/>
        <w:adjustRightInd/>
        <w:spacing w:line="360" w:lineRule="auto"/>
        <w:ind w:firstLine="642" w:firstLineChars="200"/>
        <w:jc w:val="left"/>
        <w:textAlignment w:val="auto"/>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(三）改进建议。</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1、切实做好预算编制工作，做好本单位情况调查，仔细测算部门资金需求，努力使预算资金合理。</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2、进一步建立健全财务制度，规范财务管理，加强绩效评价管理评价的可操作性，对相关业务人员进行相关培训，以提高业务知识水平。</w:t>
      </w:r>
    </w:p>
    <w:p>
      <w:pPr>
        <w:keepNext w:val="0"/>
        <w:keepLines w:val="0"/>
        <w:pageBreakBefore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lang w:val="zh-CN" w:bidi="zh-CN"/>
        </w:rPr>
      </w:pPr>
      <w:r>
        <w:rPr>
          <w:rFonts w:hint="eastAsia" w:ascii="宋体" w:hAnsi="宋体" w:eastAsia="宋体" w:cs="宋体"/>
          <w:color w:val="auto"/>
          <w:sz w:val="28"/>
          <w:szCs w:val="28"/>
          <w:highlight w:val="none"/>
          <w:lang w:val="zh-CN" w:bidi="zh-CN"/>
        </w:rPr>
        <w:t>3、年终加快经费支出力度，确保各项教育经费使用到位，更好促进教育事业发展。</w:t>
      </w:r>
    </w:p>
    <w:p>
      <w:pPr>
        <w:spacing w:line="360" w:lineRule="auto"/>
        <w:jc w:val="left"/>
        <w:rPr>
          <w:rFonts w:hint="eastAsia" w:asciiTheme="minorEastAsia" w:hAnsiTheme="minorEastAsia"/>
          <w:color w:val="auto"/>
          <w:sz w:val="32"/>
          <w:szCs w:val="32"/>
          <w:highlight w:val="none"/>
          <w:lang w:val="zh-CN" w:bidi="zh-CN"/>
        </w:rPr>
      </w:pPr>
    </w:p>
    <w:p>
      <w:pPr>
        <w:spacing w:line="360" w:lineRule="auto"/>
        <w:jc w:val="left"/>
        <w:rPr>
          <w:rFonts w:asciiTheme="minorEastAsia" w:hAnsiTheme="minorEastAsia"/>
          <w:color w:val="auto"/>
          <w:sz w:val="32"/>
          <w:szCs w:val="32"/>
          <w:highlight w:val="none"/>
          <w:lang w:val="zh-CN" w:bidi="zh-CN"/>
        </w:rPr>
      </w:pPr>
      <w:r>
        <w:rPr>
          <w:rFonts w:hint="eastAsia" w:asciiTheme="minorEastAsia" w:hAnsiTheme="minorEastAsia"/>
          <w:color w:val="auto"/>
          <w:sz w:val="32"/>
          <w:szCs w:val="32"/>
          <w:highlight w:val="none"/>
          <w:lang w:val="zh-CN" w:bidi="zh-CN"/>
        </w:rPr>
        <w:t>附件2：</w:t>
      </w:r>
    </w:p>
    <w:p>
      <w:pPr>
        <w:spacing w:line="360" w:lineRule="auto"/>
        <w:ind w:firstLine="960" w:firstLineChars="300"/>
        <w:jc w:val="left"/>
        <w:rPr>
          <w:rFonts w:hint="eastAsia" w:asciiTheme="minorEastAsia" w:hAnsiTheme="minorEastAsia"/>
          <w:color w:val="auto"/>
          <w:sz w:val="32"/>
          <w:szCs w:val="32"/>
          <w:highlight w:val="none"/>
          <w:lang w:val="zh-CN" w:bidi="zh-CN"/>
        </w:rPr>
      </w:pPr>
      <w:r>
        <w:rPr>
          <w:rFonts w:hint="eastAsia" w:asciiTheme="minorEastAsia" w:hAnsiTheme="minorEastAsia"/>
          <w:color w:val="auto"/>
          <w:sz w:val="32"/>
          <w:szCs w:val="32"/>
          <w:highlight w:val="none"/>
          <w:lang w:val="zh-CN" w:bidi="zh-CN"/>
        </w:rPr>
        <w:t>部门预算项目支出绩效自评表（2022年度）</w:t>
      </w:r>
    </w:p>
    <w:tbl>
      <w:tblPr>
        <w:tblStyle w:val="13"/>
        <w:tblW w:w="97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1710"/>
        <w:gridCol w:w="927"/>
        <w:gridCol w:w="1256"/>
        <w:gridCol w:w="481"/>
        <w:gridCol w:w="798"/>
        <w:gridCol w:w="833"/>
        <w:gridCol w:w="1003"/>
        <w:gridCol w:w="486"/>
        <w:gridCol w:w="413"/>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51082322T000005304589</w:t>
            </w:r>
            <w:r>
              <w:rPr>
                <w:rFonts w:hint="eastAsia" w:ascii="宋体" w:hAnsi="宋体" w:cs="宋体"/>
                <w:i w:val="0"/>
                <w:iCs w:val="0"/>
                <w:color w:val="auto"/>
                <w:kern w:val="0"/>
                <w:sz w:val="18"/>
                <w:szCs w:val="18"/>
                <w:highlight w:val="none"/>
                <w:u w:val="none"/>
                <w:lang w:val="en-US" w:eastAsia="zh-CN" w:bidi="ar"/>
              </w:rPr>
              <w:t>－</w:t>
            </w:r>
            <w:r>
              <w:rPr>
                <w:rFonts w:ascii="宋体" w:hAnsi="宋体" w:eastAsia="宋体" w:cs="宋体"/>
                <w:i w:val="0"/>
                <w:iCs w:val="0"/>
                <w:color w:val="auto"/>
                <w:kern w:val="0"/>
                <w:sz w:val="18"/>
                <w:szCs w:val="18"/>
                <w:highlight w:val="none"/>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剑阁县教育局部门</w:t>
            </w:r>
          </w:p>
        </w:tc>
        <w:tc>
          <w:tcPr>
            <w:tcW w:w="10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剑阁县白龙镇小学校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通过营养改善计划的实施，促进学生营养健康状态得到改善，学生整体素质得到提高。</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完成支付营养餐预算资金325.98万元，学生身体素质得到提高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1、每生每天5元营养餐加餐，每期100天左右。2、营养餐加餐为蛋奶模式。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121.42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325.98</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230.13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70.60%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121.42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325.98</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230.13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70.60%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项目完成较好，农村义务教育学生营养健康状况得到改善，身体素质得到提高。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项目负责人：杜军林</w:t>
            </w:r>
          </w:p>
        </w:tc>
        <w:tc>
          <w:tcPr>
            <w:tcW w:w="46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财务负责人：隆和平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5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8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0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3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1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51082322T000005305443</w:t>
            </w:r>
            <w:r>
              <w:rPr>
                <w:rFonts w:hint="eastAsia" w:ascii="宋体" w:hAnsi="宋体" w:cs="宋体"/>
                <w:i w:val="0"/>
                <w:iCs w:val="0"/>
                <w:color w:val="auto"/>
                <w:kern w:val="0"/>
                <w:sz w:val="18"/>
                <w:szCs w:val="18"/>
                <w:highlight w:val="none"/>
                <w:u w:val="none"/>
                <w:lang w:val="en-US" w:eastAsia="zh-CN" w:bidi="ar"/>
              </w:rPr>
              <w:t>－</w:t>
            </w:r>
            <w:r>
              <w:rPr>
                <w:rFonts w:ascii="宋体" w:hAnsi="宋体" w:eastAsia="宋体" w:cs="宋体"/>
                <w:i w:val="0"/>
                <w:iCs w:val="0"/>
                <w:color w:val="auto"/>
                <w:kern w:val="0"/>
                <w:sz w:val="18"/>
                <w:szCs w:val="18"/>
                <w:highlight w:val="none"/>
                <w:u w:val="none"/>
                <w:lang w:val="en-US" w:eastAsia="zh-CN" w:bidi="ar"/>
              </w:rPr>
              <w:t>农村校舍安全保障长效机制补助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剑阁县教育局部门</w:t>
            </w:r>
          </w:p>
        </w:tc>
        <w:tc>
          <w:tcPr>
            <w:tcW w:w="10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剑阁县白龙镇小学校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提升薄弱学校办学条件，改善学生生活环境，促进义务教育均衡发展</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完善办学条件，提高办学质量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60.75</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60.75</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项目完成良好，学校办学条件得到改善，学生生活环境得到提高，学习生活愉悦感增强。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资金支付缴缓，支付比例不够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加大资金支付力度。完成财务核算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项目负责人：杜军林</w:t>
            </w:r>
          </w:p>
        </w:tc>
        <w:tc>
          <w:tcPr>
            <w:tcW w:w="46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财务负责人：隆和平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5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8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0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3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1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51082322T000005305572</w:t>
            </w:r>
            <w:r>
              <w:rPr>
                <w:rFonts w:hint="eastAsia" w:ascii="宋体" w:hAnsi="宋体" w:cs="宋体"/>
                <w:i w:val="0"/>
                <w:iCs w:val="0"/>
                <w:color w:val="auto"/>
                <w:kern w:val="0"/>
                <w:sz w:val="18"/>
                <w:szCs w:val="18"/>
                <w:highlight w:val="none"/>
                <w:u w:val="none"/>
                <w:lang w:val="en-US" w:eastAsia="zh-CN" w:bidi="ar"/>
              </w:rPr>
              <w:t>－</w:t>
            </w:r>
            <w:r>
              <w:rPr>
                <w:rFonts w:ascii="宋体" w:hAnsi="宋体" w:eastAsia="宋体" w:cs="宋体"/>
                <w:i w:val="0"/>
                <w:iCs w:val="0"/>
                <w:color w:val="auto"/>
                <w:kern w:val="0"/>
                <w:sz w:val="18"/>
                <w:szCs w:val="18"/>
                <w:highlight w:val="none"/>
                <w:u w:val="none"/>
                <w:lang w:val="en-US" w:eastAsia="zh-CN" w:bidi="ar"/>
              </w:rPr>
              <w:t>农村义务教育综合奖补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剑阁县教育局部门</w:t>
            </w:r>
          </w:p>
        </w:tc>
        <w:tc>
          <w:tcPr>
            <w:tcW w:w="10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剑阁县白龙镇小学校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提高办学条件</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提高学校办学条件，完善教学设施。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1.74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7.83</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1.74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22.25%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1.74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7.83</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1.74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22.25%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项目实施较好，提高了学校办学条件。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项目负责人：杜军林</w:t>
            </w:r>
          </w:p>
        </w:tc>
        <w:tc>
          <w:tcPr>
            <w:tcW w:w="46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财务负责人：隆和平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5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8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0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3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1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51082322T000005306045</w:t>
            </w:r>
            <w:r>
              <w:rPr>
                <w:rFonts w:hint="eastAsia" w:ascii="宋体" w:hAnsi="宋体" w:cs="宋体"/>
                <w:i w:val="0"/>
                <w:iCs w:val="0"/>
                <w:color w:val="auto"/>
                <w:kern w:val="0"/>
                <w:sz w:val="18"/>
                <w:szCs w:val="18"/>
                <w:highlight w:val="none"/>
                <w:u w:val="none"/>
                <w:lang w:val="en-US" w:eastAsia="zh-CN" w:bidi="ar"/>
              </w:rPr>
              <w:t>－</w:t>
            </w:r>
            <w:r>
              <w:rPr>
                <w:rFonts w:ascii="宋体" w:hAnsi="宋体" w:eastAsia="宋体" w:cs="宋体"/>
                <w:i w:val="0"/>
                <w:iCs w:val="0"/>
                <w:color w:val="auto"/>
                <w:kern w:val="0"/>
                <w:sz w:val="18"/>
                <w:szCs w:val="18"/>
                <w:highlight w:val="none"/>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剑阁县教育局部门</w:t>
            </w:r>
          </w:p>
        </w:tc>
        <w:tc>
          <w:tcPr>
            <w:tcW w:w="10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剑阁县白龙镇小学校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减轻学生家庭经济负担，促进教育事业发展</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完成支付预算资金5.87万元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免除学生作业本费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2.95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8.86</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5.87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66.20%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2.95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8.86</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5.87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66.20%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项目完成良好，学生家庭经济负担得到减轻，教育事业得到发展，助力乡村振兴发展。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项目负责人：杜军林</w:t>
            </w:r>
          </w:p>
        </w:tc>
        <w:tc>
          <w:tcPr>
            <w:tcW w:w="46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财务负责人：隆和平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5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8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0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3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1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51082322T000005306788</w:t>
            </w:r>
            <w:r>
              <w:rPr>
                <w:rFonts w:hint="eastAsia" w:ascii="宋体" w:hAnsi="宋体" w:cs="宋体"/>
                <w:i w:val="0"/>
                <w:iCs w:val="0"/>
                <w:color w:val="auto"/>
                <w:kern w:val="0"/>
                <w:sz w:val="18"/>
                <w:szCs w:val="18"/>
                <w:highlight w:val="none"/>
                <w:u w:val="none"/>
                <w:lang w:val="en-US" w:eastAsia="zh-CN" w:bidi="ar"/>
              </w:rPr>
              <w:t>－</w:t>
            </w:r>
            <w:r>
              <w:rPr>
                <w:rFonts w:ascii="宋体" w:hAnsi="宋体" w:eastAsia="宋体" w:cs="宋体"/>
                <w:i w:val="0"/>
                <w:iCs w:val="0"/>
                <w:color w:val="auto"/>
                <w:kern w:val="0"/>
                <w:sz w:val="18"/>
                <w:szCs w:val="18"/>
                <w:highlight w:val="none"/>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剑阁县教育局部门</w:t>
            </w:r>
          </w:p>
        </w:tc>
        <w:tc>
          <w:tcPr>
            <w:tcW w:w="10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剑阁县白龙镇小学校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解决寄宿困难学生上学难问题，促进教育高质量发展</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完成全年贫困寄宿生生活补助发放11.65万元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完成全年贫困寄宿生生活补助发放11.65万元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11.65</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11.65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11.65</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11.65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7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项目实施较好，贫困寄宿生上学困难问题得到解决，促进了教育高质量发展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项目负责人：杜军林</w:t>
            </w:r>
          </w:p>
        </w:tc>
        <w:tc>
          <w:tcPr>
            <w:tcW w:w="46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财务负责人：隆和平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5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8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0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3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1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51082322T000005306905</w:t>
            </w:r>
            <w:r>
              <w:rPr>
                <w:rFonts w:hint="eastAsia" w:ascii="宋体" w:hAnsi="宋体" w:cs="宋体"/>
                <w:i w:val="0"/>
                <w:iCs w:val="0"/>
                <w:color w:val="auto"/>
                <w:kern w:val="0"/>
                <w:sz w:val="18"/>
                <w:szCs w:val="18"/>
                <w:highlight w:val="none"/>
                <w:u w:val="none"/>
                <w:lang w:val="en-US" w:eastAsia="zh-CN" w:bidi="ar"/>
              </w:rPr>
              <w:t>－</w:t>
            </w:r>
            <w:r>
              <w:rPr>
                <w:rFonts w:ascii="宋体" w:hAnsi="宋体" w:eastAsia="宋体" w:cs="宋体"/>
                <w:i w:val="0"/>
                <w:iCs w:val="0"/>
                <w:color w:val="auto"/>
                <w:kern w:val="0"/>
                <w:sz w:val="18"/>
                <w:szCs w:val="18"/>
                <w:highlight w:val="none"/>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剑阁县教育局部门</w:t>
            </w:r>
          </w:p>
        </w:tc>
        <w:tc>
          <w:tcPr>
            <w:tcW w:w="10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剑阁县白龙镇小学校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补助义务教育阶段建档立卡非寄宿生生活费，解决上学难问题，切实做到义务教育入学有保障</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完成支付义务教育阶段贫困非寄宿生生活补助19.4万元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全年预算贫困非寄宿生资金1.06万元，惠及贫困寄宿生776人次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19.40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19.40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19.40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19.40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项目完成较好，贫困非寄宿生上学困难问题得到解决，切实做到义务教育阶段学生入学有保障，全力推动乡村振兴。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项目负责人：杜军林</w:t>
            </w:r>
          </w:p>
        </w:tc>
        <w:tc>
          <w:tcPr>
            <w:tcW w:w="46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财务负责人：隆和平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5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8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0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3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1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51082322T000005310767</w:t>
            </w:r>
            <w:r>
              <w:rPr>
                <w:rFonts w:hint="eastAsia" w:ascii="宋体" w:hAnsi="宋体" w:cs="宋体"/>
                <w:i w:val="0"/>
                <w:iCs w:val="0"/>
                <w:color w:val="auto"/>
                <w:kern w:val="0"/>
                <w:sz w:val="18"/>
                <w:szCs w:val="18"/>
                <w:highlight w:val="none"/>
                <w:u w:val="none"/>
                <w:lang w:val="en-US" w:eastAsia="zh-CN" w:bidi="ar"/>
              </w:rPr>
              <w:t>－</w:t>
            </w:r>
            <w:r>
              <w:rPr>
                <w:rFonts w:ascii="宋体" w:hAnsi="宋体" w:eastAsia="宋体" w:cs="宋体"/>
                <w:i w:val="0"/>
                <w:iCs w:val="0"/>
                <w:color w:val="auto"/>
                <w:kern w:val="0"/>
                <w:sz w:val="18"/>
                <w:szCs w:val="18"/>
                <w:highlight w:val="none"/>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剑阁县教育局部门</w:t>
            </w:r>
          </w:p>
        </w:tc>
        <w:tc>
          <w:tcPr>
            <w:tcW w:w="10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剑阁县白龙镇小学校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补助学前教育阶段贫困学生保教费，解决上学难问题，切实做到学前教育入学有保障</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完成全年学前教育免保教费发放工作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按时完成全年学前教育免保教费发放工作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45.90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39.70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86.49%</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45.90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39.70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86.49%</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项目完成较好学前教育贫困学生入学得到有效保障。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项目负责人：杜军林</w:t>
            </w:r>
          </w:p>
        </w:tc>
        <w:tc>
          <w:tcPr>
            <w:tcW w:w="46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财务负责人：隆和平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259"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8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0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83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00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13"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51082322T000005313569</w:t>
            </w:r>
            <w:r>
              <w:rPr>
                <w:rFonts w:hint="eastAsia" w:ascii="宋体" w:hAnsi="宋体" w:cs="宋体"/>
                <w:i w:val="0"/>
                <w:iCs w:val="0"/>
                <w:color w:val="auto"/>
                <w:kern w:val="0"/>
                <w:sz w:val="18"/>
                <w:szCs w:val="18"/>
                <w:highlight w:val="none"/>
                <w:u w:val="none"/>
                <w:lang w:val="en-US" w:eastAsia="zh-CN" w:bidi="ar"/>
              </w:rPr>
              <w:t>－</w:t>
            </w:r>
            <w:r>
              <w:rPr>
                <w:rFonts w:ascii="宋体" w:hAnsi="宋体" w:eastAsia="宋体" w:cs="宋体"/>
                <w:i w:val="0"/>
                <w:iCs w:val="0"/>
                <w:color w:val="auto"/>
                <w:kern w:val="0"/>
                <w:sz w:val="18"/>
                <w:szCs w:val="18"/>
                <w:highlight w:val="none"/>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剑阁县教育局部门</w:t>
            </w:r>
          </w:p>
        </w:tc>
        <w:tc>
          <w:tcPr>
            <w:tcW w:w="10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2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剑阁县白龙镇小学校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43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保障少年宫活动正常开展</w:t>
            </w:r>
          </w:p>
        </w:tc>
        <w:tc>
          <w:tcPr>
            <w:tcW w:w="3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73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保障少年宫活动正常开展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2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项目实施较好，提高了办学条件及办学质量。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90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项目负责人：杜军林</w:t>
            </w:r>
          </w:p>
        </w:tc>
        <w:tc>
          <w:tcPr>
            <w:tcW w:w="46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财务负责人：隆和平</w:t>
            </w:r>
          </w:p>
        </w:tc>
      </w:tr>
    </w:tbl>
    <w:p>
      <w:pPr>
        <w:spacing w:line="360" w:lineRule="auto"/>
        <w:ind w:firstLine="960" w:firstLineChars="300"/>
        <w:jc w:val="left"/>
        <w:rPr>
          <w:rFonts w:hint="eastAsia" w:asciiTheme="minorEastAsia" w:hAnsiTheme="minorEastAsia"/>
          <w:color w:val="auto"/>
          <w:sz w:val="32"/>
          <w:szCs w:val="32"/>
          <w:highlight w:val="none"/>
          <w:lang w:val="zh-CN" w:bidi="zh-CN"/>
        </w:rPr>
      </w:pPr>
    </w:p>
    <w:bookmarkEnd w:id="56"/>
    <w:bookmarkEnd w:id="59"/>
    <w:p>
      <w:pPr>
        <w:spacing w:line="600" w:lineRule="exact"/>
        <w:jc w:val="center"/>
        <w:outlineLvl w:val="0"/>
        <w:rPr>
          <w:rStyle w:val="17"/>
          <w:rFonts w:ascii="黑体" w:hAnsi="黑体" w:eastAsia="黑体"/>
          <w:b w:val="0"/>
          <w:color w:val="auto"/>
          <w:highlight w:val="none"/>
        </w:rPr>
      </w:pPr>
      <w:bookmarkStart w:id="62" w:name="_Toc15396618"/>
      <w:bookmarkStart w:id="63" w:name="_Toc15396619"/>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w:t>
      </w:r>
      <w:r>
        <w:rPr>
          <w:rStyle w:val="17"/>
          <w:rFonts w:ascii="黑体" w:hAnsi="黑体" w:eastAsia="黑体"/>
          <w:b w:val="0"/>
          <w:color w:val="auto"/>
          <w:highlight w:val="none"/>
        </w:rPr>
        <w:t xml:space="preserve"> </w:t>
      </w:r>
      <w:r>
        <w:rPr>
          <w:rStyle w:val="17"/>
          <w:rFonts w:hint="eastAsia" w:ascii="黑体" w:hAnsi="黑体" w:eastAsia="黑体"/>
          <w:b w:val="0"/>
          <w:color w:val="auto"/>
          <w:highlight w:val="none"/>
        </w:rPr>
        <w:t>附表</w:t>
      </w:r>
      <w:bookmarkEnd w:id="62"/>
    </w:p>
    <w:p>
      <w:pPr>
        <w:spacing w:line="600" w:lineRule="exact"/>
        <w:outlineLvl w:val="0"/>
        <w:rPr>
          <w:rStyle w:val="17"/>
          <w:rFonts w:ascii="黑体" w:hAnsi="黑体" w:eastAsia="黑体"/>
          <w:b w:val="0"/>
          <w:color w:val="auto"/>
          <w:highlight w:val="none"/>
        </w:rPr>
      </w:pPr>
    </w:p>
    <w:p>
      <w:pPr>
        <w:pStyle w:val="3"/>
        <w:spacing w:line="60" w:lineRule="auto"/>
        <w:rPr>
          <w:rFonts w:ascii="仿宋" w:hAnsi="仿宋" w:eastAsia="仿宋" w:cs="Times New Roman"/>
          <w:color w:val="auto"/>
          <w:highlight w:val="none"/>
        </w:rPr>
      </w:pPr>
      <w:r>
        <w:rPr>
          <w:rFonts w:hint="eastAsia" w:ascii="仿宋" w:hAnsi="仿宋" w:eastAsia="仿宋" w:cs="仿宋"/>
          <w:b w:val="0"/>
          <w:bCs w:val="0"/>
          <w:color w:val="auto"/>
          <w:highlight w:val="none"/>
        </w:rPr>
        <w:t>一、收</w:t>
      </w:r>
      <w:r>
        <w:rPr>
          <w:rStyle w:val="18"/>
          <w:rFonts w:hint="eastAsia" w:ascii="仿宋" w:hAnsi="仿宋" w:eastAsia="仿宋" w:cs="仿宋"/>
          <w:b w:val="0"/>
          <w:bCs w:val="0"/>
          <w:color w:val="auto"/>
          <w:highlight w:val="none"/>
        </w:rPr>
        <w:t>入支出决算总表</w:t>
      </w:r>
      <w:bookmarkEnd w:id="63"/>
    </w:p>
    <w:p>
      <w:pPr>
        <w:pStyle w:val="3"/>
        <w:spacing w:line="60" w:lineRule="auto"/>
        <w:rPr>
          <w:rFonts w:ascii="仿宋" w:hAnsi="仿宋" w:eastAsia="仿宋" w:cs="Times New Roman"/>
          <w:color w:val="auto"/>
          <w:highlight w:val="none"/>
        </w:rPr>
      </w:pPr>
      <w:bookmarkStart w:id="64" w:name="_Toc15396620"/>
      <w:r>
        <w:rPr>
          <w:rFonts w:hint="eastAsia" w:ascii="仿宋" w:hAnsi="仿宋" w:eastAsia="仿宋" w:cs="仿宋"/>
          <w:b w:val="0"/>
          <w:bCs w:val="0"/>
          <w:color w:val="auto"/>
          <w:highlight w:val="none"/>
        </w:rPr>
        <w:t>二、收</w:t>
      </w:r>
      <w:r>
        <w:rPr>
          <w:rStyle w:val="18"/>
          <w:rFonts w:hint="eastAsia" w:ascii="仿宋" w:hAnsi="仿宋" w:eastAsia="仿宋" w:cs="仿宋"/>
          <w:b w:val="0"/>
          <w:bCs w:val="0"/>
          <w:color w:val="auto"/>
          <w:highlight w:val="none"/>
        </w:rPr>
        <w:t>入决算表</w:t>
      </w:r>
      <w:bookmarkEnd w:id="64"/>
    </w:p>
    <w:p>
      <w:pPr>
        <w:pStyle w:val="3"/>
        <w:spacing w:line="60" w:lineRule="auto"/>
        <w:rPr>
          <w:rFonts w:ascii="仿宋" w:hAnsi="仿宋" w:eastAsia="仿宋" w:cs="Times New Roman"/>
          <w:color w:val="auto"/>
          <w:highlight w:val="none"/>
        </w:rPr>
      </w:pPr>
      <w:bookmarkStart w:id="65" w:name="_Toc15396621"/>
      <w:r>
        <w:rPr>
          <w:rStyle w:val="18"/>
          <w:rFonts w:hint="eastAsia" w:ascii="仿宋" w:hAnsi="仿宋" w:eastAsia="仿宋" w:cs="仿宋"/>
          <w:b w:val="0"/>
          <w:bCs w:val="0"/>
          <w:color w:val="auto"/>
          <w:highlight w:val="none"/>
        </w:rPr>
        <w:t>三、</w:t>
      </w:r>
      <w:r>
        <w:rPr>
          <w:rFonts w:hint="eastAsia" w:ascii="仿宋" w:hAnsi="仿宋" w:eastAsia="仿宋" w:cs="仿宋"/>
          <w:b w:val="0"/>
          <w:bCs w:val="0"/>
          <w:color w:val="auto"/>
          <w:highlight w:val="none"/>
        </w:rPr>
        <w:t>支</w:t>
      </w:r>
      <w:r>
        <w:rPr>
          <w:rStyle w:val="18"/>
          <w:rFonts w:hint="eastAsia" w:ascii="仿宋" w:hAnsi="仿宋" w:eastAsia="仿宋" w:cs="仿宋"/>
          <w:b w:val="0"/>
          <w:bCs w:val="0"/>
          <w:color w:val="auto"/>
          <w:highlight w:val="none"/>
        </w:rPr>
        <w:t>出决算表</w:t>
      </w:r>
      <w:bookmarkEnd w:id="65"/>
    </w:p>
    <w:p>
      <w:pPr>
        <w:pStyle w:val="3"/>
        <w:spacing w:line="60" w:lineRule="auto"/>
        <w:rPr>
          <w:rFonts w:ascii="仿宋" w:hAnsi="仿宋" w:eastAsia="仿宋" w:cs="Times New Roman"/>
          <w:b w:val="0"/>
          <w:bCs w:val="0"/>
          <w:color w:val="auto"/>
          <w:highlight w:val="none"/>
        </w:rPr>
      </w:pPr>
      <w:bookmarkStart w:id="66" w:name="_Toc15396622"/>
      <w:r>
        <w:rPr>
          <w:rStyle w:val="18"/>
          <w:rFonts w:hint="eastAsia" w:ascii="仿宋" w:hAnsi="仿宋" w:eastAsia="仿宋" w:cs="仿宋"/>
          <w:b w:val="0"/>
          <w:bCs w:val="0"/>
          <w:color w:val="auto"/>
          <w:highlight w:val="none"/>
        </w:rPr>
        <w:t>四、</w:t>
      </w:r>
      <w:r>
        <w:rPr>
          <w:rFonts w:hint="eastAsia" w:ascii="仿宋" w:hAnsi="仿宋" w:eastAsia="仿宋" w:cs="仿宋"/>
          <w:b w:val="0"/>
          <w:bCs w:val="0"/>
          <w:color w:val="auto"/>
          <w:highlight w:val="none"/>
        </w:rPr>
        <w:t>财</w:t>
      </w:r>
      <w:r>
        <w:rPr>
          <w:rStyle w:val="18"/>
          <w:rFonts w:hint="eastAsia" w:ascii="仿宋" w:hAnsi="仿宋" w:eastAsia="仿宋" w:cs="仿宋"/>
          <w:b w:val="0"/>
          <w:bCs w:val="0"/>
          <w:color w:val="auto"/>
          <w:highlight w:val="none"/>
        </w:rPr>
        <w:t>政拨款收入支出决算总表</w:t>
      </w:r>
      <w:bookmarkEnd w:id="66"/>
    </w:p>
    <w:p>
      <w:pPr>
        <w:pStyle w:val="3"/>
        <w:spacing w:line="60" w:lineRule="auto"/>
        <w:rPr>
          <w:rStyle w:val="18"/>
          <w:rFonts w:ascii="仿宋" w:hAnsi="仿宋" w:eastAsia="仿宋" w:cs="Times New Roman"/>
          <w:b w:val="0"/>
          <w:bCs w:val="0"/>
          <w:color w:val="auto"/>
          <w:highlight w:val="none"/>
        </w:rPr>
      </w:pPr>
      <w:bookmarkStart w:id="67" w:name="_Toc15396623"/>
      <w:r>
        <w:rPr>
          <w:rStyle w:val="18"/>
          <w:rFonts w:hint="eastAsia" w:ascii="仿宋" w:hAnsi="仿宋" w:eastAsia="仿宋" w:cs="仿宋"/>
          <w:b w:val="0"/>
          <w:bCs w:val="0"/>
          <w:color w:val="auto"/>
          <w:highlight w:val="none"/>
        </w:rPr>
        <w:t>五、</w:t>
      </w:r>
      <w:r>
        <w:rPr>
          <w:rFonts w:hint="eastAsia" w:ascii="仿宋" w:hAnsi="仿宋" w:eastAsia="仿宋" w:cs="仿宋"/>
          <w:b w:val="0"/>
          <w:bCs w:val="0"/>
          <w:color w:val="auto"/>
          <w:highlight w:val="none"/>
        </w:rPr>
        <w:t>财</w:t>
      </w:r>
      <w:r>
        <w:rPr>
          <w:rStyle w:val="18"/>
          <w:rFonts w:hint="eastAsia" w:ascii="仿宋" w:hAnsi="仿宋" w:eastAsia="仿宋" w:cs="仿宋"/>
          <w:b w:val="0"/>
          <w:bCs w:val="0"/>
          <w:color w:val="auto"/>
          <w:highlight w:val="none"/>
        </w:rPr>
        <w:t>政拨款支出决算明细表</w:t>
      </w:r>
      <w:bookmarkEnd w:id="67"/>
      <w:bookmarkStart w:id="68" w:name="_Toc15396624"/>
    </w:p>
    <w:p>
      <w:pPr>
        <w:pStyle w:val="3"/>
        <w:spacing w:line="60" w:lineRule="auto"/>
        <w:rPr>
          <w:rFonts w:ascii="仿宋" w:hAnsi="仿宋" w:eastAsia="仿宋" w:cs="Times New Roman"/>
          <w:color w:val="auto"/>
          <w:highlight w:val="none"/>
        </w:rPr>
      </w:pPr>
      <w:r>
        <w:rPr>
          <w:rStyle w:val="18"/>
          <w:rFonts w:hint="eastAsia" w:ascii="仿宋" w:hAnsi="仿宋" w:eastAsia="仿宋" w:cs="仿宋"/>
          <w:b w:val="0"/>
          <w:bCs w:val="0"/>
          <w:color w:val="auto"/>
          <w:highlight w:val="none"/>
        </w:rPr>
        <w:t>六、</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般公共预算财政拨款支出决算表</w:t>
      </w:r>
      <w:bookmarkEnd w:id="68"/>
    </w:p>
    <w:p>
      <w:pPr>
        <w:pStyle w:val="3"/>
        <w:spacing w:line="60" w:lineRule="auto"/>
        <w:rPr>
          <w:rFonts w:ascii="仿宋" w:hAnsi="仿宋" w:eastAsia="仿宋" w:cs="Times New Roman"/>
          <w:color w:val="auto"/>
          <w:highlight w:val="none"/>
        </w:rPr>
      </w:pPr>
      <w:bookmarkStart w:id="69" w:name="_Toc15396625"/>
      <w:r>
        <w:rPr>
          <w:rStyle w:val="18"/>
          <w:rFonts w:hint="eastAsia" w:ascii="仿宋" w:hAnsi="仿宋" w:eastAsia="仿宋" w:cs="仿宋"/>
          <w:b w:val="0"/>
          <w:bCs w:val="0"/>
          <w:color w:val="auto"/>
          <w:highlight w:val="none"/>
        </w:rPr>
        <w:t>七、</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般公共预算财政拨款支出决算明细表</w:t>
      </w:r>
      <w:bookmarkEnd w:id="69"/>
    </w:p>
    <w:p>
      <w:pPr>
        <w:pStyle w:val="3"/>
        <w:spacing w:line="60" w:lineRule="auto"/>
        <w:rPr>
          <w:rFonts w:ascii="仿宋" w:hAnsi="仿宋" w:eastAsia="仿宋" w:cs="Times New Roman"/>
          <w:color w:val="auto"/>
          <w:highlight w:val="none"/>
        </w:rPr>
      </w:pPr>
      <w:bookmarkStart w:id="70" w:name="_Toc15396626"/>
      <w:r>
        <w:rPr>
          <w:rStyle w:val="18"/>
          <w:rFonts w:hint="eastAsia" w:ascii="仿宋" w:hAnsi="仿宋" w:eastAsia="仿宋" w:cs="仿宋"/>
          <w:b w:val="0"/>
          <w:bCs w:val="0"/>
          <w:color w:val="auto"/>
          <w:highlight w:val="none"/>
        </w:rPr>
        <w:t>八、</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般公共预算财政拨款基本支出决算表</w:t>
      </w:r>
      <w:bookmarkEnd w:id="70"/>
    </w:p>
    <w:p>
      <w:pPr>
        <w:pStyle w:val="3"/>
        <w:spacing w:line="60" w:lineRule="auto"/>
        <w:rPr>
          <w:rFonts w:ascii="仿宋" w:hAnsi="仿宋" w:eastAsia="仿宋" w:cs="Times New Roman"/>
          <w:color w:val="auto"/>
          <w:highlight w:val="none"/>
        </w:rPr>
      </w:pPr>
      <w:bookmarkStart w:id="71" w:name="_Toc15396627"/>
      <w:r>
        <w:rPr>
          <w:rStyle w:val="18"/>
          <w:rFonts w:hint="eastAsia" w:ascii="仿宋" w:hAnsi="仿宋" w:eastAsia="仿宋" w:cs="仿宋"/>
          <w:b w:val="0"/>
          <w:bCs w:val="0"/>
          <w:color w:val="auto"/>
          <w:highlight w:val="none"/>
        </w:rPr>
        <w:t>九、</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般公共预算财政拨款项目支出决算表</w:t>
      </w:r>
      <w:bookmarkEnd w:id="71"/>
    </w:p>
    <w:p>
      <w:pPr>
        <w:pStyle w:val="3"/>
        <w:spacing w:line="60" w:lineRule="auto"/>
        <w:rPr>
          <w:rFonts w:ascii="仿宋" w:hAnsi="仿宋" w:eastAsia="仿宋" w:cs="Times New Roman"/>
          <w:color w:val="auto"/>
          <w:highlight w:val="none"/>
        </w:rPr>
      </w:pPr>
      <w:bookmarkStart w:id="72" w:name="_Toc15396628"/>
      <w:r>
        <w:rPr>
          <w:rStyle w:val="18"/>
          <w:rFonts w:hint="eastAsia" w:ascii="仿宋" w:hAnsi="仿宋" w:eastAsia="仿宋" w:cs="仿宋"/>
          <w:b w:val="0"/>
          <w:bCs w:val="0"/>
          <w:color w:val="auto"/>
          <w:highlight w:val="none"/>
        </w:rPr>
        <w:t>十、</w:t>
      </w:r>
      <w:r>
        <w:rPr>
          <w:rFonts w:hint="eastAsia" w:ascii="仿宋" w:hAnsi="仿宋" w:eastAsia="仿宋" w:cs="仿宋"/>
          <w:b w:val="0"/>
          <w:bCs w:val="0"/>
          <w:color w:val="auto"/>
          <w:highlight w:val="none"/>
        </w:rPr>
        <w:t>一</w:t>
      </w:r>
      <w:r>
        <w:rPr>
          <w:rStyle w:val="18"/>
          <w:rFonts w:hint="eastAsia" w:ascii="仿宋" w:hAnsi="仿宋" w:eastAsia="仿宋" w:cs="仿宋"/>
          <w:b w:val="0"/>
          <w:bCs w:val="0"/>
          <w:color w:val="auto"/>
          <w:highlight w:val="none"/>
        </w:rPr>
        <w:t>般公共预算财政拨款“三公”经费支出决算表</w:t>
      </w:r>
      <w:bookmarkEnd w:id="72"/>
    </w:p>
    <w:p>
      <w:pPr>
        <w:pStyle w:val="3"/>
        <w:spacing w:line="60" w:lineRule="auto"/>
        <w:rPr>
          <w:rFonts w:ascii="仿宋" w:hAnsi="仿宋" w:eastAsia="仿宋" w:cs="Times New Roman"/>
          <w:color w:val="auto"/>
          <w:highlight w:val="none"/>
        </w:rPr>
      </w:pPr>
      <w:bookmarkStart w:id="73" w:name="_Toc15396629"/>
      <w:r>
        <w:rPr>
          <w:rStyle w:val="18"/>
          <w:rFonts w:hint="eastAsia" w:ascii="仿宋" w:hAnsi="仿宋" w:eastAsia="仿宋" w:cs="仿宋"/>
          <w:b w:val="0"/>
          <w:bCs w:val="0"/>
          <w:color w:val="auto"/>
          <w:highlight w:val="none"/>
        </w:rPr>
        <w:t>十一、</w:t>
      </w:r>
      <w:r>
        <w:rPr>
          <w:rFonts w:hint="eastAsia" w:ascii="仿宋" w:hAnsi="仿宋" w:eastAsia="仿宋" w:cs="仿宋"/>
          <w:b w:val="0"/>
          <w:bCs w:val="0"/>
          <w:color w:val="auto"/>
          <w:highlight w:val="none"/>
        </w:rPr>
        <w:t>政</w:t>
      </w:r>
      <w:r>
        <w:rPr>
          <w:rStyle w:val="18"/>
          <w:rFonts w:hint="eastAsia" w:ascii="仿宋" w:hAnsi="仿宋" w:eastAsia="仿宋" w:cs="仿宋"/>
          <w:b w:val="0"/>
          <w:bCs w:val="0"/>
          <w:color w:val="auto"/>
          <w:highlight w:val="none"/>
        </w:rPr>
        <w:t>府性基金预算财政拨款收入支出决算表</w:t>
      </w:r>
      <w:bookmarkEnd w:id="73"/>
    </w:p>
    <w:p>
      <w:pPr>
        <w:pStyle w:val="3"/>
        <w:spacing w:line="60" w:lineRule="auto"/>
        <w:rPr>
          <w:rFonts w:ascii="仿宋" w:hAnsi="仿宋" w:eastAsia="仿宋" w:cs="Times New Roman"/>
          <w:color w:val="auto"/>
          <w:highlight w:val="none"/>
        </w:rPr>
      </w:pPr>
      <w:bookmarkStart w:id="74" w:name="_Toc15396630"/>
      <w:r>
        <w:rPr>
          <w:rStyle w:val="18"/>
          <w:rFonts w:hint="eastAsia" w:ascii="仿宋" w:hAnsi="仿宋" w:eastAsia="仿宋" w:cs="仿宋"/>
          <w:b w:val="0"/>
          <w:bCs w:val="0"/>
          <w:color w:val="auto"/>
          <w:highlight w:val="none"/>
        </w:rPr>
        <w:t>十二、</w:t>
      </w:r>
      <w:r>
        <w:rPr>
          <w:rFonts w:hint="eastAsia" w:ascii="仿宋" w:hAnsi="仿宋" w:eastAsia="仿宋" w:cs="仿宋"/>
          <w:b w:val="0"/>
          <w:bCs w:val="0"/>
          <w:color w:val="auto"/>
          <w:highlight w:val="none"/>
        </w:rPr>
        <w:t>政</w:t>
      </w:r>
      <w:r>
        <w:rPr>
          <w:rStyle w:val="18"/>
          <w:rFonts w:hint="eastAsia" w:ascii="仿宋" w:hAnsi="仿宋" w:eastAsia="仿宋" w:cs="仿宋"/>
          <w:b w:val="0"/>
          <w:bCs w:val="0"/>
          <w:color w:val="auto"/>
          <w:highlight w:val="none"/>
        </w:rPr>
        <w:t>府性基金预算财政拨款“三公”经费支出决算表</w:t>
      </w:r>
      <w:bookmarkEnd w:id="74"/>
    </w:p>
    <w:p>
      <w:pPr>
        <w:pStyle w:val="3"/>
        <w:spacing w:line="60" w:lineRule="auto"/>
        <w:rPr>
          <w:rFonts w:ascii="仿宋" w:hAnsi="仿宋" w:eastAsia="仿宋" w:cs="Times New Roman"/>
          <w:b w:val="0"/>
          <w:bCs w:val="0"/>
          <w:color w:val="auto"/>
          <w:highlight w:val="none"/>
        </w:rPr>
      </w:pPr>
      <w:bookmarkStart w:id="75" w:name="_Toc15396631"/>
      <w:r>
        <w:rPr>
          <w:rStyle w:val="18"/>
          <w:rFonts w:hint="eastAsia" w:ascii="仿宋" w:hAnsi="仿宋" w:eastAsia="仿宋" w:cs="仿宋"/>
          <w:b w:val="0"/>
          <w:bCs w:val="0"/>
          <w:color w:val="auto"/>
          <w:highlight w:val="none"/>
        </w:rPr>
        <w:t>十三、</w:t>
      </w:r>
      <w:r>
        <w:rPr>
          <w:rFonts w:hint="eastAsia" w:ascii="仿宋" w:hAnsi="仿宋" w:eastAsia="仿宋" w:cs="仿宋"/>
          <w:b w:val="0"/>
          <w:bCs w:val="0"/>
          <w:color w:val="auto"/>
          <w:highlight w:val="none"/>
        </w:rPr>
        <w:t>国</w:t>
      </w:r>
      <w:r>
        <w:rPr>
          <w:rStyle w:val="18"/>
          <w:rFonts w:hint="eastAsia" w:ascii="仿宋" w:hAnsi="仿宋" w:eastAsia="仿宋" w:cs="仿宋"/>
          <w:b w:val="0"/>
          <w:bCs w:val="0"/>
          <w:color w:val="auto"/>
          <w:highlight w:val="none"/>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等线">
    <w:altName w:val="Mangal"/>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19</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oNotHyphenateCaps/>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03007"/>
    <w:rsid w:val="000067B8"/>
    <w:rsid w:val="000222C6"/>
    <w:rsid w:val="0002549F"/>
    <w:rsid w:val="00030DB2"/>
    <w:rsid w:val="000468DB"/>
    <w:rsid w:val="00055309"/>
    <w:rsid w:val="0006487A"/>
    <w:rsid w:val="00065F8F"/>
    <w:rsid w:val="000701C3"/>
    <w:rsid w:val="00070A43"/>
    <w:rsid w:val="00073F65"/>
    <w:rsid w:val="000768F2"/>
    <w:rsid w:val="0009184B"/>
    <w:rsid w:val="00094236"/>
    <w:rsid w:val="0009593C"/>
    <w:rsid w:val="00097322"/>
    <w:rsid w:val="000A6A92"/>
    <w:rsid w:val="000B047F"/>
    <w:rsid w:val="000B4682"/>
    <w:rsid w:val="000B5923"/>
    <w:rsid w:val="000B5A48"/>
    <w:rsid w:val="000B6FF3"/>
    <w:rsid w:val="000C3467"/>
    <w:rsid w:val="000C36EF"/>
    <w:rsid w:val="000C3CA6"/>
    <w:rsid w:val="000D1267"/>
    <w:rsid w:val="000D139A"/>
    <w:rsid w:val="000D1D50"/>
    <w:rsid w:val="000D4613"/>
    <w:rsid w:val="000D5782"/>
    <w:rsid w:val="000E0605"/>
    <w:rsid w:val="000E0648"/>
    <w:rsid w:val="000E6613"/>
    <w:rsid w:val="000E7119"/>
    <w:rsid w:val="00104461"/>
    <w:rsid w:val="00114E9B"/>
    <w:rsid w:val="00142216"/>
    <w:rsid w:val="00144D6A"/>
    <w:rsid w:val="0014729F"/>
    <w:rsid w:val="001473F7"/>
    <w:rsid w:val="00151806"/>
    <w:rsid w:val="00156C69"/>
    <w:rsid w:val="00157BAB"/>
    <w:rsid w:val="001654D1"/>
    <w:rsid w:val="00165CEB"/>
    <w:rsid w:val="0016640D"/>
    <w:rsid w:val="00174518"/>
    <w:rsid w:val="0018106D"/>
    <w:rsid w:val="001877A7"/>
    <w:rsid w:val="00191536"/>
    <w:rsid w:val="0019410E"/>
    <w:rsid w:val="00196687"/>
    <w:rsid w:val="001A33D4"/>
    <w:rsid w:val="001A33EC"/>
    <w:rsid w:val="001C0962"/>
    <w:rsid w:val="001D1929"/>
    <w:rsid w:val="001D4355"/>
    <w:rsid w:val="001D7531"/>
    <w:rsid w:val="001E1B28"/>
    <w:rsid w:val="001E737D"/>
    <w:rsid w:val="001E7478"/>
    <w:rsid w:val="001F0592"/>
    <w:rsid w:val="001F7506"/>
    <w:rsid w:val="0020055F"/>
    <w:rsid w:val="002006CD"/>
    <w:rsid w:val="002020C4"/>
    <w:rsid w:val="00202B36"/>
    <w:rsid w:val="00204B7A"/>
    <w:rsid w:val="00204CDE"/>
    <w:rsid w:val="00210C58"/>
    <w:rsid w:val="0021101A"/>
    <w:rsid w:val="00214A91"/>
    <w:rsid w:val="00214DBC"/>
    <w:rsid w:val="002156AD"/>
    <w:rsid w:val="00220536"/>
    <w:rsid w:val="002208F7"/>
    <w:rsid w:val="00220B9E"/>
    <w:rsid w:val="00226C7A"/>
    <w:rsid w:val="00226F13"/>
    <w:rsid w:val="00235629"/>
    <w:rsid w:val="00243CEF"/>
    <w:rsid w:val="002555B9"/>
    <w:rsid w:val="00260C38"/>
    <w:rsid w:val="002616C0"/>
    <w:rsid w:val="00265372"/>
    <w:rsid w:val="002662AA"/>
    <w:rsid w:val="002704C0"/>
    <w:rsid w:val="002707F7"/>
    <w:rsid w:val="00271CF6"/>
    <w:rsid w:val="00280496"/>
    <w:rsid w:val="00294DC9"/>
    <w:rsid w:val="00295495"/>
    <w:rsid w:val="002A0C99"/>
    <w:rsid w:val="002A1342"/>
    <w:rsid w:val="002A2CC0"/>
    <w:rsid w:val="002A31DE"/>
    <w:rsid w:val="002A4D40"/>
    <w:rsid w:val="002B2613"/>
    <w:rsid w:val="002B2A29"/>
    <w:rsid w:val="002C455E"/>
    <w:rsid w:val="002D19B0"/>
    <w:rsid w:val="002D5C04"/>
    <w:rsid w:val="002D6D05"/>
    <w:rsid w:val="002E7209"/>
    <w:rsid w:val="002F1818"/>
    <w:rsid w:val="002F43DE"/>
    <w:rsid w:val="002F567B"/>
    <w:rsid w:val="00304381"/>
    <w:rsid w:val="00306124"/>
    <w:rsid w:val="00311839"/>
    <w:rsid w:val="003216A9"/>
    <w:rsid w:val="00324794"/>
    <w:rsid w:val="00335A74"/>
    <w:rsid w:val="00341D2A"/>
    <w:rsid w:val="00361BD4"/>
    <w:rsid w:val="0036561B"/>
    <w:rsid w:val="0037013F"/>
    <w:rsid w:val="003716BF"/>
    <w:rsid w:val="00372531"/>
    <w:rsid w:val="00374E4B"/>
    <w:rsid w:val="00380C92"/>
    <w:rsid w:val="00385D17"/>
    <w:rsid w:val="00385DB8"/>
    <w:rsid w:val="003A484F"/>
    <w:rsid w:val="003A4883"/>
    <w:rsid w:val="003B0BE0"/>
    <w:rsid w:val="003B0C1B"/>
    <w:rsid w:val="003B688C"/>
    <w:rsid w:val="003C0291"/>
    <w:rsid w:val="003C08AD"/>
    <w:rsid w:val="003C0F9E"/>
    <w:rsid w:val="003C2DF8"/>
    <w:rsid w:val="003C2F79"/>
    <w:rsid w:val="003C39AE"/>
    <w:rsid w:val="003C7B60"/>
    <w:rsid w:val="003D0C0F"/>
    <w:rsid w:val="003D1FB2"/>
    <w:rsid w:val="003D66DA"/>
    <w:rsid w:val="003E1310"/>
    <w:rsid w:val="003E6F55"/>
    <w:rsid w:val="003F301B"/>
    <w:rsid w:val="003F5914"/>
    <w:rsid w:val="00401CF3"/>
    <w:rsid w:val="00406254"/>
    <w:rsid w:val="0040793D"/>
    <w:rsid w:val="00416CD4"/>
    <w:rsid w:val="004223DE"/>
    <w:rsid w:val="00434489"/>
    <w:rsid w:val="00437085"/>
    <w:rsid w:val="00442D9A"/>
    <w:rsid w:val="00443880"/>
    <w:rsid w:val="004464F4"/>
    <w:rsid w:val="004656A7"/>
    <w:rsid w:val="004656D5"/>
    <w:rsid w:val="00471401"/>
    <w:rsid w:val="00472E0A"/>
    <w:rsid w:val="00473F31"/>
    <w:rsid w:val="0048263A"/>
    <w:rsid w:val="00484162"/>
    <w:rsid w:val="00487E5D"/>
    <w:rsid w:val="00496D3A"/>
    <w:rsid w:val="004A711F"/>
    <w:rsid w:val="004B199D"/>
    <w:rsid w:val="004B4690"/>
    <w:rsid w:val="004E0A2D"/>
    <w:rsid w:val="004E206B"/>
    <w:rsid w:val="004E356B"/>
    <w:rsid w:val="004E6DF7"/>
    <w:rsid w:val="004F0FBD"/>
    <w:rsid w:val="004F403E"/>
    <w:rsid w:val="00502D3A"/>
    <w:rsid w:val="00505A47"/>
    <w:rsid w:val="00512FDA"/>
    <w:rsid w:val="00520DA0"/>
    <w:rsid w:val="005354E0"/>
    <w:rsid w:val="00551E60"/>
    <w:rsid w:val="005664BB"/>
    <w:rsid w:val="00566FFA"/>
    <w:rsid w:val="0057481D"/>
    <w:rsid w:val="00575F0B"/>
    <w:rsid w:val="005816E7"/>
    <w:rsid w:val="00582563"/>
    <w:rsid w:val="0058486E"/>
    <w:rsid w:val="00585B33"/>
    <w:rsid w:val="0059014D"/>
    <w:rsid w:val="005A3385"/>
    <w:rsid w:val="005A4923"/>
    <w:rsid w:val="005A6963"/>
    <w:rsid w:val="005B5C64"/>
    <w:rsid w:val="005C6BD0"/>
    <w:rsid w:val="005C6C4C"/>
    <w:rsid w:val="005D1C8B"/>
    <w:rsid w:val="005D468D"/>
    <w:rsid w:val="005D5CED"/>
    <w:rsid w:val="005D5D72"/>
    <w:rsid w:val="005F1652"/>
    <w:rsid w:val="005F1A4C"/>
    <w:rsid w:val="005F1C4E"/>
    <w:rsid w:val="00605688"/>
    <w:rsid w:val="006070AF"/>
    <w:rsid w:val="00607E6C"/>
    <w:rsid w:val="00607FA1"/>
    <w:rsid w:val="006101B1"/>
    <w:rsid w:val="00614E44"/>
    <w:rsid w:val="0062270A"/>
    <w:rsid w:val="00622830"/>
    <w:rsid w:val="00623DA0"/>
    <w:rsid w:val="00625E33"/>
    <w:rsid w:val="006308C1"/>
    <w:rsid w:val="00630AEF"/>
    <w:rsid w:val="006325F8"/>
    <w:rsid w:val="00633463"/>
    <w:rsid w:val="00634C9A"/>
    <w:rsid w:val="006440E4"/>
    <w:rsid w:val="0064737C"/>
    <w:rsid w:val="0066343B"/>
    <w:rsid w:val="006634B3"/>
    <w:rsid w:val="00664777"/>
    <w:rsid w:val="006748A4"/>
    <w:rsid w:val="0067627A"/>
    <w:rsid w:val="00681A31"/>
    <w:rsid w:val="0068209F"/>
    <w:rsid w:val="00683E73"/>
    <w:rsid w:val="00691D7D"/>
    <w:rsid w:val="00695813"/>
    <w:rsid w:val="006A3141"/>
    <w:rsid w:val="006A5E34"/>
    <w:rsid w:val="006B044D"/>
    <w:rsid w:val="006B23BF"/>
    <w:rsid w:val="006B2422"/>
    <w:rsid w:val="006B2B9A"/>
    <w:rsid w:val="006B4E85"/>
    <w:rsid w:val="006B6701"/>
    <w:rsid w:val="006C1937"/>
    <w:rsid w:val="006D30EE"/>
    <w:rsid w:val="006F020C"/>
    <w:rsid w:val="006F2F08"/>
    <w:rsid w:val="00701AF2"/>
    <w:rsid w:val="0070267B"/>
    <w:rsid w:val="007118DA"/>
    <w:rsid w:val="007127B7"/>
    <w:rsid w:val="00713316"/>
    <w:rsid w:val="0071798E"/>
    <w:rsid w:val="007200B9"/>
    <w:rsid w:val="0072047C"/>
    <w:rsid w:val="00727533"/>
    <w:rsid w:val="00733A5B"/>
    <w:rsid w:val="00736C22"/>
    <w:rsid w:val="007416B6"/>
    <w:rsid w:val="00743478"/>
    <w:rsid w:val="00746F48"/>
    <w:rsid w:val="00751ED3"/>
    <w:rsid w:val="0075404D"/>
    <w:rsid w:val="0076182A"/>
    <w:rsid w:val="00767B7E"/>
    <w:rsid w:val="007704D0"/>
    <w:rsid w:val="007740C9"/>
    <w:rsid w:val="007741DF"/>
    <w:rsid w:val="00776E67"/>
    <w:rsid w:val="007770C3"/>
    <w:rsid w:val="00784055"/>
    <w:rsid w:val="00784D24"/>
    <w:rsid w:val="00785FBA"/>
    <w:rsid w:val="00786E4A"/>
    <w:rsid w:val="007875EB"/>
    <w:rsid w:val="00790072"/>
    <w:rsid w:val="0079426B"/>
    <w:rsid w:val="00794999"/>
    <w:rsid w:val="007960DB"/>
    <w:rsid w:val="007A15F5"/>
    <w:rsid w:val="007A2E6C"/>
    <w:rsid w:val="007A7458"/>
    <w:rsid w:val="007B06AF"/>
    <w:rsid w:val="007B5648"/>
    <w:rsid w:val="007C06F5"/>
    <w:rsid w:val="007C6473"/>
    <w:rsid w:val="007D1682"/>
    <w:rsid w:val="007D16AD"/>
    <w:rsid w:val="007D312A"/>
    <w:rsid w:val="007D3F19"/>
    <w:rsid w:val="007E23B0"/>
    <w:rsid w:val="007E25F6"/>
    <w:rsid w:val="007E501F"/>
    <w:rsid w:val="007E79B6"/>
    <w:rsid w:val="007F1860"/>
    <w:rsid w:val="007F1991"/>
    <w:rsid w:val="007F2C2F"/>
    <w:rsid w:val="007F55FC"/>
    <w:rsid w:val="007F562C"/>
    <w:rsid w:val="007F5665"/>
    <w:rsid w:val="007F6763"/>
    <w:rsid w:val="00800112"/>
    <w:rsid w:val="00803EAB"/>
    <w:rsid w:val="00810639"/>
    <w:rsid w:val="008129FD"/>
    <w:rsid w:val="00813348"/>
    <w:rsid w:val="00821E3D"/>
    <w:rsid w:val="008253BB"/>
    <w:rsid w:val="00833962"/>
    <w:rsid w:val="0083706E"/>
    <w:rsid w:val="008408F6"/>
    <w:rsid w:val="008423A5"/>
    <w:rsid w:val="00850625"/>
    <w:rsid w:val="00853718"/>
    <w:rsid w:val="0085517B"/>
    <w:rsid w:val="00855221"/>
    <w:rsid w:val="0085546B"/>
    <w:rsid w:val="00860645"/>
    <w:rsid w:val="00861DAF"/>
    <w:rsid w:val="00871F71"/>
    <w:rsid w:val="00872FD8"/>
    <w:rsid w:val="00885AF4"/>
    <w:rsid w:val="00886E1F"/>
    <w:rsid w:val="00887927"/>
    <w:rsid w:val="008939CD"/>
    <w:rsid w:val="008944B9"/>
    <w:rsid w:val="008B768C"/>
    <w:rsid w:val="008C284B"/>
    <w:rsid w:val="008C4DB1"/>
    <w:rsid w:val="008C4EAF"/>
    <w:rsid w:val="008C5176"/>
    <w:rsid w:val="008C7E8F"/>
    <w:rsid w:val="008C7FD0"/>
    <w:rsid w:val="008D7D90"/>
    <w:rsid w:val="008E018D"/>
    <w:rsid w:val="008E1DE7"/>
    <w:rsid w:val="008E5D50"/>
    <w:rsid w:val="008E707C"/>
    <w:rsid w:val="00900B08"/>
    <w:rsid w:val="00902155"/>
    <w:rsid w:val="00902FA3"/>
    <w:rsid w:val="00923564"/>
    <w:rsid w:val="0092392E"/>
    <w:rsid w:val="00924A76"/>
    <w:rsid w:val="009315F9"/>
    <w:rsid w:val="009330AA"/>
    <w:rsid w:val="00933499"/>
    <w:rsid w:val="00935C98"/>
    <w:rsid w:val="00941222"/>
    <w:rsid w:val="00943D55"/>
    <w:rsid w:val="00946945"/>
    <w:rsid w:val="00951248"/>
    <w:rsid w:val="0095152F"/>
    <w:rsid w:val="00954C49"/>
    <w:rsid w:val="00955E37"/>
    <w:rsid w:val="0097099F"/>
    <w:rsid w:val="00971997"/>
    <w:rsid w:val="00971FFC"/>
    <w:rsid w:val="00973491"/>
    <w:rsid w:val="0098127D"/>
    <w:rsid w:val="00985766"/>
    <w:rsid w:val="0098660A"/>
    <w:rsid w:val="009901AB"/>
    <w:rsid w:val="009925A2"/>
    <w:rsid w:val="009931C3"/>
    <w:rsid w:val="0099357F"/>
    <w:rsid w:val="009B2C43"/>
    <w:rsid w:val="009B4EAE"/>
    <w:rsid w:val="009B7573"/>
    <w:rsid w:val="009C22F4"/>
    <w:rsid w:val="009C2E98"/>
    <w:rsid w:val="009C37FB"/>
    <w:rsid w:val="009D162E"/>
    <w:rsid w:val="009D3226"/>
    <w:rsid w:val="009D3447"/>
    <w:rsid w:val="009D4711"/>
    <w:rsid w:val="009F1185"/>
    <w:rsid w:val="009F18CD"/>
    <w:rsid w:val="009F2A13"/>
    <w:rsid w:val="009F34BB"/>
    <w:rsid w:val="009F7527"/>
    <w:rsid w:val="009F7DCA"/>
    <w:rsid w:val="00A00AE8"/>
    <w:rsid w:val="00A039ED"/>
    <w:rsid w:val="00A04EB0"/>
    <w:rsid w:val="00A065A0"/>
    <w:rsid w:val="00A0679A"/>
    <w:rsid w:val="00A13CC1"/>
    <w:rsid w:val="00A16847"/>
    <w:rsid w:val="00A218F0"/>
    <w:rsid w:val="00A21ED8"/>
    <w:rsid w:val="00A237D8"/>
    <w:rsid w:val="00A268C4"/>
    <w:rsid w:val="00A307CD"/>
    <w:rsid w:val="00A331C8"/>
    <w:rsid w:val="00A35117"/>
    <w:rsid w:val="00A359D9"/>
    <w:rsid w:val="00A40A00"/>
    <w:rsid w:val="00A4142F"/>
    <w:rsid w:val="00A422EB"/>
    <w:rsid w:val="00A45BB7"/>
    <w:rsid w:val="00A53064"/>
    <w:rsid w:val="00A56DF2"/>
    <w:rsid w:val="00A56E6E"/>
    <w:rsid w:val="00A67AB5"/>
    <w:rsid w:val="00A733B2"/>
    <w:rsid w:val="00A741C2"/>
    <w:rsid w:val="00A814B8"/>
    <w:rsid w:val="00A87F45"/>
    <w:rsid w:val="00A91760"/>
    <w:rsid w:val="00A938A9"/>
    <w:rsid w:val="00A93B00"/>
    <w:rsid w:val="00A93C21"/>
    <w:rsid w:val="00AB64C9"/>
    <w:rsid w:val="00AC3038"/>
    <w:rsid w:val="00AC3C6A"/>
    <w:rsid w:val="00AC40B7"/>
    <w:rsid w:val="00AD0F83"/>
    <w:rsid w:val="00AD5620"/>
    <w:rsid w:val="00AD656B"/>
    <w:rsid w:val="00AD7C1B"/>
    <w:rsid w:val="00AE16BA"/>
    <w:rsid w:val="00AE1EBE"/>
    <w:rsid w:val="00AE5FD7"/>
    <w:rsid w:val="00AF2870"/>
    <w:rsid w:val="00B03C9D"/>
    <w:rsid w:val="00B05649"/>
    <w:rsid w:val="00B060AE"/>
    <w:rsid w:val="00B10517"/>
    <w:rsid w:val="00B12906"/>
    <w:rsid w:val="00B14E76"/>
    <w:rsid w:val="00B161B8"/>
    <w:rsid w:val="00B2048C"/>
    <w:rsid w:val="00B25285"/>
    <w:rsid w:val="00B27F2B"/>
    <w:rsid w:val="00B310B9"/>
    <w:rsid w:val="00B350BA"/>
    <w:rsid w:val="00B35F3F"/>
    <w:rsid w:val="00B36CBB"/>
    <w:rsid w:val="00B36E0B"/>
    <w:rsid w:val="00B425E0"/>
    <w:rsid w:val="00B440AA"/>
    <w:rsid w:val="00B44B70"/>
    <w:rsid w:val="00B5165F"/>
    <w:rsid w:val="00B53C56"/>
    <w:rsid w:val="00B57DAF"/>
    <w:rsid w:val="00B74A7A"/>
    <w:rsid w:val="00B74C4C"/>
    <w:rsid w:val="00B762EA"/>
    <w:rsid w:val="00B77EA6"/>
    <w:rsid w:val="00B80838"/>
    <w:rsid w:val="00B81598"/>
    <w:rsid w:val="00B841F1"/>
    <w:rsid w:val="00B87D4E"/>
    <w:rsid w:val="00B930A6"/>
    <w:rsid w:val="00B944D6"/>
    <w:rsid w:val="00B96785"/>
    <w:rsid w:val="00BB4DF0"/>
    <w:rsid w:val="00BB56C4"/>
    <w:rsid w:val="00BC289F"/>
    <w:rsid w:val="00BC2D50"/>
    <w:rsid w:val="00BC5361"/>
    <w:rsid w:val="00BC5460"/>
    <w:rsid w:val="00BC6B50"/>
    <w:rsid w:val="00BD0E25"/>
    <w:rsid w:val="00BD7ACB"/>
    <w:rsid w:val="00BF1474"/>
    <w:rsid w:val="00BF5BD6"/>
    <w:rsid w:val="00BF68F3"/>
    <w:rsid w:val="00C00FA4"/>
    <w:rsid w:val="00C03E31"/>
    <w:rsid w:val="00C06B3A"/>
    <w:rsid w:val="00C276F3"/>
    <w:rsid w:val="00C30E69"/>
    <w:rsid w:val="00C33E72"/>
    <w:rsid w:val="00C354B2"/>
    <w:rsid w:val="00C35554"/>
    <w:rsid w:val="00C3727B"/>
    <w:rsid w:val="00C4038F"/>
    <w:rsid w:val="00C40679"/>
    <w:rsid w:val="00C42045"/>
    <w:rsid w:val="00C42709"/>
    <w:rsid w:val="00C533CC"/>
    <w:rsid w:val="00C5751C"/>
    <w:rsid w:val="00C61BFC"/>
    <w:rsid w:val="00C61FCC"/>
    <w:rsid w:val="00C62B85"/>
    <w:rsid w:val="00C63011"/>
    <w:rsid w:val="00C65438"/>
    <w:rsid w:val="00C7051B"/>
    <w:rsid w:val="00C77F0B"/>
    <w:rsid w:val="00C91CBB"/>
    <w:rsid w:val="00C93C26"/>
    <w:rsid w:val="00CB1503"/>
    <w:rsid w:val="00CB4E70"/>
    <w:rsid w:val="00CC09B6"/>
    <w:rsid w:val="00CC666F"/>
    <w:rsid w:val="00CC67A2"/>
    <w:rsid w:val="00CD1E3F"/>
    <w:rsid w:val="00CD2FEA"/>
    <w:rsid w:val="00CE44F6"/>
    <w:rsid w:val="00CE49DA"/>
    <w:rsid w:val="00CE7B61"/>
    <w:rsid w:val="00CF049D"/>
    <w:rsid w:val="00CF53E7"/>
    <w:rsid w:val="00D00095"/>
    <w:rsid w:val="00D10C56"/>
    <w:rsid w:val="00D114F0"/>
    <w:rsid w:val="00D16DB2"/>
    <w:rsid w:val="00D20620"/>
    <w:rsid w:val="00D254F7"/>
    <w:rsid w:val="00D26091"/>
    <w:rsid w:val="00D2685C"/>
    <w:rsid w:val="00D31240"/>
    <w:rsid w:val="00D319E2"/>
    <w:rsid w:val="00D34E7C"/>
    <w:rsid w:val="00D35489"/>
    <w:rsid w:val="00D36AFE"/>
    <w:rsid w:val="00D46943"/>
    <w:rsid w:val="00D51276"/>
    <w:rsid w:val="00D625A3"/>
    <w:rsid w:val="00D7035F"/>
    <w:rsid w:val="00D719EA"/>
    <w:rsid w:val="00D727EF"/>
    <w:rsid w:val="00D745AE"/>
    <w:rsid w:val="00D80918"/>
    <w:rsid w:val="00D812FD"/>
    <w:rsid w:val="00D82323"/>
    <w:rsid w:val="00D863F3"/>
    <w:rsid w:val="00D87BE9"/>
    <w:rsid w:val="00D90C2A"/>
    <w:rsid w:val="00DA634F"/>
    <w:rsid w:val="00DA65AC"/>
    <w:rsid w:val="00DB06DD"/>
    <w:rsid w:val="00DB0A49"/>
    <w:rsid w:val="00DB0DBE"/>
    <w:rsid w:val="00DB1913"/>
    <w:rsid w:val="00DB7E03"/>
    <w:rsid w:val="00DC410D"/>
    <w:rsid w:val="00DC5A81"/>
    <w:rsid w:val="00DC68CA"/>
    <w:rsid w:val="00DC7CBA"/>
    <w:rsid w:val="00DD2D6F"/>
    <w:rsid w:val="00DD5432"/>
    <w:rsid w:val="00DD73B7"/>
    <w:rsid w:val="00DE5546"/>
    <w:rsid w:val="00DF28BC"/>
    <w:rsid w:val="00DF34B9"/>
    <w:rsid w:val="00DF4EBF"/>
    <w:rsid w:val="00E01053"/>
    <w:rsid w:val="00E07ACF"/>
    <w:rsid w:val="00E16DBB"/>
    <w:rsid w:val="00E1783A"/>
    <w:rsid w:val="00E202D7"/>
    <w:rsid w:val="00E21F0D"/>
    <w:rsid w:val="00E331A1"/>
    <w:rsid w:val="00E33202"/>
    <w:rsid w:val="00E336A9"/>
    <w:rsid w:val="00E400AF"/>
    <w:rsid w:val="00E4194F"/>
    <w:rsid w:val="00E472B1"/>
    <w:rsid w:val="00E50624"/>
    <w:rsid w:val="00E568DF"/>
    <w:rsid w:val="00E602FA"/>
    <w:rsid w:val="00E60880"/>
    <w:rsid w:val="00E64269"/>
    <w:rsid w:val="00E66797"/>
    <w:rsid w:val="00E70B3E"/>
    <w:rsid w:val="00E81D89"/>
    <w:rsid w:val="00E82267"/>
    <w:rsid w:val="00E853CE"/>
    <w:rsid w:val="00E867B6"/>
    <w:rsid w:val="00E87F08"/>
    <w:rsid w:val="00E90CF4"/>
    <w:rsid w:val="00E91FB4"/>
    <w:rsid w:val="00E9730B"/>
    <w:rsid w:val="00EA010F"/>
    <w:rsid w:val="00EA3B1A"/>
    <w:rsid w:val="00EC0578"/>
    <w:rsid w:val="00EC1DEF"/>
    <w:rsid w:val="00EC5144"/>
    <w:rsid w:val="00ED1B63"/>
    <w:rsid w:val="00ED3C1F"/>
    <w:rsid w:val="00ED4085"/>
    <w:rsid w:val="00ED420E"/>
    <w:rsid w:val="00ED60C8"/>
    <w:rsid w:val="00ED6FBE"/>
    <w:rsid w:val="00EE2F57"/>
    <w:rsid w:val="00EE4C1C"/>
    <w:rsid w:val="00EE7D81"/>
    <w:rsid w:val="00EF4C34"/>
    <w:rsid w:val="00EF77C6"/>
    <w:rsid w:val="00F044D4"/>
    <w:rsid w:val="00F05438"/>
    <w:rsid w:val="00F13600"/>
    <w:rsid w:val="00F1361C"/>
    <w:rsid w:val="00F1418E"/>
    <w:rsid w:val="00F156F0"/>
    <w:rsid w:val="00F160C7"/>
    <w:rsid w:val="00F2408F"/>
    <w:rsid w:val="00F240E9"/>
    <w:rsid w:val="00F25756"/>
    <w:rsid w:val="00F36D8F"/>
    <w:rsid w:val="00F417B1"/>
    <w:rsid w:val="00F45853"/>
    <w:rsid w:val="00F534A9"/>
    <w:rsid w:val="00F602DF"/>
    <w:rsid w:val="00F754A1"/>
    <w:rsid w:val="00F81FD9"/>
    <w:rsid w:val="00F83DB8"/>
    <w:rsid w:val="00F841AA"/>
    <w:rsid w:val="00F84A94"/>
    <w:rsid w:val="00F87E96"/>
    <w:rsid w:val="00FA23E8"/>
    <w:rsid w:val="00FA2CFD"/>
    <w:rsid w:val="00FC439D"/>
    <w:rsid w:val="00FD12AB"/>
    <w:rsid w:val="00FD2ADE"/>
    <w:rsid w:val="00FD3CC1"/>
    <w:rsid w:val="00FF1E02"/>
    <w:rsid w:val="00FF30B4"/>
    <w:rsid w:val="03CB5338"/>
    <w:rsid w:val="0BDC17B6"/>
    <w:rsid w:val="10C055FF"/>
    <w:rsid w:val="16BB723D"/>
    <w:rsid w:val="1E02012F"/>
    <w:rsid w:val="240371BF"/>
    <w:rsid w:val="29FD04D3"/>
    <w:rsid w:val="2EBF5CD2"/>
    <w:rsid w:val="319F7F4E"/>
    <w:rsid w:val="342E0EEB"/>
    <w:rsid w:val="355167EE"/>
    <w:rsid w:val="3CA00003"/>
    <w:rsid w:val="45A726E5"/>
    <w:rsid w:val="4ECE2238"/>
    <w:rsid w:val="72734D90"/>
    <w:rsid w:val="BDE7FCB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1"/>
    <w:semiHidden/>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qFormat/>
    <w:uiPriority w:val="99"/>
    <w:pPr>
      <w:tabs>
        <w:tab w:val="right" w:leader="dot" w:pos="8296"/>
      </w:tabs>
      <w:ind w:left="420" w:leftChars="200"/>
    </w:pPr>
  </w:style>
  <w:style w:type="paragraph" w:styleId="12">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99"/>
    <w:rPr>
      <w:b/>
      <w:bCs/>
    </w:rPr>
  </w:style>
  <w:style w:type="character" w:styleId="16">
    <w:name w:val="Hyperlink"/>
    <w:basedOn w:val="14"/>
    <w:qFormat/>
    <w:uiPriority w:val="99"/>
    <w:rPr>
      <w:color w:val="0000FF"/>
      <w:u w:val="single"/>
    </w:rPr>
  </w:style>
  <w:style w:type="character" w:customStyle="1" w:styleId="17">
    <w:name w:val="标题 1 Char"/>
    <w:basedOn w:val="14"/>
    <w:link w:val="2"/>
    <w:qFormat/>
    <w:locked/>
    <w:uiPriority w:val="9"/>
    <w:rPr>
      <w:rFonts w:ascii="Times New Roman" w:hAnsi="Times New Roman" w:cs="Times New Roman"/>
      <w:b/>
      <w:bCs/>
      <w:kern w:val="44"/>
      <w:sz w:val="44"/>
      <w:szCs w:val="44"/>
    </w:rPr>
  </w:style>
  <w:style w:type="character" w:customStyle="1" w:styleId="18">
    <w:name w:val="标题 2 Char"/>
    <w:basedOn w:val="14"/>
    <w:link w:val="3"/>
    <w:qFormat/>
    <w:locked/>
    <w:uiPriority w:val="9"/>
    <w:rPr>
      <w:rFonts w:ascii="Cambria" w:hAnsi="Cambria" w:eastAsia="宋体" w:cs="Cambria"/>
      <w:b/>
      <w:bCs/>
      <w:kern w:val="2"/>
      <w:sz w:val="32"/>
      <w:szCs w:val="32"/>
    </w:rPr>
  </w:style>
  <w:style w:type="character" w:customStyle="1" w:styleId="19">
    <w:name w:val="标题 3 Char"/>
    <w:basedOn w:val="14"/>
    <w:link w:val="4"/>
    <w:qFormat/>
    <w:locked/>
    <w:uiPriority w:val="99"/>
    <w:rPr>
      <w:rFonts w:ascii="Times New Roman" w:hAnsi="Times New Roman" w:cs="Times New Roman"/>
      <w:b/>
      <w:bCs/>
      <w:kern w:val="2"/>
      <w:sz w:val="32"/>
      <w:szCs w:val="32"/>
    </w:rPr>
  </w:style>
  <w:style w:type="character" w:customStyle="1" w:styleId="20">
    <w:name w:val="正文文本 Char"/>
    <w:link w:val="5"/>
    <w:qFormat/>
    <w:locked/>
    <w:uiPriority w:val="99"/>
    <w:rPr>
      <w:rFonts w:ascii="仿宋_GB2312" w:hAnsi="Times New Roman" w:eastAsia="仿宋_GB2312" w:cs="仿宋_GB2312"/>
      <w:sz w:val="24"/>
      <w:szCs w:val="24"/>
    </w:rPr>
  </w:style>
  <w:style w:type="character" w:customStyle="1" w:styleId="21">
    <w:name w:val="批注框文本 Char"/>
    <w:basedOn w:val="14"/>
    <w:link w:val="7"/>
    <w:semiHidden/>
    <w:qFormat/>
    <w:locked/>
    <w:uiPriority w:val="99"/>
    <w:rPr>
      <w:rFonts w:ascii="Times New Roman" w:hAnsi="Times New Roman" w:cs="Times New Roman"/>
      <w:kern w:val="2"/>
      <w:sz w:val="18"/>
      <w:szCs w:val="18"/>
    </w:rPr>
  </w:style>
  <w:style w:type="character" w:customStyle="1" w:styleId="22">
    <w:name w:val="页脚 Char"/>
    <w:link w:val="8"/>
    <w:qFormat/>
    <w:locked/>
    <w:uiPriority w:val="99"/>
    <w:rPr>
      <w:sz w:val="18"/>
      <w:szCs w:val="18"/>
    </w:rPr>
  </w:style>
  <w:style w:type="character" w:customStyle="1" w:styleId="23">
    <w:name w:val="页眉 Char"/>
    <w:link w:val="9"/>
    <w:semiHidden/>
    <w:qFormat/>
    <w:locked/>
    <w:uiPriority w:val="99"/>
    <w:rPr>
      <w:sz w:val="18"/>
      <w:szCs w:val="18"/>
    </w:rPr>
  </w:style>
  <w:style w:type="character" w:customStyle="1" w:styleId="24">
    <w:name w:val="Body Text Char"/>
    <w:basedOn w:val="14"/>
    <w:link w:val="5"/>
    <w:semiHidden/>
    <w:qFormat/>
    <w:locked/>
    <w:uiPriority w:val="99"/>
    <w:rPr>
      <w:rFonts w:ascii="Times New Roman" w:hAnsi="Times New Roman" w:cs="Times New Roman"/>
      <w:sz w:val="24"/>
      <w:szCs w:val="24"/>
    </w:rPr>
  </w:style>
  <w:style w:type="character" w:customStyle="1" w:styleId="25">
    <w:name w:val="Footer Char"/>
    <w:basedOn w:val="14"/>
    <w:link w:val="8"/>
    <w:semiHidden/>
    <w:qFormat/>
    <w:locked/>
    <w:uiPriority w:val="99"/>
    <w:rPr>
      <w:rFonts w:ascii="Times New Roman" w:hAnsi="Times New Roman" w:cs="Times New Roman"/>
      <w:sz w:val="18"/>
      <w:szCs w:val="18"/>
    </w:rPr>
  </w:style>
  <w:style w:type="character" w:customStyle="1" w:styleId="26">
    <w:name w:val="Header Char"/>
    <w:basedOn w:val="14"/>
    <w:link w:val="9"/>
    <w:semiHidden/>
    <w:qFormat/>
    <w:locked/>
    <w:uiPriority w:val="99"/>
    <w:rPr>
      <w:rFonts w:ascii="Times New Roman" w:hAnsi="Times New Roman" w:cs="Times New Roman"/>
      <w:sz w:val="18"/>
      <w:szCs w:val="18"/>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0">
    <w:name w:val="TOC 标题2"/>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1">
    <w:name w:val="列出段落1"/>
    <w:basedOn w:val="1"/>
    <w:qFormat/>
    <w:uiPriority w:val="34"/>
    <w:pPr>
      <w:ind w:firstLine="420" w:firstLineChars="200"/>
    </w:pPr>
    <w:rPr>
      <w:szCs w:val="24"/>
    </w:rPr>
  </w:style>
  <w:style w:type="character" w:customStyle="1" w:styleId="32">
    <w:name w:val="MSG_EN_FONT_STYLE_NAME_TEMPLATE_ROLE_NUMBER MSG_EN_FONT_STYLE_NAME_BY_ROLE_TEXT 4_"/>
    <w:basedOn w:val="14"/>
    <w:link w:val="33"/>
    <w:qFormat/>
    <w:uiPriority w:val="0"/>
    <w:rPr>
      <w:rFonts w:ascii="宋体" w:hAnsi="宋体" w:eastAsia="宋体" w:cs="宋体"/>
      <w:sz w:val="32"/>
      <w:szCs w:val="32"/>
      <w:shd w:val="clear" w:color="auto" w:fill="FFFFFF"/>
    </w:rPr>
  </w:style>
  <w:style w:type="paragraph" w:customStyle="1" w:styleId="33">
    <w:name w:val="MSG_EN_FONT_STYLE_NAME_TEMPLATE_ROLE_NUMBER MSG_EN_FONT_STYLE_NAME_BY_ROLE_TEXT 4"/>
    <w:basedOn w:val="1"/>
    <w:link w:val="32"/>
    <w:qFormat/>
    <w:uiPriority w:val="0"/>
    <w:pPr>
      <w:shd w:val="clear" w:color="auto" w:fill="FFFFFF"/>
      <w:spacing w:line="598" w:lineRule="exact"/>
      <w:ind w:firstLine="700"/>
      <w:jc w:val="distribute"/>
    </w:pPr>
    <w:rPr>
      <w:rFonts w:ascii="宋体" w:hAnsi="宋体" w:eastAsia="宋体" w:cs="宋体"/>
      <w:kern w:val="0"/>
      <w:sz w:val="32"/>
      <w:szCs w:val="32"/>
    </w:rPr>
  </w:style>
  <w:style w:type="character" w:customStyle="1" w:styleId="34">
    <w:name w:val="MSG_EN_FONT_STYLE_NAME_TEMPLATE_ROLE_NUMBER MSG_EN_FONT_STYLE_NAME_BY_ROLE_TEXT 5_"/>
    <w:basedOn w:val="14"/>
    <w:link w:val="35"/>
    <w:qFormat/>
    <w:uiPriority w:val="0"/>
    <w:rPr>
      <w:rFonts w:ascii="宋体" w:hAnsi="宋体" w:eastAsia="宋体" w:cs="宋体"/>
      <w:b/>
      <w:bCs/>
      <w:spacing w:val="20"/>
      <w:sz w:val="28"/>
      <w:szCs w:val="28"/>
      <w:shd w:val="clear" w:color="auto" w:fill="FFFFFF"/>
    </w:rPr>
  </w:style>
  <w:style w:type="paragraph" w:customStyle="1" w:styleId="35">
    <w:name w:val="MSG_EN_FONT_STYLE_NAME_TEMPLATE_ROLE_NUMBER MSG_EN_FONT_STYLE_NAME_BY_ROLE_TEXT 5"/>
    <w:basedOn w:val="1"/>
    <w:link w:val="34"/>
    <w:qFormat/>
    <w:uiPriority w:val="0"/>
    <w:pPr>
      <w:shd w:val="clear" w:color="auto" w:fill="FFFFFF"/>
      <w:spacing w:line="598" w:lineRule="exact"/>
      <w:ind w:firstLine="700"/>
      <w:jc w:val="distribute"/>
    </w:pPr>
    <w:rPr>
      <w:rFonts w:ascii="宋体" w:hAnsi="宋体" w:eastAsia="宋体" w:cs="宋体"/>
      <w:b/>
      <w:bCs/>
      <w:spacing w:val="20"/>
      <w:kern w:val="0"/>
      <w:sz w:val="28"/>
      <w:szCs w:val="28"/>
    </w:rPr>
  </w:style>
  <w:style w:type="character" w:customStyle="1" w:styleId="36">
    <w:name w:val="MSG_EN_FONT_STYLE_NAME_TEMPLATE_ROLE_NUMBER MSG_EN_FONT_STYLE_NAME_BY_ROLE_TEXT 2 + MSG_EN_FONT_STYLE_MODIFER_BOLD"/>
    <w:basedOn w:val="14"/>
    <w:qFormat/>
    <w:uiPriority w:val="0"/>
    <w:rPr>
      <w:rFonts w:ascii="宋体" w:hAnsi="宋体" w:eastAsia="宋体" w:cs="宋体"/>
      <w:b/>
      <w:bCs/>
      <w:color w:val="000000"/>
      <w:spacing w:val="20"/>
      <w:w w:val="100"/>
      <w:position w:val="0"/>
      <w:sz w:val="28"/>
      <w:szCs w:val="28"/>
      <w:shd w:val="clear" w:color="auto" w:fill="FFFFFF"/>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true"/>
    <c:plotArea>
      <c:layout>
        <c:manualLayout>
          <c:layoutTarget val="inner"/>
          <c:xMode val="edge"/>
          <c:yMode val="edge"/>
          <c:x val="0.0690619284034492"/>
          <c:y val="0.178610804851158"/>
          <c:w val="0.896446302586883"/>
          <c:h val="0.714531422271224"/>
        </c:manualLayout>
      </c:layout>
      <c:barChart>
        <c:barDir val="col"/>
        <c:grouping val="clustered"/>
        <c:varyColors val="false"/>
        <c:ser>
          <c:idx val="0"/>
          <c:order val="0"/>
          <c:spPr>
            <a:gradFill>
              <a:gsLst>
                <a:gs pos="0">
                  <a:srgbClr val="E30000"/>
                </a:gs>
                <a:gs pos="100000">
                  <a:srgbClr val="760303"/>
                </a:gs>
              </a:gsLst>
              <a:lin ang="5400000" scaled="false"/>
            </a:gradFill>
            <a:ln>
              <a:noFill/>
            </a:ln>
            <a:effectLst/>
          </c:spPr>
          <c:invertIfNegative val="false"/>
          <c:dPt>
            <c:idx val="1"/>
            <c:invertIfNegative val="false"/>
            <c:bubble3D val="false"/>
            <c:spPr>
              <a:solidFill>
                <a:srgbClr val="30C0B4"/>
              </a:solidFill>
              <a:ln>
                <a:noFill/>
              </a:ln>
              <a:effectLst/>
            </c:spPr>
          </c:dPt>
          <c:dPt>
            <c:idx val="3"/>
            <c:invertIfNegative val="false"/>
            <c:bubble3D val="false"/>
            <c:spPr>
              <a:solidFill>
                <a:srgbClr val="30C0B4"/>
              </a:solidFill>
              <a:ln>
                <a:noFill/>
              </a:ln>
              <a:effectLst/>
            </c:spPr>
          </c:dPt>
          <c:dLbls>
            <c:dLbl>
              <c:idx val="0"/>
              <c:layout>
                <c:manualLayout>
                  <c:x val="0.0113157894736842"/>
                  <c:y val="-0.0761574074074074"/>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763157894736842"/>
                  <c:y val="-0.109027777777778"/>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2</a:t>
                    </a:r>
                    <a:r>
                      <a:rPr lang="en-US" altLang="zh-CN"/>
                      <a:t>025.84</a:t>
                    </a:r>
                    <a:endParaRPr lang="en-US" altLang="zh-CN"/>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595959">
                          <a:lumMod val="65000"/>
                          <a:lumOff val="35000"/>
                        </a:srgbClr>
                      </a:solidFill>
                      <a:latin typeface="+mn-lt"/>
                      <a:ea typeface="+mn-ea"/>
                      <a:cs typeface="+mn-cs"/>
                    </a:defRPr>
                  </a:pPr>
                </a:p>
              </c:txPr>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947368421052632"/>
                  <c:y val="-0.0793981481481481"/>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0184210526315789"/>
                  <c:y val="-0.105555555555556"/>
                </c:manualLayout>
              </c:layout>
              <c:tx>
                <c:rich>
                  <a:bodyPr rot="0" spcFirstLastPara="0" vertOverflow="ellipsis" vert="horz" wrap="square" lIns="38100" tIns="19050" rIns="38100" bIns="19050" anchor="ctr" anchorCtr="true"/>
                  <a:lstStyle/>
                  <a:p>
                    <a:pPr defTabSz="914400">
                      <a:defRPr lang="zh-CN" sz="1000" b="0" i="0" u="none" strike="noStrike" kern="1200" baseline="0">
                        <a:solidFill>
                          <a:srgbClr val="595959">
                            <a:lumMod val="65000"/>
                            <a:lumOff val="35000"/>
                          </a:srgbClr>
                        </a:solidFill>
                        <a:latin typeface="+mn-lt"/>
                        <a:ea typeface="+mn-ea"/>
                        <a:cs typeface="+mn-cs"/>
                      </a:defRPr>
                    </a:pPr>
                    <a:r>
                      <a:t>2</a:t>
                    </a:r>
                    <a:r>
                      <a:rPr lang="en-US" altLang="zh-CN"/>
                      <a:t>025.84</a:t>
                    </a:r>
                    <a:endParaRPr lang="en-US" altLang="zh-CN"/>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595959">
                          <a:lumMod val="65000"/>
                          <a:lumOff val="35000"/>
                        </a:srgbClr>
                      </a:solidFill>
                      <a:latin typeface="+mn-lt"/>
                      <a:ea typeface="+mn-ea"/>
                      <a:cs typeface="+mn-cs"/>
                    </a:defRPr>
                  </a:pPr>
                </a:p>
              </c:txPr>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multiLvlStrRef>
              <c:f>[工作簿1]Sheet1!$D$1:$E$4</c:f>
              <c:multiLvlStrCache>
                <c:ptCount val="4"/>
                <c:lvl>
                  <c:pt idx="0">
                    <c:v>2021年</c:v>
                  </c:pt>
                  <c:pt idx="1">
                    <c:v>2022年</c:v>
                  </c:pt>
                  <c:pt idx="2">
                    <c:v>2021年</c:v>
                  </c:pt>
                  <c:pt idx="3">
                    <c:v>2022年</c:v>
                  </c:pt>
                </c:lvl>
                <c:lvl>
                  <c:pt idx="0">
                    <c:v>收入</c:v>
                  </c:pt>
                  <c:pt idx="2">
                    <c:v>支出</c:v>
                  </c:pt>
                </c:lvl>
              </c:multiLvlStrCache>
            </c:multiLvlStrRef>
          </c:cat>
          <c:val>
            <c:numRef>
              <c:f>[工作簿1]Sheet1!$F$1:$F$4</c:f>
              <c:numCache>
                <c:formatCode>General</c:formatCode>
                <c:ptCount val="4"/>
                <c:pt idx="0">
                  <c:v>4112.42</c:v>
                </c:pt>
                <c:pt idx="1">
                  <c:v>2164.14</c:v>
                </c:pt>
                <c:pt idx="2">
                  <c:v>4112.42</c:v>
                </c:pt>
                <c:pt idx="3">
                  <c:v>2164.14</c:v>
                </c:pt>
              </c:numCache>
            </c:numRef>
          </c:val>
        </c:ser>
        <c:dLbls>
          <c:showLegendKey val="false"/>
          <c:showVal val="true"/>
          <c:showCatName val="false"/>
          <c:showSerName val="false"/>
          <c:showPercent val="false"/>
          <c:showBubbleSize val="false"/>
        </c:dLbls>
        <c:gapWidth val="298"/>
        <c:overlap val="-7"/>
        <c:axId val="193725150"/>
        <c:axId val="345976439"/>
      </c:barChart>
      <c:catAx>
        <c:axId val="193725150"/>
        <c:scaling>
          <c:orientation val="minMax"/>
        </c:scaling>
        <c:delete val="false"/>
        <c:axPos val="b"/>
        <c:numFmt formatCode="General" sourceLinked="true"/>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true" forceAA="false"/>
          <a:lstStyle/>
          <a:p>
            <a:pPr>
              <a:defRPr lang="zh-CN" sz="900" b="0" i="0" u="none" strike="noStrike" kern="1200" baseline="0">
                <a:solidFill>
                  <a:srgbClr val="595959">
                    <a:lumMod val="65000"/>
                    <a:lumOff val="35000"/>
                  </a:srgbClr>
                </a:solidFill>
                <a:latin typeface="+mn-lt"/>
                <a:ea typeface="+mn-ea"/>
                <a:cs typeface="+mn-cs"/>
              </a:defRPr>
            </a:pPr>
          </a:p>
        </c:txPr>
        <c:crossAx val="345976439"/>
        <c:crosses val="autoZero"/>
        <c:auto val="true"/>
        <c:lblAlgn val="ctr"/>
        <c:lblOffset val="100"/>
        <c:noMultiLvlLbl val="false"/>
      </c:catAx>
      <c:valAx>
        <c:axId val="345976439"/>
        <c:scaling>
          <c:orientation val="minMax"/>
        </c:scaling>
        <c:delete val="false"/>
        <c:axPos val="l"/>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rgbClr val="595959">
                    <a:lumMod val="65000"/>
                    <a:lumOff val="35000"/>
                  </a:srgbClr>
                </a:solidFill>
                <a:latin typeface="+mn-lt"/>
                <a:ea typeface="+mn-ea"/>
                <a:cs typeface="+mn-cs"/>
              </a:defRPr>
            </a:pPr>
          </a:p>
        </c:txPr>
        <c:crossAx val="193725150"/>
        <c:crosses val="autoZero"/>
        <c:crossBetween val="between"/>
      </c:valAx>
      <c:spPr>
        <a:pattFill prst="wdUpDiag">
          <a:fgClr>
            <a:srgbClr val="F2F2F2">
              <a:lumMod val="95000"/>
            </a:srgbClr>
          </a:fgClr>
          <a:bgClr>
            <a:srgbClr val="FFFFFF"/>
          </a:bgClr>
        </a:pattFill>
        <a:ln>
          <a:solidFill>
            <a:srgbClr val="F2F2F2">
              <a:lumMod val="95000"/>
            </a:srgbClr>
          </a:solidFill>
        </a:ln>
        <a:effectLst/>
      </c:spPr>
    </c:plotArea>
    <c:legend>
      <c:legendPos val="t"/>
      <c:layout>
        <c:manualLayout>
          <c:xMode val="edge"/>
          <c:yMode val="edge"/>
          <c:x val="0.246913894351767"/>
          <c:y val="0.0282290007758586"/>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solidFill>
            <a:srgbClr val="595959">
              <a:lumMod val="65000"/>
              <a:lumOff val="35000"/>
            </a:srgbClr>
          </a:solidFill>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收入决算情况</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Pt>
            <c:idx val="2"/>
            <c:bubble3D val="false"/>
            <c:spPr>
              <a:solidFill>
                <a:schemeClr val="accent3"/>
              </a:solidFill>
              <a:ln>
                <a:solidFill>
                  <a:schemeClr val="bg1"/>
                </a:solidFill>
              </a:ln>
              <a:effectLst/>
            </c:spPr>
          </c:dPt>
          <c:dPt>
            <c:idx val="3"/>
            <c:bubble3D val="false"/>
            <c:spPr>
              <a:solidFill>
                <a:schemeClr val="accent4"/>
              </a:solidFill>
              <a:ln>
                <a:solidFill>
                  <a:schemeClr val="bg1"/>
                </a:solidFill>
              </a:ln>
              <a:effectLst/>
            </c:spPr>
          </c:dPt>
          <c:dLbls>
            <c:dLbl>
              <c:idx val="1"/>
              <c:layout>
                <c:manualLayout>
                  <c:x val="-0.0916873431378238"/>
                  <c:y val="0.01926300725230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[工作簿1]Sheet1!$H$3:$H$6</c:f>
              <c:strCache>
                <c:ptCount val="4"/>
                <c:pt idx="0">
                  <c:v>一般公共预算财政拨款</c:v>
                </c:pt>
                <c:pt idx="1">
                  <c:v>政府性基金预算财政拨款</c:v>
                </c:pt>
                <c:pt idx="2">
                  <c:v>事业收入</c:v>
                </c:pt>
                <c:pt idx="3">
                  <c:v>上年结转</c:v>
                </c:pt>
              </c:strCache>
            </c:strRef>
          </c:cat>
          <c:val>
            <c:numRef>
              <c:f>[工作簿1]Sheet1!$I$3:$I$6</c:f>
              <c:numCache>
                <c:formatCode>0.00%</c:formatCode>
                <c:ptCount val="4"/>
                <c:pt idx="0">
                  <c:v>0.999</c:v>
                </c:pt>
                <c:pt idx="1">
                  <c:v>0.001</c:v>
                </c:pt>
                <c:pt idx="2" c:formatCode="General">
                  <c:v>0</c:v>
                </c:pt>
                <c:pt idx="3" c:formatCode="General">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600" b="0" i="0" u="none" strike="noStrike" kern="1200" spc="0" baseline="0">
                <a:solidFill>
                  <a:srgbClr val="595959">
                    <a:lumMod val="65000"/>
                    <a:lumOff val="3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支出情况</a:t>
            </a:r>
          </a:p>
        </c:rich>
      </c:tx>
      <c:layout>
        <c:manualLayout>
          <c:xMode val="edge"/>
          <c:yMode val="edge"/>
          <c:x val="0.0755263157894737"/>
          <c:y val="0.0532407407407407"/>
        </c:manualLayout>
      </c:layout>
      <c:overlay val="false"/>
      <c:spPr>
        <a:noFill/>
        <a:ln>
          <a:noFill/>
        </a:ln>
        <a:effectLst/>
      </c:spPr>
    </c:title>
    <c:autoTitleDeleted val="false"/>
    <c:plotArea>
      <c:layout>
        <c:manualLayout>
          <c:layoutTarget val="inner"/>
          <c:xMode val="edge"/>
          <c:yMode val="edge"/>
          <c:x val="0.26465889612255"/>
          <c:y val="0.211675094816688"/>
          <c:w val="0.400959024181846"/>
          <c:h val="0.669068338249754"/>
        </c:manualLayout>
      </c:layout>
      <c:pieChart>
        <c:varyColors val="true"/>
        <c:ser>
          <c:idx val="0"/>
          <c:order val="0"/>
          <c:spPr>
            <a:solidFill>
              <a:srgbClr val="1E2223"/>
            </a:solidFill>
            <a:ln w="19050" cap="rnd" cmpd="sng">
              <a:solidFill>
                <a:srgbClr val="595959">
                  <a:lumMod val="65000"/>
                  <a:lumOff val="35000"/>
                </a:srgbClr>
              </a:solidFill>
              <a:prstDash val="solid"/>
              <a:round/>
            </a:ln>
            <a:effectLst/>
          </c:spPr>
          <c:explosion val="0"/>
          <c:dPt>
            <c:idx val="0"/>
            <c:bubble3D val="false"/>
            <c:spPr>
              <a:solidFill>
                <a:srgbClr val="FFD588"/>
              </a:solidFill>
              <a:ln w="19050" cap="rnd" cmpd="sng">
                <a:solidFill>
                  <a:srgbClr val="595959">
                    <a:lumMod val="65000"/>
                    <a:lumOff val="35000"/>
                  </a:srgbClr>
                </a:solidFill>
                <a:prstDash val="solid"/>
                <a:round/>
              </a:ln>
              <a:effectLst/>
            </c:spPr>
          </c:dPt>
          <c:dPt>
            <c:idx val="1"/>
            <c:bubble3D val="false"/>
            <c:spPr>
              <a:solidFill>
                <a:srgbClr val="00CCD5"/>
              </a:solidFill>
              <a:ln w="19050" cap="rnd" cmpd="sng">
                <a:solidFill>
                  <a:srgbClr val="595959">
                    <a:lumMod val="65000"/>
                    <a:lumOff val="35000"/>
                  </a:srgbClr>
                </a:solidFill>
                <a:prstDash val="solid"/>
                <a:round/>
              </a:ln>
              <a:effectLst/>
            </c:spPr>
          </c:dPt>
          <c:dLbls>
            <c:dLbl>
              <c:idx val="0"/>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t>99.90</a:t>
                    </a:r>
                    <a:r>
                      <a:t>%</a:t>
                    </a:r>
                  </a:p>
                </c:rich>
              </c:tx>
              <c:numFmt formatCode="General" sourceLinked="true"/>
              <c:spPr>
                <a:solidFill>
                  <a:srgbClr val="F3BF61"/>
                </a:solidFill>
                <a:ln>
                  <a:solidFill>
                    <a:srgbClr val="595959">
                      <a:lumMod val="65000"/>
                      <a:lumOff val="35000"/>
                    </a:srgbClr>
                  </a:solid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false"/>
              <c:showVal val="false"/>
              <c:showCatName val="false"/>
              <c:showSerName val="false"/>
              <c:showPercent val="true"/>
              <c:showBubbleSize val="false"/>
              <c:extLst>
                <c:ext xmlns:c15="http://schemas.microsoft.com/office/drawing/2012/chart" uri="{CE6537A1-D6FC-4f65-9D91-7224C49458BB}"/>
              </c:extLst>
            </c:dLbl>
            <c:dLbl>
              <c:idx val="1"/>
              <c:layout>
                <c:manualLayout>
                  <c:x val="0.0614726713884806"/>
                  <c:y val="-0.04361128669757"/>
                </c:manualLayout>
              </c:layout>
              <c:tx>
                <c:rich>
                  <a:bodyPr rot="0" spcFirstLastPara="0" vertOverflow="ellipsis" vert="horz" wrap="square" lIns="38100" tIns="19050" rIns="38100" bIns="19050" anchor="ctr" anchorCtr="true" forceAA="false"/>
                  <a:lstStyle/>
                  <a:p>
                    <a:pPr defTabSz="914400">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t>0.10</a:t>
                    </a:r>
                    <a:r>
                      <a:t>%</a:t>
                    </a:r>
                  </a:p>
                </c:rich>
              </c:tx>
              <c:numFmt formatCode="General" sourceLinked="true"/>
              <c:spPr>
                <a:solidFill>
                  <a:srgbClr val="00CCD5"/>
                </a:solidFill>
                <a:ln>
                  <a:solidFill>
                    <a:srgbClr val="595959">
                      <a:lumMod val="65000"/>
                      <a:lumOff val="35000"/>
                    </a:srgbClr>
                  </a:solid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General" sourceLinked="true"/>
            <c:spPr>
              <a:solidFill>
                <a:srgbClr val="FFD588"/>
              </a:solidFill>
              <a:ln>
                <a:solidFill>
                  <a:srgbClr val="595959">
                    <a:lumMod val="65000"/>
                    <a:lumOff val="35000"/>
                  </a:srgbClr>
                </a:solid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rgbClr val="FFFFFF"/>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false"/>
            <c:showVal val="false"/>
            <c:showCatName val="false"/>
            <c:showSerName val="false"/>
            <c:showPercent val="true"/>
            <c:showBubbleSize val="false"/>
            <c:showLeaderLines val="false"/>
            <c:extLst>
              <c:ext xmlns:c15="http://schemas.microsoft.com/office/drawing/2012/chart" uri="{CE6537A1-D6FC-4f65-9D91-7224C49458BB}">
                <c15:layout/>
                <c15:showLeaderLines val="false"/>
                <c15:leaderLines>
                  <c:spPr>
                    <a:ln w="9525" cap="flat" cmpd="sng" algn="ctr">
                      <a:solidFill>
                        <a:srgbClr val="A6A6A6">
                          <a:lumMod val="35000"/>
                          <a:lumOff val="65000"/>
                        </a:srgbClr>
                      </a:solidFill>
                      <a:round/>
                    </a:ln>
                    <a:effectLst/>
                  </c:spPr>
                </c15:leaderLines>
              </c:ext>
            </c:extLst>
          </c:dLbls>
          <c:cat>
            <c:strRef>
              <c:f>[工作簿1]Sheet2!$C$2:$C$3</c:f>
              <c:strCache>
                <c:ptCount val="2"/>
                <c:pt idx="0">
                  <c:v>基本支出</c:v>
                </c:pt>
                <c:pt idx="1">
                  <c:v>项目支出</c:v>
                </c:pt>
              </c:strCache>
            </c:strRef>
          </c:cat>
          <c:val>
            <c:numRef>
              <c:f>[工作簿1]Sheet2!$D$2:$D$3</c:f>
              <c:numCache>
                <c:formatCode>General</c:formatCode>
                <c:ptCount val="2"/>
                <c:pt idx="0">
                  <c:v>2162.14</c:v>
                </c:pt>
                <c:pt idx="1">
                  <c:v>2</c:v>
                </c:pt>
              </c:numCache>
            </c:numRef>
          </c:val>
        </c:ser>
        <c:dLbls>
          <c:showLegendKey val="false"/>
          <c:showVal val="false"/>
          <c:showCatName val="false"/>
          <c:showSerName val="false"/>
          <c:showPercent val="false"/>
          <c:showBubbleSize val="false"/>
          <c:showLeaderLines val="false"/>
        </c:dLbls>
        <c:firstSliceAng val="0"/>
      </c:pieChart>
      <c:spPr>
        <a:noFill/>
        <a:ln>
          <a:noFill/>
        </a:ln>
        <a:effectLst/>
      </c:spPr>
    </c:plotArea>
    <c:legend>
      <c:legendPos val="r"/>
      <c:layout>
        <c:manualLayout>
          <c:xMode val="edge"/>
          <c:yMode val="edge"/>
          <c:x val="0.844566318826611"/>
          <c:y val="0.296649108020789"/>
          <c:w val="0.0974115606924251"/>
          <c:h val="0.451567635903919"/>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rgbClr val="595959">
                  <a:lumMod val="65000"/>
                  <a:lumOff val="3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true"/>
    <c:dispBlanksAs val="gap"/>
    <c:showDLblsOverMax val="false"/>
  </c:chart>
  <c:spPr>
    <a:blipFill rotWithShape="true">
      <a:blip xmlns:r="http://schemas.openxmlformats.org/officeDocument/2006/relationships" r:embed="rId3"/>
      <a:stretch>
        <a:fillRect/>
      </a:stretch>
    </a:blipFill>
    <a:ln w="9525" cap="flat" cmpd="sng" algn="ctr">
      <a:noFill/>
      <a:round/>
    </a:ln>
    <a:effectLst>
      <a:outerShdw blurRad="63500" dist="37357" dir="2700000" sx="0" sy="0" rotWithShape="0">
        <a:scrgbClr r="0" g="0" b="0"/>
      </a:outerShdw>
    </a:effectLst>
  </c:spPr>
  <c:txPr>
    <a:bodyPr/>
    <a:lstStyle/>
    <a:p>
      <a:pPr>
        <a:defRPr lang="zh-CN">
          <a:solidFill>
            <a:srgbClr val="595959">
              <a:lumMod val="65000"/>
              <a:lumOff val="3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1" i="0" u="none" strike="noStrike" kern="1200" spc="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财政拨款收支情况</a:t>
            </a:r>
          </a:p>
        </c:rich>
      </c:tx>
      <c:layout/>
      <c:overlay val="false"/>
      <c:spPr>
        <a:noFill/>
        <a:ln>
          <a:noFill/>
        </a:ln>
        <a:effectLst/>
      </c:spPr>
    </c:title>
    <c:autoTitleDeleted val="false"/>
    <c:plotArea>
      <c:layout>
        <c:manualLayout>
          <c:layoutTarget val="inner"/>
          <c:xMode val="edge"/>
          <c:yMode val="edge"/>
          <c:x val="0.101510089536282"/>
          <c:y val="0.195288282703038"/>
          <c:w val="0.738393692369371"/>
          <c:h val="0.65992973754908"/>
        </c:manualLayout>
      </c:layout>
      <c:barChart>
        <c:barDir val="col"/>
        <c:grouping val="clustered"/>
        <c:varyColors val="false"/>
        <c:ser>
          <c:idx val="0"/>
          <c:order val="0"/>
          <c:spPr>
            <a:gradFill>
              <a:gsLst>
                <a:gs pos="0">
                  <a:srgbClr val="FE4444"/>
                </a:gs>
                <a:gs pos="100000">
                  <a:srgbClr val="832B2B"/>
                </a:gs>
              </a:gsLst>
              <a:path path="circle">
                <a:fillToRect l="50000" t="50000" r="50000" b="50000"/>
              </a:path>
              <a:tileRect/>
            </a:gradFill>
            <a:ln>
              <a:noFill/>
            </a:ln>
            <a:effectLst/>
          </c:spPr>
          <c:invertIfNegative val="false"/>
          <c:dPt>
            <c:idx val="1"/>
            <c:invertIfNegative val="false"/>
            <c:bubble3D val="false"/>
            <c:spPr>
              <a:gradFill>
                <a:gsLst>
                  <a:gs pos="0">
                    <a:srgbClr val="FECF40"/>
                  </a:gs>
                  <a:gs pos="100000">
                    <a:srgbClr val="846C21"/>
                  </a:gs>
                </a:gsLst>
                <a:path path="circle">
                  <a:fillToRect l="50000" t="50000" r="50000" b="50000"/>
                </a:path>
                <a:tileRect/>
              </a:gradFill>
              <a:ln>
                <a:noFill/>
              </a:ln>
              <a:effectLst/>
            </c:spPr>
          </c:dPt>
          <c:dPt>
            <c:idx val="3"/>
            <c:invertIfNegative val="false"/>
            <c:bubble3D val="false"/>
            <c:spPr>
              <a:gradFill>
                <a:gsLst>
                  <a:gs pos="0">
                    <a:srgbClr val="FECF40"/>
                  </a:gs>
                  <a:gs pos="100000">
                    <a:srgbClr val="846C21"/>
                  </a:gs>
                </a:gsLst>
                <a:path path="circle">
                  <a:fillToRect l="50000" t="50000" r="50000" b="50000"/>
                </a:path>
                <a:tileRect/>
              </a:gradFill>
              <a:ln>
                <a:noFill/>
              </a:ln>
              <a:effectLst/>
            </c:spPr>
          </c:dPt>
          <c:dLbls>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2</a:t>
                    </a:r>
                    <a:r>
                      <a:rPr lang="en-US" altLang="zh-CN"/>
                      <a:t>025.84</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true"/>
                  <a:lstStyle/>
                  <a:p>
                    <a:pPr defTabSz="914400">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2</a:t>
                    </a:r>
                    <a:r>
                      <a:rPr lang="en-US" altLang="zh-CN"/>
                      <a:t>025.84</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multiLvlStrRef>
              <c:f>[工作簿1]Sheet3!$C$1:$D$4</c:f>
              <c:multiLvlStrCache>
                <c:ptCount val="4"/>
                <c:lvl>
                  <c:pt idx="0">
                    <c:v>2021年</c:v>
                  </c:pt>
                  <c:pt idx="1">
                    <c:v>2022年</c:v>
                  </c:pt>
                  <c:pt idx="2">
                    <c:v>2021年</c:v>
                  </c:pt>
                  <c:pt idx="3">
                    <c:v>2022年</c:v>
                  </c:pt>
                </c:lvl>
                <c:lvl>
                  <c:pt idx="0">
                    <c:v>财政拨款收入</c:v>
                  </c:pt>
                  <c:pt idx="2">
                    <c:v>财政拨款支出</c:v>
                  </c:pt>
                </c:lvl>
              </c:multiLvlStrCache>
            </c:multiLvlStrRef>
          </c:cat>
          <c:val>
            <c:numRef>
              <c:f>[工作簿1]Sheet3!$E$1:$E$4</c:f>
              <c:numCache>
                <c:formatCode>General</c:formatCode>
                <c:ptCount val="4"/>
                <c:pt idx="0">
                  <c:v>4112.42</c:v>
                </c:pt>
                <c:pt idx="1">
                  <c:v>2164.14</c:v>
                </c:pt>
                <c:pt idx="2">
                  <c:v>4112.42</c:v>
                </c:pt>
                <c:pt idx="3">
                  <c:v>2164.14</c:v>
                </c:pt>
              </c:numCache>
            </c:numRef>
          </c:val>
        </c:ser>
        <c:dLbls>
          <c:showLegendKey val="false"/>
          <c:showVal val="true"/>
          <c:showCatName val="false"/>
          <c:showSerName val="false"/>
          <c:showPercent val="false"/>
          <c:showBubbleSize val="false"/>
        </c:dLbls>
        <c:gapWidth val="219"/>
        <c:overlap val="-27"/>
        <c:axId val="952907626"/>
        <c:axId val="147477445"/>
      </c:barChart>
      <c:catAx>
        <c:axId val="952907626"/>
        <c:scaling>
          <c:orientation val="minMax"/>
        </c:scaling>
        <c:delete val="false"/>
        <c:axPos val="b"/>
        <c:majorGridlines>
          <c:spPr>
            <a:ln w="9525" cap="flat" cmpd="sng" algn="ctr">
              <a:solidFill>
                <a:srgbClr val="D9D9D9">
                  <a:lumMod val="85000"/>
                  <a:alpha val="70000"/>
                </a:srgbClr>
              </a:solidFill>
              <a:round/>
            </a:ln>
            <a:effectLst/>
          </c:spPr>
        </c:majorGridlines>
        <c:minorGridlines>
          <c:spPr>
            <a:ln w="9525" cap="flat" cmpd="sng" algn="ctr">
              <a:solidFill>
                <a:srgbClr val="D9D9D9">
                  <a:lumMod val="85000"/>
                  <a:alpha val="70000"/>
                </a:srgbClr>
              </a:solidFill>
              <a:round/>
            </a:ln>
            <a:effectLst/>
          </c:spPr>
        </c:minorGridlines>
        <c:numFmt formatCode="General" sourceLinked="true"/>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true" forceAA="false"/>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47477445"/>
        <c:crosses val="autoZero"/>
        <c:auto val="true"/>
        <c:lblAlgn val="ctr"/>
        <c:lblOffset val="100"/>
        <c:noMultiLvlLbl val="false"/>
      </c:catAx>
      <c:valAx>
        <c:axId val="147477445"/>
        <c:scaling>
          <c:orientation val="minMax"/>
        </c:scaling>
        <c:delete val="false"/>
        <c:axPos val="l"/>
        <c:majorGridlines>
          <c:spPr>
            <a:ln w="9525" cap="flat" cmpd="sng" algn="ctr">
              <a:solidFill>
                <a:srgbClr val="D9D9D9">
                  <a:lumMod val="15000"/>
                  <a:lumOff val="85000"/>
                  <a:alpha val="70000"/>
                </a:srgb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952907626"/>
        <c:crosses val="autoZero"/>
        <c:crossBetween val="between"/>
      </c:valAx>
      <c:spPr>
        <a:noFill/>
        <a:ln>
          <a:solidFill>
            <a:srgbClr val="BFBFBF"/>
          </a:solidFill>
          <a:prstDash val="solid"/>
        </a:ln>
        <a:effectLst/>
      </c:spPr>
    </c:plotArea>
    <c:legend>
      <c:legendPos val="r"/>
      <c:layout>
        <c:manualLayout>
          <c:xMode val="edge"/>
          <c:yMode val="edge"/>
          <c:x val="0.724868421052632"/>
          <c:y val="0.0158564814814815"/>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true"/>
    <c:dispBlanksAs val="gap"/>
    <c:showDLblsOverMax val="false"/>
  </c:chart>
  <c:spPr>
    <a:solidFill>
      <a:srgbClr val="F9F7FA"/>
    </a:solidFill>
    <a:ln w="9525" cap="flat" cmpd="sng" algn="ctr">
      <a:solidFill>
        <a:srgbClr val="D9D9D9">
          <a:lumMod val="15000"/>
          <a:lumOff val="85000"/>
        </a:srgbClr>
      </a:solidFill>
      <a:round/>
    </a:ln>
    <a:effectLst/>
  </c:spPr>
  <c:txPr>
    <a:bodyPr/>
    <a:lstStyle/>
    <a:p>
      <a:pPr>
        <a:defRPr lang="zh-CN">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一般公共预算财政拨款支出决算变动情况表</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trendline>
            <c:spPr>
              <a:ln w="19050" cap="rnd" cmpd="sng" algn="ctr">
                <a:solidFill>
                  <a:schemeClr val="accent1"/>
                </a:solidFill>
                <a:prstDash val="sysDot"/>
                <a:round/>
              </a:ln>
              <a:effectLst/>
            </c:spPr>
            <c:trendlineType val="linear"/>
            <c:dispRSqr val="false"/>
            <c:dispEq val="false"/>
          </c:trendline>
          <c:cat>
            <c:strRef>
              <c:f>[工作簿1]Sheet1!$H$4:$H$5</c:f>
              <c:strCache>
                <c:ptCount val="2"/>
                <c:pt idx="0">
                  <c:v>2021年</c:v>
                </c:pt>
                <c:pt idx="1">
                  <c:v>2022年</c:v>
                </c:pt>
              </c:strCache>
            </c:strRef>
          </c:cat>
          <c:val>
            <c:numRef>
              <c:f>[工作簿1]Sheet1!$I$4:$I$5</c:f>
              <c:numCache>
                <c:formatCode>General</c:formatCode>
                <c:ptCount val="2"/>
                <c:pt idx="0">
                  <c:v>3643.3</c:v>
                </c:pt>
                <c:pt idx="1">
                  <c:v>1619.46</c:v>
                </c:pt>
              </c:numCache>
            </c:numRef>
          </c:val>
        </c:ser>
        <c:dLbls>
          <c:showLegendKey val="false"/>
          <c:showVal val="true"/>
          <c:showCatName val="false"/>
          <c:showSerName val="false"/>
          <c:showPercent val="false"/>
          <c:showBubbleSize val="false"/>
        </c:dLbls>
        <c:gapWidth val="246"/>
        <c:overlap val="-28"/>
        <c:axId val="750103735"/>
        <c:axId val="448902307"/>
      </c:barChart>
      <c:catAx>
        <c:axId val="750103735"/>
        <c:scaling>
          <c:orientation val="minMax"/>
        </c:scaling>
        <c:delete val="false"/>
        <c:axPos val="b"/>
        <c:title>
          <c:layout/>
          <c:overlay val="false"/>
          <c:spPr>
            <a:noFill/>
            <a:ln>
              <a:noFill/>
            </a:ln>
            <a:effectLst/>
          </c:spPr>
          <c:tx>
            <c:rich>
              <a:bodyPr/>
              <a:lstStyle/>
              <a:p>
                <a:pPr>
                  <a:defRPr/>
                </a:pPr>
              </a:p>
            </c:rich>
          </c:tx>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48902307"/>
        <c:crosses val="autoZero"/>
        <c:auto val="true"/>
        <c:lblAlgn val="ctr"/>
        <c:lblOffset val="100"/>
        <c:noMultiLvlLbl val="false"/>
      </c:catAx>
      <c:valAx>
        <c:axId val="448902307"/>
        <c:scaling>
          <c:orientation val="minMax"/>
        </c:scaling>
        <c:delete val="false"/>
        <c:axPos val="l"/>
        <c:majorGridlines>
          <c:spPr>
            <a:ln w="9525" cap="flat" cmpd="sng" algn="ctr">
              <a:solidFill>
                <a:schemeClr val="bg1">
                  <a:lumMod val="90200"/>
                </a:schemeClr>
              </a:solidFill>
              <a:prstDash val="solid"/>
              <a:round/>
            </a:ln>
            <a:effectLst/>
          </c:spPr>
        </c:majorGridlines>
        <c:title>
          <c:tx>
            <c:rich>
              <a:bodyPr rot="-540000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overlay val="false"/>
          <c:spPr>
            <a:noFill/>
            <a:ln>
              <a:noFill/>
            </a:ln>
            <a:effectLst/>
          </c:spPr>
        </c:title>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50103735"/>
        <c:crosses val="autoZero"/>
        <c:crossBetween val="between"/>
      </c:valAx>
      <c:dTable>
        <c:showHorzBorder val="true"/>
        <c:showVertBorder val="true"/>
        <c:showOutline val="true"/>
        <c:showKeys val="true"/>
        <c:spPr>
          <a:noFill/>
          <a:ln w="9525" cap="flat" cmpd="sng" algn="ctr">
            <a:solidFill>
              <a:schemeClr val="tx1">
                <a:lumMod val="15000"/>
                <a:lumOff val="85000"/>
              </a:schemeClr>
            </a:solidFill>
            <a:prstDash val="solid"/>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一般公共预算财政拨款支出决算情况</a:t>
            </a:r>
          </a:p>
        </c:rich>
      </c:tx>
      <c:layout/>
      <c:overlay val="false"/>
      <c:spPr>
        <a:noFill/>
        <a:ln>
          <a:noFill/>
        </a:ln>
        <a:effectLst/>
      </c:spPr>
    </c:title>
    <c:autoTitleDeleted val="false"/>
    <c:plotArea>
      <c:layout/>
      <c:pieChart>
        <c:varyColors val="true"/>
        <c:ser>
          <c:idx val="0"/>
          <c:order val="0"/>
          <c:spPr>
            <a:scene3d>
              <a:camera prst="orthographicFront"/>
              <a:lightRig rig="threePt" dir="t"/>
            </a:scene3d>
            <a:sp3d contourW="9525"/>
          </c:spPr>
          <c:explosion val="0"/>
          <c:dPt>
            <c:idx val="0"/>
            <c:bubble3D val="false"/>
            <c:spPr>
              <a:solidFill>
                <a:schemeClr val="accent1"/>
              </a:solidFill>
              <a:ln w="19050">
                <a:solidFill>
                  <a:schemeClr val="bg1"/>
                </a:solidFill>
              </a:ln>
              <a:effectLst/>
              <a:scene3d>
                <a:camera prst="orthographicFront"/>
                <a:lightRig rig="threePt" dir="t"/>
              </a:scene3d>
              <a:sp3d contourW="9525"/>
            </c:spPr>
          </c:dPt>
          <c:dPt>
            <c:idx val="1"/>
            <c:bubble3D val="false"/>
            <c:spPr>
              <a:solidFill>
                <a:schemeClr val="accent2"/>
              </a:solidFill>
              <a:ln w="19050">
                <a:solidFill>
                  <a:schemeClr val="bg1"/>
                </a:solidFill>
              </a:ln>
              <a:effectLst/>
              <a:scene3d>
                <a:camera prst="orthographicFront"/>
                <a:lightRig rig="threePt" dir="t"/>
              </a:scene3d>
              <a:sp3d contourW="9525"/>
            </c:spPr>
          </c:dPt>
          <c:dPt>
            <c:idx val="2"/>
            <c:bubble3D val="false"/>
            <c:spPr>
              <a:solidFill>
                <a:schemeClr val="accent3"/>
              </a:solidFill>
              <a:ln w="19050">
                <a:solidFill>
                  <a:schemeClr val="bg1"/>
                </a:solidFill>
              </a:ln>
              <a:effectLst/>
              <a:scene3d>
                <a:camera prst="orthographicFront"/>
                <a:lightRig rig="threePt" dir="t"/>
              </a:scene3d>
              <a:sp3d contourW="9525"/>
            </c:spPr>
          </c:dPt>
          <c:dPt>
            <c:idx val="3"/>
            <c:bubble3D val="false"/>
            <c:spPr>
              <a:solidFill>
                <a:schemeClr val="accent4"/>
              </a:solidFill>
              <a:ln w="19050">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[工作簿1]Sheet1!$H$4:$H$7</c:f>
              <c:strCache>
                <c:ptCount val="4"/>
                <c:pt idx="0">
                  <c:v>教育支出</c:v>
                </c:pt>
                <c:pt idx="1">
                  <c:v>社会保障和就业</c:v>
                </c:pt>
                <c:pt idx="2">
                  <c:v>医疗卫生</c:v>
                </c:pt>
                <c:pt idx="3">
                  <c:v>住房保障</c:v>
                </c:pt>
              </c:strCache>
            </c:strRef>
          </c:cat>
          <c:val>
            <c:numRef>
              <c:f>[工作簿1]Sheet1!$I$4:$I$7</c:f>
              <c:numCache>
                <c:formatCode>General</c:formatCode>
                <c:ptCount val="4"/>
                <c:pt idx="0">
                  <c:v>1710.97</c:v>
                </c:pt>
                <c:pt idx="1">
                  <c:v>139.47</c:v>
                </c:pt>
                <c:pt idx="2">
                  <c:v>68.74</c:v>
                </c:pt>
                <c:pt idx="3">
                  <c:v>104.66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t>2022年一般公共预算财政拨款基本支出决算结构</a:t>
            </a:r>
          </a:p>
        </c:rich>
      </c:tx>
      <c:layout/>
      <c:overlay val="false"/>
      <c:spPr>
        <a:noFill/>
        <a:ln>
          <a:noFill/>
        </a:ln>
        <a:effectLst/>
      </c:spPr>
    </c:title>
    <c:autoTitleDeleted val="false"/>
    <c:plotArea>
      <c:layout/>
      <c:pieChart>
        <c:varyColors val="true"/>
        <c:ser>
          <c:idx val="0"/>
          <c:order val="0"/>
          <c:spPr>
            <a:scene3d>
              <a:camera prst="orthographicFront"/>
              <a:lightRig rig="threePt" dir="t"/>
            </a:scene3d>
            <a:sp3d contourW="9525"/>
          </c:spPr>
          <c:explosion val="0"/>
          <c:dPt>
            <c:idx val="0"/>
            <c:bubble3D val="false"/>
            <c:spPr>
              <a:solidFill>
                <a:schemeClr val="accent1"/>
              </a:solidFill>
              <a:ln w="19050">
                <a:solidFill>
                  <a:schemeClr val="bg1"/>
                </a:solidFill>
              </a:ln>
              <a:effectLst/>
              <a:scene3d>
                <a:camera prst="orthographicFront"/>
                <a:lightRig rig="threePt" dir="t"/>
              </a:scene3d>
              <a:sp3d contourW="9525"/>
            </c:spPr>
          </c:dPt>
          <c:dPt>
            <c:idx val="1"/>
            <c:bubble3D val="false"/>
            <c:spPr>
              <a:solidFill>
                <a:schemeClr val="accent2"/>
              </a:solidFill>
              <a:ln w="19050">
                <a:solidFill>
                  <a:schemeClr val="bg1"/>
                </a:solidFill>
              </a:ln>
              <a:effectLst/>
              <a:scene3d>
                <a:camera prst="orthographicFront"/>
                <a:lightRig rig="threePt" dir="t"/>
              </a:scene3d>
              <a:sp3d contourW="9525"/>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[工作簿1]Sheet2!$G$5:$G$6</c:f>
              <c:strCache>
                <c:ptCount val="2"/>
                <c:pt idx="0">
                  <c:v>人员经费</c:v>
                </c:pt>
                <c:pt idx="1">
                  <c:v>公用经费</c:v>
                </c:pt>
              </c:strCache>
            </c:strRef>
          </c:cat>
          <c:val>
            <c:numRef>
              <c:f>[工作簿1]Sheet2!$H$5:$H$6</c:f>
              <c:numCache>
                <c:formatCode>General</c:formatCode>
                <c:ptCount val="2"/>
                <c:pt idx="0">
                  <c:v>1866.42</c:v>
                </c:pt>
                <c:pt idx="1">
                  <c:v>157.43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rgbClr val="404040">
                    <a:lumMod val="75000"/>
                    <a:lumOff val="25000"/>
                  </a:srgbClr>
                </a:solidFill>
                <a:latin typeface="+mn-lt"/>
                <a:ea typeface="+mn-ea"/>
                <a:cs typeface="+mn-cs"/>
              </a:defRPr>
            </a:pPr>
            <a:r>
              <a:rPr lang="en-US" altLang="zh-CN"/>
              <a:t>2022</a:t>
            </a:r>
            <a:r>
              <a:rPr altLang="en-US"/>
              <a:t>年三公经费财政拨款支出结构</a:t>
            </a:r>
            <a:endParaRPr lang="en-US" altLang="zh-CN"/>
          </a:p>
        </c:rich>
      </c:tx>
      <c:layout>
        <c:manualLayout>
          <c:xMode val="edge"/>
          <c:yMode val="edge"/>
          <c:x val="0.210526315789474"/>
          <c:y val="0.0347222222222222"/>
        </c:manualLayout>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a:solidFill>
                  <a:srgbClr val="FFFFFF"/>
                </a:solidFill>
              </a:ln>
              <a:effectLst/>
            </c:spPr>
          </c:dPt>
          <c:dPt>
            <c:idx val="1"/>
            <c:bubble3D val="false"/>
            <c:spPr>
              <a:solidFill>
                <a:srgbClr val="C0504D"/>
              </a:solidFill>
              <a:ln>
                <a:solidFill>
                  <a:srgbClr val="FFFFFF"/>
                </a:solidFill>
              </a:ln>
              <a:effectLst/>
            </c:spPr>
          </c:dPt>
          <c:dPt>
            <c:idx val="2"/>
            <c:bubble3D val="false"/>
            <c:spPr>
              <a:solidFill>
                <a:srgbClr val="9BBB59"/>
              </a:solidFill>
              <a:ln>
                <a:solidFill>
                  <a:srgbClr val="FFFFFF"/>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[工作簿1]Sheet7!$C$2:$C$4</c:f>
              <c:strCache>
                <c:ptCount val="3"/>
                <c:pt idx="0">
                  <c:v>公务用车</c:v>
                </c:pt>
                <c:pt idx="1">
                  <c:v>公务出国</c:v>
                </c:pt>
                <c:pt idx="2">
                  <c:v>公务接待</c:v>
                </c:pt>
              </c:strCache>
            </c:strRef>
          </c:cat>
          <c:val>
            <c:numRef>
              <c:f>[工作簿1]Sheet7!$D$2:$D$4</c:f>
              <c:numCache>
                <c:formatCode>General</c:formatCode>
                <c:ptCount val="3"/>
                <c:pt idx="0">
                  <c:v>0</c:v>
                </c:pt>
                <c:pt idx="1">
                  <c:v>0</c:v>
                </c:pt>
                <c:pt idx="2">
                  <c:v>0.52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true">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false"/>
      </a:gradFill>
      <a:gradFill rotWithShape="true">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false"/>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true">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true">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false"/>
      </a:gradFill>
      <a:gradFill rotWithShape="true">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false"/>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true">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false"/>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true">
        <a:gsLst>
          <a:gs pos="0">
            <a:srgbClr val="FFFFFF">
              <a:tint val="50000"/>
              <a:satMod val="300000"/>
            </a:srgbClr>
          </a:gs>
          <a:gs pos="35000">
            <a:srgbClr val="FFFFFF">
              <a:tint val="37000"/>
              <a:satMod val="300000"/>
            </a:srgbClr>
          </a:gs>
          <a:gs pos="100000">
            <a:srgbClr val="FFFFFF">
              <a:tint val="15000"/>
              <a:satMod val="350000"/>
            </a:srgbClr>
          </a:gs>
        </a:gsLst>
        <a:lin ang="16200000" scaled="true"/>
      </a:gradFill>
      <a:gradFill rotWithShape="true">
        <a:gsLst>
          <a:gs pos="0">
            <a:srgbClr val="BDBDBD">
              <a:shade val="51000"/>
              <a:satMod val="130000"/>
            </a:srgbClr>
          </a:gs>
          <a:gs pos="80000">
            <a:srgbClr val="F7F7F7">
              <a:shade val="93000"/>
              <a:satMod val="130000"/>
            </a:srgbClr>
          </a:gs>
          <a:gs pos="100000">
            <a:srgbClr val="F8F8F8">
              <a:shade val="94000"/>
              <a:satMod val="135000"/>
            </a:srgbClr>
          </a:gs>
        </a:gsLst>
        <a:lin ang="16200000" scaled="false"/>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true">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true">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1968</Words>
  <Characters>11221</Characters>
  <Lines>93</Lines>
  <Paragraphs>26</Paragraphs>
  <TotalTime>33</TotalTime>
  <ScaleCrop>false</ScaleCrop>
  <LinksUpToDate>false</LinksUpToDate>
  <CharactersWithSpaces>13163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2020-11-07T11:55:00Z</cp:lastPrinted>
  <dcterms:modified xsi:type="dcterms:W3CDTF">2023-12-11T15:49:29Z</dcterms:modified>
  <dc:title>四川省***</dc:title>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6884C5DD956C4AE1804D062C672BF199_13</vt:lpwstr>
  </property>
</Properties>
</file>