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bCs/>
          <w:sz w:val="32"/>
          <w:szCs w:val="32"/>
        </w:rPr>
      </w:pPr>
      <w:r>
        <w:rPr>
          <w:rFonts w:hint="eastAsia" w:ascii="黑体" w:hAnsi="黑体" w:eastAsia="黑体"/>
          <w:bCs/>
          <w:sz w:val="32"/>
          <w:szCs w:val="32"/>
        </w:rPr>
        <w:t>附件</w:t>
      </w:r>
      <w:r>
        <w:rPr>
          <w:rFonts w:hint="eastAsia" w:ascii="黑体" w:hAnsi="黑体" w:eastAsia="黑体"/>
          <w:bCs/>
          <w:sz w:val="32"/>
          <w:szCs w:val="32"/>
          <w:lang w:val="en-US" w:eastAsia="zh-CN"/>
        </w:rPr>
        <w:t>5</w:t>
      </w:r>
    </w:p>
    <w:p>
      <w:pPr>
        <w:adjustRightInd w:val="0"/>
        <w:snapToGrid w:val="0"/>
        <w:spacing w:line="580" w:lineRule="exact"/>
        <w:jc w:val="center"/>
        <w:rPr>
          <w:rFonts w:hint="eastAsia" w:ascii="方正小标宋简体" w:hAnsi="华文中宋" w:eastAsia="方正小标宋简体" w:cs="华文中宋"/>
          <w:b/>
          <w:bCs/>
          <w:sz w:val="40"/>
          <w:szCs w:val="40"/>
          <w:lang w:val="zh-CN"/>
        </w:rPr>
      </w:pPr>
      <w:r>
        <w:rPr>
          <w:rFonts w:hint="eastAsia" w:ascii="方正小标宋简体" w:hAnsi="华文中宋" w:eastAsia="方正小标宋简体" w:cs="华文中宋"/>
          <w:b/>
          <w:bCs/>
          <w:sz w:val="40"/>
          <w:szCs w:val="40"/>
          <w:lang w:val="zh-CN"/>
        </w:rPr>
        <w:t>项目支出绩效自评报告（</w:t>
      </w:r>
      <w:r>
        <w:rPr>
          <w:rFonts w:hint="eastAsia" w:ascii="方正小标宋简体" w:hAnsi="华文中宋" w:eastAsia="方正小标宋简体" w:cs="华文中宋"/>
          <w:b/>
          <w:bCs/>
          <w:sz w:val="40"/>
          <w:szCs w:val="40"/>
          <w:lang w:val="en-US" w:eastAsia="zh-CN"/>
        </w:rPr>
        <w:t>二</w:t>
      </w:r>
      <w:r>
        <w:rPr>
          <w:rFonts w:hint="eastAsia" w:ascii="方正小标宋简体" w:hAnsi="华文中宋" w:eastAsia="方正小标宋简体" w:cs="华文中宋"/>
          <w:b/>
          <w:bCs/>
          <w:sz w:val="40"/>
          <w:szCs w:val="40"/>
          <w:lang w:val="zh-CN"/>
        </w:rPr>
        <w:t>）</w:t>
      </w:r>
    </w:p>
    <w:p>
      <w:pPr>
        <w:adjustRightInd w:val="0"/>
        <w:snapToGrid w:val="0"/>
        <w:spacing w:line="580" w:lineRule="exact"/>
        <w:ind w:firstLine="720"/>
        <w:rPr>
          <w:rFonts w:ascii="仿宋_GB2312" w:hAnsi="宋体"/>
          <w:lang w:val="zh-CN"/>
        </w:rPr>
      </w:pPr>
    </w:p>
    <w:p>
      <w:pPr>
        <w:adjustRightInd w:val="0"/>
        <w:snapToGrid w:val="0"/>
        <w:spacing w:line="600" w:lineRule="exact"/>
        <w:ind w:firstLine="720"/>
        <w:rPr>
          <w:rFonts w:ascii="仿宋" w:hAnsi="仿宋" w:eastAsia="仿宋" w:cs="仿宋"/>
          <w:sz w:val="32"/>
          <w:szCs w:val="32"/>
          <w:lang w:val="zh-CN"/>
        </w:rPr>
      </w:pPr>
      <w:r>
        <w:rPr>
          <w:rFonts w:hint="eastAsia" w:ascii="黑体" w:hAnsi="黑体" w:eastAsia="黑体" w:cs="黑体"/>
          <w:bCs/>
          <w:sz w:val="32"/>
          <w:szCs w:val="32"/>
          <w:lang w:val="zh-CN"/>
        </w:rPr>
        <w:t>一、项目概况</w:t>
      </w:r>
    </w:p>
    <w:p>
      <w:pPr>
        <w:adjustRightInd w:val="0"/>
        <w:snapToGrid w:val="0"/>
        <w:spacing w:line="600" w:lineRule="exact"/>
        <w:ind w:firstLine="720"/>
        <w:rPr>
          <w:rFonts w:hint="eastAsia" w:ascii="仿宋_GB2312" w:hAnsi="仿宋" w:eastAsia="仿宋_GB2312" w:cs="仿宋"/>
          <w:sz w:val="32"/>
          <w:szCs w:val="32"/>
          <w:lang w:val="zh-CN"/>
        </w:rPr>
      </w:pPr>
      <w:r>
        <w:rPr>
          <w:rFonts w:hint="eastAsia" w:ascii="楷体" w:hAnsi="楷体" w:eastAsia="楷体" w:cs="华文楷体"/>
          <w:b/>
          <w:bCs/>
          <w:sz w:val="32"/>
          <w:szCs w:val="32"/>
          <w:lang w:val="zh-CN"/>
        </w:rPr>
        <w:t>（一）项目资金申报及批复情况。</w:t>
      </w:r>
      <w:r>
        <w:rPr>
          <w:rFonts w:hint="eastAsia" w:ascii="仿宋_GB2312" w:hAnsi="仿宋" w:eastAsia="仿宋_GB2312" w:cs="仿宋"/>
          <w:sz w:val="32"/>
          <w:szCs w:val="32"/>
        </w:rPr>
        <w:t>汇总各乡镇上报</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年度巩固脱贫攻坚成果同乡村振兴项目实施规划，对其进行汇总，通过党组会研究审定项目后，积极争取巩固脱贫攻坚成果同乡村振兴衔接资金，由交通运输局打捆立项，县发展和改革局批复。</w:t>
      </w:r>
      <w:r>
        <w:rPr>
          <w:rFonts w:hint="eastAsia" w:ascii="仿宋_GB2312" w:hAnsi="仿宋" w:eastAsia="仿宋_GB2312" w:cs="仿宋"/>
          <w:sz w:val="32"/>
          <w:szCs w:val="32"/>
          <w:lang w:val="zh-CN"/>
        </w:rPr>
        <w:t>符合资金管理办法等相关规定。</w:t>
      </w:r>
    </w:p>
    <w:p>
      <w:pPr>
        <w:adjustRightInd w:val="0"/>
        <w:snapToGrid w:val="0"/>
        <w:spacing w:line="576"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（二）项目绩效目标。</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年底完成巩固拓展脱贫攻坚交通成果同乡村振兴有效衔接农村公路建设23.9公里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村道路维修整治13.4公里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村道路加宽21.5公里，项目（工程）质量合格率100%;改善农村公路环境、提升通行能力，提高生产能力，发展机遇增多，促使群众收入增加，生活改善；提升公共服务水平；提升道路安全水平；有效改善道路环境，减少空气污染，行业技术水平明显提高；有效提高项目持续发挥作用的期限；受益群众满意度达95%。</w:t>
      </w:r>
    </w:p>
    <w:p>
      <w:pPr>
        <w:adjustRightInd w:val="0"/>
        <w:snapToGrid w:val="0"/>
        <w:spacing w:line="600"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（三）项目资金申报相符性。</w:t>
      </w:r>
      <w:r>
        <w:rPr>
          <w:rFonts w:hint="eastAsia" w:ascii="仿宋_GB2312" w:hAnsi="仿宋" w:eastAsia="仿宋_GB2312" w:cs="仿宋"/>
          <w:sz w:val="32"/>
          <w:szCs w:val="32"/>
        </w:rPr>
        <w:t>项目申报内容与具体实施内容相符、</w:t>
      </w:r>
      <w:bookmarkStart w:id="0" w:name="_GoBack"/>
      <w:bookmarkEnd w:id="0"/>
      <w:r>
        <w:rPr>
          <w:rFonts w:hint="eastAsia" w:ascii="仿宋_GB2312" w:hAnsi="仿宋" w:eastAsia="仿宋_GB2312" w:cs="仿宋"/>
          <w:sz w:val="32"/>
          <w:szCs w:val="32"/>
        </w:rPr>
        <w:t>申报目标合理可行。</w:t>
      </w:r>
    </w:p>
    <w:p>
      <w:pPr>
        <w:adjustRightInd w:val="0"/>
        <w:snapToGrid w:val="0"/>
        <w:spacing w:line="600" w:lineRule="exact"/>
        <w:ind w:firstLine="720"/>
        <w:rPr>
          <w:rFonts w:ascii="黑体" w:hAnsi="黑体" w:eastAsia="黑体" w:cs="黑体"/>
          <w:bCs/>
          <w:sz w:val="32"/>
          <w:szCs w:val="32"/>
          <w:lang w:val="zh-CN"/>
        </w:rPr>
      </w:pPr>
      <w:r>
        <w:rPr>
          <w:rFonts w:hint="eastAsia" w:ascii="黑体" w:hAnsi="黑体" w:eastAsia="黑体" w:cs="黑体"/>
          <w:bCs/>
          <w:sz w:val="32"/>
          <w:szCs w:val="32"/>
          <w:lang w:val="zh-CN"/>
        </w:rPr>
        <w:t>二、项目实施及管理情况</w:t>
      </w:r>
    </w:p>
    <w:p>
      <w:pPr>
        <w:adjustRightInd w:val="0"/>
        <w:snapToGrid w:val="0"/>
        <w:spacing w:line="60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楷体_GB2312" w:hAnsi="宋体" w:eastAsia="楷体_GB2312"/>
          <w:b/>
          <w:sz w:val="32"/>
          <w:szCs w:val="32"/>
          <w:lang w:val="zh-CN"/>
        </w:rPr>
        <w:t>（一）项目资金申报及批复情况。</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17</w:t>
      </w:r>
      <w:r>
        <w:rPr>
          <w:rFonts w:hint="eastAsia" w:ascii="仿宋_GB2312" w:hAnsi="仿宋" w:eastAsia="仿宋_GB2312" w:cs="仿宋"/>
          <w:sz w:val="32"/>
          <w:szCs w:val="32"/>
        </w:rPr>
        <w:t>日，《剑阁县</w:t>
      </w:r>
      <w:r>
        <w:rPr>
          <w:rFonts w:hint="eastAsia" w:ascii="仿宋_GB2312" w:hAnsi="仿宋" w:eastAsia="仿宋_GB2312" w:cs="仿宋"/>
          <w:sz w:val="32"/>
          <w:szCs w:val="32"/>
          <w:lang w:val="en-US" w:eastAsia="zh-CN"/>
        </w:rPr>
        <w:t>乡村振兴局剑阁县</w:t>
      </w:r>
      <w:r>
        <w:rPr>
          <w:rFonts w:hint="eastAsia" w:ascii="仿宋_GB2312" w:hAnsi="仿宋" w:eastAsia="仿宋_GB2312" w:cs="仿宋"/>
          <w:sz w:val="32"/>
          <w:szCs w:val="32"/>
        </w:rPr>
        <w:t>财政局关于下达</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年中央和省级</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第二批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财政衔接推进乡村振兴补助资金</w:t>
      </w:r>
      <w:r>
        <w:rPr>
          <w:rFonts w:hint="eastAsia" w:ascii="仿宋_GB2312" w:hAnsi="仿宋" w:eastAsia="仿宋_GB2312" w:cs="仿宋"/>
          <w:sz w:val="32"/>
          <w:szCs w:val="32"/>
          <w:lang w:val="en-US" w:eastAsia="zh-CN"/>
        </w:rPr>
        <w:t>项目</w:t>
      </w:r>
      <w:r>
        <w:rPr>
          <w:rFonts w:hint="eastAsia" w:ascii="仿宋_GB2312" w:hAnsi="仿宋" w:eastAsia="仿宋_GB2312" w:cs="仿宋"/>
          <w:sz w:val="32"/>
          <w:szCs w:val="32"/>
        </w:rPr>
        <w:t>的通知》（剑</w:t>
      </w:r>
      <w:r>
        <w:rPr>
          <w:rFonts w:hint="eastAsia" w:ascii="仿宋_GB2312" w:hAnsi="仿宋" w:eastAsia="仿宋_GB2312" w:cs="仿宋"/>
          <w:sz w:val="32"/>
          <w:szCs w:val="32"/>
          <w:lang w:val="en-US" w:eastAsia="zh-CN"/>
        </w:rPr>
        <w:t>乡振发</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41</w:t>
      </w:r>
      <w:r>
        <w:rPr>
          <w:rFonts w:hint="eastAsia" w:ascii="仿宋_GB2312" w:hAnsi="仿宋" w:eastAsia="仿宋_GB2312" w:cs="仿宋"/>
          <w:sz w:val="32"/>
          <w:szCs w:val="32"/>
        </w:rPr>
        <w:t>号）下达农村公路及园区产业路</w:t>
      </w:r>
      <w:r>
        <w:rPr>
          <w:rFonts w:hint="eastAsia" w:ascii="仿宋_GB2312" w:hAnsi="仿宋" w:eastAsia="仿宋_GB2312" w:cs="仿宋"/>
          <w:sz w:val="32"/>
          <w:szCs w:val="32"/>
          <w:lang w:val="en-US" w:eastAsia="zh-CN"/>
        </w:rPr>
        <w:t>2248</w:t>
      </w:r>
      <w:r>
        <w:rPr>
          <w:rFonts w:hint="eastAsia" w:ascii="仿宋_GB2312" w:hAnsi="仿宋" w:eastAsia="仿宋_GB2312" w:cs="仿宋"/>
          <w:sz w:val="32"/>
          <w:szCs w:val="32"/>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76" w:lineRule="exact"/>
        <w:ind w:firstLine="720"/>
        <w:rPr>
          <w:rFonts w:ascii="仿宋_GB2312" w:hAnsi="仿宋" w:eastAsia="仿宋_GB2312" w:cs="仿宋"/>
          <w:sz w:val="32"/>
          <w:szCs w:val="32"/>
        </w:rPr>
      </w:pPr>
      <w:r>
        <w:rPr>
          <w:rFonts w:hint="eastAsia" w:ascii="仿宋_GB2312" w:hAnsi="仿宋" w:eastAsia="仿宋_GB2312" w:cs="仿宋"/>
          <w:sz w:val="32"/>
          <w:szCs w:val="32"/>
        </w:rPr>
        <w:t>1．资金计划及到位。该项目资金下达我局后，按审批情况使用，资金到位率100%。</w:t>
      </w:r>
    </w:p>
    <w:p>
      <w:pPr>
        <w:adjustRightInd w:val="0"/>
        <w:snapToGrid w:val="0"/>
        <w:spacing w:line="576" w:lineRule="exact"/>
        <w:ind w:firstLine="720"/>
        <w:rPr>
          <w:rFonts w:ascii="仿宋_GB2312" w:hAnsi="仿宋" w:eastAsia="仿宋_GB2312" w:cs="仿宋"/>
          <w:sz w:val="32"/>
          <w:szCs w:val="32"/>
        </w:rPr>
      </w:pPr>
      <w:r>
        <w:rPr>
          <w:rFonts w:hint="eastAsia" w:ascii="仿宋_GB2312" w:hAnsi="仿宋" w:eastAsia="仿宋_GB2312" w:cs="仿宋"/>
          <w:sz w:val="32"/>
          <w:szCs w:val="32"/>
        </w:rPr>
        <w:t>2．资金使用。农村公路建设项目资金预算数</w:t>
      </w:r>
      <w:r>
        <w:rPr>
          <w:rFonts w:hint="eastAsia" w:ascii="仿宋_GB2312" w:hAnsi="仿宋" w:eastAsia="仿宋_GB2312" w:cs="仿宋"/>
          <w:sz w:val="32"/>
          <w:szCs w:val="32"/>
          <w:lang w:val="en-US" w:eastAsia="zh-CN"/>
        </w:rPr>
        <w:t>2248</w:t>
      </w:r>
      <w:r>
        <w:rPr>
          <w:rFonts w:hint="eastAsia" w:ascii="仿宋_GB2312" w:hAnsi="仿宋" w:eastAsia="仿宋_GB2312" w:cs="仿宋"/>
          <w:sz w:val="32"/>
          <w:szCs w:val="32"/>
        </w:rPr>
        <w:t>万元，与决算数一致，主要用于农村公路及园区产业路建设支出。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r>
        <w:rPr>
          <w:rFonts w:hint="eastAsia" w:ascii="仿宋_GB2312" w:hAnsi="仿宋" w:eastAsia="仿宋_GB2312" w:cs="仿宋"/>
          <w:sz w:val="32"/>
          <w:szCs w:val="32"/>
        </w:rPr>
        <w:t>农村公路建设项目资金严格执行财务相关管理制度，账务处理及时，会计核算规范。</w:t>
      </w:r>
    </w:p>
    <w:p>
      <w:pPr>
        <w:adjustRightInd w:val="0"/>
        <w:snapToGrid w:val="0"/>
        <w:spacing w:line="600" w:lineRule="exact"/>
        <w:ind w:firstLine="720"/>
        <w:rPr>
          <w:rFonts w:ascii="楷体" w:hAnsi="楷体" w:eastAsia="楷体" w:cs="华文楷体"/>
          <w:b/>
          <w:bCs/>
          <w:sz w:val="32"/>
          <w:szCs w:val="32"/>
          <w:lang w:val="zh-CN"/>
        </w:rPr>
      </w:pPr>
      <w:r>
        <w:rPr>
          <w:rFonts w:hint="eastAsia" w:ascii="楷体" w:hAnsi="楷体" w:eastAsia="楷体" w:cs="华文楷体"/>
          <w:b/>
          <w:bCs/>
          <w:sz w:val="32"/>
          <w:szCs w:val="32"/>
          <w:lang w:val="zh-CN"/>
        </w:rPr>
        <w:t>（</w:t>
      </w:r>
      <w:r>
        <w:rPr>
          <w:rFonts w:hint="eastAsia" w:ascii="楷体" w:hAnsi="楷体" w:eastAsia="楷体" w:cs="华文楷体"/>
          <w:b/>
          <w:bCs/>
          <w:sz w:val="32"/>
          <w:szCs w:val="32"/>
        </w:rPr>
        <w:t>四</w:t>
      </w:r>
      <w:r>
        <w:rPr>
          <w:rFonts w:hint="eastAsia" w:ascii="楷体" w:hAnsi="楷体" w:eastAsia="楷体" w:cs="华文楷体"/>
          <w:b/>
          <w:bCs/>
          <w:sz w:val="32"/>
          <w:szCs w:val="32"/>
          <w:lang w:val="zh-CN"/>
        </w:rPr>
        <w:t>）项目组织实施情况。</w:t>
      </w:r>
      <w:r>
        <w:rPr>
          <w:rFonts w:hint="eastAsia" w:ascii="仿宋_GB2312" w:hAnsi="仿宋" w:eastAsia="仿宋_GB2312" w:cs="仿宋"/>
          <w:sz w:val="32"/>
          <w:szCs w:val="32"/>
        </w:rPr>
        <w:t>项目由乡镇统一进行申报，县交通运输局统一打捆立项，县发展和改革局进行批复。由剑阁县农村公路建设事务中心进行项目进行财评、简易施工图设计及简易施工图预算。完成项目前期工作后，将任务下发至乡镇，由乡镇作为业主进行实施，监管项目招投标、项目进度、质量等。剑阁县农村公路建设事务中心对项目进度、项目质量、项目验收、竣工资料编制进行监督和指导。</w:t>
      </w:r>
    </w:p>
    <w:p>
      <w:pPr>
        <w:adjustRightInd w:val="0"/>
        <w:snapToGrid w:val="0"/>
        <w:spacing w:line="600" w:lineRule="exact"/>
        <w:ind w:firstLine="720"/>
        <w:rPr>
          <w:rFonts w:ascii="黑体" w:hAnsi="黑体" w:eastAsia="黑体" w:cs="黑体"/>
          <w:bCs/>
          <w:sz w:val="32"/>
          <w:szCs w:val="32"/>
          <w:lang w:val="zh-CN"/>
        </w:rPr>
      </w:pPr>
      <w:r>
        <w:rPr>
          <w:rFonts w:hint="eastAsia" w:ascii="黑体" w:hAnsi="黑体" w:eastAsia="黑体" w:cs="黑体"/>
          <w:bCs/>
          <w:sz w:val="32"/>
          <w:szCs w:val="32"/>
          <w:lang w:val="zh-CN"/>
        </w:rPr>
        <w:t>三、项目绩效</w:t>
      </w:r>
      <w:r>
        <w:rPr>
          <w:rFonts w:hint="eastAsia" w:ascii="黑体" w:hAnsi="黑体" w:eastAsia="黑体" w:cs="黑体"/>
          <w:bCs/>
          <w:sz w:val="32"/>
          <w:szCs w:val="32"/>
        </w:rPr>
        <w:t>完成</w:t>
      </w:r>
      <w:r>
        <w:rPr>
          <w:rFonts w:hint="eastAsia" w:ascii="黑体" w:hAnsi="黑体" w:eastAsia="黑体" w:cs="黑体"/>
          <w:bCs/>
          <w:sz w:val="32"/>
          <w:szCs w:val="32"/>
          <w:lang w:val="zh-CN"/>
        </w:rPr>
        <w:t>情况</w:t>
      </w:r>
      <w:r>
        <w:rPr>
          <w:rFonts w:hint="eastAsia" w:ascii="黑体" w:hAnsi="黑体" w:eastAsia="黑体" w:cs="黑体"/>
          <w:bCs/>
          <w:sz w:val="32"/>
          <w:szCs w:val="32"/>
          <w:lang w:val="zh-CN"/>
        </w:rPr>
        <w:tab/>
      </w:r>
    </w:p>
    <w:p>
      <w:pPr>
        <w:adjustRightInd w:val="0"/>
        <w:snapToGrid w:val="0"/>
        <w:spacing w:line="600" w:lineRule="exact"/>
        <w:ind w:firstLine="720"/>
        <w:rPr>
          <w:rFonts w:ascii="楷体" w:hAnsi="楷体" w:eastAsia="楷体" w:cs="华文楷体"/>
          <w:b/>
          <w:bCs/>
          <w:sz w:val="32"/>
          <w:szCs w:val="32"/>
          <w:lang w:val="zh-CN"/>
        </w:rPr>
      </w:pPr>
      <w:r>
        <w:rPr>
          <w:rFonts w:hint="eastAsia" w:ascii="楷体" w:hAnsi="楷体" w:eastAsia="楷体" w:cs="华文楷体"/>
          <w:b/>
          <w:bCs/>
          <w:sz w:val="32"/>
          <w:szCs w:val="32"/>
          <w:lang w:val="zh-CN"/>
        </w:rPr>
        <w:t>（一）项目完成情况。</w:t>
      </w:r>
      <w:r>
        <w:rPr>
          <w:rFonts w:hint="eastAsia" w:ascii="仿宋_GB2312" w:hAnsi="仿宋" w:eastAsia="仿宋_GB2312" w:cs="仿宋"/>
          <w:sz w:val="32"/>
          <w:szCs w:val="32"/>
          <w:lang w:eastAsia="zh-CN"/>
        </w:rPr>
        <w:t>2022</w:t>
      </w:r>
      <w:r>
        <w:rPr>
          <w:rFonts w:hint="eastAsia" w:ascii="仿宋_GB2312" w:hAnsi="仿宋" w:eastAsia="仿宋_GB2312" w:cs="仿宋"/>
          <w:sz w:val="32"/>
          <w:szCs w:val="32"/>
        </w:rPr>
        <w:t>年底全面已完成农村公路建设农村公路建设23.9公里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村道路维修整治13.4公里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村道路加宽21.5公里，并已投入使用，严格按时间节点完成建设，包括项目完成数量、质量、时效、成本等情况，对照项目计划完成目标，对截</w:t>
      </w:r>
      <w:r>
        <w:rPr>
          <w:rFonts w:hint="eastAsia" w:ascii="仿宋_GB2312" w:hAnsi="仿宋" w:eastAsia="仿宋_GB2312" w:cs="仿宋"/>
          <w:sz w:val="32"/>
          <w:szCs w:val="32"/>
          <w:lang w:eastAsia="zh-CN"/>
        </w:rPr>
        <w:t>至</w:t>
      </w:r>
      <w:r>
        <w:rPr>
          <w:rFonts w:hint="eastAsia" w:ascii="仿宋_GB2312" w:hAnsi="仿宋" w:eastAsia="仿宋_GB2312" w:cs="仿宋"/>
          <w:sz w:val="32"/>
          <w:szCs w:val="32"/>
        </w:rPr>
        <w:t>评价时点的任务量完成、质量标准、进度计划、成本控制目标的实现程度进行自评、分析、说明。</w:t>
      </w:r>
    </w:p>
    <w:p>
      <w:pPr>
        <w:adjustRightInd w:val="0"/>
        <w:snapToGrid w:val="0"/>
        <w:spacing w:line="600" w:lineRule="exact"/>
        <w:ind w:firstLine="720"/>
        <w:rPr>
          <w:rFonts w:ascii="仿宋_GB2312" w:hAnsi="仿宋" w:eastAsia="仿宋_GB2312" w:cs="仿宋"/>
          <w:sz w:val="32"/>
          <w:szCs w:val="32"/>
        </w:rPr>
      </w:pPr>
      <w:r>
        <w:rPr>
          <w:rFonts w:hint="eastAsia" w:ascii="楷体" w:hAnsi="楷体" w:eastAsia="楷体" w:cs="华文楷体"/>
          <w:b/>
          <w:bCs/>
          <w:sz w:val="32"/>
          <w:szCs w:val="32"/>
          <w:lang w:val="zh-CN"/>
        </w:rPr>
        <w:t>（二）项目效益情况。</w:t>
      </w:r>
      <w:r>
        <w:rPr>
          <w:rFonts w:hint="eastAsia" w:ascii="仿宋_GB2312" w:hAnsi="仿宋" w:eastAsia="仿宋_GB2312" w:cs="仿宋"/>
          <w:sz w:val="32"/>
          <w:szCs w:val="32"/>
        </w:rPr>
        <w:t>项目建成后有效改善农村公路环境、提升通行能力，提高生产能力，发展机遇增多，促使群众收入增加，生活改善；提升公共服务水平；提升道路安全水平；改善道路环境，减少空气污染，行业技术水平明显提高；项目持续发挥作用期限为10年；受益群众满意度达95%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ODUwOWUwNmUyMmM0MDYxZTI3ZWRlMWRiZjIyNWMifQ=="/>
  </w:docVars>
  <w:rsids>
    <w:rsidRoot w:val="00000000"/>
    <w:rsid w:val="33B1247A"/>
    <w:rsid w:val="37B120CF"/>
    <w:rsid w:val="38EA5C46"/>
    <w:rsid w:val="4F1E2A19"/>
    <w:rsid w:val="53D3514D"/>
    <w:rsid w:val="6DCD055A"/>
    <w:rsid w:val="7BC65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2022-10-24T06:59:00Z</dcterms:created>
  <dc:creator>Administrator</dc:creator>
  <cp:lastModifiedBy>Administrator</cp:lastModifiedBy>
  <dcterms:modified xsi:type="dcterms:W3CDTF">2023-11-06T01:37:50Z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8D461C6B943F49359D11CC504A467F67</vt:lpwstr>
  </property>
</Properties>
</file>