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bookmarkStart w:id="0" w:name="_GoBack"/>
      <w:bookmarkEnd w:id="0"/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剑阁县羊岭镇人民政府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2021年度行政许可实施情况统计表</w:t>
      </w:r>
    </w:p>
    <w:p>
      <w:pPr>
        <w:pStyle w:val="2"/>
        <w:rPr>
          <w:rFonts w:hint="eastAsi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6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3180"/>
        <w:gridCol w:w="1784"/>
        <w:gridCol w:w="1317"/>
        <w:gridCol w:w="1921"/>
        <w:gridCol w:w="2057"/>
        <w:gridCol w:w="27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318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079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行政许可实施数量（件）</w:t>
            </w:r>
          </w:p>
        </w:tc>
        <w:tc>
          <w:tcPr>
            <w:tcW w:w="276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71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7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7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剑阁县羊岭镇人民政府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318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59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合计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1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14104" w:type="dxa"/>
            <w:gridSpan w:val="7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“申请数量”的统计范围为统计年度 1 月 1 日至 12 月 31 日期间许可机关收到当事人许可申请的数量。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3.准予变更、延续和不予变更、延续的数量，分别计入 “许可的数量”、 “不予许可的数量”。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4.没有的填“0”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 w:chapStyle="1"/>
          <w:cols w:space="72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0" w:lineRule="auto"/>
        <w:ind w:firstLine="2616" w:firstLineChars="6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剑阁县羊岭镇人民政府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2021年度行政处罚实施情况统计表</w:t>
      </w:r>
    </w:p>
    <w:p>
      <w:pPr>
        <w:pStyle w:val="2"/>
        <w:rPr>
          <w:rFonts w:hint="eastAsia"/>
        </w:rPr>
      </w:pPr>
    </w:p>
    <w:tbl>
      <w:tblPr>
        <w:tblStyle w:val="6"/>
        <w:tblW w:w="5197" w:type="pct"/>
        <w:tblInd w:w="-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2192"/>
        <w:gridCol w:w="1026"/>
        <w:gridCol w:w="473"/>
        <w:gridCol w:w="1281"/>
        <w:gridCol w:w="656"/>
        <w:gridCol w:w="679"/>
        <w:gridCol w:w="670"/>
        <w:gridCol w:w="782"/>
        <w:gridCol w:w="1292"/>
        <w:gridCol w:w="1112"/>
        <w:gridCol w:w="1596"/>
        <w:gridCol w:w="10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21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64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2782" w:type="pct"/>
            <w:gridSpan w:val="9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557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372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备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521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0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764" w:type="pct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1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40" w:lineRule="auto"/>
                  <w:jc w:val="left"/>
                  <w:textAlignment w:val="baseline"/>
                </w:pPr>
              </w:pPrChange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pPrChange w:id="2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97" w:lineRule="auto"/>
                  <w:jc w:val="left"/>
                  <w:textAlignment w:val="baseline"/>
                </w:pPr>
              </w:pPrChange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警告</w:t>
            </w:r>
          </w:p>
        </w:tc>
        <w:tc>
          <w:tcPr>
            <w:tcW w:w="165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罚款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22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暂扣许可证、执照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责令停 产停业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吊销许 可证、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执照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  <w:t>合计 （件）</w:t>
            </w:r>
          </w:p>
        </w:tc>
        <w:tc>
          <w:tcPr>
            <w:tcW w:w="557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  <w:tc>
          <w:tcPr>
            <w:tcW w:w="372" w:type="pct"/>
            <w:vMerge w:val="continue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0" w:line="400" w:lineRule="exact"/>
              <w:ind w:left="0" w:right="0" w:firstLine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2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剑阁县羊岭镇人民政府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86" w:type="pct"/>
            <w:gridSpan w:val="2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1.行政处罚实施数量的统计范围为统计年度1月1日至1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月31日期间作出行政处罚决定的数量（包括经行政复议或者行政诉讼被撤销的行政处罚决定数量） 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2.其他行政处罚，为法律、行政法规规定的其他行政处罚， 比如通报批评、驱逐出境等。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 “处罚款，并处其他行政处罚”，计入 “罚款”类别。行政处罚类别从轻到重的顺序：（ 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）警告，（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）罚款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（ 3）没收违法所得、没收非法财物，（ 4）暂扣许可证、执照，（ 5）责令停产停业，（ 6）吊销许可证、执照，（ 7）行政拘留。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4.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1"/>
                <w:szCs w:val="21"/>
              </w:rPr>
              <w:t>没收违法所得、没收非法财物能确定金额的，计入 “罚没金额”； 不能确定金额的，不计入 “罚没金额”。5. 罚没金额”以处罚决定书确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定的金额为准。</w:t>
            </w:r>
          </w:p>
        </w:tc>
      </w:tr>
    </w:tbl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3488" w:firstLineChars="8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3488" w:firstLineChars="8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3052" w:firstLineChars="7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1308" w:firstLineChars="3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剑阁县羊岭镇人民政府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2021年度行政强制实施情况统计表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tbl>
      <w:tblPr>
        <w:tblStyle w:val="6"/>
        <w:tblW w:w="5296" w:type="pct"/>
        <w:tblInd w:w="-4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947"/>
        <w:gridCol w:w="1295"/>
        <w:gridCol w:w="1371"/>
        <w:gridCol w:w="870"/>
        <w:gridCol w:w="1050"/>
        <w:gridCol w:w="750"/>
        <w:gridCol w:w="900"/>
        <w:gridCol w:w="1333"/>
        <w:gridCol w:w="964"/>
        <w:gridCol w:w="765"/>
        <w:gridCol w:w="765"/>
        <w:gridCol w:w="840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666" w:type="pct"/>
            <w:vMerge w:val="restar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1571" w:type="pct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行政强制措施实施数量（件）</w:t>
            </w:r>
          </w:p>
        </w:tc>
        <w:tc>
          <w:tcPr>
            <w:tcW w:w="2164" w:type="pct"/>
            <w:gridSpan w:val="7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236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1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666" w:type="pct"/>
            <w:vMerge w:val="continue"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571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76" w:type="pct"/>
            <w:gridSpan w:val="6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287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申请法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院强制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执行</w:t>
            </w:r>
          </w:p>
        </w:tc>
        <w:tc>
          <w:tcPr>
            <w:tcW w:w="236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361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666" w:type="pct"/>
            <w:vMerge w:val="continue"/>
            <w:noWrap w:val="0"/>
            <w:vAlign w:val="top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443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查封场所、设施或者财物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扣押财物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冻结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存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款、汇款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其他行政强制措施</w:t>
            </w:r>
          </w:p>
        </w:tc>
        <w:tc>
          <w:tcPr>
            <w:tcW w:w="25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加处罚 款或者滞纳金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排除妨害、恢复原状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1"/>
                <w:szCs w:val="21"/>
              </w:rPr>
              <w:t>其他强制执行方式</w:t>
            </w:r>
          </w:p>
        </w:tc>
        <w:tc>
          <w:tcPr>
            <w:tcW w:w="287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236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eastAsia="zh-CN"/>
              </w:rPr>
              <w:t>剑阁县羊岭镇人民政府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ind w:firstLine="0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2.行政强制执行实施数量的统计范围为统计年度1月1日至12月31日期间“加处罚款或者滞纳金”、“划拨存款、汇款”、“拍卖或者依法处理 查封、扣押的场所、设施或者财物”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“排除妨碍、恢复原状”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“代履行”和“其他强制执行方式”等执行完毕或者终结执行的数量。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3.其他强制执行方式，如《城乡规划法》规定的强制拆除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《煤炭法》规定的强制停产、强制消除安全隐患；《金银管理条例》规定的强制收购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《外汇管理条例》规定的回兑等。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360" w:lineRule="exact"/>
              <w:ind w:left="0" w:right="0" w:firstLine="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napToGrid w:val="0"/>
                <w:color w:val="000000"/>
                <w:spacing w:val="-6"/>
                <w:kern w:val="0"/>
                <w:sz w:val="20"/>
                <w:szCs w:val="20"/>
              </w:rPr>
              <w:t>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sectPr>
          <w:headerReference r:id="rId5" w:type="default"/>
          <w:footerReference r:id="rId6" w:type="default"/>
          <w:pgSz w:w="16838" w:h="11905" w:orient="landscape"/>
          <w:pgMar w:top="2098" w:right="1474" w:bottom="1984" w:left="1587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chapStyle="1"/>
          <w:cols w:space="720" w:num="1"/>
          <w:rtlGutter w:val="0"/>
          <w:docGrid w:linePitch="0" w:charSpace="0"/>
        </w:sectPr>
      </w:pPr>
    </w:p>
    <w:p>
      <w:pPr>
        <w:widowControl w:val="0"/>
        <w:kinsoku w:val="0"/>
        <w:autoSpaceDE w:val="0"/>
        <w:autoSpaceDN w:val="0"/>
        <w:adjustRightInd w:val="0"/>
        <w:snapToGrid w:val="0"/>
        <w:spacing w:before="0" w:line="576" w:lineRule="exact"/>
        <w:ind w:firstLine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eastAsia="zh-CN"/>
        </w:rPr>
        <w:t>剑阁县羊岭镇人民政府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</w:rPr>
        <w:t>2021年度行政检查实施情况统计表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</w:rPr>
      </w:pPr>
    </w:p>
    <w:tbl>
      <w:tblPr>
        <w:tblStyle w:val="6"/>
        <w:tblW w:w="5288" w:type="pct"/>
        <w:tblInd w:w="-3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6208"/>
        <w:gridCol w:w="75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336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序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7"/>
                <w:kern w:val="0"/>
                <w:sz w:val="28"/>
                <w:szCs w:val="28"/>
              </w:rPr>
              <w:t>号</w:t>
            </w:r>
          </w:p>
        </w:tc>
        <w:tc>
          <w:tcPr>
            <w:tcW w:w="210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2561" w:type="pc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行政检查次数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1</w:t>
            </w:r>
          </w:p>
        </w:tc>
        <w:tc>
          <w:tcPr>
            <w:tcW w:w="21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eastAsia="zh-CN"/>
              </w:rPr>
              <w:t>剑阁县羊岭镇人民政府</w:t>
            </w:r>
          </w:p>
        </w:tc>
        <w:tc>
          <w:tcPr>
            <w:tcW w:w="2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2</w:t>
            </w:r>
          </w:p>
        </w:tc>
        <w:tc>
          <w:tcPr>
            <w:tcW w:w="21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</w:p>
        </w:tc>
        <w:tc>
          <w:tcPr>
            <w:tcW w:w="2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4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合计</w:t>
            </w:r>
          </w:p>
        </w:tc>
        <w:tc>
          <w:tcPr>
            <w:tcW w:w="2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500" w:lineRule="exact"/>
              <w:ind w:firstLine="66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32"/>
                <w:szCs w:val="32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23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8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">
    <w15:presenceInfo w15:providerId="None" w15:userId="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F00F4"/>
    <w:rsid w:val="6AF7DFDC"/>
    <w:rsid w:val="75C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2022-01-01T00:32:00Z</dcterms:created>
  <dc:creator>user</dc:creator>
  <cp:lastModifiedBy>user</cp:lastModifiedBy>
  <dcterms:modified xsi:type="dcterms:W3CDTF">2021-12-31T16:34:32Z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