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600" w:lineRule="exact"/>
        <w:rPr>
          <w:rFonts w:ascii="黑体" w:eastAsia="黑体" w:cs="Times New Roman"/>
          <w:b/>
          <w:bCs/>
          <w:sz w:val="32"/>
          <w:szCs w:val="32"/>
        </w:rPr>
      </w:pPr>
      <w:r>
        <w:rPr>
          <w:rFonts w:hint="eastAsia" w:ascii="黑体" w:eastAsia="黑体" w:cs="黑体"/>
          <w:b/>
          <w:bCs/>
          <w:sz w:val="32"/>
          <w:szCs w:val="32"/>
        </w:rPr>
        <w:t>附件</w:t>
      </w:r>
      <w:r>
        <w:rPr>
          <w:rFonts w:ascii="黑体" w:eastAsia="黑体" w:cs="黑体"/>
          <w:b/>
          <w:bCs/>
          <w:sz w:val="32"/>
          <w:szCs w:val="32"/>
        </w:rPr>
        <w:t>1</w:t>
      </w:r>
    </w:p>
    <w:p>
      <w:pPr>
        <w:spacing w:line="240" w:lineRule="exact"/>
        <w:rPr>
          <w:rFonts w:ascii="黑体" w:eastAsia="黑体" w:cs="Times New Roman"/>
          <w:b/>
          <w:bCs/>
          <w:sz w:val="32"/>
          <w:szCs w:val="32"/>
        </w:rPr>
      </w:pPr>
    </w:p>
    <w:p>
      <w:pPr>
        <w:spacing w:line="600" w:lineRule="exact"/>
        <w:jc w:val="center"/>
        <w:rPr>
          <w:rFonts w:ascii="方正小标宋简体" w:hAnsi="方正小标宋简体" w:eastAsia="方正小标宋简体" w:cs="Times New Roman"/>
          <w:b/>
          <w:bCs/>
          <w:sz w:val="40"/>
          <w:szCs w:val="40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40"/>
          <w:szCs w:val="40"/>
        </w:rPr>
        <w:t>剑阁县城区基准地价及地价定义</w:t>
      </w:r>
    </w:p>
    <w:p>
      <w:pPr>
        <w:spacing w:line="240" w:lineRule="exact"/>
        <w:rPr>
          <w:rFonts w:ascii="方正小标宋简体" w:hAnsi="方正小标宋简体" w:eastAsia="方正小标宋简体" w:cs="Times New Roman"/>
          <w:b/>
          <w:bCs/>
          <w:sz w:val="40"/>
          <w:szCs w:val="40"/>
        </w:rPr>
      </w:pPr>
    </w:p>
    <w:p>
      <w:pPr>
        <w:pStyle w:val="2"/>
        <w:keepNext w:val="0"/>
        <w:keepLines w:val="0"/>
        <w:spacing w:before="0" w:after="0" w:line="700" w:lineRule="exact"/>
        <w:ind w:firstLine="640" w:firstLineChars="200"/>
        <w:rPr>
          <w:rFonts w:cs="Times New Roman"/>
        </w:rPr>
      </w:pPr>
      <w:r>
        <w:rPr>
          <w:rFonts w:hint="eastAsia" w:cs="黑体"/>
        </w:rPr>
        <w:t>一、剑阁县城区基准地价结果一览表</w:t>
      </w:r>
    </w:p>
    <w:tbl>
      <w:tblPr>
        <w:tblStyle w:val="7"/>
        <w:tblW w:w="4999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1647"/>
        <w:gridCol w:w="941"/>
        <w:gridCol w:w="1204"/>
        <w:gridCol w:w="1205"/>
        <w:gridCol w:w="12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1809" w:type="pct"/>
            <w:gridSpan w:val="2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  <w:tl2br w:val="single" w:color="auto" w:sz="4" w:space="0"/>
            </w:tcBorders>
            <w:noWrap/>
            <w:vAlign w:val="center"/>
          </w:tcPr>
          <w:p>
            <w:pPr>
              <w:pStyle w:val="14"/>
              <w:jc w:val="both"/>
              <w:rPr>
                <w:rFonts w:ascii="黑体" w:eastAsia="黑体" w:cs="Times New Roman"/>
              </w:rPr>
            </w:pPr>
            <w:r>
              <w:rPr>
                <w:rFonts w:hint="eastAsia" w:ascii="黑体" w:eastAsia="黑体" w:cs="黑体"/>
              </w:rPr>
              <w:t>用途</w:t>
            </w:r>
            <w:r>
              <w:rPr>
                <w:rFonts w:ascii="黑体" w:eastAsia="黑体" w:cs="黑体"/>
              </w:rPr>
              <w:t xml:space="preserve">                        </w:t>
            </w:r>
            <w:r>
              <w:rPr>
                <w:rFonts w:hint="eastAsia" w:ascii="黑体" w:eastAsia="黑体" w:cs="黑体"/>
              </w:rPr>
              <w:t>级别</w:t>
            </w:r>
          </w:p>
        </w:tc>
        <w:tc>
          <w:tcPr>
            <w:tcW w:w="68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黑体" w:eastAsia="黑体" w:cs="Times New Roman"/>
              </w:rPr>
            </w:pPr>
            <w:r>
              <w:rPr>
                <w:rFonts w:hint="eastAsia" w:ascii="黑体" w:eastAsia="黑体" w:cs="黑体"/>
              </w:rPr>
              <w:t>Ⅰ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黑体" w:eastAsia="黑体" w:cs="Times New Roman"/>
              </w:rPr>
            </w:pPr>
            <w:r>
              <w:rPr>
                <w:rFonts w:hint="eastAsia" w:ascii="黑体" w:eastAsia="黑体" w:cs="黑体"/>
              </w:rPr>
              <w:t>Ⅱ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黑体" w:eastAsia="黑体" w:cs="Times New Roman"/>
              </w:rPr>
            </w:pPr>
            <w:r>
              <w:rPr>
                <w:rFonts w:hint="eastAsia" w:ascii="黑体" w:eastAsia="黑体" w:cs="黑体"/>
              </w:rPr>
              <w:t>Ⅲ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黑体" w:eastAsia="黑体" w:cs="Times New Roman"/>
              </w:rPr>
            </w:pPr>
            <w:r>
              <w:rPr>
                <w:rFonts w:hint="eastAsia" w:ascii="黑体" w:hAnsi="黑体" w:eastAsia="黑体" w:cs="黑体"/>
              </w:rPr>
              <w:t>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732" w:type="pct"/>
            <w:vMerge w:val="restar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Times New Roman"/>
              </w:rPr>
            </w:pPr>
            <w:r>
              <w:rPr>
                <w:rFonts w:hint="eastAsia" w:ascii="仿宋_GB2312" w:eastAsia="仿宋_GB2312" w:cs="仿宋_GB2312"/>
              </w:rPr>
              <w:t>商服用地</w:t>
            </w:r>
          </w:p>
        </w:tc>
        <w:tc>
          <w:tcPr>
            <w:tcW w:w="1076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Times New Roman"/>
              </w:rPr>
            </w:pPr>
            <w:r>
              <w:rPr>
                <w:rFonts w:hint="eastAsia" w:ascii="仿宋_GB2312" w:eastAsia="仿宋_GB2312" w:cs="仿宋_GB2312"/>
              </w:rPr>
              <w:t>元</w:t>
            </w:r>
            <w:r>
              <w:rPr>
                <w:rFonts w:ascii="仿宋_GB2312" w:eastAsia="仿宋_GB2312" w:cs="仿宋_GB2312"/>
              </w:rPr>
              <w:t>/</w:t>
            </w:r>
            <w:r>
              <w:rPr>
                <w:rFonts w:hint="eastAsia" w:ascii="仿宋_GB2312" w:eastAsia="仿宋_GB2312" w:cs="仿宋_GB2312"/>
              </w:rPr>
              <w:t>平方米</w:t>
            </w:r>
          </w:p>
        </w:tc>
        <w:tc>
          <w:tcPr>
            <w:tcW w:w="68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1690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1253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802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556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732" w:type="pct"/>
            <w:vMerge w:val="continue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Times New Roman"/>
              </w:rPr>
            </w:pPr>
          </w:p>
        </w:tc>
        <w:tc>
          <w:tcPr>
            <w:tcW w:w="1076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Times New Roman"/>
              </w:rPr>
            </w:pPr>
            <w:r>
              <w:rPr>
                <w:rFonts w:hint="eastAsia" w:ascii="仿宋_GB2312" w:eastAsia="仿宋_GB2312" w:cs="仿宋_GB2312"/>
              </w:rPr>
              <w:t>万元</w:t>
            </w:r>
            <w:r>
              <w:rPr>
                <w:rFonts w:ascii="仿宋_GB2312" w:eastAsia="仿宋_GB2312" w:cs="仿宋_GB2312"/>
              </w:rPr>
              <w:t>/</w:t>
            </w:r>
            <w:r>
              <w:rPr>
                <w:rFonts w:hint="eastAsia" w:ascii="仿宋_GB2312" w:eastAsia="仿宋_GB2312" w:cs="仿宋_GB2312"/>
              </w:rPr>
              <w:t>亩</w:t>
            </w:r>
          </w:p>
        </w:tc>
        <w:tc>
          <w:tcPr>
            <w:tcW w:w="68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112.67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83.53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53.47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37.07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732" w:type="pct"/>
            <w:vMerge w:val="restar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Times New Roman"/>
              </w:rPr>
            </w:pPr>
            <w:r>
              <w:rPr>
                <w:rFonts w:hint="eastAsia" w:ascii="仿宋_GB2312" w:eastAsia="仿宋_GB2312" w:cs="仿宋_GB2312"/>
              </w:rPr>
              <w:t>住宅用地</w:t>
            </w:r>
          </w:p>
        </w:tc>
        <w:tc>
          <w:tcPr>
            <w:tcW w:w="1076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Times New Roman"/>
              </w:rPr>
            </w:pPr>
            <w:r>
              <w:rPr>
                <w:rFonts w:hint="eastAsia" w:ascii="仿宋_GB2312" w:eastAsia="仿宋_GB2312" w:cs="仿宋_GB2312"/>
              </w:rPr>
              <w:t>元</w:t>
            </w:r>
            <w:r>
              <w:rPr>
                <w:rFonts w:ascii="仿宋_GB2312" w:eastAsia="仿宋_GB2312" w:cs="仿宋_GB2312"/>
              </w:rPr>
              <w:t>/</w:t>
            </w:r>
            <w:r>
              <w:rPr>
                <w:rFonts w:hint="eastAsia" w:ascii="仿宋_GB2312" w:eastAsia="仿宋_GB2312" w:cs="仿宋_GB2312"/>
              </w:rPr>
              <w:t>平方米</w:t>
            </w:r>
          </w:p>
        </w:tc>
        <w:tc>
          <w:tcPr>
            <w:tcW w:w="68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1189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774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573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413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732" w:type="pct"/>
            <w:vMerge w:val="continue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Times New Roman"/>
              </w:rPr>
            </w:pPr>
          </w:p>
        </w:tc>
        <w:tc>
          <w:tcPr>
            <w:tcW w:w="1076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Times New Roman"/>
              </w:rPr>
            </w:pPr>
            <w:r>
              <w:rPr>
                <w:rFonts w:hint="eastAsia" w:ascii="仿宋_GB2312" w:eastAsia="仿宋_GB2312" w:cs="仿宋_GB2312"/>
              </w:rPr>
              <w:t>万元</w:t>
            </w:r>
            <w:r>
              <w:rPr>
                <w:rFonts w:ascii="仿宋_GB2312" w:eastAsia="仿宋_GB2312" w:cs="仿宋_GB2312"/>
              </w:rPr>
              <w:t>/</w:t>
            </w:r>
            <w:r>
              <w:rPr>
                <w:rFonts w:hint="eastAsia" w:ascii="仿宋_GB2312" w:eastAsia="仿宋_GB2312" w:cs="仿宋_GB2312"/>
              </w:rPr>
              <w:t>亩</w:t>
            </w:r>
          </w:p>
        </w:tc>
        <w:tc>
          <w:tcPr>
            <w:tcW w:w="68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79.27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51.60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38.20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27.53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732" w:type="pct"/>
            <w:vMerge w:val="restart"/>
            <w:tcBorders>
              <w:top w:val="single" w:color="auto" w:sz="2" w:space="0"/>
              <w:left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Times New Roman"/>
              </w:rPr>
            </w:pPr>
            <w:r>
              <w:rPr>
                <w:rFonts w:hint="eastAsia" w:ascii="仿宋_GB2312" w:eastAsia="仿宋_GB2312" w:cs="仿宋_GB2312"/>
              </w:rPr>
              <w:t>工业用地</w:t>
            </w:r>
          </w:p>
        </w:tc>
        <w:tc>
          <w:tcPr>
            <w:tcW w:w="1076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Times New Roman"/>
              </w:rPr>
            </w:pPr>
            <w:r>
              <w:rPr>
                <w:rFonts w:hint="eastAsia" w:ascii="仿宋_GB2312" w:eastAsia="仿宋_GB2312" w:cs="仿宋_GB2312"/>
              </w:rPr>
              <w:t>元</w:t>
            </w:r>
            <w:r>
              <w:rPr>
                <w:rFonts w:ascii="仿宋_GB2312" w:eastAsia="仿宋_GB2312" w:cs="仿宋_GB2312"/>
              </w:rPr>
              <w:t>/</w:t>
            </w:r>
            <w:r>
              <w:rPr>
                <w:rFonts w:hint="eastAsia" w:ascii="仿宋_GB2312" w:eastAsia="仿宋_GB2312" w:cs="仿宋_GB2312"/>
              </w:rPr>
              <w:t>平方米</w:t>
            </w:r>
          </w:p>
        </w:tc>
        <w:tc>
          <w:tcPr>
            <w:tcW w:w="68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504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jc w:val="center"/>
              <w:rPr>
                <w:rFonts w:ascii="仿宋_GB2312" w:eastAsia="仿宋_GB2312" w:cs="仿宋_GB2312"/>
                <w:kern w:val="0"/>
                <w:sz w:val="24"/>
                <w:szCs w:val="24"/>
              </w:rPr>
            </w:pPr>
            <w:r>
              <w:rPr>
                <w:rFonts w:ascii="仿宋_GB2312" w:eastAsia="仿宋_GB2312" w:cs="仿宋_GB2312"/>
                <w:kern w:val="0"/>
                <w:sz w:val="24"/>
                <w:szCs w:val="24"/>
              </w:rPr>
              <w:t>389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jc w:val="center"/>
              <w:rPr>
                <w:rFonts w:ascii="仿宋_GB2312" w:eastAsia="仿宋_GB2312" w:cs="仿宋_GB2312"/>
                <w:kern w:val="0"/>
                <w:sz w:val="24"/>
                <w:szCs w:val="24"/>
              </w:rPr>
            </w:pPr>
            <w:r>
              <w:rPr>
                <w:rFonts w:ascii="仿宋_GB2312" w:eastAsia="仿宋_GB2312" w:cs="仿宋_GB2312"/>
                <w:kern w:val="0"/>
                <w:sz w:val="24"/>
                <w:szCs w:val="24"/>
              </w:rPr>
              <w:t>301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223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732" w:type="pct"/>
            <w:vMerge w:val="continue"/>
            <w:tcBorders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Times New Roman"/>
              </w:rPr>
            </w:pPr>
          </w:p>
        </w:tc>
        <w:tc>
          <w:tcPr>
            <w:tcW w:w="1076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Times New Roman"/>
              </w:rPr>
            </w:pPr>
            <w:r>
              <w:rPr>
                <w:rFonts w:hint="eastAsia" w:ascii="仿宋_GB2312" w:eastAsia="仿宋_GB2312" w:cs="仿宋_GB2312"/>
              </w:rPr>
              <w:t>万元</w:t>
            </w:r>
            <w:r>
              <w:rPr>
                <w:rFonts w:ascii="仿宋_GB2312" w:eastAsia="仿宋_GB2312" w:cs="仿宋_GB2312"/>
              </w:rPr>
              <w:t>/</w:t>
            </w:r>
            <w:r>
              <w:rPr>
                <w:rFonts w:hint="eastAsia" w:ascii="仿宋_GB2312" w:eastAsia="仿宋_GB2312" w:cs="仿宋_GB2312"/>
              </w:rPr>
              <w:t>亩</w:t>
            </w:r>
          </w:p>
        </w:tc>
        <w:tc>
          <w:tcPr>
            <w:tcW w:w="68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33.60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jc w:val="center"/>
              <w:rPr>
                <w:rFonts w:ascii="仿宋_GB2312" w:eastAsia="仿宋_GB2312" w:cs="仿宋_GB2312"/>
                <w:kern w:val="0"/>
                <w:sz w:val="24"/>
                <w:szCs w:val="24"/>
              </w:rPr>
            </w:pPr>
            <w:r>
              <w:rPr>
                <w:rFonts w:ascii="仿宋_GB2312" w:eastAsia="仿宋_GB2312" w:cs="仿宋_GB2312"/>
                <w:kern w:val="0"/>
                <w:sz w:val="24"/>
                <w:szCs w:val="24"/>
              </w:rPr>
              <w:t>25.93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jc w:val="center"/>
              <w:rPr>
                <w:rFonts w:ascii="仿宋_GB2312" w:eastAsia="仿宋_GB2312" w:cs="仿宋_GB2312"/>
                <w:kern w:val="0"/>
                <w:sz w:val="24"/>
                <w:szCs w:val="24"/>
              </w:rPr>
            </w:pPr>
            <w:r>
              <w:rPr>
                <w:rFonts w:ascii="仿宋_GB2312" w:eastAsia="仿宋_GB2312" w:cs="仿宋_GB2312"/>
                <w:kern w:val="0"/>
                <w:sz w:val="24"/>
                <w:szCs w:val="24"/>
              </w:rPr>
              <w:t>20.07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14.87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732" w:type="pct"/>
            <w:vMerge w:val="restart"/>
            <w:tcBorders>
              <w:top w:val="single" w:color="auto" w:sz="2" w:space="0"/>
              <w:left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Times New Roman"/>
              </w:rPr>
            </w:pPr>
            <w:r>
              <w:rPr>
                <w:rFonts w:hint="eastAsia" w:ascii="仿宋_GB2312" w:eastAsia="仿宋_GB2312" w:cs="仿宋_GB2312"/>
              </w:rPr>
              <w:t>公共管理与公共服务用地</w:t>
            </w:r>
          </w:p>
        </w:tc>
        <w:tc>
          <w:tcPr>
            <w:tcW w:w="1076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Times New Roman"/>
              </w:rPr>
            </w:pPr>
            <w:r>
              <w:rPr>
                <w:rFonts w:hint="eastAsia" w:ascii="仿宋_GB2312" w:eastAsia="仿宋_GB2312" w:cs="仿宋_GB2312"/>
              </w:rPr>
              <w:t>元</w:t>
            </w:r>
            <w:r>
              <w:rPr>
                <w:rFonts w:ascii="仿宋_GB2312" w:eastAsia="仿宋_GB2312" w:cs="仿宋_GB2312"/>
              </w:rPr>
              <w:t>/</w:t>
            </w:r>
            <w:r>
              <w:rPr>
                <w:rFonts w:hint="eastAsia" w:ascii="仿宋_GB2312" w:eastAsia="仿宋_GB2312" w:cs="仿宋_GB2312"/>
              </w:rPr>
              <w:t>平方米</w:t>
            </w:r>
          </w:p>
        </w:tc>
        <w:tc>
          <w:tcPr>
            <w:tcW w:w="68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951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619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458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330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732" w:type="pct"/>
            <w:vMerge w:val="continue"/>
            <w:tcBorders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Times New Roman"/>
              </w:rPr>
            </w:pPr>
          </w:p>
        </w:tc>
        <w:tc>
          <w:tcPr>
            <w:tcW w:w="1076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Times New Roman"/>
              </w:rPr>
            </w:pPr>
            <w:r>
              <w:rPr>
                <w:rFonts w:hint="eastAsia" w:ascii="仿宋_GB2312" w:eastAsia="仿宋_GB2312" w:cs="仿宋_GB2312"/>
              </w:rPr>
              <w:t>万元</w:t>
            </w:r>
            <w:r>
              <w:rPr>
                <w:rFonts w:ascii="仿宋_GB2312" w:eastAsia="仿宋_GB2312" w:cs="仿宋_GB2312"/>
              </w:rPr>
              <w:t>/</w:t>
            </w:r>
            <w:r>
              <w:rPr>
                <w:rFonts w:hint="eastAsia" w:ascii="仿宋_GB2312" w:eastAsia="仿宋_GB2312" w:cs="仿宋_GB2312"/>
              </w:rPr>
              <w:t>亩</w:t>
            </w:r>
          </w:p>
        </w:tc>
        <w:tc>
          <w:tcPr>
            <w:tcW w:w="68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63.40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41.27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30.53</w:t>
            </w:r>
          </w:p>
        </w:tc>
        <w:tc>
          <w:tcPr>
            <w:tcW w:w="83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noWrap/>
            <w:vAlign w:val="center"/>
          </w:tcPr>
          <w:p>
            <w:pPr>
              <w:pStyle w:val="14"/>
              <w:rPr>
                <w:rFonts w:ascii="仿宋_GB2312" w:eastAsia="仿宋_GB2312" w:cs="仿宋_GB2312"/>
              </w:rPr>
            </w:pPr>
            <w:r>
              <w:rPr>
                <w:rFonts w:ascii="仿宋_GB2312" w:eastAsia="仿宋_GB2312" w:cs="仿宋_GB2312"/>
              </w:rPr>
              <w:t>22.00</w:t>
            </w:r>
          </w:p>
        </w:tc>
      </w:tr>
    </w:tbl>
    <w:p>
      <w:pPr>
        <w:pStyle w:val="2"/>
        <w:keepNext w:val="0"/>
        <w:keepLines w:val="0"/>
        <w:spacing w:before="0" w:after="0" w:line="700" w:lineRule="exact"/>
        <w:ind w:firstLine="640" w:firstLineChars="200"/>
        <w:rPr>
          <w:rFonts w:ascii="黑体" w:cs="Times New Roman"/>
        </w:rPr>
      </w:pPr>
      <w:r>
        <w:rPr>
          <w:rFonts w:hint="eastAsia" w:ascii="黑体" w:cs="黑体"/>
        </w:rPr>
        <w:t>二、基准地价定义</w:t>
      </w:r>
    </w:p>
    <w:p>
      <w:pPr>
        <w:snapToGrid w:val="0"/>
        <w:spacing w:line="560" w:lineRule="exact"/>
        <w:ind w:firstLine="640" w:firstLineChars="200"/>
        <w:rPr>
          <w:rFonts w:ascii="仿宋_GB2312" w:eastAsia="仿宋_GB2312" w:cs="Times New Roman"/>
          <w:sz w:val="32"/>
          <w:szCs w:val="32"/>
        </w:rPr>
      </w:pPr>
      <w:r>
        <w:rPr>
          <w:rFonts w:hint="eastAsia" w:ascii="仿宋_GB2312" w:eastAsia="仿宋_GB2312" w:cs="仿宋_GB2312"/>
          <w:sz w:val="32"/>
          <w:szCs w:val="32"/>
        </w:rPr>
        <w:t>（一）估价期日：</w:t>
      </w:r>
      <w:r>
        <w:rPr>
          <w:rFonts w:ascii="仿宋_GB2312" w:eastAsia="仿宋_GB2312" w:cs="仿宋_GB2312"/>
          <w:sz w:val="32"/>
          <w:szCs w:val="32"/>
        </w:rPr>
        <w:t>2020</w:t>
      </w:r>
      <w:r>
        <w:rPr>
          <w:rFonts w:hint="eastAsia" w:ascii="仿宋_GB2312" w:eastAsia="仿宋_GB2312" w:cs="仿宋_GB2312"/>
          <w:sz w:val="32"/>
          <w:szCs w:val="32"/>
        </w:rPr>
        <w:t>年</w:t>
      </w:r>
      <w:r>
        <w:rPr>
          <w:rFonts w:ascii="仿宋_GB2312" w:eastAsia="仿宋_GB2312" w:cs="仿宋_GB2312"/>
          <w:sz w:val="32"/>
          <w:szCs w:val="32"/>
        </w:rPr>
        <w:t>1</w:t>
      </w:r>
      <w:r>
        <w:rPr>
          <w:rFonts w:hint="eastAsia" w:ascii="仿宋_GB2312" w:eastAsia="仿宋_GB2312" w:cs="仿宋_GB2312"/>
          <w:sz w:val="32"/>
          <w:szCs w:val="32"/>
        </w:rPr>
        <w:t>月</w:t>
      </w:r>
      <w:r>
        <w:rPr>
          <w:rFonts w:ascii="仿宋_GB2312" w:eastAsia="仿宋_GB2312" w:cs="仿宋_GB2312"/>
          <w:sz w:val="32"/>
          <w:szCs w:val="32"/>
        </w:rPr>
        <w:t>1</w:t>
      </w:r>
      <w:r>
        <w:rPr>
          <w:rFonts w:hint="eastAsia" w:ascii="仿宋_GB2312" w:eastAsia="仿宋_GB2312" w:cs="仿宋_GB2312"/>
          <w:sz w:val="32"/>
          <w:szCs w:val="32"/>
        </w:rPr>
        <w:t>日。</w:t>
      </w:r>
    </w:p>
    <w:p>
      <w:pPr>
        <w:snapToGrid w:val="0"/>
        <w:spacing w:line="560" w:lineRule="exact"/>
        <w:ind w:firstLine="640" w:firstLineChars="200"/>
        <w:rPr>
          <w:rFonts w:ascii="仿宋_GB2312" w:eastAsia="仿宋_GB2312" w:cs="Times New Roman"/>
          <w:sz w:val="32"/>
          <w:szCs w:val="32"/>
        </w:rPr>
      </w:pPr>
      <w:r>
        <w:rPr>
          <w:rFonts w:hint="eastAsia" w:ascii="仿宋_GB2312" w:eastAsia="仿宋_GB2312" w:cs="仿宋_GB2312"/>
          <w:sz w:val="32"/>
          <w:szCs w:val="32"/>
        </w:rPr>
        <w:t>（二）土地使用年期：</w:t>
      </w:r>
      <w:r>
        <w:rPr>
          <w:rFonts w:ascii="仿宋_GB2312" w:eastAsia="仿宋_GB2312" w:cs="仿宋_GB2312"/>
          <w:sz w:val="32"/>
          <w:szCs w:val="32"/>
        </w:rPr>
        <w:t>40</w:t>
      </w:r>
      <w:r>
        <w:rPr>
          <w:rFonts w:hint="eastAsia" w:ascii="仿宋_GB2312" w:eastAsia="仿宋_GB2312" w:cs="仿宋_GB2312"/>
          <w:sz w:val="32"/>
          <w:szCs w:val="32"/>
        </w:rPr>
        <w:t>年（商服用地）、</w:t>
      </w:r>
      <w:r>
        <w:rPr>
          <w:rFonts w:ascii="仿宋_GB2312" w:eastAsia="仿宋_GB2312" w:cs="仿宋_GB2312"/>
          <w:sz w:val="32"/>
          <w:szCs w:val="32"/>
        </w:rPr>
        <w:t>70</w:t>
      </w:r>
      <w:r>
        <w:rPr>
          <w:rFonts w:hint="eastAsia" w:ascii="仿宋_GB2312" w:eastAsia="仿宋_GB2312" w:cs="仿宋_GB2312"/>
          <w:sz w:val="32"/>
          <w:szCs w:val="32"/>
        </w:rPr>
        <w:t>年（住宅用地）、</w:t>
      </w:r>
      <w:r>
        <w:rPr>
          <w:rFonts w:ascii="仿宋_GB2312" w:eastAsia="仿宋_GB2312" w:cs="仿宋_GB2312"/>
          <w:sz w:val="32"/>
          <w:szCs w:val="32"/>
        </w:rPr>
        <w:t>50</w:t>
      </w:r>
      <w:r>
        <w:rPr>
          <w:rFonts w:hint="eastAsia" w:ascii="仿宋_GB2312" w:eastAsia="仿宋_GB2312" w:cs="仿宋_GB2312"/>
          <w:sz w:val="32"/>
          <w:szCs w:val="32"/>
        </w:rPr>
        <w:t>年（工业用地、公共管理与公共服务用地）。</w:t>
      </w:r>
    </w:p>
    <w:p>
      <w:pPr>
        <w:snapToGrid w:val="0"/>
        <w:spacing w:line="560" w:lineRule="exact"/>
        <w:ind w:firstLine="640" w:firstLineChars="200"/>
        <w:rPr>
          <w:rFonts w:ascii="仿宋_GB2312" w:eastAsia="仿宋_GB2312" w:cs="Times New Roman"/>
          <w:sz w:val="32"/>
          <w:szCs w:val="32"/>
        </w:rPr>
      </w:pPr>
      <w:r>
        <w:rPr>
          <w:rFonts w:hint="eastAsia" w:ascii="仿宋_GB2312" w:eastAsia="仿宋_GB2312" w:cs="仿宋_GB2312"/>
          <w:sz w:val="32"/>
          <w:szCs w:val="32"/>
        </w:rPr>
        <w:t>（三）容积率：</w:t>
      </w:r>
      <w:r>
        <w:rPr>
          <w:rFonts w:ascii="仿宋_GB2312" w:eastAsia="仿宋_GB2312" w:cs="仿宋_GB2312"/>
          <w:sz w:val="32"/>
          <w:szCs w:val="32"/>
        </w:rPr>
        <w:t>1.8</w:t>
      </w:r>
      <w:r>
        <w:rPr>
          <w:rFonts w:hint="eastAsia" w:ascii="仿宋_GB2312" w:eastAsia="仿宋_GB2312" w:cs="仿宋_GB2312"/>
          <w:sz w:val="32"/>
          <w:szCs w:val="32"/>
        </w:rPr>
        <w:t>（商服用地）、</w:t>
      </w:r>
      <w:r>
        <w:rPr>
          <w:rFonts w:ascii="仿宋_GB2312" w:eastAsia="仿宋_GB2312" w:cs="仿宋_GB2312"/>
          <w:sz w:val="32"/>
          <w:szCs w:val="32"/>
        </w:rPr>
        <w:t>1.8</w:t>
      </w:r>
      <w:r>
        <w:rPr>
          <w:rFonts w:hint="eastAsia" w:ascii="仿宋_GB2312" w:eastAsia="仿宋_GB2312" w:cs="仿宋_GB2312"/>
          <w:sz w:val="32"/>
          <w:szCs w:val="32"/>
        </w:rPr>
        <w:t>（住宅用地）、</w:t>
      </w:r>
      <w:r>
        <w:rPr>
          <w:rFonts w:ascii="仿宋_GB2312" w:eastAsia="仿宋_GB2312" w:cs="仿宋_GB2312"/>
          <w:sz w:val="32"/>
          <w:szCs w:val="32"/>
        </w:rPr>
        <w:t>1.0</w:t>
      </w:r>
      <w:r>
        <w:rPr>
          <w:rFonts w:hint="eastAsia" w:ascii="仿宋_GB2312" w:eastAsia="仿宋_GB2312" w:cs="仿宋_GB2312"/>
          <w:sz w:val="32"/>
          <w:szCs w:val="32"/>
        </w:rPr>
        <w:t>（工业用地）；</w:t>
      </w:r>
      <w:r>
        <w:rPr>
          <w:rFonts w:ascii="仿宋_GB2312" w:eastAsia="仿宋_GB2312" w:cs="仿宋_GB2312"/>
          <w:sz w:val="32"/>
          <w:szCs w:val="32"/>
        </w:rPr>
        <w:t>1.8</w:t>
      </w:r>
      <w:r>
        <w:rPr>
          <w:rFonts w:hint="eastAsia" w:ascii="仿宋_GB2312" w:eastAsia="仿宋_GB2312" w:cs="仿宋_GB2312"/>
          <w:sz w:val="32"/>
          <w:szCs w:val="32"/>
        </w:rPr>
        <w:t>（公共管理与公共服务用地）。</w:t>
      </w:r>
    </w:p>
    <w:p>
      <w:pPr>
        <w:snapToGrid w:val="0"/>
        <w:spacing w:line="560" w:lineRule="exact"/>
        <w:ind w:firstLine="640" w:firstLineChars="200"/>
        <w:rPr>
          <w:rFonts w:ascii="仿宋_GB2312" w:eastAsia="仿宋_GB2312" w:cs="Times New Roman"/>
          <w:sz w:val="32"/>
          <w:szCs w:val="32"/>
        </w:rPr>
      </w:pPr>
      <w:r>
        <w:rPr>
          <w:rFonts w:hint="eastAsia" w:ascii="仿宋_GB2312" w:eastAsia="仿宋_GB2312" w:cs="仿宋_GB2312"/>
          <w:sz w:val="32"/>
          <w:szCs w:val="32"/>
        </w:rPr>
        <w:t>（四）土地开发程度：宗地外“六通”（通上水，通下水，通电，通讯，通气，通路），宗地内“场平”（场地平整）。</w:t>
      </w:r>
    </w:p>
    <w:p>
      <w:pPr>
        <w:snapToGrid w:val="0"/>
        <w:spacing w:line="560" w:lineRule="exact"/>
        <w:ind w:firstLine="640" w:firstLineChars="200"/>
        <w:rPr>
          <w:rFonts w:ascii="仿宋_GB2312" w:eastAsia="仿宋_GB2312" w:cs="Times New Roman"/>
          <w:sz w:val="32"/>
          <w:szCs w:val="32"/>
        </w:rPr>
      </w:pPr>
      <w:r>
        <w:rPr>
          <w:rFonts w:hint="eastAsia" w:ascii="仿宋_GB2312" w:eastAsia="仿宋_GB2312" w:cs="仿宋_GB2312"/>
          <w:sz w:val="32"/>
          <w:szCs w:val="32"/>
        </w:rPr>
        <w:t>（五）土地权利状况：出让土地，无他项权利限制下的土地使用权价格。</w:t>
      </w:r>
    </w:p>
    <w:p>
      <w:pPr>
        <w:spacing w:line="576" w:lineRule="exact"/>
        <w:jc w:val="left"/>
        <w:rPr>
          <w:rFonts w:ascii="黑体" w:hAnsi="黑体" w:eastAsia="黑体" w:cs="Times New Roman"/>
          <w:b/>
          <w:bCs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sz w:val="32"/>
          <w:szCs w:val="32"/>
        </w:rPr>
        <w:t>附件</w:t>
      </w:r>
      <w:r>
        <w:rPr>
          <w:rFonts w:ascii="黑体" w:hAnsi="黑体" w:eastAsia="黑体" w:cs="黑体"/>
          <w:b/>
          <w:bCs/>
          <w:sz w:val="32"/>
          <w:szCs w:val="32"/>
        </w:rPr>
        <w:t>2</w:t>
      </w:r>
    </w:p>
    <w:p>
      <w:pPr>
        <w:spacing w:line="240" w:lineRule="exact"/>
        <w:jc w:val="left"/>
        <w:rPr>
          <w:rFonts w:ascii="黑体" w:hAnsi="黑体" w:eastAsia="黑体" w:cs="Times New Roman"/>
          <w:b/>
          <w:bCs/>
          <w:sz w:val="32"/>
          <w:szCs w:val="32"/>
        </w:rPr>
      </w:pPr>
    </w:p>
    <w:p>
      <w:pPr>
        <w:spacing w:line="600" w:lineRule="exact"/>
        <w:jc w:val="center"/>
        <w:rPr>
          <w:rFonts w:ascii="方正小标宋简体" w:hAnsi="方正小标宋简体" w:eastAsia="方正小标宋简体" w:cs="Times New Roman"/>
          <w:b/>
          <w:bCs/>
          <w:sz w:val="40"/>
          <w:szCs w:val="40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40"/>
          <w:szCs w:val="40"/>
        </w:rPr>
        <w:t>剑阁县城区各类各级基准地价修正系数汇总表</w:t>
      </w:r>
    </w:p>
    <w:p>
      <w:pPr>
        <w:tabs>
          <w:tab w:val="left" w:pos="3810"/>
        </w:tabs>
        <w:spacing w:line="460" w:lineRule="exact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tabs>
          <w:tab w:val="left" w:pos="3810"/>
        </w:tabs>
        <w:spacing w:line="460" w:lineRule="exact"/>
        <w:ind w:firstLine="560" w:firstLineChars="200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ind w:firstLine="640" w:firstLineChars="200"/>
        <w:textAlignment w:val="center"/>
        <w:rPr>
          <w:rFonts w:eastAsia="黑体" w:cs="Times New Roman"/>
          <w:sz w:val="32"/>
          <w:szCs w:val="32"/>
        </w:rPr>
      </w:pPr>
      <w:r>
        <w:rPr>
          <w:rFonts w:hint="eastAsia" w:eastAsia="黑体" w:cs="黑体"/>
          <w:sz w:val="32"/>
          <w:szCs w:val="32"/>
        </w:rPr>
        <w:t>一、剑阁县城区商服用地容积率修正系数表</w:t>
      </w:r>
    </w:p>
    <w:p>
      <w:pPr>
        <w:spacing w:line="460" w:lineRule="exact"/>
        <w:rPr>
          <w:rFonts w:ascii="Times New Roman" w:hAnsi="Times New Roman" w:cs="Times New Roman"/>
          <w:color w:val="FFFFFF"/>
          <w:sz w:val="18"/>
          <w:szCs w:val="18"/>
        </w:rPr>
      </w:pPr>
      <w:r>
        <w:rPr>
          <w:rFonts w:hint="eastAsia" w:ascii="Times New Roman" w:hAnsi="Times New Roman" w:cs="宋体"/>
          <w:color w:val="FFFFFF"/>
          <w:sz w:val="18"/>
          <w:szCs w:val="18"/>
        </w:rPr>
        <w:t>表</w:t>
      </w:r>
      <w:r>
        <w:rPr>
          <w:rFonts w:ascii="Times New Roman" w:hAnsi="Times New Roman" w:cs="Times New Roman"/>
          <w:color w:val="FFFFFF"/>
          <w:sz w:val="18"/>
          <w:szCs w:val="18"/>
        </w:rPr>
        <w:t>1</w:t>
      </w:r>
    </w:p>
    <w:tbl>
      <w:tblPr>
        <w:tblStyle w:val="7"/>
        <w:tblW w:w="9153" w:type="dxa"/>
        <w:tblInd w:w="-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77"/>
        <w:gridCol w:w="715"/>
        <w:gridCol w:w="1214"/>
        <w:gridCol w:w="980"/>
        <w:gridCol w:w="1102"/>
        <w:gridCol w:w="1102"/>
        <w:gridCol w:w="1102"/>
        <w:gridCol w:w="1102"/>
        <w:gridCol w:w="65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2" w:hRule="atLeast"/>
        </w:trPr>
        <w:tc>
          <w:tcPr>
            <w:tcW w:w="1177" w:type="dxa"/>
            <w:noWrap/>
            <w:vAlign w:val="center"/>
          </w:tcPr>
          <w:p>
            <w:pPr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容积率</w:t>
            </w:r>
          </w:p>
        </w:tc>
        <w:tc>
          <w:tcPr>
            <w:tcW w:w="715" w:type="dxa"/>
            <w:shd w:val="clear" w:color="000000" w:fill="FFFFFF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＜</w:t>
            </w:r>
            <w:r>
              <w:rPr>
                <w:color w:val="000000"/>
                <w:sz w:val="18"/>
                <w:szCs w:val="18"/>
              </w:rPr>
              <w:t>1.0</w:t>
            </w:r>
          </w:p>
        </w:tc>
        <w:tc>
          <w:tcPr>
            <w:tcW w:w="1214" w:type="dxa"/>
            <w:shd w:val="clear" w:color="000000" w:fill="FFFFFF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[1.0,1.8)</w:t>
            </w:r>
          </w:p>
        </w:tc>
        <w:tc>
          <w:tcPr>
            <w:tcW w:w="980" w:type="dxa"/>
            <w:shd w:val="clear" w:color="000000" w:fill="FFFFFF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1.8</w:t>
            </w:r>
          </w:p>
        </w:tc>
        <w:tc>
          <w:tcPr>
            <w:tcW w:w="1102" w:type="dxa"/>
            <w:shd w:val="clear" w:color="000000" w:fill="FFFFFF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(1.8,2.2]</w:t>
            </w:r>
          </w:p>
        </w:tc>
        <w:tc>
          <w:tcPr>
            <w:tcW w:w="1102" w:type="dxa"/>
            <w:shd w:val="clear" w:color="000000" w:fill="FFFFFF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(2.2,2.6]</w:t>
            </w:r>
          </w:p>
        </w:tc>
        <w:tc>
          <w:tcPr>
            <w:tcW w:w="1102" w:type="dxa"/>
            <w:shd w:val="clear" w:color="000000" w:fill="FFFFFF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(2.6,3.0]</w:t>
            </w:r>
          </w:p>
        </w:tc>
        <w:tc>
          <w:tcPr>
            <w:tcW w:w="1102" w:type="dxa"/>
            <w:shd w:val="clear" w:color="000000" w:fill="FFFFFF"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(3.0,3.4]</w:t>
            </w:r>
          </w:p>
        </w:tc>
        <w:tc>
          <w:tcPr>
            <w:tcW w:w="659" w:type="dxa"/>
            <w:shd w:val="clear" w:color="000000" w:fill="FFFFFF"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&gt;3.4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" w:hRule="atLeast"/>
        </w:trPr>
        <w:tc>
          <w:tcPr>
            <w:tcW w:w="1177" w:type="dxa"/>
            <w:noWrap/>
            <w:vAlign w:val="center"/>
          </w:tcPr>
          <w:p>
            <w:pPr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修正系数</w:t>
            </w:r>
          </w:p>
        </w:tc>
        <w:tc>
          <w:tcPr>
            <w:tcW w:w="715" w:type="dxa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0.85 </w:t>
            </w:r>
          </w:p>
        </w:tc>
        <w:tc>
          <w:tcPr>
            <w:tcW w:w="1214" w:type="dxa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0.96 </w:t>
            </w:r>
          </w:p>
        </w:tc>
        <w:tc>
          <w:tcPr>
            <w:tcW w:w="980" w:type="dxa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1.00 </w:t>
            </w:r>
          </w:p>
        </w:tc>
        <w:tc>
          <w:tcPr>
            <w:tcW w:w="1102" w:type="dxa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1.07 </w:t>
            </w:r>
          </w:p>
        </w:tc>
        <w:tc>
          <w:tcPr>
            <w:tcW w:w="1102" w:type="dxa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1.13 </w:t>
            </w:r>
          </w:p>
        </w:tc>
        <w:tc>
          <w:tcPr>
            <w:tcW w:w="1102" w:type="dxa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1.20 </w:t>
            </w:r>
          </w:p>
        </w:tc>
        <w:tc>
          <w:tcPr>
            <w:tcW w:w="1102" w:type="dxa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1.28 </w:t>
            </w:r>
          </w:p>
        </w:tc>
        <w:tc>
          <w:tcPr>
            <w:tcW w:w="659" w:type="dxa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1.35 </w:t>
            </w:r>
          </w:p>
        </w:tc>
      </w:tr>
    </w:tbl>
    <w:p>
      <w:pPr>
        <w:jc w:val="center"/>
        <w:textAlignment w:val="center"/>
        <w:rPr>
          <w:rFonts w:ascii="Times New Roman" w:hAnsi="Times New Roman" w:cs="Times New Roman"/>
          <w:color w:val="000000"/>
          <w:sz w:val="22"/>
          <w:szCs w:val="22"/>
        </w:rPr>
      </w:pPr>
    </w:p>
    <w:p>
      <w:pPr>
        <w:jc w:val="center"/>
        <w:textAlignment w:val="center"/>
        <w:rPr>
          <w:rFonts w:ascii="Times New Roman" w:hAnsi="Times New Roman" w:cs="Times New Roman"/>
          <w:color w:val="000000"/>
          <w:sz w:val="22"/>
          <w:szCs w:val="22"/>
        </w:rPr>
      </w:pPr>
    </w:p>
    <w:p>
      <w:pPr>
        <w:ind w:firstLine="640" w:firstLineChars="200"/>
        <w:textAlignment w:val="center"/>
        <w:rPr>
          <w:rFonts w:eastAsia="黑体" w:cs="Times New Roman"/>
          <w:sz w:val="32"/>
          <w:szCs w:val="32"/>
        </w:rPr>
      </w:pPr>
      <w:r>
        <w:rPr>
          <w:rFonts w:hint="eastAsia" w:eastAsia="黑体" w:cs="黑体"/>
          <w:sz w:val="32"/>
          <w:szCs w:val="32"/>
        </w:rPr>
        <w:t>二、剑阁县城区住宅用地容积率修正系数表</w:t>
      </w:r>
    </w:p>
    <w:p>
      <w:pPr>
        <w:spacing w:line="460" w:lineRule="exact"/>
        <w:rPr>
          <w:rFonts w:ascii="Times New Roman" w:hAnsi="Times New Roman" w:cs="Times New Roman"/>
          <w:color w:val="FFFFFF"/>
          <w:sz w:val="18"/>
          <w:szCs w:val="18"/>
        </w:rPr>
      </w:pPr>
      <w:r>
        <w:rPr>
          <w:rFonts w:hint="eastAsia" w:ascii="Times New Roman" w:hAnsi="Times New Roman" w:cs="宋体"/>
          <w:color w:val="FFFFFF"/>
          <w:sz w:val="18"/>
          <w:szCs w:val="18"/>
        </w:rPr>
        <w:t>表</w:t>
      </w:r>
      <w:r>
        <w:rPr>
          <w:rFonts w:ascii="Times New Roman" w:hAnsi="Times New Roman" w:cs="Times New Roman"/>
          <w:color w:val="FFFFFF"/>
          <w:sz w:val="18"/>
          <w:szCs w:val="18"/>
        </w:rPr>
        <w:t>2</w:t>
      </w:r>
    </w:p>
    <w:tbl>
      <w:tblPr>
        <w:tblStyle w:val="7"/>
        <w:tblW w:w="9152" w:type="dxa"/>
        <w:tblInd w:w="-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77"/>
        <w:gridCol w:w="817"/>
        <w:gridCol w:w="1102"/>
        <w:gridCol w:w="818"/>
        <w:gridCol w:w="1102"/>
        <w:gridCol w:w="1102"/>
        <w:gridCol w:w="1102"/>
        <w:gridCol w:w="1102"/>
        <w:gridCol w:w="8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</w:trPr>
        <w:tc>
          <w:tcPr>
            <w:tcW w:w="1177" w:type="dxa"/>
            <w:noWrap/>
            <w:vAlign w:val="center"/>
          </w:tcPr>
          <w:p>
            <w:pPr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容积率</w:t>
            </w:r>
          </w:p>
        </w:tc>
        <w:tc>
          <w:tcPr>
            <w:tcW w:w="817" w:type="dxa"/>
            <w:shd w:val="clear" w:color="000000" w:fill="FFFFFF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＜</w:t>
            </w:r>
            <w:r>
              <w:rPr>
                <w:color w:val="000000"/>
                <w:sz w:val="18"/>
                <w:szCs w:val="18"/>
              </w:rPr>
              <w:t>1.0</w:t>
            </w:r>
          </w:p>
        </w:tc>
        <w:tc>
          <w:tcPr>
            <w:tcW w:w="1102" w:type="dxa"/>
            <w:shd w:val="clear" w:color="000000" w:fill="FFFFFF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[1.0,1.8)</w:t>
            </w:r>
          </w:p>
        </w:tc>
        <w:tc>
          <w:tcPr>
            <w:tcW w:w="818" w:type="dxa"/>
            <w:shd w:val="clear" w:color="000000" w:fill="FFFFFF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1.8</w:t>
            </w:r>
          </w:p>
        </w:tc>
        <w:tc>
          <w:tcPr>
            <w:tcW w:w="1102" w:type="dxa"/>
            <w:shd w:val="clear" w:color="000000" w:fill="FFFFFF"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(1.8,2.2]</w:t>
            </w:r>
          </w:p>
        </w:tc>
        <w:tc>
          <w:tcPr>
            <w:tcW w:w="1102" w:type="dxa"/>
            <w:shd w:val="clear" w:color="000000" w:fill="FFFFFF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(2.2,2.6]</w:t>
            </w:r>
          </w:p>
        </w:tc>
        <w:tc>
          <w:tcPr>
            <w:tcW w:w="1102" w:type="dxa"/>
            <w:shd w:val="clear" w:color="000000" w:fill="FFFFFF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(2.6,3.0]</w:t>
            </w:r>
          </w:p>
        </w:tc>
        <w:tc>
          <w:tcPr>
            <w:tcW w:w="1102" w:type="dxa"/>
            <w:shd w:val="clear" w:color="000000" w:fill="FFFFFF"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(3.0,3.4]</w:t>
            </w:r>
          </w:p>
        </w:tc>
        <w:tc>
          <w:tcPr>
            <w:tcW w:w="830" w:type="dxa"/>
            <w:shd w:val="clear" w:color="000000" w:fill="FFFFFF"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&gt;3.4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" w:hRule="atLeast"/>
        </w:trPr>
        <w:tc>
          <w:tcPr>
            <w:tcW w:w="1177" w:type="dxa"/>
            <w:noWrap/>
            <w:vAlign w:val="center"/>
          </w:tcPr>
          <w:p>
            <w:pPr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修正系数</w:t>
            </w:r>
          </w:p>
        </w:tc>
        <w:tc>
          <w:tcPr>
            <w:tcW w:w="817" w:type="dxa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0.83 </w:t>
            </w:r>
          </w:p>
        </w:tc>
        <w:tc>
          <w:tcPr>
            <w:tcW w:w="1102" w:type="dxa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0.94 </w:t>
            </w:r>
          </w:p>
        </w:tc>
        <w:tc>
          <w:tcPr>
            <w:tcW w:w="818" w:type="dxa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1.00 </w:t>
            </w:r>
          </w:p>
        </w:tc>
        <w:tc>
          <w:tcPr>
            <w:tcW w:w="1102" w:type="dxa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1.03 </w:t>
            </w:r>
          </w:p>
        </w:tc>
        <w:tc>
          <w:tcPr>
            <w:tcW w:w="1102" w:type="dxa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1.07 </w:t>
            </w:r>
          </w:p>
        </w:tc>
        <w:tc>
          <w:tcPr>
            <w:tcW w:w="1102" w:type="dxa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1.10 </w:t>
            </w:r>
          </w:p>
        </w:tc>
        <w:tc>
          <w:tcPr>
            <w:tcW w:w="1102" w:type="dxa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1.12 </w:t>
            </w:r>
          </w:p>
        </w:tc>
        <w:tc>
          <w:tcPr>
            <w:tcW w:w="830" w:type="dxa"/>
            <w:noWrap/>
            <w:vAlign w:val="center"/>
          </w:tcPr>
          <w:p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1.15 </w:t>
            </w:r>
          </w:p>
        </w:tc>
      </w:tr>
    </w:tbl>
    <w:p>
      <w:pPr>
        <w:rPr>
          <w:rFonts w:cs="Times New Roman"/>
          <w:color w:val="000000"/>
        </w:rPr>
      </w:pPr>
    </w:p>
    <w:p>
      <w:pPr>
        <w:ind w:firstLine="640" w:firstLineChars="200"/>
        <w:textAlignment w:val="center"/>
        <w:rPr>
          <w:rFonts w:eastAsia="黑体" w:cs="Times New Roman"/>
          <w:sz w:val="32"/>
          <w:szCs w:val="32"/>
        </w:rPr>
      </w:pPr>
      <w:r>
        <w:rPr>
          <w:rFonts w:hint="eastAsia" w:eastAsia="黑体" w:cs="黑体"/>
          <w:sz w:val="32"/>
          <w:szCs w:val="32"/>
        </w:rPr>
        <w:t>三、楼层修正系数表</w:t>
      </w:r>
    </w:p>
    <w:p>
      <w:pPr>
        <w:tabs>
          <w:tab w:val="left" w:pos="3810"/>
        </w:tabs>
        <w:spacing w:line="460" w:lineRule="exact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hint="eastAsia" w:ascii="Times New Roman" w:hAnsi="Times New Roman" w:cs="宋体"/>
          <w:color w:val="000000"/>
        </w:rPr>
        <w:t>剑阁县城区住宅（七层）各楼层占宗地地价比例系数表</w:t>
      </w:r>
    </w:p>
    <w:p>
      <w:pPr>
        <w:spacing w:line="460" w:lineRule="exact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hint="eastAsia" w:ascii="Times New Roman" w:hAnsi="Times New Roman" w:cs="宋体"/>
          <w:color w:val="FFFFFF"/>
          <w:sz w:val="18"/>
          <w:szCs w:val="18"/>
        </w:rPr>
        <w:t>表</w:t>
      </w:r>
      <w:r>
        <w:rPr>
          <w:rFonts w:ascii="Times New Roman" w:hAnsi="Times New Roman" w:cs="Times New Roman"/>
          <w:color w:val="FFFFFF"/>
          <w:sz w:val="18"/>
          <w:szCs w:val="18"/>
        </w:rPr>
        <w:t>3</w:t>
      </w:r>
      <w:r>
        <w:rPr>
          <w:rFonts w:ascii="Times New Roman" w:hAnsi="Times New Roman" w:cs="Times New Roman"/>
          <w:color w:val="FFFFFF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                          </w:t>
      </w:r>
      <w:r>
        <w:rPr>
          <w:rFonts w:hint="eastAsia" w:ascii="Times New Roman" w:hAnsi="Times New Roman" w:cs="宋体"/>
          <w:color w:val="000000"/>
          <w:sz w:val="18"/>
          <w:szCs w:val="18"/>
        </w:rPr>
        <w:t>单位：</w:t>
      </w:r>
      <w:r>
        <w:rPr>
          <w:rFonts w:ascii="Times New Roman" w:hAnsi="Times New Roman" w:cs="Times New Roman"/>
          <w:color w:val="000000"/>
          <w:sz w:val="18"/>
          <w:szCs w:val="18"/>
        </w:rPr>
        <w:t>%</w:t>
      </w:r>
    </w:p>
    <w:tbl>
      <w:tblPr>
        <w:tblStyle w:val="7"/>
        <w:tblW w:w="9326" w:type="dxa"/>
        <w:tblInd w:w="-106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3"/>
        <w:gridCol w:w="1128"/>
        <w:gridCol w:w="1127"/>
        <w:gridCol w:w="1128"/>
        <w:gridCol w:w="1127"/>
        <w:gridCol w:w="1128"/>
        <w:gridCol w:w="1127"/>
        <w:gridCol w:w="11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4" w:hRule="atLeast"/>
        </w:trPr>
        <w:tc>
          <w:tcPr>
            <w:tcW w:w="1433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楼层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一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二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三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四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五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六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七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" w:hRule="atLeast"/>
        </w:trPr>
        <w:tc>
          <w:tcPr>
            <w:tcW w:w="1433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公式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7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8" w:hRule="atLeast"/>
        </w:trPr>
        <w:tc>
          <w:tcPr>
            <w:tcW w:w="1433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比例系数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14.05 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14.36 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14.53 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14.56 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14.46 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14.21 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13.83 </w:t>
            </w:r>
          </w:p>
        </w:tc>
      </w:tr>
    </w:tbl>
    <w:p>
      <w:pPr>
        <w:tabs>
          <w:tab w:val="left" w:pos="3810"/>
        </w:tabs>
        <w:spacing w:line="360" w:lineRule="exact"/>
        <w:jc w:val="center"/>
        <w:rPr>
          <w:rFonts w:ascii="Times New Roman" w:hAnsi="Times New Roman" w:cs="Times New Roman"/>
          <w:color w:val="000000"/>
        </w:rPr>
      </w:pPr>
    </w:p>
    <w:p>
      <w:pPr>
        <w:tabs>
          <w:tab w:val="left" w:pos="3810"/>
        </w:tabs>
        <w:spacing w:line="460" w:lineRule="exact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hint="eastAsia" w:ascii="Times New Roman" w:hAnsi="Times New Roman" w:cs="宋体"/>
          <w:color w:val="000000"/>
        </w:rPr>
        <w:t>剑阁县城区住宅（</w:t>
      </w:r>
      <w:r>
        <w:rPr>
          <w:rFonts w:ascii="Times New Roman" w:hAnsi="Times New Roman" w:cs="Times New Roman"/>
          <w:color w:val="000000"/>
        </w:rPr>
        <w:t>15</w:t>
      </w:r>
      <w:r>
        <w:rPr>
          <w:rFonts w:hint="eastAsia" w:ascii="Times New Roman" w:hAnsi="Times New Roman" w:cs="宋体"/>
          <w:color w:val="000000"/>
        </w:rPr>
        <w:t>层）各楼层占宗地地价比例系数表</w:t>
      </w:r>
    </w:p>
    <w:p>
      <w:pPr>
        <w:spacing w:line="460" w:lineRule="exact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hint="eastAsia" w:ascii="Times New Roman" w:hAnsi="Times New Roman" w:cs="宋体"/>
          <w:color w:val="FFFFFF"/>
          <w:sz w:val="18"/>
          <w:szCs w:val="18"/>
        </w:rPr>
        <w:t>表</w:t>
      </w:r>
      <w:r>
        <w:rPr>
          <w:rFonts w:ascii="Times New Roman" w:hAnsi="Times New Roman" w:cs="Times New Roman"/>
          <w:color w:val="FFFFFF"/>
          <w:sz w:val="18"/>
          <w:szCs w:val="18"/>
        </w:rPr>
        <w:t xml:space="preserve">36 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    </w:t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                    </w:t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hint="eastAsia" w:ascii="Times New Roman" w:hAnsi="Times New Roman" w:cs="宋体"/>
          <w:color w:val="000000"/>
          <w:sz w:val="18"/>
          <w:szCs w:val="18"/>
        </w:rPr>
        <w:t>单位：</w:t>
      </w:r>
      <w:r>
        <w:rPr>
          <w:rFonts w:ascii="Times New Roman" w:hAnsi="Times New Roman" w:cs="Times New Roman"/>
          <w:color w:val="000000"/>
          <w:sz w:val="18"/>
          <w:szCs w:val="18"/>
        </w:rPr>
        <w:t>%</w:t>
      </w:r>
    </w:p>
    <w:tbl>
      <w:tblPr>
        <w:tblStyle w:val="7"/>
        <w:tblW w:w="9332" w:type="dxa"/>
        <w:tblInd w:w="-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25"/>
        <w:gridCol w:w="604"/>
        <w:gridCol w:w="604"/>
        <w:gridCol w:w="604"/>
        <w:gridCol w:w="604"/>
        <w:gridCol w:w="604"/>
        <w:gridCol w:w="604"/>
        <w:gridCol w:w="604"/>
        <w:gridCol w:w="509"/>
        <w:gridCol w:w="509"/>
        <w:gridCol w:w="578"/>
        <w:gridCol w:w="571"/>
        <w:gridCol w:w="578"/>
        <w:gridCol w:w="578"/>
        <w:gridCol w:w="578"/>
        <w:gridCol w:w="57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6" w:hRule="atLeast"/>
        </w:trPr>
        <w:tc>
          <w:tcPr>
            <w:tcW w:w="626" w:type="dxa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楼层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一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二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三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四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五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六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七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八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九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十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十一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十二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十三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十四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十五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5" w:hRule="atLeast"/>
        </w:trPr>
        <w:tc>
          <w:tcPr>
            <w:tcW w:w="626" w:type="dxa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公式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7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8/K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9/K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10/K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11/K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12/K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13/K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14/K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0" w:type="auto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15/K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6" w:hRule="atLeast"/>
        </w:trPr>
        <w:tc>
          <w:tcPr>
            <w:tcW w:w="626" w:type="dxa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比例</w:t>
            </w:r>
          </w:p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系数</w:t>
            </w:r>
          </w:p>
        </w:tc>
        <w:tc>
          <w:tcPr>
            <w:tcW w:w="0" w:type="auto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6.45 </w:t>
            </w:r>
          </w:p>
        </w:tc>
        <w:tc>
          <w:tcPr>
            <w:tcW w:w="0" w:type="auto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6.54 </w:t>
            </w:r>
          </w:p>
        </w:tc>
        <w:tc>
          <w:tcPr>
            <w:tcW w:w="0" w:type="auto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6.62 </w:t>
            </w:r>
          </w:p>
        </w:tc>
        <w:tc>
          <w:tcPr>
            <w:tcW w:w="0" w:type="auto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6.69 </w:t>
            </w:r>
          </w:p>
        </w:tc>
        <w:tc>
          <w:tcPr>
            <w:tcW w:w="0" w:type="auto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6.73 </w:t>
            </w:r>
          </w:p>
        </w:tc>
        <w:tc>
          <w:tcPr>
            <w:tcW w:w="0" w:type="auto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6.77 </w:t>
            </w:r>
          </w:p>
        </w:tc>
        <w:tc>
          <w:tcPr>
            <w:tcW w:w="0" w:type="auto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6.79 </w:t>
            </w:r>
          </w:p>
        </w:tc>
        <w:tc>
          <w:tcPr>
            <w:tcW w:w="0" w:type="auto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6.80 </w:t>
            </w:r>
          </w:p>
        </w:tc>
        <w:tc>
          <w:tcPr>
            <w:tcW w:w="0" w:type="auto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6.79 </w:t>
            </w:r>
          </w:p>
        </w:tc>
        <w:tc>
          <w:tcPr>
            <w:tcW w:w="0" w:type="auto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6.77 </w:t>
            </w:r>
          </w:p>
        </w:tc>
        <w:tc>
          <w:tcPr>
            <w:tcW w:w="0" w:type="auto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6.74 </w:t>
            </w:r>
          </w:p>
        </w:tc>
        <w:tc>
          <w:tcPr>
            <w:tcW w:w="0" w:type="auto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6.69 </w:t>
            </w:r>
          </w:p>
        </w:tc>
        <w:tc>
          <w:tcPr>
            <w:tcW w:w="0" w:type="auto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6.62 </w:t>
            </w:r>
          </w:p>
        </w:tc>
        <w:tc>
          <w:tcPr>
            <w:tcW w:w="0" w:type="auto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6.55 </w:t>
            </w:r>
          </w:p>
        </w:tc>
        <w:tc>
          <w:tcPr>
            <w:tcW w:w="0" w:type="auto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6.45 </w:t>
            </w:r>
          </w:p>
        </w:tc>
      </w:tr>
    </w:tbl>
    <w:p>
      <w:pPr>
        <w:tabs>
          <w:tab w:val="left" w:pos="3810"/>
        </w:tabs>
        <w:spacing w:line="460" w:lineRule="exact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hint="eastAsia" w:ascii="Times New Roman" w:hAnsi="Times New Roman" w:cs="宋体"/>
          <w:color w:val="000000"/>
        </w:rPr>
        <w:t>剑阁县城区住宅（</w:t>
      </w:r>
      <w:r>
        <w:rPr>
          <w:rFonts w:ascii="Times New Roman" w:hAnsi="Times New Roman" w:cs="Times New Roman"/>
          <w:color w:val="000000"/>
        </w:rPr>
        <w:t>32</w:t>
      </w:r>
      <w:r>
        <w:rPr>
          <w:rFonts w:hint="eastAsia" w:ascii="Times New Roman" w:hAnsi="Times New Roman" w:cs="宋体"/>
          <w:color w:val="000000"/>
        </w:rPr>
        <w:t>层）各楼层占宗地地价比例系数表</w:t>
      </w:r>
    </w:p>
    <w:p>
      <w:pPr>
        <w:spacing w:line="460" w:lineRule="exact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hint="eastAsia" w:ascii="Times New Roman" w:hAnsi="Times New Roman" w:cs="宋体"/>
          <w:color w:val="FFFFFF"/>
          <w:sz w:val="18"/>
          <w:szCs w:val="18"/>
        </w:rPr>
        <w:t>表</w:t>
      </w:r>
      <w:r>
        <w:rPr>
          <w:rFonts w:ascii="Times New Roman" w:hAnsi="Times New Roman" w:cs="Times New Roman"/>
          <w:color w:val="FFFFFF"/>
          <w:sz w:val="18"/>
          <w:szCs w:val="18"/>
        </w:rPr>
        <w:t>4</w:t>
      </w:r>
      <w:r>
        <w:rPr>
          <w:rFonts w:ascii="Times New Roman" w:hAnsi="Times New Roman" w:cs="Times New Roman"/>
          <w:color w:val="FFFFFF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ab/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                             </w:t>
      </w:r>
      <w:r>
        <w:rPr>
          <w:rFonts w:hint="eastAsia" w:ascii="Times New Roman" w:hAnsi="Times New Roman" w:cs="宋体"/>
          <w:color w:val="000000"/>
          <w:sz w:val="18"/>
          <w:szCs w:val="18"/>
        </w:rPr>
        <w:t>单位：</w:t>
      </w:r>
      <w:r>
        <w:rPr>
          <w:rFonts w:ascii="Times New Roman" w:hAnsi="Times New Roman" w:cs="Times New Roman"/>
          <w:color w:val="000000"/>
          <w:sz w:val="18"/>
          <w:szCs w:val="18"/>
        </w:rPr>
        <w:t>%</w:t>
      </w:r>
    </w:p>
    <w:tbl>
      <w:tblPr>
        <w:tblStyle w:val="7"/>
        <w:tblW w:w="5316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38"/>
        <w:gridCol w:w="478"/>
        <w:gridCol w:w="487"/>
        <w:gridCol w:w="480"/>
        <w:gridCol w:w="480"/>
        <w:gridCol w:w="601"/>
        <w:gridCol w:w="601"/>
        <w:gridCol w:w="601"/>
        <w:gridCol w:w="601"/>
        <w:gridCol w:w="601"/>
        <w:gridCol w:w="601"/>
        <w:gridCol w:w="601"/>
        <w:gridCol w:w="601"/>
        <w:gridCol w:w="601"/>
        <w:gridCol w:w="486"/>
        <w:gridCol w:w="593"/>
        <w:gridCol w:w="58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4" w:hRule="atLeast"/>
          <w:jc w:val="center"/>
        </w:trPr>
        <w:tc>
          <w:tcPr>
            <w:tcW w:w="331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楼层</w:t>
            </w:r>
          </w:p>
        </w:tc>
        <w:tc>
          <w:tcPr>
            <w:tcW w:w="248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一</w:t>
            </w:r>
          </w:p>
        </w:tc>
        <w:tc>
          <w:tcPr>
            <w:tcW w:w="253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二</w:t>
            </w:r>
          </w:p>
        </w:tc>
        <w:tc>
          <w:tcPr>
            <w:tcW w:w="249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三</w:t>
            </w:r>
          </w:p>
        </w:tc>
        <w:tc>
          <w:tcPr>
            <w:tcW w:w="249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四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五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六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七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八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九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十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十一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十二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十三</w:t>
            </w:r>
          </w:p>
        </w:tc>
        <w:tc>
          <w:tcPr>
            <w:tcW w:w="25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十四</w:t>
            </w:r>
          </w:p>
        </w:tc>
        <w:tc>
          <w:tcPr>
            <w:tcW w:w="308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十五</w:t>
            </w:r>
          </w:p>
        </w:tc>
        <w:tc>
          <w:tcPr>
            <w:tcW w:w="303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十六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  <w:jc w:val="center"/>
        </w:trPr>
        <w:tc>
          <w:tcPr>
            <w:tcW w:w="331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公式</w:t>
            </w:r>
          </w:p>
        </w:tc>
        <w:tc>
          <w:tcPr>
            <w:tcW w:w="248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253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249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249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7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8/K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9/K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10/K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11/K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12/K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13/K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25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14/K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08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15/K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03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16/K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4" w:hRule="atLeast"/>
          <w:jc w:val="center"/>
        </w:trPr>
        <w:tc>
          <w:tcPr>
            <w:tcW w:w="331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比例</w:t>
            </w:r>
          </w:p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系数</w:t>
            </w:r>
          </w:p>
        </w:tc>
        <w:tc>
          <w:tcPr>
            <w:tcW w:w="248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3.00 </w:t>
            </w:r>
          </w:p>
        </w:tc>
        <w:tc>
          <w:tcPr>
            <w:tcW w:w="253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3.02 </w:t>
            </w:r>
          </w:p>
        </w:tc>
        <w:tc>
          <w:tcPr>
            <w:tcW w:w="249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3.04 </w:t>
            </w:r>
          </w:p>
        </w:tc>
        <w:tc>
          <w:tcPr>
            <w:tcW w:w="249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3.06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3.08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3.10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3.11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3.13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3.14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3.15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3.16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3.17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3.18 </w:t>
            </w:r>
          </w:p>
        </w:tc>
        <w:tc>
          <w:tcPr>
            <w:tcW w:w="25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3.18 </w:t>
            </w:r>
          </w:p>
        </w:tc>
        <w:tc>
          <w:tcPr>
            <w:tcW w:w="308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3.18 </w:t>
            </w:r>
          </w:p>
        </w:tc>
        <w:tc>
          <w:tcPr>
            <w:tcW w:w="303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3.19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3" w:hRule="atLeast"/>
          <w:jc w:val="center"/>
        </w:trPr>
        <w:tc>
          <w:tcPr>
            <w:tcW w:w="331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楼层</w:t>
            </w:r>
          </w:p>
        </w:tc>
        <w:tc>
          <w:tcPr>
            <w:tcW w:w="248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十七</w:t>
            </w:r>
          </w:p>
        </w:tc>
        <w:tc>
          <w:tcPr>
            <w:tcW w:w="253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十八</w:t>
            </w:r>
          </w:p>
        </w:tc>
        <w:tc>
          <w:tcPr>
            <w:tcW w:w="249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十九</w:t>
            </w:r>
          </w:p>
        </w:tc>
        <w:tc>
          <w:tcPr>
            <w:tcW w:w="249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二十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二十一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二十二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二十三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二十四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二十五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二十六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二十七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二十八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二十九</w:t>
            </w:r>
          </w:p>
        </w:tc>
        <w:tc>
          <w:tcPr>
            <w:tcW w:w="25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三十</w:t>
            </w:r>
          </w:p>
        </w:tc>
        <w:tc>
          <w:tcPr>
            <w:tcW w:w="308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三十一</w:t>
            </w:r>
          </w:p>
        </w:tc>
        <w:tc>
          <w:tcPr>
            <w:tcW w:w="303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三十二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  <w:jc w:val="center"/>
        </w:trPr>
        <w:tc>
          <w:tcPr>
            <w:tcW w:w="331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公式</w:t>
            </w:r>
          </w:p>
        </w:tc>
        <w:tc>
          <w:tcPr>
            <w:tcW w:w="248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17/K</w:t>
            </w:r>
            <w:r>
              <w:rPr>
                <w:rFonts w:hint="eastAsia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253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18/K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249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19/K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249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20/K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21/K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22/K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23/K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24/K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25/K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26/K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27/K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28/K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1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29/K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252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30/K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08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31/K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303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32/K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4" w:hRule="atLeast"/>
          <w:jc w:val="center"/>
        </w:trPr>
        <w:tc>
          <w:tcPr>
            <w:tcW w:w="331" w:type="pct"/>
            <w:vAlign w:val="center"/>
          </w:tcPr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比例</w:t>
            </w:r>
          </w:p>
          <w:p>
            <w:pPr>
              <w:ind w:left="-105" w:leftChars="-50" w:right="-105" w:rightChars="-5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>
              <w:rPr>
                <w:rFonts w:hint="eastAsia" w:cs="宋体"/>
                <w:color w:val="000000"/>
                <w:sz w:val="18"/>
                <w:szCs w:val="18"/>
              </w:rPr>
              <w:t>系数</w:t>
            </w:r>
          </w:p>
        </w:tc>
        <w:tc>
          <w:tcPr>
            <w:tcW w:w="248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3.19 </w:t>
            </w:r>
          </w:p>
        </w:tc>
        <w:tc>
          <w:tcPr>
            <w:tcW w:w="253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3.19 </w:t>
            </w:r>
          </w:p>
        </w:tc>
        <w:tc>
          <w:tcPr>
            <w:tcW w:w="249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3.18 </w:t>
            </w:r>
          </w:p>
        </w:tc>
        <w:tc>
          <w:tcPr>
            <w:tcW w:w="249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3.18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3.18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3.17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3.16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3.15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3.14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3.13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3.12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3.10 </w:t>
            </w:r>
          </w:p>
        </w:tc>
        <w:tc>
          <w:tcPr>
            <w:tcW w:w="31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3.08 </w:t>
            </w:r>
          </w:p>
        </w:tc>
        <w:tc>
          <w:tcPr>
            <w:tcW w:w="252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3.07 </w:t>
            </w:r>
          </w:p>
        </w:tc>
        <w:tc>
          <w:tcPr>
            <w:tcW w:w="308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3.05 </w:t>
            </w:r>
          </w:p>
        </w:tc>
        <w:tc>
          <w:tcPr>
            <w:tcW w:w="303" w:type="pct"/>
            <w:noWrap/>
            <w:vAlign w:val="center"/>
          </w:tcPr>
          <w:p>
            <w:pPr>
              <w:ind w:left="-105" w:leftChars="-50" w:right="-105" w:rightChars="-5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3.03 </w:t>
            </w:r>
          </w:p>
        </w:tc>
      </w:tr>
    </w:tbl>
    <w:p>
      <w:pPr>
        <w:tabs>
          <w:tab w:val="left" w:pos="3810"/>
        </w:tabs>
        <w:spacing w:line="360" w:lineRule="exact"/>
        <w:jc w:val="center"/>
        <w:rPr>
          <w:rFonts w:ascii="Times New Roman" w:hAnsi="Times New Roman" w:cs="Times New Roman"/>
          <w:color w:val="000000"/>
        </w:rPr>
      </w:pPr>
    </w:p>
    <w:p>
      <w:pPr>
        <w:tabs>
          <w:tab w:val="left" w:pos="3810"/>
        </w:tabs>
        <w:spacing w:line="360" w:lineRule="exact"/>
        <w:jc w:val="center"/>
        <w:rPr>
          <w:rFonts w:ascii="Times New Roman" w:hAnsi="Times New Roman" w:cs="Times New Roman"/>
          <w:color w:val="000000"/>
        </w:rPr>
      </w:pPr>
      <w:r>
        <w:rPr>
          <w:rFonts w:hint="eastAsia" w:ascii="Times New Roman" w:hAnsi="Times New Roman" w:cs="宋体"/>
          <w:color w:val="000000"/>
        </w:rPr>
        <w:t>剑阁县城区商业（七层）各楼层占宗地地价比例系数表</w:t>
      </w:r>
    </w:p>
    <w:p>
      <w:pPr>
        <w:spacing w:line="360" w:lineRule="exact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hint="eastAsia" w:ascii="Times New Roman" w:hAnsi="Times New Roman" w:cs="宋体"/>
          <w:color w:val="FFFFFF"/>
          <w:sz w:val="18"/>
          <w:szCs w:val="18"/>
        </w:rPr>
        <w:t>表</w:t>
      </w:r>
      <w:r>
        <w:rPr>
          <w:rFonts w:ascii="Times New Roman" w:hAnsi="Times New Roman" w:cs="Times New Roman"/>
          <w:color w:val="FFFFFF"/>
          <w:sz w:val="18"/>
          <w:szCs w:val="18"/>
        </w:rPr>
        <w:t xml:space="preserve">5                                                                                     </w:t>
      </w:r>
      <w:r>
        <w:rPr>
          <w:rFonts w:ascii="Times New Roman" w:hAnsi="Times New Roman" w:cs="Times New Roman"/>
          <w:color w:val="000000"/>
          <w:sz w:val="18"/>
          <w:szCs w:val="18"/>
        </w:rPr>
        <w:t xml:space="preserve">  </w:t>
      </w:r>
      <w:r>
        <w:rPr>
          <w:rFonts w:hint="eastAsia" w:ascii="Times New Roman" w:hAnsi="Times New Roman" w:cs="宋体"/>
          <w:color w:val="000000"/>
          <w:sz w:val="18"/>
          <w:szCs w:val="18"/>
        </w:rPr>
        <w:t>单位：</w:t>
      </w:r>
      <w:r>
        <w:rPr>
          <w:rFonts w:ascii="Times New Roman" w:hAnsi="Times New Roman" w:cs="Times New Roman"/>
          <w:color w:val="000000"/>
          <w:sz w:val="18"/>
          <w:szCs w:val="18"/>
        </w:rPr>
        <w:t>%</w:t>
      </w:r>
    </w:p>
    <w:tbl>
      <w:tblPr>
        <w:tblStyle w:val="7"/>
        <w:tblW w:w="9326" w:type="dxa"/>
        <w:tblInd w:w="-106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3"/>
        <w:gridCol w:w="1128"/>
        <w:gridCol w:w="1127"/>
        <w:gridCol w:w="1128"/>
        <w:gridCol w:w="1127"/>
        <w:gridCol w:w="1128"/>
        <w:gridCol w:w="1127"/>
        <w:gridCol w:w="11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1" w:hRule="atLeast"/>
        </w:trPr>
        <w:tc>
          <w:tcPr>
            <w:tcW w:w="1433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楼层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一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二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三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四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五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六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七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1" w:hRule="atLeast"/>
        </w:trPr>
        <w:tc>
          <w:tcPr>
            <w:tcW w:w="1433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公式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  <w:vertAlign w:val="subscript"/>
              </w:rPr>
              <w:t>7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/K</w:t>
            </w: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  <w:vertAlign w:val="subscript"/>
              </w:rPr>
              <w:t>总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1" w:hRule="atLeast"/>
        </w:trPr>
        <w:tc>
          <w:tcPr>
            <w:tcW w:w="1433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比例系数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26.98 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14.84 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12.59 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11.80 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11.44 </w:t>
            </w:r>
          </w:p>
        </w:tc>
        <w:tc>
          <w:tcPr>
            <w:tcW w:w="1127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11.24 </w:t>
            </w:r>
          </w:p>
        </w:tc>
        <w:tc>
          <w:tcPr>
            <w:tcW w:w="1128" w:type="dxa"/>
            <w:vAlign w:val="center"/>
          </w:tcPr>
          <w:p>
            <w:pPr>
              <w:spacing w:line="4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11.12 </w:t>
            </w:r>
          </w:p>
        </w:tc>
      </w:tr>
    </w:tbl>
    <w:p>
      <w:pPr>
        <w:tabs>
          <w:tab w:val="left" w:pos="1550"/>
          <w:tab w:val="left" w:pos="4875"/>
        </w:tabs>
        <w:spacing w:line="460" w:lineRule="exact"/>
        <w:rPr>
          <w:rFonts w:ascii="Times New Roman" w:hAnsi="Times New Roman" w:cs="Times New Roman"/>
          <w:color w:val="000000"/>
          <w:sz w:val="28"/>
          <w:szCs w:val="28"/>
        </w:rPr>
      </w:pPr>
    </w:p>
    <w:p>
      <w:pPr>
        <w:ind w:firstLine="640" w:firstLineChars="200"/>
        <w:textAlignment w:val="center"/>
        <w:rPr>
          <w:rFonts w:eastAsia="黑体" w:cs="Times New Roman"/>
          <w:sz w:val="32"/>
          <w:szCs w:val="32"/>
        </w:rPr>
      </w:pPr>
      <w:r>
        <w:rPr>
          <w:rFonts w:hint="eastAsia" w:eastAsia="黑体" w:cs="黑体"/>
          <w:sz w:val="32"/>
          <w:szCs w:val="32"/>
        </w:rPr>
        <w:t>四、出让年期修正系数表</w:t>
      </w:r>
    </w:p>
    <w:p>
      <w:pPr>
        <w:tabs>
          <w:tab w:val="left" w:pos="1550"/>
          <w:tab w:val="left" w:pos="4875"/>
        </w:tabs>
        <w:spacing w:line="360" w:lineRule="exact"/>
        <w:jc w:val="center"/>
        <w:rPr>
          <w:rFonts w:ascii="Times New Roman" w:hAnsi="Times New Roman" w:cs="Times New Roman"/>
          <w:color w:val="000000"/>
        </w:rPr>
      </w:pPr>
      <w:r>
        <w:rPr>
          <w:rFonts w:hint="eastAsia" w:ascii="Times New Roman" w:hAnsi="Times New Roman" w:cs="宋体"/>
          <w:color w:val="000000"/>
        </w:rPr>
        <w:t>剑阁县城区商服用地使用年期修正系数表</w:t>
      </w:r>
    </w:p>
    <w:p>
      <w:pPr>
        <w:tabs>
          <w:tab w:val="left" w:pos="1550"/>
          <w:tab w:val="left" w:pos="4875"/>
        </w:tabs>
        <w:spacing w:line="360" w:lineRule="exact"/>
        <w:rPr>
          <w:rFonts w:ascii="Times New Roman" w:hAnsi="Times New Roman" w:cs="Times New Roman"/>
          <w:color w:val="FFFFFF"/>
          <w:sz w:val="18"/>
          <w:szCs w:val="18"/>
        </w:rPr>
      </w:pPr>
      <w:r>
        <w:rPr>
          <w:rFonts w:hint="eastAsia" w:ascii="Times New Roman" w:hAnsi="Times New Roman" w:cs="宋体"/>
          <w:color w:val="FFFFFF"/>
          <w:sz w:val="18"/>
          <w:szCs w:val="18"/>
        </w:rPr>
        <w:t>表</w:t>
      </w:r>
      <w:r>
        <w:rPr>
          <w:rFonts w:ascii="Times New Roman" w:hAnsi="Times New Roman" w:cs="Times New Roman"/>
          <w:color w:val="FFFFFF"/>
          <w:sz w:val="18"/>
          <w:szCs w:val="18"/>
        </w:rPr>
        <w:t>6</w:t>
      </w:r>
    </w:p>
    <w:tbl>
      <w:tblPr>
        <w:tblStyle w:val="7"/>
        <w:tblW w:w="9322" w:type="dxa"/>
        <w:tblInd w:w="-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49"/>
        <w:gridCol w:w="1133"/>
        <w:gridCol w:w="793"/>
        <w:gridCol w:w="793"/>
        <w:gridCol w:w="794"/>
        <w:gridCol w:w="794"/>
        <w:gridCol w:w="794"/>
        <w:gridCol w:w="793"/>
        <w:gridCol w:w="794"/>
        <w:gridCol w:w="794"/>
        <w:gridCol w:w="7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049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使用年期</w:t>
            </w:r>
          </w:p>
        </w:tc>
        <w:tc>
          <w:tcPr>
            <w:tcW w:w="113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791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049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修正系数</w:t>
            </w:r>
          </w:p>
        </w:tc>
        <w:tc>
          <w:tcPr>
            <w:tcW w:w="113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0.0644 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0.1250 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0.1821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0.2358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0.2863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0.3339 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0.3787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0.4209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0.4606 </w:t>
            </w:r>
          </w:p>
        </w:tc>
        <w:tc>
          <w:tcPr>
            <w:tcW w:w="791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0.4980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049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使用年期</w:t>
            </w:r>
          </w:p>
        </w:tc>
        <w:tc>
          <w:tcPr>
            <w:tcW w:w="113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791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049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修正系数</w:t>
            </w:r>
          </w:p>
        </w:tc>
        <w:tc>
          <w:tcPr>
            <w:tcW w:w="113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0.5332 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0.5663 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0.5974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0.6268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0.6544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0.6804 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0.7049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0.7280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0.7497 </w:t>
            </w:r>
          </w:p>
        </w:tc>
        <w:tc>
          <w:tcPr>
            <w:tcW w:w="791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0.7701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049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使用年期</w:t>
            </w:r>
          </w:p>
        </w:tc>
        <w:tc>
          <w:tcPr>
            <w:tcW w:w="113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91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049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修正系数</w:t>
            </w:r>
          </w:p>
        </w:tc>
        <w:tc>
          <w:tcPr>
            <w:tcW w:w="113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0.7893 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0.8074 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0.8244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0.8405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0.8556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0.8698 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0.8832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0.8957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0.9076 </w:t>
            </w:r>
          </w:p>
        </w:tc>
        <w:tc>
          <w:tcPr>
            <w:tcW w:w="791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0.9188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049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使用年期</w:t>
            </w:r>
          </w:p>
        </w:tc>
        <w:tc>
          <w:tcPr>
            <w:tcW w:w="113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791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049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cs="宋体"/>
                <w:color w:val="000000"/>
                <w:sz w:val="18"/>
                <w:szCs w:val="18"/>
              </w:rPr>
              <w:t>修正系数</w:t>
            </w:r>
          </w:p>
        </w:tc>
        <w:tc>
          <w:tcPr>
            <w:tcW w:w="113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0.9293 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0.9391 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0.9485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0.9572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0.9655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0.9732 </w:t>
            </w:r>
          </w:p>
        </w:tc>
        <w:tc>
          <w:tcPr>
            <w:tcW w:w="793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0.9805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0.9874 </w:t>
            </w:r>
          </w:p>
        </w:tc>
        <w:tc>
          <w:tcPr>
            <w:tcW w:w="794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0.9939 </w:t>
            </w:r>
          </w:p>
        </w:tc>
        <w:tc>
          <w:tcPr>
            <w:tcW w:w="791" w:type="dxa"/>
            <w:noWrap/>
            <w:vAlign w:val="center"/>
          </w:tcPr>
          <w:p>
            <w:pPr>
              <w:jc w:val="center"/>
              <w:textAlignment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1.0000 </w:t>
            </w:r>
          </w:p>
        </w:tc>
      </w:tr>
    </w:tbl>
    <w:p>
      <w:pPr>
        <w:spacing w:line="360" w:lineRule="exact"/>
        <w:rPr>
          <w:rFonts w:ascii="Times New Roman" w:hAnsi="Times New Roman" w:cs="Times New Roman"/>
          <w:color w:val="000000"/>
        </w:rPr>
      </w:pPr>
    </w:p>
    <w:p>
      <w:pPr>
        <w:spacing w:line="360" w:lineRule="exact"/>
        <w:jc w:val="center"/>
        <w:rPr>
          <w:rFonts w:ascii="Times New Roman" w:hAnsi="Times New Roman" w:cs="Times New Roman"/>
          <w:color w:val="000000"/>
        </w:rPr>
      </w:pPr>
      <w:r>
        <w:rPr>
          <w:rFonts w:hint="eastAsia" w:ascii="Times New Roman" w:hAnsi="Times New Roman" w:cs="宋体"/>
          <w:color w:val="000000"/>
        </w:rPr>
        <w:t>剑阁县城区住宅用地使用年期修正系数表</w:t>
      </w:r>
    </w:p>
    <w:p>
      <w:pPr>
        <w:spacing w:line="360" w:lineRule="exact"/>
        <w:rPr>
          <w:rFonts w:ascii="Times New Roman" w:hAnsi="Times New Roman" w:cs="Times New Roman"/>
          <w:color w:val="FFFFFF"/>
          <w:sz w:val="18"/>
          <w:szCs w:val="18"/>
        </w:rPr>
      </w:pPr>
      <w:r>
        <w:rPr>
          <w:rFonts w:hint="eastAsia" w:ascii="Times New Roman" w:hAnsi="Times New Roman" w:cs="宋体"/>
          <w:color w:val="FFFFFF"/>
          <w:sz w:val="18"/>
          <w:szCs w:val="18"/>
        </w:rPr>
        <w:t>表</w:t>
      </w:r>
      <w:r>
        <w:rPr>
          <w:rFonts w:ascii="Times New Roman" w:hAnsi="Times New Roman" w:cs="Times New Roman"/>
          <w:color w:val="FFFFFF"/>
          <w:sz w:val="18"/>
          <w:szCs w:val="18"/>
        </w:rPr>
        <w:t>7</w:t>
      </w:r>
    </w:p>
    <w:tbl>
      <w:tblPr>
        <w:tblStyle w:val="7"/>
        <w:tblW w:w="8961" w:type="dxa"/>
        <w:tblInd w:w="-106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30"/>
        <w:gridCol w:w="944"/>
        <w:gridCol w:w="776"/>
        <w:gridCol w:w="776"/>
        <w:gridCol w:w="777"/>
        <w:gridCol w:w="776"/>
        <w:gridCol w:w="777"/>
        <w:gridCol w:w="776"/>
        <w:gridCol w:w="776"/>
        <w:gridCol w:w="777"/>
        <w:gridCol w:w="77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" w:hRule="atLeast"/>
        </w:trPr>
        <w:tc>
          <w:tcPr>
            <w:tcW w:w="10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94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77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7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7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7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7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77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7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" w:hRule="atLeast"/>
        </w:trPr>
        <w:tc>
          <w:tcPr>
            <w:tcW w:w="10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0.0562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0.1092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0.1593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0.2067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0.2515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0.2938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0.3337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0.3715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0.4072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0.4409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" w:hRule="atLeast"/>
        </w:trPr>
        <w:tc>
          <w:tcPr>
            <w:tcW w:w="10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" w:hRule="atLeast"/>
        </w:trPr>
        <w:tc>
          <w:tcPr>
            <w:tcW w:w="10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0.4728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0.5029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0.5313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0.5582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0.5836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0.6076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0.6303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0.6517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0.6720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0.6911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" w:hRule="atLeast"/>
        </w:trPr>
        <w:tc>
          <w:tcPr>
            <w:tcW w:w="10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" w:hRule="atLeast"/>
        </w:trPr>
        <w:tc>
          <w:tcPr>
            <w:tcW w:w="10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0.7092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0.7263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0.7424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0.7577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0.7721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0.7857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0.7986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0.8107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0.8222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0.8331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" w:hRule="atLeast"/>
        </w:trPr>
        <w:tc>
          <w:tcPr>
            <w:tcW w:w="10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" w:hRule="atLeast"/>
        </w:trPr>
        <w:tc>
          <w:tcPr>
            <w:tcW w:w="10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0.8433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0.8530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0.8622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0.8708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0.8790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0.8868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0.8941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0.9010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0.9075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0.9136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" w:hRule="atLeast"/>
        </w:trPr>
        <w:tc>
          <w:tcPr>
            <w:tcW w:w="10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" w:hRule="atLeast"/>
        </w:trPr>
        <w:tc>
          <w:tcPr>
            <w:tcW w:w="10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0.9195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0.9250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0.9302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0.9351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0.9397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0.9441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0.9482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0.9522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0.9558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0.9593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" w:hRule="atLeast"/>
        </w:trPr>
        <w:tc>
          <w:tcPr>
            <w:tcW w:w="10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" w:hRule="atLeast"/>
        </w:trPr>
        <w:tc>
          <w:tcPr>
            <w:tcW w:w="10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0.9626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0.9658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0.9687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0.9715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0.9741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0.9766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0.9790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0.9812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0.9833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0.9853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" w:hRule="atLeast"/>
        </w:trPr>
        <w:tc>
          <w:tcPr>
            <w:tcW w:w="10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9" w:hRule="atLeast"/>
        </w:trPr>
        <w:tc>
          <w:tcPr>
            <w:tcW w:w="10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94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0.9872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0.9889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0.9906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0.9922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0.9937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0.9951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0.9964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0.9977 </w:t>
            </w:r>
          </w:p>
        </w:tc>
        <w:tc>
          <w:tcPr>
            <w:tcW w:w="77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0.9989 </w:t>
            </w:r>
          </w:p>
        </w:tc>
        <w:tc>
          <w:tcPr>
            <w:tcW w:w="7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1.0000 </w:t>
            </w:r>
          </w:p>
        </w:tc>
      </w:tr>
    </w:tbl>
    <w:p>
      <w:pPr>
        <w:spacing w:line="100" w:lineRule="exact"/>
        <w:rPr>
          <w:rFonts w:ascii="Times New Roman" w:hAnsi="Times New Roman" w:cs="Times New Roman"/>
          <w:color w:val="000000"/>
        </w:rPr>
      </w:pPr>
    </w:p>
    <w:p>
      <w:pPr>
        <w:jc w:val="center"/>
        <w:rPr>
          <w:rFonts w:ascii="Times New Roman" w:hAnsi="Times New Roman" w:cs="Times New Roman"/>
          <w:color w:val="000000"/>
        </w:rPr>
      </w:pPr>
      <w:r>
        <w:rPr>
          <w:rFonts w:hint="eastAsia" w:ascii="Times New Roman" w:hAnsi="Times New Roman" w:cs="宋体"/>
          <w:color w:val="000000"/>
        </w:rPr>
        <w:t>剑阁县城区工业用地使用年期修正系数表</w:t>
      </w:r>
    </w:p>
    <w:p>
      <w:pPr>
        <w:spacing w:line="360" w:lineRule="exact"/>
        <w:rPr>
          <w:rFonts w:ascii="Times New Roman" w:hAnsi="Times New Roman" w:cs="Times New Roman"/>
          <w:color w:val="FFFFFF"/>
          <w:sz w:val="18"/>
          <w:szCs w:val="18"/>
        </w:rPr>
      </w:pPr>
      <w:r>
        <w:rPr>
          <w:rFonts w:hint="eastAsia" w:ascii="Times New Roman" w:hAnsi="Times New Roman" w:cs="宋体"/>
          <w:color w:val="FFFFFF"/>
          <w:sz w:val="18"/>
          <w:szCs w:val="18"/>
        </w:rPr>
        <w:t>表</w:t>
      </w:r>
      <w:r>
        <w:rPr>
          <w:rFonts w:ascii="Times New Roman" w:hAnsi="Times New Roman" w:cs="Times New Roman"/>
          <w:color w:val="FFFFFF"/>
          <w:sz w:val="18"/>
          <w:szCs w:val="18"/>
        </w:rPr>
        <w:t>8</w:t>
      </w:r>
    </w:p>
    <w:tbl>
      <w:tblPr>
        <w:tblStyle w:val="7"/>
        <w:tblW w:w="4945" w:type="pct"/>
        <w:tblInd w:w="-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6"/>
        <w:gridCol w:w="810"/>
        <w:gridCol w:w="810"/>
        <w:gridCol w:w="810"/>
        <w:gridCol w:w="811"/>
        <w:gridCol w:w="811"/>
        <w:gridCol w:w="811"/>
        <w:gridCol w:w="811"/>
        <w:gridCol w:w="813"/>
        <w:gridCol w:w="813"/>
        <w:gridCol w:w="80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" w:hRule="atLeast"/>
        </w:trPr>
        <w:tc>
          <w:tcPr>
            <w:tcW w:w="471" w:type="pct"/>
            <w:noWrap/>
            <w:vAlign w:val="center"/>
          </w:tcPr>
          <w:p>
            <w:pPr>
              <w:jc w:val="center"/>
              <w:rPr>
                <w:rFonts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449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" w:hRule="atLeast"/>
        </w:trPr>
        <w:tc>
          <w:tcPr>
            <w:tcW w:w="471" w:type="pct"/>
            <w:noWrap/>
            <w:vAlign w:val="center"/>
          </w:tcPr>
          <w:p>
            <w:pPr>
              <w:jc w:val="center"/>
              <w:rPr>
                <w:rFonts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0.0544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0.1062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0.1553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0.2019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0.2462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0.2882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0.3282 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0.3661 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0.4021 </w:t>
            </w:r>
          </w:p>
        </w:tc>
        <w:tc>
          <w:tcPr>
            <w:tcW w:w="449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0.4363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" w:hRule="atLeast"/>
        </w:trPr>
        <w:tc>
          <w:tcPr>
            <w:tcW w:w="471" w:type="pct"/>
            <w:noWrap/>
            <w:vAlign w:val="center"/>
          </w:tcPr>
          <w:p>
            <w:pPr>
              <w:jc w:val="center"/>
              <w:rPr>
                <w:rFonts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17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18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19</w:t>
            </w:r>
          </w:p>
        </w:tc>
        <w:tc>
          <w:tcPr>
            <w:tcW w:w="449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" w:hRule="atLeast"/>
        </w:trPr>
        <w:tc>
          <w:tcPr>
            <w:tcW w:w="471" w:type="pct"/>
            <w:noWrap/>
            <w:vAlign w:val="center"/>
          </w:tcPr>
          <w:p>
            <w:pPr>
              <w:jc w:val="center"/>
              <w:rPr>
                <w:rFonts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0.4688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0.4997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0.5290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0.5568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0.5832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0.6083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0.6322 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0.6548 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0.6763 </w:t>
            </w:r>
          </w:p>
        </w:tc>
        <w:tc>
          <w:tcPr>
            <w:tcW w:w="449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0.6967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" w:hRule="atLeast"/>
        </w:trPr>
        <w:tc>
          <w:tcPr>
            <w:tcW w:w="471" w:type="pct"/>
            <w:noWrap/>
            <w:vAlign w:val="center"/>
          </w:tcPr>
          <w:p>
            <w:pPr>
              <w:jc w:val="center"/>
              <w:rPr>
                <w:rFonts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21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22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23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24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26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27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28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29</w:t>
            </w:r>
          </w:p>
        </w:tc>
        <w:tc>
          <w:tcPr>
            <w:tcW w:w="449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" w:hRule="atLeast"/>
        </w:trPr>
        <w:tc>
          <w:tcPr>
            <w:tcW w:w="471" w:type="pct"/>
            <w:noWrap/>
            <w:vAlign w:val="center"/>
          </w:tcPr>
          <w:p>
            <w:pPr>
              <w:jc w:val="center"/>
              <w:rPr>
                <w:rFonts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0.7161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0.7345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0.7520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0.7686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0.7843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0.7993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0.8135 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0.8270 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0.8398 </w:t>
            </w:r>
          </w:p>
        </w:tc>
        <w:tc>
          <w:tcPr>
            <w:tcW w:w="449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0.8520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" w:hRule="atLeast"/>
        </w:trPr>
        <w:tc>
          <w:tcPr>
            <w:tcW w:w="471" w:type="pct"/>
            <w:noWrap/>
            <w:vAlign w:val="center"/>
          </w:tcPr>
          <w:p>
            <w:pPr>
              <w:jc w:val="center"/>
              <w:rPr>
                <w:rFonts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31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32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33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34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35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36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37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38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39</w:t>
            </w:r>
          </w:p>
        </w:tc>
        <w:tc>
          <w:tcPr>
            <w:tcW w:w="449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" w:hRule="atLeast"/>
        </w:trPr>
        <w:tc>
          <w:tcPr>
            <w:tcW w:w="471" w:type="pct"/>
            <w:noWrap/>
            <w:vAlign w:val="center"/>
          </w:tcPr>
          <w:p>
            <w:pPr>
              <w:jc w:val="center"/>
              <w:rPr>
                <w:rFonts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0.8636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0.8746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0.8850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0.8949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0.9043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0.9132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0.9217 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0.9298 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0.9374 </w:t>
            </w:r>
          </w:p>
        </w:tc>
        <w:tc>
          <w:tcPr>
            <w:tcW w:w="449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0.9447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" w:hRule="atLeast"/>
        </w:trPr>
        <w:tc>
          <w:tcPr>
            <w:tcW w:w="471" w:type="pct"/>
            <w:noWrap/>
            <w:vAlign w:val="center"/>
          </w:tcPr>
          <w:p>
            <w:pPr>
              <w:jc w:val="center"/>
              <w:rPr>
                <w:rFonts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41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42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43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44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45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46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47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48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49</w:t>
            </w:r>
          </w:p>
        </w:tc>
        <w:tc>
          <w:tcPr>
            <w:tcW w:w="449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1" w:hRule="atLeast"/>
        </w:trPr>
        <w:tc>
          <w:tcPr>
            <w:tcW w:w="471" w:type="pct"/>
            <w:noWrap/>
            <w:vAlign w:val="center"/>
          </w:tcPr>
          <w:p>
            <w:pPr>
              <w:jc w:val="center"/>
              <w:rPr>
                <w:rFonts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0.9516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0.9582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0.9644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0.9703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0.9759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0.9812 </w:t>
            </w:r>
          </w:p>
        </w:tc>
        <w:tc>
          <w:tcPr>
            <w:tcW w:w="453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0.9863 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0.9911 </w:t>
            </w:r>
          </w:p>
        </w:tc>
        <w:tc>
          <w:tcPr>
            <w:tcW w:w="454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0.9957 </w:t>
            </w:r>
          </w:p>
        </w:tc>
        <w:tc>
          <w:tcPr>
            <w:tcW w:w="449" w:type="pct"/>
            <w:noWrap/>
            <w:vAlign w:val="center"/>
          </w:tcPr>
          <w:p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1.0000 </w:t>
            </w:r>
          </w:p>
        </w:tc>
      </w:tr>
    </w:tbl>
    <w:p>
      <w:pPr>
        <w:spacing w:line="100" w:lineRule="exact"/>
        <w:rPr>
          <w:rFonts w:ascii="Times New Roman" w:hAnsi="Times New Roman" w:cs="Times New Roman"/>
          <w:color w:val="000000"/>
        </w:rPr>
      </w:pPr>
    </w:p>
    <w:p>
      <w:pPr>
        <w:jc w:val="center"/>
        <w:rPr>
          <w:rFonts w:ascii="Times New Roman" w:hAnsi="Times New Roman" w:cs="Times New Roman"/>
          <w:color w:val="000000"/>
        </w:rPr>
      </w:pPr>
      <w:r>
        <w:rPr>
          <w:rFonts w:hint="eastAsia" w:ascii="Times New Roman" w:hAnsi="Times New Roman" w:cs="宋体"/>
          <w:color w:val="000000"/>
        </w:rPr>
        <w:t>剑阁县城区公共管理与公共服务用地使用年期修正系数表</w:t>
      </w:r>
    </w:p>
    <w:p>
      <w:pPr>
        <w:spacing w:line="360" w:lineRule="exact"/>
        <w:rPr>
          <w:rFonts w:ascii="Times New Roman" w:hAnsi="Times New Roman" w:cs="Times New Roman"/>
          <w:color w:val="FFFFFF"/>
          <w:sz w:val="18"/>
          <w:szCs w:val="18"/>
        </w:rPr>
      </w:pPr>
      <w:r>
        <w:rPr>
          <w:rFonts w:hint="eastAsia" w:ascii="Times New Roman" w:hAnsi="Times New Roman" w:cs="宋体"/>
          <w:color w:val="FFFFFF"/>
          <w:sz w:val="18"/>
          <w:szCs w:val="18"/>
        </w:rPr>
        <w:t>表</w:t>
      </w:r>
      <w:r>
        <w:rPr>
          <w:rFonts w:ascii="Times New Roman" w:hAnsi="Times New Roman" w:cs="Times New Roman"/>
          <w:color w:val="FFFFFF"/>
          <w:sz w:val="18"/>
          <w:szCs w:val="18"/>
        </w:rPr>
        <w:t>9</w:t>
      </w:r>
    </w:p>
    <w:tbl>
      <w:tblPr>
        <w:tblStyle w:val="7"/>
        <w:tblW w:w="5000" w:type="pct"/>
        <w:tblInd w:w="-106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6"/>
        <w:gridCol w:w="821"/>
        <w:gridCol w:w="821"/>
        <w:gridCol w:w="821"/>
        <w:gridCol w:w="821"/>
        <w:gridCol w:w="821"/>
        <w:gridCol w:w="821"/>
        <w:gridCol w:w="821"/>
        <w:gridCol w:w="822"/>
        <w:gridCol w:w="822"/>
        <w:gridCol w:w="813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45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45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45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5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45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45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45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45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45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45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45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455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0.0581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0.1130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0.1649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0.2139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0.2603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0.3042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0.3457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0.3849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0.4220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0.4570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455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455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0.4901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0.5215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0.5511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0.5791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0.6056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0.6306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0.6543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0.6766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0.6978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0.7178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455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455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0.7367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0.7546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0.7715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0.7875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0.8026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0.8169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0.8304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0.8431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0.8552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0.8666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455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455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0.8774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0.8876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0.8972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0.9064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0.9150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0.9231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0.9308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0.9381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0.9450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0.9515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455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使用年期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455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hint="eastAsia" w:cs="宋体"/>
                <w:color w:val="000000"/>
                <w:sz w:val="16"/>
                <w:szCs w:val="16"/>
              </w:rPr>
              <w:t>修正系数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0.9577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0.9635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0.9690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0.9742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0.9791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0.9838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0.9882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0.9924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0.9963 </w:t>
            </w:r>
          </w:p>
        </w:tc>
        <w:tc>
          <w:tcPr>
            <w:tcW w:w="455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1.0000 </w:t>
            </w:r>
          </w:p>
        </w:tc>
      </w:tr>
    </w:tbl>
    <w:p>
      <w:pPr>
        <w:spacing w:line="576" w:lineRule="exact"/>
        <w:jc w:val="left"/>
        <w:rPr>
          <w:rFonts w:ascii="黑体" w:hAnsi="黑体" w:eastAsia="黑体" w:cs="黑体"/>
          <w:b/>
          <w:bCs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sz w:val="32"/>
          <w:szCs w:val="32"/>
        </w:rPr>
        <w:t>附件</w:t>
      </w:r>
      <w:r>
        <w:rPr>
          <w:rFonts w:ascii="黑体" w:hAnsi="黑体" w:eastAsia="黑体" w:cs="黑体"/>
          <w:b/>
          <w:bCs/>
          <w:sz w:val="32"/>
          <w:szCs w:val="32"/>
        </w:rPr>
        <w:t>3</w:t>
      </w:r>
    </w:p>
    <w:p>
      <w:pPr>
        <w:spacing w:line="600" w:lineRule="exact"/>
        <w:jc w:val="center"/>
        <w:rPr>
          <w:rFonts w:ascii="方正小标宋简体" w:hAnsi="方正小标宋简体" w:eastAsia="方正小标宋简体" w:cs="Times New Roman"/>
          <w:b/>
          <w:bCs/>
          <w:sz w:val="40"/>
          <w:szCs w:val="40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40"/>
          <w:szCs w:val="40"/>
        </w:rPr>
        <w:t>剑阁县城区各类各级范围说明表</w:t>
      </w:r>
    </w:p>
    <w:p>
      <w:pPr>
        <w:pStyle w:val="16"/>
        <w:spacing w:line="320" w:lineRule="exact"/>
        <w:ind w:left="510" w:firstLine="0" w:firstLineChars="0"/>
        <w:rPr>
          <w:rFonts w:ascii="黑体" w:hAnsi="黑体" w:eastAsia="黑体" w:cs="Times New Roman"/>
          <w:b/>
          <w:bCs/>
          <w:color w:val="000000"/>
          <w:sz w:val="32"/>
          <w:szCs w:val="32"/>
        </w:rPr>
      </w:pPr>
    </w:p>
    <w:p>
      <w:pPr>
        <w:pStyle w:val="16"/>
        <w:spacing w:line="320" w:lineRule="exact"/>
        <w:ind w:left="510" w:firstLine="0" w:firstLineChars="0"/>
        <w:rPr>
          <w:rFonts w:ascii="黑体" w:hAnsi="黑体" w:eastAsia="黑体" w:cs="Times New Roman"/>
          <w:b/>
          <w:bCs/>
          <w:color w:val="0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000000"/>
          <w:sz w:val="32"/>
          <w:szCs w:val="32"/>
        </w:rPr>
        <w:t>一、商服用地</w:t>
      </w:r>
    </w:p>
    <w:p>
      <w:pPr>
        <w:pStyle w:val="16"/>
        <w:spacing w:line="320" w:lineRule="exact"/>
        <w:ind w:left="510" w:firstLine="0" w:firstLineChars="0"/>
        <w:rPr>
          <w:rFonts w:ascii="Times New Roman" w:hAnsi="Times New Roman" w:cs="Times New Roman"/>
          <w:b/>
          <w:bCs/>
          <w:color w:val="000000"/>
        </w:rPr>
      </w:pPr>
    </w:p>
    <w:p>
      <w:pPr>
        <w:spacing w:line="320" w:lineRule="exact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hint="eastAsia" w:ascii="Times New Roman" w:hAnsi="Times New Roman" w:cs="宋体"/>
          <w:color w:val="000000"/>
          <w:sz w:val="24"/>
          <w:szCs w:val="24"/>
        </w:rPr>
        <w:t>剑阁县城区商服用地级别边界说明表</w:t>
      </w:r>
    </w:p>
    <w:p>
      <w:pPr>
        <w:spacing w:line="460" w:lineRule="exact"/>
        <w:rPr>
          <w:rFonts w:ascii="Times New Roman" w:hAnsi="Times New Roman" w:cs="Times New Roman"/>
          <w:color w:val="FFFFFF"/>
          <w:sz w:val="22"/>
          <w:szCs w:val="22"/>
        </w:rPr>
      </w:pPr>
      <w:r>
        <w:rPr>
          <w:rFonts w:hint="eastAsia" w:ascii="Times New Roman" w:hAnsi="Times New Roman" w:cs="宋体"/>
          <w:color w:val="FFFFFF"/>
          <w:sz w:val="22"/>
          <w:szCs w:val="22"/>
        </w:rPr>
        <w:t>表</w:t>
      </w:r>
      <w:r>
        <w:rPr>
          <w:rFonts w:ascii="Times New Roman" w:hAnsi="Times New Roman" w:cs="Times New Roman"/>
          <w:color w:val="FFFFFF"/>
          <w:sz w:val="22"/>
          <w:szCs w:val="22"/>
        </w:rPr>
        <w:t>1</w:t>
      </w:r>
    </w:p>
    <w:tbl>
      <w:tblPr>
        <w:tblStyle w:val="7"/>
        <w:tblW w:w="5147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725"/>
        <w:gridCol w:w="4712"/>
        <w:gridCol w:w="374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4" w:hRule="atLeast"/>
          <w:jc w:val="center"/>
        </w:trPr>
        <w:tc>
          <w:tcPr>
            <w:tcW w:w="395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级别</w:t>
            </w:r>
          </w:p>
        </w:tc>
        <w:tc>
          <w:tcPr>
            <w:tcW w:w="2566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级别边界</w:t>
            </w:r>
          </w:p>
        </w:tc>
        <w:tc>
          <w:tcPr>
            <w:tcW w:w="2038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级别内主要街道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57" w:hRule="atLeast"/>
          <w:jc w:val="center"/>
        </w:trPr>
        <w:tc>
          <w:tcPr>
            <w:tcW w:w="395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</w:t>
            </w:r>
          </w:p>
        </w:tc>
        <w:tc>
          <w:tcPr>
            <w:tcW w:w="2566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修城坝：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水利局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世纪华联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清江路与临津街叉口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宝龙御景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宝龙锦绣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环山路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水利局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沙溪市场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佳源广场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尚书街左侧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时代金座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沙溪市场</w:t>
            </w:r>
          </w:p>
        </w:tc>
        <w:tc>
          <w:tcPr>
            <w:tcW w:w="2038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修城坝：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隆庆街、汉德街、南华街、临津街部分、环山路部分、清江路部分、水利巷、剑门大道部分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文林街、建设路、步行街、尚书街、赵家巷、市场街、翠云大道部分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58" w:hRule="atLeast"/>
          <w:jc w:val="center"/>
        </w:trPr>
        <w:tc>
          <w:tcPr>
            <w:tcW w:w="395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II</w:t>
            </w:r>
          </w:p>
        </w:tc>
        <w:tc>
          <w:tcPr>
            <w:tcW w:w="2566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修城坝：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金门花园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中医院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步行街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县政府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环山路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金门花园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剑门关中学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翰林路货运站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剑门大厦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剑门关中学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大仓坝：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明珠尚城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清水河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凉水沟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剑门驿站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实验学校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明珠尚城</w:t>
            </w:r>
          </w:p>
        </w:tc>
        <w:tc>
          <w:tcPr>
            <w:tcW w:w="2038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修城坝：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剑门大道部分、武公街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学士街、龙江大道部分、翰林路部分、翠云大道部分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大仓坝：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滨河路西段、滨河路东段、体育路、剑门大道部分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35" w:hRule="atLeast"/>
          <w:jc w:val="center"/>
        </w:trPr>
        <w:tc>
          <w:tcPr>
            <w:tcW w:w="395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III</w:t>
            </w:r>
          </w:p>
        </w:tc>
        <w:tc>
          <w:tcPr>
            <w:tcW w:w="2566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修城坝：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水映长岛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普成街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环山路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水映长岛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铁路线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翰林路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学海西路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铁路线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大仓坝：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温泉街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百草园路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规划桥梁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温泉街；凉水沟南侧至定级边界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拐枣坝：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定级边界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奥迪亚时装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沿幸福佳苑东侧道路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精神病医院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宜美家居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职业高中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剑门廊桥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定级边界</w:t>
            </w:r>
          </w:p>
        </w:tc>
        <w:tc>
          <w:tcPr>
            <w:tcW w:w="2038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修城坝：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普成街、清江路部分、环山路部分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学海西路、水厂西路、龙江大道部分、翰林路部分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大仓坝：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滨河路西段部分、百草园路、温泉街；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G108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部分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拐枣坝：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G108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部分、雍水路部分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8" w:hRule="atLeast"/>
          <w:jc w:val="center"/>
        </w:trPr>
        <w:tc>
          <w:tcPr>
            <w:tcW w:w="395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IV</w:t>
            </w:r>
          </w:p>
        </w:tc>
        <w:tc>
          <w:tcPr>
            <w:tcW w:w="2566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到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III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级以外，定级范围以内。</w:t>
            </w:r>
          </w:p>
        </w:tc>
        <w:tc>
          <w:tcPr>
            <w:tcW w:w="2038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剑南大道、站前路、下寺中路</w:t>
            </w:r>
          </w:p>
        </w:tc>
      </w:tr>
    </w:tbl>
    <w:p>
      <w:pPr>
        <w:spacing w:line="460" w:lineRule="exact"/>
        <w:ind w:firstLine="420" w:firstLineChars="200"/>
        <w:rPr>
          <w:rFonts w:ascii="Times New Roman" w:hAnsi="Times New Roman" w:cs="Times New Roman"/>
          <w:color w:val="000000"/>
        </w:rPr>
      </w:pPr>
      <w:r>
        <w:rPr>
          <w:rFonts w:hint="eastAsia" w:ascii="Times New Roman" w:hAnsi="Times New Roman" w:cs="宋体"/>
          <w:color w:val="000000"/>
        </w:rPr>
        <w:t>具体级别界线详见商服用地土地级别图</w:t>
      </w:r>
    </w:p>
    <w:p>
      <w:pPr>
        <w:pStyle w:val="16"/>
        <w:spacing w:line="320" w:lineRule="exact"/>
        <w:ind w:left="510" w:firstLine="0" w:firstLineChars="0"/>
        <w:rPr>
          <w:rFonts w:ascii="黑体" w:hAnsi="黑体" w:eastAsia="黑体" w:cs="Times New Roman"/>
          <w:b/>
          <w:bCs/>
          <w:color w:val="0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000000"/>
          <w:sz w:val="32"/>
          <w:szCs w:val="32"/>
        </w:rPr>
        <w:t>二、住宅用地</w:t>
      </w:r>
    </w:p>
    <w:p>
      <w:pPr>
        <w:spacing w:line="320" w:lineRule="exact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>
      <w:pPr>
        <w:spacing w:line="320" w:lineRule="exact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hint="eastAsia" w:ascii="Times New Roman" w:hAnsi="Times New Roman" w:cs="宋体"/>
          <w:color w:val="000000"/>
          <w:sz w:val="24"/>
          <w:szCs w:val="24"/>
        </w:rPr>
        <w:t>剑阁县城区住宅用地级别边界说明表</w:t>
      </w:r>
    </w:p>
    <w:p>
      <w:pPr>
        <w:spacing w:line="460" w:lineRule="exact"/>
        <w:rPr>
          <w:rFonts w:ascii="Times New Roman" w:hAnsi="Times New Roman" w:cs="Times New Roman"/>
          <w:color w:val="FFFFFF"/>
          <w:sz w:val="22"/>
          <w:szCs w:val="22"/>
        </w:rPr>
      </w:pPr>
      <w:r>
        <w:rPr>
          <w:rFonts w:hint="eastAsia" w:ascii="Times New Roman" w:hAnsi="Times New Roman" w:cs="宋体"/>
          <w:color w:val="FFFFFF"/>
          <w:sz w:val="22"/>
          <w:szCs w:val="22"/>
        </w:rPr>
        <w:t>表</w:t>
      </w:r>
      <w:r>
        <w:rPr>
          <w:rFonts w:ascii="Times New Roman" w:hAnsi="Times New Roman" w:cs="Times New Roman"/>
          <w:color w:val="FFFFFF"/>
          <w:sz w:val="22"/>
          <w:szCs w:val="22"/>
        </w:rPr>
        <w:t>2</w:t>
      </w:r>
    </w:p>
    <w:tbl>
      <w:tblPr>
        <w:tblStyle w:val="7"/>
        <w:tblW w:w="5000" w:type="pct"/>
        <w:tblInd w:w="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726"/>
        <w:gridCol w:w="4537"/>
        <w:gridCol w:w="365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5" w:hRule="atLeast"/>
        </w:trPr>
        <w:tc>
          <w:tcPr>
            <w:tcW w:w="4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级别</w:t>
            </w:r>
          </w:p>
        </w:tc>
        <w:tc>
          <w:tcPr>
            <w:tcW w:w="2543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级别边界</w:t>
            </w:r>
          </w:p>
        </w:tc>
        <w:tc>
          <w:tcPr>
            <w:tcW w:w="2049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级别内主要街道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4" w:hRule="atLeast"/>
        </w:trPr>
        <w:tc>
          <w:tcPr>
            <w:tcW w:w="4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</w:t>
            </w:r>
          </w:p>
        </w:tc>
        <w:tc>
          <w:tcPr>
            <w:tcW w:w="2543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修城坝：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剑门首座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文化局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清江路与临津街叉口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宝龙锦绣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环山路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剑门首座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大仓坝：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剑门大道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高速公路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剑门大道</w:t>
            </w:r>
          </w:p>
        </w:tc>
        <w:tc>
          <w:tcPr>
            <w:tcW w:w="2049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修城坝：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隆庆街、汉德街、南华街、临津街部分、环山路部分、清江路部分、水利巷、剑门大道部分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大仓坝：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滨河路东段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0" w:hRule="atLeast"/>
        </w:trPr>
        <w:tc>
          <w:tcPr>
            <w:tcW w:w="4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II</w:t>
            </w:r>
          </w:p>
        </w:tc>
        <w:tc>
          <w:tcPr>
            <w:tcW w:w="2543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修城坝：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金门花园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中医院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武公街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环山路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金门花园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时代金座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沙溪市场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翰林路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佳源广场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—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时代金座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大仓坝：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明珠尚城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清水河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剑门大道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高速公路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凉水沟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剑门驿站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实验学校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明珠尚城</w:t>
            </w:r>
          </w:p>
        </w:tc>
        <w:tc>
          <w:tcPr>
            <w:tcW w:w="2049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修城坝：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剑门大道部分、武公街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龙江大道部分、翰林路部分、翠云大道部分、文林街、站前大道部分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大仓坝：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滨河路西段部分、体育路、剑门大道部分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31" w:hRule="atLeast"/>
        </w:trPr>
        <w:tc>
          <w:tcPr>
            <w:tcW w:w="4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III</w:t>
            </w:r>
          </w:p>
        </w:tc>
        <w:tc>
          <w:tcPr>
            <w:tcW w:w="2543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修城坝：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水映长岛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普成街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环山路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水映长岛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铁路线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翰林路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货运站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广电局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铁路线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大仓坝：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温泉街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百草园路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规划桥梁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温泉街；凉水沟以南至定级边界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拐枣坝：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定级边界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奥迪亚时装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沿幸福佳苑东侧道路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精神病医院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宜美家居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职业高中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剑门廊桥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定级边界</w:t>
            </w:r>
          </w:p>
        </w:tc>
        <w:tc>
          <w:tcPr>
            <w:tcW w:w="2049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修城坝：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普成街、清江路部分、环山路部分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学海西路、水厂西路、龙江大道部分、翰林路部分、尚书街、学士路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大仓坝：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滨河路西段部分、百草园路、温泉街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 xml:space="preserve"> 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拐枣坝：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G108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部分、雍水路部分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39" w:hRule="atLeast"/>
        </w:trPr>
        <w:tc>
          <w:tcPr>
            <w:tcW w:w="4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IV</w:t>
            </w:r>
          </w:p>
        </w:tc>
        <w:tc>
          <w:tcPr>
            <w:tcW w:w="2543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到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III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级以外，定级范围以内。</w:t>
            </w:r>
          </w:p>
        </w:tc>
        <w:tc>
          <w:tcPr>
            <w:tcW w:w="2049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剑南大道、站前路、下寺中路</w:t>
            </w:r>
          </w:p>
        </w:tc>
      </w:tr>
    </w:tbl>
    <w:p>
      <w:pPr>
        <w:spacing w:line="460" w:lineRule="exact"/>
        <w:ind w:firstLine="420" w:firstLineChars="200"/>
        <w:rPr>
          <w:rFonts w:ascii="Times New Roman" w:hAnsi="Times New Roman" w:cs="Times New Roman"/>
          <w:color w:val="000000"/>
        </w:rPr>
      </w:pPr>
      <w:r>
        <w:rPr>
          <w:rFonts w:hint="eastAsia" w:ascii="Times New Roman" w:hAnsi="Times New Roman" w:cs="宋体"/>
          <w:color w:val="000000"/>
        </w:rPr>
        <w:t>具体级别界线详见住宅用地土地级别图</w:t>
      </w:r>
    </w:p>
    <w:p>
      <w:pPr>
        <w:spacing w:line="320" w:lineRule="exact"/>
        <w:jc w:val="center"/>
        <w:rPr>
          <w:rFonts w:ascii="Times New Roman" w:hAnsi="Times New Roman" w:cs="Times New Roman"/>
          <w:color w:val="000000"/>
        </w:rPr>
      </w:pPr>
    </w:p>
    <w:p>
      <w:pPr>
        <w:pStyle w:val="16"/>
        <w:spacing w:line="320" w:lineRule="exact"/>
        <w:ind w:left="510" w:firstLine="0" w:firstLineChars="0"/>
        <w:rPr>
          <w:rFonts w:ascii="黑体" w:hAnsi="黑体" w:eastAsia="黑体" w:cs="Times New Roman"/>
          <w:b/>
          <w:bCs/>
          <w:color w:val="0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000000"/>
          <w:sz w:val="32"/>
          <w:szCs w:val="32"/>
        </w:rPr>
        <w:t>三、工业用地</w:t>
      </w:r>
    </w:p>
    <w:p>
      <w:pPr>
        <w:pStyle w:val="16"/>
        <w:spacing w:line="320" w:lineRule="exact"/>
        <w:ind w:left="510" w:firstLine="0" w:firstLineChars="0"/>
        <w:rPr>
          <w:rFonts w:ascii="Times New Roman" w:hAnsi="Times New Roman" w:cs="Times New Roman"/>
          <w:b/>
          <w:bCs/>
          <w:color w:val="000000"/>
        </w:rPr>
      </w:pPr>
    </w:p>
    <w:p>
      <w:pPr>
        <w:spacing w:line="320" w:lineRule="exact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hint="eastAsia" w:ascii="Times New Roman" w:hAnsi="Times New Roman" w:cs="宋体"/>
          <w:color w:val="000000"/>
          <w:sz w:val="24"/>
          <w:szCs w:val="24"/>
        </w:rPr>
        <w:t>剑阁县城区工业用地级别边界说明表</w:t>
      </w:r>
    </w:p>
    <w:p>
      <w:pPr>
        <w:spacing w:line="460" w:lineRule="exact"/>
        <w:rPr>
          <w:rFonts w:ascii="Times New Roman" w:hAnsi="Times New Roman" w:cs="Times New Roman"/>
          <w:color w:val="FFFFFF"/>
          <w:sz w:val="22"/>
          <w:szCs w:val="22"/>
        </w:rPr>
      </w:pPr>
      <w:r>
        <w:rPr>
          <w:rFonts w:hint="eastAsia" w:ascii="Times New Roman" w:hAnsi="Times New Roman" w:cs="宋体"/>
          <w:color w:val="FFFFFF"/>
          <w:sz w:val="22"/>
          <w:szCs w:val="22"/>
        </w:rPr>
        <w:t>表</w:t>
      </w:r>
      <w:r>
        <w:rPr>
          <w:rFonts w:ascii="Times New Roman" w:hAnsi="Times New Roman" w:cs="Times New Roman"/>
          <w:color w:val="FFFFFF"/>
          <w:sz w:val="22"/>
          <w:szCs w:val="22"/>
        </w:rPr>
        <w:t>3-1-3</w:t>
      </w:r>
    </w:p>
    <w:tbl>
      <w:tblPr>
        <w:tblStyle w:val="7"/>
        <w:tblW w:w="4982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723"/>
        <w:gridCol w:w="4455"/>
        <w:gridCol w:w="370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37" w:hRule="atLeast"/>
          <w:jc w:val="center"/>
        </w:trPr>
        <w:tc>
          <w:tcPr>
            <w:tcW w:w="4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级别</w:t>
            </w:r>
          </w:p>
        </w:tc>
        <w:tc>
          <w:tcPr>
            <w:tcW w:w="25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级别边界</w:t>
            </w:r>
          </w:p>
        </w:tc>
        <w:tc>
          <w:tcPr>
            <w:tcW w:w="2086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级别内主要街道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49" w:hRule="atLeast"/>
          <w:jc w:val="center"/>
        </w:trPr>
        <w:tc>
          <w:tcPr>
            <w:tcW w:w="4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</w:t>
            </w:r>
          </w:p>
        </w:tc>
        <w:tc>
          <w:tcPr>
            <w:tcW w:w="25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水映长岛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尚书街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货运站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翰林路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宝龙锦绣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环山路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水映长岛</w:t>
            </w:r>
          </w:p>
        </w:tc>
        <w:tc>
          <w:tcPr>
            <w:tcW w:w="2086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隆庆街、汉德街、南华街、临津街、环山路、清江路、水利巷、剑门大道部分、尚书街、翠云大道部分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56" w:hRule="atLeast"/>
          <w:jc w:val="center"/>
        </w:trPr>
        <w:tc>
          <w:tcPr>
            <w:tcW w:w="4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II</w:t>
            </w:r>
          </w:p>
        </w:tc>
        <w:tc>
          <w:tcPr>
            <w:tcW w:w="25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沙溪大桥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翰林路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尚书街西侧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水厂东路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大仓坝：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规划桥梁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百草园路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定级边界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盛世华城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滨河路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规划桥梁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拐枣坝：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香江国际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金运汽车园西侧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规划道路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职业高中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-108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国道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</w:p>
        </w:tc>
        <w:tc>
          <w:tcPr>
            <w:tcW w:w="2086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龙江大道部分、翰林路部分、翠云大道部分、学士路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大仓坝：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滨河路西段、体育路、温泉街、滨河路东段、剑门大道部分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G108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部分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拐枣坝：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雍水路、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108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国道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09" w:hRule="atLeast"/>
          <w:jc w:val="center"/>
        </w:trPr>
        <w:tc>
          <w:tcPr>
            <w:tcW w:w="4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III</w:t>
            </w:r>
          </w:p>
        </w:tc>
        <w:tc>
          <w:tcPr>
            <w:tcW w:w="25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拐枣坝：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定级边界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加油站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金运汽车园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管委会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鑫茂农业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定级边界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绵广高速北侧区域：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新纪元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剑兴锂电池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定级边界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兴能材料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兴能变电站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新纪元</w:t>
            </w:r>
          </w:p>
        </w:tc>
        <w:tc>
          <w:tcPr>
            <w:tcW w:w="2086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绵广高速北侧区域：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规划道路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拐枣坝：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G108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部分、雍水路部分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73" w:hRule="atLeast"/>
          <w:jc w:val="center"/>
        </w:trPr>
        <w:tc>
          <w:tcPr>
            <w:tcW w:w="4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IV</w:t>
            </w:r>
          </w:p>
        </w:tc>
        <w:tc>
          <w:tcPr>
            <w:tcW w:w="25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到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III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级以外，定级范围以内。</w:t>
            </w:r>
          </w:p>
        </w:tc>
        <w:tc>
          <w:tcPr>
            <w:tcW w:w="2086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剑南大道、站前路、下寺中路</w:t>
            </w:r>
          </w:p>
        </w:tc>
      </w:tr>
    </w:tbl>
    <w:p>
      <w:pPr>
        <w:spacing w:line="460" w:lineRule="exact"/>
        <w:ind w:firstLine="420" w:firstLineChars="200"/>
        <w:rPr>
          <w:rFonts w:ascii="Times New Roman" w:hAnsi="Times New Roman" w:cs="Times New Roman"/>
          <w:color w:val="000000"/>
        </w:rPr>
      </w:pPr>
      <w:r>
        <w:rPr>
          <w:rFonts w:hint="eastAsia" w:ascii="Times New Roman" w:hAnsi="Times New Roman" w:cs="宋体"/>
          <w:color w:val="000000"/>
        </w:rPr>
        <w:t>具体级别界线详见工业用地土地级别图</w:t>
      </w:r>
    </w:p>
    <w:p>
      <w:pPr>
        <w:spacing w:line="320" w:lineRule="exact"/>
        <w:jc w:val="center"/>
        <w:rPr>
          <w:rFonts w:ascii="Times New Roman" w:hAnsi="Times New Roman" w:cs="Times New Roman"/>
          <w:color w:val="000000"/>
        </w:rPr>
      </w:pPr>
    </w:p>
    <w:p>
      <w:pPr>
        <w:pStyle w:val="16"/>
        <w:spacing w:line="320" w:lineRule="exact"/>
        <w:ind w:left="510" w:firstLine="0" w:firstLineChars="0"/>
        <w:rPr>
          <w:rFonts w:ascii="黑体" w:hAnsi="黑体" w:eastAsia="黑体" w:cs="Times New Roman"/>
          <w:b/>
          <w:bCs/>
          <w:color w:val="0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000000"/>
          <w:sz w:val="32"/>
          <w:szCs w:val="32"/>
        </w:rPr>
        <w:t>四、公共管理与公共服务用地</w:t>
      </w:r>
    </w:p>
    <w:p>
      <w:pPr>
        <w:spacing w:line="320" w:lineRule="exact"/>
        <w:jc w:val="center"/>
        <w:rPr>
          <w:rFonts w:ascii="Times New Roman" w:hAnsi="Times New Roman" w:cs="Times New Roman"/>
          <w:color w:val="000000"/>
        </w:rPr>
      </w:pPr>
    </w:p>
    <w:p>
      <w:pPr>
        <w:spacing w:line="320" w:lineRule="exact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hint="eastAsia" w:ascii="Times New Roman" w:hAnsi="Times New Roman" w:cs="宋体"/>
          <w:color w:val="000000"/>
          <w:sz w:val="24"/>
          <w:szCs w:val="24"/>
        </w:rPr>
        <w:t>剑阁县城区</w:t>
      </w:r>
      <w:bookmarkStart w:id="0" w:name="_Hlk66697822"/>
      <w:r>
        <w:rPr>
          <w:rFonts w:hint="eastAsia" w:ascii="Times New Roman" w:hAnsi="Times New Roman" w:cs="宋体"/>
          <w:color w:val="000000"/>
          <w:sz w:val="24"/>
          <w:szCs w:val="24"/>
        </w:rPr>
        <w:t>公共管理与公共服务</w:t>
      </w:r>
      <w:bookmarkEnd w:id="0"/>
      <w:r>
        <w:rPr>
          <w:rFonts w:hint="eastAsia" w:ascii="Times New Roman" w:hAnsi="Times New Roman" w:cs="宋体"/>
          <w:color w:val="000000"/>
          <w:sz w:val="24"/>
          <w:szCs w:val="24"/>
        </w:rPr>
        <w:t>用地级别边界说明表</w:t>
      </w:r>
    </w:p>
    <w:p>
      <w:pPr>
        <w:spacing w:line="460" w:lineRule="exact"/>
        <w:rPr>
          <w:rFonts w:ascii="Times New Roman" w:hAnsi="Times New Roman" w:cs="Times New Roman"/>
          <w:color w:val="FFFFFF"/>
          <w:sz w:val="22"/>
          <w:szCs w:val="22"/>
        </w:rPr>
      </w:pPr>
      <w:r>
        <w:rPr>
          <w:rFonts w:hint="eastAsia" w:ascii="Times New Roman" w:hAnsi="Times New Roman" w:cs="宋体"/>
          <w:color w:val="FFFFFF"/>
          <w:sz w:val="22"/>
          <w:szCs w:val="22"/>
        </w:rPr>
        <w:t>表</w:t>
      </w:r>
      <w:r>
        <w:rPr>
          <w:rFonts w:ascii="Times New Roman" w:hAnsi="Times New Roman" w:cs="Times New Roman"/>
          <w:color w:val="FFFFFF"/>
          <w:sz w:val="22"/>
          <w:szCs w:val="22"/>
        </w:rPr>
        <w:t>3-1-4</w:t>
      </w:r>
    </w:p>
    <w:tbl>
      <w:tblPr>
        <w:tblStyle w:val="7"/>
        <w:tblW w:w="5083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738"/>
        <w:gridCol w:w="4613"/>
        <w:gridCol w:w="37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4" w:hRule="atLeast"/>
          <w:jc w:val="center"/>
        </w:trPr>
        <w:tc>
          <w:tcPr>
            <w:tcW w:w="4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级别</w:t>
            </w:r>
          </w:p>
        </w:tc>
        <w:tc>
          <w:tcPr>
            <w:tcW w:w="2544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级别边界</w:t>
            </w:r>
          </w:p>
        </w:tc>
        <w:tc>
          <w:tcPr>
            <w:tcW w:w="2049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级别内主要街道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7" w:hRule="atLeast"/>
          <w:jc w:val="center"/>
        </w:trPr>
        <w:tc>
          <w:tcPr>
            <w:tcW w:w="4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</w:t>
            </w:r>
          </w:p>
        </w:tc>
        <w:tc>
          <w:tcPr>
            <w:tcW w:w="2544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修城坝：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金门花园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中医院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清江路与临津街叉口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宝龙锦绣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环山路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金门花园</w:t>
            </w:r>
          </w:p>
        </w:tc>
        <w:tc>
          <w:tcPr>
            <w:tcW w:w="2049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修城坝：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武公街、隆庆街、汉德街、南华街、临津街部分、环山路部分、清江路部分、水利巷、剑门大道部分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5" w:hRule="atLeast"/>
          <w:jc w:val="center"/>
        </w:trPr>
        <w:tc>
          <w:tcPr>
            <w:tcW w:w="4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II</w:t>
            </w:r>
          </w:p>
        </w:tc>
        <w:tc>
          <w:tcPr>
            <w:tcW w:w="2544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修城坝：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水映长岛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普成街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环山路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水映长岛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货运站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翰林路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站前大道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货运站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大仓坝：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明珠尚城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清水河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剑门驿站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百草园路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明珠尚城</w:t>
            </w:r>
          </w:p>
        </w:tc>
        <w:tc>
          <w:tcPr>
            <w:tcW w:w="2049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修城坝：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清江路部分、环山路部分、普成街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龙江大道部分、翰林路部分、翠云大道部分、文林街、站前大道部分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大仓坝：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滨河路西段部分、体育路、剑门大道部分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04" w:hRule="atLeast"/>
          <w:jc w:val="center"/>
        </w:trPr>
        <w:tc>
          <w:tcPr>
            <w:tcW w:w="4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III</w:t>
            </w:r>
          </w:p>
        </w:tc>
        <w:tc>
          <w:tcPr>
            <w:tcW w:w="2544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铁路线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翰林路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三棵树街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广电局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铁路线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大仓坝：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温泉街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百草园路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规划桥梁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温泉街；凉水沟以南至定级边界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拐枣坝：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定级边界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奥迪亚时装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沿幸福佳苑东侧道路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规划道路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职业高中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剑门廊桥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清江河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-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定级边界</w:t>
            </w:r>
          </w:p>
        </w:tc>
        <w:tc>
          <w:tcPr>
            <w:tcW w:w="2049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沙溪坝：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学海西路、水厂西路、龙江大道部分、翰林路部分、尚书街、三棵树街、学士路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大仓坝：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滨河路西段部分、百草园路、温泉街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 xml:space="preserve"> 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拐枣坝：</w:t>
            </w:r>
          </w:p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G108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部分、雍水路部分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15" w:hRule="atLeast"/>
          <w:jc w:val="center"/>
        </w:trPr>
        <w:tc>
          <w:tcPr>
            <w:tcW w:w="407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IV</w:t>
            </w:r>
          </w:p>
        </w:tc>
        <w:tc>
          <w:tcPr>
            <w:tcW w:w="2544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到</w:t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III</w:t>
            </w: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级以外，定级范围以内。</w:t>
            </w:r>
          </w:p>
        </w:tc>
        <w:tc>
          <w:tcPr>
            <w:tcW w:w="2049" w:type="pct"/>
            <w:tcMar>
              <w:top w:w="15" w:type="dxa"/>
              <w:left w:w="37" w:type="dxa"/>
              <w:bottom w:w="0" w:type="dxa"/>
              <w:right w:w="37" w:type="dxa"/>
            </w:tcMar>
            <w:vAlign w:val="center"/>
          </w:tcPr>
          <w:p>
            <w:pPr>
              <w:spacing w:line="280" w:lineRule="exact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cs="宋体"/>
                <w:color w:val="000000"/>
                <w:sz w:val="22"/>
                <w:szCs w:val="22"/>
              </w:rPr>
              <w:t>剑南大道、站前路、下寺中路</w:t>
            </w:r>
          </w:p>
        </w:tc>
      </w:tr>
    </w:tbl>
    <w:p>
      <w:pPr>
        <w:spacing w:line="460" w:lineRule="exact"/>
        <w:ind w:firstLine="420" w:firstLineChars="200"/>
        <w:rPr>
          <w:rFonts w:ascii="Times New Roman" w:hAnsi="Times New Roman" w:cs="Times New Roman"/>
          <w:color w:val="000000"/>
        </w:rPr>
      </w:pPr>
      <w:r>
        <w:rPr>
          <w:rFonts w:hint="eastAsia" w:ascii="Times New Roman" w:hAnsi="Times New Roman" w:cs="宋体"/>
          <w:color w:val="000000"/>
        </w:rPr>
        <w:t>具体级别界线详见公共管理与公共服务用地土地级别图</w:t>
      </w:r>
    </w:p>
    <w:p>
      <w:pPr>
        <w:spacing w:line="460" w:lineRule="exact"/>
        <w:ind w:firstLine="560" w:firstLineChars="200"/>
        <w:rPr>
          <w:rFonts w:ascii="Times New Roman" w:hAnsi="Times New Roman" w:cs="Times New Roman"/>
          <w:color w:val="000000"/>
          <w:sz w:val="28"/>
          <w:szCs w:val="28"/>
        </w:rPr>
        <w:sectPr>
          <w:footerReference r:id="rId3" w:type="default"/>
          <w:pgSz w:w="11906" w:h="16838"/>
          <w:pgMar w:top="2098" w:right="1474" w:bottom="1814" w:left="1588" w:header="851" w:footer="1588" w:gutter="0"/>
          <w:cols w:space="425" w:num="1"/>
          <w:docGrid w:type="lines" w:linePitch="312" w:charSpace="0"/>
        </w:sectPr>
      </w:pPr>
    </w:p>
    <w:p>
      <w:pPr>
        <w:spacing w:line="576" w:lineRule="exact"/>
        <w:jc w:val="left"/>
        <w:rPr>
          <w:rFonts w:ascii="黑体" w:hAnsi="黑体" w:eastAsia="黑体" w:cs="黑体"/>
          <w:b/>
          <w:bCs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sz w:val="32"/>
          <w:szCs w:val="32"/>
        </w:rPr>
        <w:t>附件</w:t>
      </w:r>
      <w:r>
        <w:rPr>
          <w:rFonts w:ascii="黑体" w:hAnsi="黑体" w:eastAsia="黑体" w:cs="黑体"/>
          <w:b/>
          <w:bCs/>
          <w:sz w:val="32"/>
          <w:szCs w:val="32"/>
        </w:rPr>
        <w:t>4</w:t>
      </w:r>
    </w:p>
    <w:p>
      <w:pPr>
        <w:spacing w:line="600" w:lineRule="exact"/>
        <w:jc w:val="center"/>
        <w:rPr>
          <w:rFonts w:ascii="方正小标宋简体" w:hAnsi="方正小标宋简体" w:eastAsia="方正小标宋简体" w:cs="Times New Roman"/>
          <w:b/>
          <w:bCs/>
          <w:sz w:val="40"/>
          <w:szCs w:val="40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40"/>
          <w:szCs w:val="40"/>
        </w:rPr>
        <w:t>剑阁县城区各类各级基准地价图</w:t>
      </w:r>
    </w:p>
    <w:p>
      <w:pPr>
        <w:jc w:val="center"/>
        <w:rPr>
          <w:rFonts w:cs="Times New Roman"/>
        </w:rPr>
      </w:pPr>
      <w:r>
        <w:rPr>
          <w:rFonts w:cs="Times New Roman"/>
        </w:rPr>
        <w:drawing>
          <wp:inline distT="0" distB="0" distL="114300" distR="114300">
            <wp:extent cx="7229475" cy="4629150"/>
            <wp:effectExtent l="0" t="0" r="9525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rcRect l="7825" t="8958" r="5185" b="2641"/>
                    <a:stretch>
                      <a:fillRect/>
                    </a:stretch>
                  </pic:blipFill>
                  <pic:spPr>
                    <a:xfrm>
                      <a:off x="0" y="0"/>
                      <a:ext cx="7229475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Times New Roman"/>
        </w:rPr>
      </w:pPr>
      <w:r>
        <w:rPr>
          <w:rFonts w:cs="Times New Roman"/>
        </w:rPr>
        <w:drawing>
          <wp:inline distT="0" distB="0" distL="114300" distR="114300">
            <wp:extent cx="7439025" cy="4991100"/>
            <wp:effectExtent l="0" t="0" r="317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rcRect l="7544" t="5521" r="4677" b="2826"/>
                    <a:stretch>
                      <a:fillRect/>
                    </a:stretch>
                  </pic:blipFill>
                  <pic:spPr>
                    <a:xfrm>
                      <a:off x="0" y="0"/>
                      <a:ext cx="7439025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</w:rPr>
        <w:drawing>
          <wp:inline distT="0" distB="0" distL="114300" distR="114300">
            <wp:extent cx="7258050" cy="5495925"/>
            <wp:effectExtent l="0" t="0" r="6350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rcRect l="6638" t="6708" r="4530" b="1491"/>
                    <a:stretch>
                      <a:fillRect/>
                    </a:stretch>
                  </pic:blipFill>
                  <pic:spPr>
                    <a:xfrm>
                      <a:off x="0" y="0"/>
                      <a:ext cx="7258050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Times New Roman"/>
        </w:rPr>
        <w:sectPr>
          <w:pgSz w:w="16838" w:h="11906" w:orient="landscape"/>
          <w:pgMar w:top="1701" w:right="1418" w:bottom="1418" w:left="1418" w:header="851" w:footer="1134" w:gutter="0"/>
          <w:cols w:space="425" w:num="1"/>
          <w:docGrid w:type="linesAndChars" w:linePitch="312" w:charSpace="0"/>
        </w:sectPr>
      </w:pPr>
      <w:r>
        <w:rPr>
          <w:rFonts w:cs="Times New Roman"/>
        </w:rPr>
        <w:drawing>
          <wp:inline distT="0" distB="0" distL="114300" distR="114300">
            <wp:extent cx="7591425" cy="5229225"/>
            <wp:effectExtent l="0" t="0" r="3175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rcRect l="7393" t="6145" r="6024" b="3253"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widowControl w:val="0"/>
        <w:pBdr>
          <w:top w:val="none" w:color="auto" w:sz="0" w:space="1"/>
          <w:left w:val="none" w:color="auto" w:sz="0" w:space="0"/>
          <w:bottom w:val="none" w:color="auto" w:sz="0" w:space="1"/>
          <w:right w:val="none" w:color="auto" w:sz="0" w:space="0"/>
          <w:between w:val="none" w:color="auto" w:sz="0" w:space="0"/>
        </w:pBdr>
        <w:spacing w:before="0" w:beforeAutospacing="0" w:after="0" w:afterAutospacing="0" w:line="440" w:lineRule="exact"/>
        <w:jc w:val="both"/>
        <w:rPr>
          <w:rFonts w:ascii="仿宋_GB2312" w:hAnsi="黑体" w:eastAsia="仿宋_GB2312" w:cs="Times New Roman"/>
          <w:b/>
          <w:bCs/>
          <w:sz w:val="28"/>
          <w:szCs w:val="28"/>
        </w:rPr>
      </w:pPr>
      <w:bookmarkStart w:id="1" w:name="_GoBack"/>
      <w:bookmarkEnd w:id="1"/>
    </w:p>
    <w:sectPr>
      <w:pgSz w:w="11906" w:h="16838"/>
      <w:pgMar w:top="2098" w:right="1474" w:bottom="1814" w:left="1588" w:header="851" w:footer="1588" w:gutter="0"/>
      <w:cols w:space="425" w:num="1"/>
      <w:rtlGutter w:val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framePr w:wrap="around" w:vAnchor="text" w:hAnchor="margin" w:xAlign="outside" w:y="1"/>
      <w:rPr>
        <w:rStyle w:val="9"/>
        <w:rFonts w:ascii="宋体" w:cs="Times New Roman"/>
        <w:sz w:val="28"/>
        <w:szCs w:val="28"/>
      </w:rPr>
    </w:pPr>
    <w:r>
      <w:rPr>
        <w:rStyle w:val="9"/>
        <w:rFonts w:ascii="宋体" w:hAnsi="宋体" w:cs="宋体"/>
        <w:sz w:val="28"/>
        <w:szCs w:val="28"/>
      </w:rPr>
      <w:t>—</w:t>
    </w:r>
    <w:r>
      <w:rPr>
        <w:rStyle w:val="9"/>
        <w:rFonts w:ascii="宋体" w:hAnsi="宋体" w:cs="宋体"/>
        <w:sz w:val="28"/>
        <w:szCs w:val="28"/>
      </w:rPr>
      <w:fldChar w:fldCharType="begin"/>
    </w:r>
    <w:r>
      <w:rPr>
        <w:rStyle w:val="9"/>
        <w:rFonts w:ascii="宋体" w:hAnsi="宋体" w:cs="宋体"/>
        <w:sz w:val="28"/>
        <w:szCs w:val="28"/>
      </w:rPr>
      <w:instrText xml:space="preserve">PAGE  </w:instrText>
    </w:r>
    <w:r>
      <w:rPr>
        <w:rStyle w:val="9"/>
        <w:rFonts w:ascii="宋体" w:hAnsi="宋体" w:cs="宋体"/>
        <w:sz w:val="28"/>
        <w:szCs w:val="28"/>
      </w:rPr>
      <w:fldChar w:fldCharType="separate"/>
    </w:r>
    <w:r>
      <w:rPr>
        <w:rStyle w:val="9"/>
        <w:rFonts w:ascii="宋体" w:hAnsi="宋体" w:cs="宋体"/>
        <w:sz w:val="28"/>
        <w:szCs w:val="28"/>
      </w:rPr>
      <w:t>4</w:t>
    </w:r>
    <w:r>
      <w:rPr>
        <w:rStyle w:val="9"/>
        <w:rFonts w:ascii="宋体" w:hAnsi="宋体" w:cs="宋体"/>
        <w:sz w:val="28"/>
        <w:szCs w:val="28"/>
      </w:rPr>
      <w:fldChar w:fldCharType="end"/>
    </w:r>
    <w:r>
      <w:rPr>
        <w:rStyle w:val="9"/>
        <w:rFonts w:ascii="宋体" w:hAnsi="宋体" w:cs="宋体"/>
        <w:sz w:val="28"/>
        <w:szCs w:val="28"/>
      </w:rPr>
      <w:t>—</w:t>
    </w:r>
  </w:p>
  <w:p>
    <w:pPr>
      <w:pStyle w:val="3"/>
      <w:ind w:right="360" w:firstLine="360"/>
      <w:rPr>
        <w:rFonts w:cs="Times New Roman"/>
      </w:rPr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oNotHyphenateCaps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69AA"/>
    <w:rsid w:val="000E2ECF"/>
    <w:rsid w:val="000E5A5A"/>
    <w:rsid w:val="00167B28"/>
    <w:rsid w:val="00217579"/>
    <w:rsid w:val="002356DE"/>
    <w:rsid w:val="00243F73"/>
    <w:rsid w:val="00293D3A"/>
    <w:rsid w:val="002E71FB"/>
    <w:rsid w:val="00456A91"/>
    <w:rsid w:val="004C3313"/>
    <w:rsid w:val="00502A49"/>
    <w:rsid w:val="005E63BB"/>
    <w:rsid w:val="0067590C"/>
    <w:rsid w:val="00697272"/>
    <w:rsid w:val="00867392"/>
    <w:rsid w:val="00884F5E"/>
    <w:rsid w:val="0093631D"/>
    <w:rsid w:val="009869AA"/>
    <w:rsid w:val="009B0EFE"/>
    <w:rsid w:val="00A1188E"/>
    <w:rsid w:val="00A653E0"/>
    <w:rsid w:val="00A71FAA"/>
    <w:rsid w:val="00AD1DBD"/>
    <w:rsid w:val="00B86875"/>
    <w:rsid w:val="00C76E24"/>
    <w:rsid w:val="00CB057E"/>
    <w:rsid w:val="00CD0F1E"/>
    <w:rsid w:val="00E55BA1"/>
    <w:rsid w:val="00EE41E8"/>
    <w:rsid w:val="00F22D62"/>
    <w:rsid w:val="02526307"/>
    <w:rsid w:val="0A861F95"/>
    <w:rsid w:val="18373188"/>
    <w:rsid w:val="27AB2FC2"/>
    <w:rsid w:val="2B517465"/>
    <w:rsid w:val="2FA0426A"/>
    <w:rsid w:val="3DA4732B"/>
    <w:rsid w:val="469C741E"/>
    <w:rsid w:val="4B7D3488"/>
    <w:rsid w:val="55B057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nhideWhenUsed="0" w:uiPriority="99" w:semiHidden="0" w:name="heading 2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unhideWhenUsed="0" w:uiPriority="99" w:name="header"/>
    <w:lsdException w:qFormat="1" w:unhideWhenUsed="0" w:uiPriority="99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nhideWhenUsed="0" w:uiPriority="99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unhideWhenUsed="0"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qFormat="1" w:unhideWhenUsed="0" w:uiPriority="99" w:semiHidden="0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 w:locked="1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paragraph" w:styleId="2">
    <w:name w:val="heading 2"/>
    <w:basedOn w:val="1"/>
    <w:next w:val="1"/>
    <w:link w:val="10"/>
    <w:qFormat/>
    <w:uiPriority w:val="99"/>
    <w:pPr>
      <w:keepNext/>
      <w:keepLines/>
      <w:spacing w:before="260" w:after="260" w:line="416" w:lineRule="auto"/>
      <w:outlineLvl w:val="1"/>
    </w:pPr>
    <w:rPr>
      <w:rFonts w:eastAsia="黑体"/>
      <w:sz w:val="32"/>
      <w:szCs w:val="32"/>
    </w:rPr>
  </w:style>
  <w:style w:type="character" w:default="1" w:styleId="8">
    <w:name w:val="Default Paragraph Font"/>
    <w:semiHidden/>
    <w:uiPriority w:val="99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1"/>
    <w:semiHidden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semiHidden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Body Text Indent 3"/>
    <w:basedOn w:val="1"/>
    <w:link w:val="13"/>
    <w:qFormat/>
    <w:uiPriority w:val="99"/>
    <w:pPr>
      <w:spacing w:after="120" w:line="520" w:lineRule="exact"/>
      <w:ind w:left="420" w:leftChars="200"/>
    </w:pPr>
    <w:rPr>
      <w:sz w:val="16"/>
      <w:szCs w:val="16"/>
    </w:rPr>
  </w:style>
  <w:style w:type="paragraph" w:styleId="6">
    <w:name w:val="Normal (Web)"/>
    <w:basedOn w:val="1"/>
    <w:uiPriority w:val="99"/>
    <w:pPr>
      <w:widowControl/>
      <w:spacing w:before="100" w:beforeAutospacing="1" w:after="100" w:afterAutospacing="1"/>
      <w:jc w:val="left"/>
    </w:pPr>
    <w:rPr>
      <w:rFonts w:ascii="宋体" w:hAnsi="Times New Roman" w:cs="宋体"/>
      <w:kern w:val="0"/>
      <w:sz w:val="18"/>
      <w:szCs w:val="18"/>
    </w:rPr>
  </w:style>
  <w:style w:type="character" w:styleId="9">
    <w:name w:val="page number"/>
    <w:basedOn w:val="8"/>
    <w:uiPriority w:val="99"/>
  </w:style>
  <w:style w:type="character" w:customStyle="1" w:styleId="10">
    <w:name w:val="Heading 2 Char"/>
    <w:basedOn w:val="8"/>
    <w:link w:val="2"/>
    <w:semiHidden/>
    <w:locked/>
    <w:uiPriority w:val="99"/>
    <w:rPr>
      <w:rFonts w:ascii="Cambria" w:hAnsi="Cambria" w:eastAsia="宋体" w:cs="Cambria"/>
      <w:b/>
      <w:bCs/>
      <w:sz w:val="32"/>
      <w:szCs w:val="32"/>
    </w:rPr>
  </w:style>
  <w:style w:type="character" w:customStyle="1" w:styleId="11">
    <w:name w:val="Footer Char"/>
    <w:basedOn w:val="8"/>
    <w:link w:val="3"/>
    <w:semiHidden/>
    <w:qFormat/>
    <w:locked/>
    <w:uiPriority w:val="99"/>
    <w:rPr>
      <w:sz w:val="18"/>
      <w:szCs w:val="18"/>
    </w:rPr>
  </w:style>
  <w:style w:type="character" w:customStyle="1" w:styleId="12">
    <w:name w:val="Header Char"/>
    <w:basedOn w:val="8"/>
    <w:link w:val="4"/>
    <w:semiHidden/>
    <w:locked/>
    <w:uiPriority w:val="99"/>
    <w:rPr>
      <w:sz w:val="18"/>
      <w:szCs w:val="18"/>
    </w:rPr>
  </w:style>
  <w:style w:type="character" w:customStyle="1" w:styleId="13">
    <w:name w:val="Body Text Indent 3 Char"/>
    <w:basedOn w:val="8"/>
    <w:link w:val="5"/>
    <w:semiHidden/>
    <w:qFormat/>
    <w:locked/>
    <w:uiPriority w:val="99"/>
    <w:rPr>
      <w:sz w:val="16"/>
      <w:szCs w:val="16"/>
    </w:rPr>
  </w:style>
  <w:style w:type="paragraph" w:customStyle="1" w:styleId="14">
    <w:name w:val="表格内容"/>
    <w:basedOn w:val="1"/>
    <w:qFormat/>
    <w:uiPriority w:val="99"/>
    <w:pPr>
      <w:snapToGrid w:val="0"/>
      <w:jc w:val="center"/>
    </w:pPr>
    <w:rPr>
      <w:kern w:val="0"/>
      <w:sz w:val="24"/>
      <w:szCs w:val="24"/>
    </w:rPr>
  </w:style>
  <w:style w:type="paragraph" w:customStyle="1" w:styleId="15">
    <w:name w:val="5-正文文字"/>
    <w:basedOn w:val="5"/>
    <w:qFormat/>
    <w:uiPriority w:val="99"/>
    <w:pPr>
      <w:widowControl/>
      <w:tabs>
        <w:tab w:val="left" w:pos="7200"/>
      </w:tabs>
      <w:autoSpaceDE w:val="0"/>
      <w:autoSpaceDN w:val="0"/>
      <w:adjustRightInd w:val="0"/>
      <w:spacing w:after="0" w:line="460" w:lineRule="exact"/>
      <w:ind w:left="0" w:leftChars="0" w:firstLine="560" w:firstLineChars="200"/>
    </w:pPr>
    <w:rPr>
      <w:position w:val="-6"/>
      <w:sz w:val="28"/>
      <w:szCs w:val="28"/>
    </w:rPr>
  </w:style>
  <w:style w:type="paragraph" w:styleId="16">
    <w:name w:val="List Paragraph"/>
    <w:basedOn w:val="1"/>
    <w:qFormat/>
    <w:uiPriority w:val="99"/>
    <w:pPr>
      <w:ind w:firstLine="420" w:firstLineChars="200"/>
    </w:pPr>
  </w:style>
  <w:style w:type="paragraph" w:customStyle="1" w:styleId="17">
    <w:name w:val="3-正文标题-"/>
    <w:basedOn w:val="1"/>
    <w:uiPriority w:val="99"/>
    <w:pPr>
      <w:spacing w:beforeLines="100" w:afterLines="50"/>
      <w:ind w:firstLine="480" w:firstLineChars="200"/>
      <w:outlineLvl w:val="2"/>
    </w:pPr>
    <w:rPr>
      <w:rFonts w:ascii="黑体" w:eastAsia="黑体" w:cs="黑体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Company>Microsoft</Company>
  <Pages>16</Pages>
  <Words>1186</Words>
  <Characters>6764</Characters>
  <Lines>0</Lines>
  <Paragraphs>0</Paragraphs>
  <TotalTime>45</TotalTime>
  <ScaleCrop>false</ScaleCrop>
  <LinksUpToDate>false</LinksUpToDate>
  <CharactersWithSpaces>0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2021-06-30T07:29:00Z</dcterms:created>
  <dc:creator>Administrator</dc:creator>
  <cp:lastModifiedBy>吾钺</cp:lastModifiedBy>
  <cp:lastPrinted>2021-06-30T08:09:00Z</cp:lastPrinted>
  <dcterms:modified xsi:type="dcterms:W3CDTF">2021-07-08T08:39:14Z</dcterms:modified>
  <dc:title>剑府发〔2021〕6号</dc:title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  <property fmtid="{D5CDD505-2E9C-101B-9397-08002B2CF9AE}" pid="3" name="ICV">
    <vt:lpwstr>40EB031087DA4DD9BD07C4E40A96111A</vt:lpwstr>
  </property>
</Properties>
</file>