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仿宋_GB2312" w:cs="Microsoft JhengHei"/>
          <w:b/>
          <w:bCs/>
          <w:snapToGrid/>
          <w:kern w:val="0"/>
          <w:sz w:val="48"/>
          <w:szCs w:val="48"/>
          <w:lang w:val="en-US" w:eastAsia="zh-CN" w:bidi="ar-SA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  <w:t>剑阁县开封镇龙桥村龙桥宴会厅项目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 w:bidi="ar-SA"/>
        </w:rPr>
        <w:t>（原明星砖厂地块）控制指标论证</w:t>
      </w:r>
    </w:p>
    <w:p>
      <w:pPr>
        <w:jc w:val="center"/>
        <w:rPr>
          <w:rFonts w:hint="eastAsia" w:ascii="Times New Roman" w:hAnsi="Times New Roman" w:eastAsia="仿宋_GB2312" w:cs="Microsoft JhengHei"/>
          <w:b/>
          <w:bCs/>
          <w:snapToGrid/>
          <w:kern w:val="0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bookmarkStart w:id="0" w:name="_Toc327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宗地区位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76" w:lineRule="exact"/>
        <w:ind w:firstLine="640" w:firstLineChars="200"/>
        <w:textAlignment w:val="baseline"/>
        <w:rPr>
          <w:rFonts w:hint="eastAsia" w:ascii="Times New Roman" w:hAnsi="Times New Roman" w:eastAsia="仿宋_GB2312" w:cs="宋体"/>
          <w:b w:val="0"/>
          <w:bCs w:val="0"/>
          <w:snapToGrid/>
          <w:spacing w:val="-6"/>
          <w:kern w:val="0"/>
          <w:sz w:val="32"/>
          <w:szCs w:val="32"/>
          <w:lang w:val="en-US" w:eastAsia="zh-CN" w:bidi="ar-SA"/>
        </w:rPr>
      </w:pPr>
      <w:r>
        <w:rPr>
          <w:b w:val="0"/>
          <w:b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835025</wp:posOffset>
            </wp:positionH>
            <wp:positionV relativeFrom="paragraph">
              <wp:posOffset>1374140</wp:posOffset>
            </wp:positionV>
            <wp:extent cx="3764915" cy="5147945"/>
            <wp:effectExtent l="0" t="0" r="2540" b="1270"/>
            <wp:wrapTopAndBottom/>
            <wp:docPr id="5" name="图片 4" descr="01项目区区域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01项目区区域位置图"/>
                    <pic:cNvPicPr>
                      <a:picLocks noChangeAspect="1"/>
                    </pic:cNvPicPr>
                  </pic:nvPicPr>
                  <pic:blipFill>
                    <a:blip r:embed="rId6"/>
                    <a:srcRect l="3118" t="7017" r="2161" b="1435"/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5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0"/>
          <w:sz w:val="32"/>
          <w:szCs w:val="32"/>
          <w:lang w:val="en-US" w:eastAsia="zh-CN" w:bidi="ar-SA"/>
        </w:rPr>
        <w:t>宗地占地面积0.6736公顷（约10.10亩），位于剑阁县开封镇龙桥村，距剑阁县下寺镇直线距离约60km，位于开封场镇西侧1.5km处</w:t>
      </w:r>
      <w:r>
        <w:rPr>
          <w:rFonts w:hint="eastAsia" w:ascii="Times New Roman" w:hAnsi="Times New Roman" w:eastAsia="仿宋_GB2312" w:cs="宋体"/>
          <w:b w:val="0"/>
          <w:bCs w:val="0"/>
          <w:snapToGrid/>
          <w:spacing w:val="-6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图1.项目在剑阁县的区位示意图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二、论证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根据《广元市规划管理技术规定（2024版）》《剑阁县开封武连农工融合发展片区国土空间总体规划（2021—2035年）》相关要求，确定控制指标如下：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1.用地面积：6736平方米。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2.用地性质：旅馆用地（090104）。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3.容积率：≤1.5。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4.建筑密度：≤50%。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5.绿地率：≥25%。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6.建筑限高：≤10米。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7.停车位：机动车停车位按车位0.8个/100㎡配建，其中电动汽车充电基础设施配建比例≥20%。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8.建筑退距：≥5米。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9.建筑的风格样式采用现代简洁的建筑风格，色彩采取蓝色、绿色、浅灰色等为主体色，偏向浅色或暖色调，建筑材料以石材、涂料为主，玻璃为辅，布局形成“村田相映、景村一体”的山水格局。建筑的风格样式、色彩材质、布局等与周边环境相协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right="0" w:rightChars="0" w:firstLine="616" w:firstLineChars="200"/>
        <w:jc w:val="left"/>
        <w:textAlignment w:val="auto"/>
        <w:outlineLvl w:val="0"/>
        <w:rPr>
          <w:rFonts w:hint="default" w:ascii="黑体" w:hAnsi="黑体" w:eastAsia="黑体" w:cs="黑体"/>
          <w:b/>
          <w:bCs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spacing w:val="-6"/>
          <w:kern w:val="0"/>
          <w:sz w:val="32"/>
          <w:szCs w:val="32"/>
          <w:lang w:val="en-US" w:eastAsia="zh-CN" w:bidi="ar-SA"/>
        </w:rPr>
        <w:t>通过规划指标论证，为下一步建设用地与建设工程的规划许可提供依据，利于项目的开展，从而盘活闲置工业用地，进一步优化土地资源配置，提升区域发展品质，促进区域经济社会的可持续发展。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成果图则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0" w:line="576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182245</wp:posOffset>
            </wp:positionV>
            <wp:extent cx="5400040" cy="4025900"/>
            <wp:effectExtent l="0" t="0" r="10160" b="12700"/>
            <wp:wrapTopAndBottom/>
            <wp:docPr id="2" name="图片 3" descr="E:/45.剑阁县龙桥宴会中心建设项目地块规划调整论证/过程/调规后图则_01(2).jpg调规后图则_0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E:/45.剑阁县龙桥宴会中心建设项目地块规划调整论证/过程/调规后图则_01(2).jpg调规后图则_01(2)"/>
                    <pic:cNvPicPr>
                      <a:picLocks noChangeAspect="1"/>
                    </pic:cNvPicPr>
                  </pic:nvPicPr>
                  <pic:blipFill>
                    <a:blip r:embed="rId7"/>
                    <a:srcRect l="6730" t="4463" r="6357" b="400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762D9"/>
    <w:multiLevelType w:val="singleLevel"/>
    <w:tmpl w:val="B73762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ODE2MmQ0ZmY2N2U4NTAzZDliMDZjZTI3MjYwYjYifQ=="/>
  </w:docVars>
  <w:rsids>
    <w:rsidRoot w:val="627B1AC4"/>
    <w:rsid w:val="06C90DC4"/>
    <w:rsid w:val="07CD2CD9"/>
    <w:rsid w:val="0B464F3D"/>
    <w:rsid w:val="116E6670"/>
    <w:rsid w:val="12DA3FF8"/>
    <w:rsid w:val="140F5FC1"/>
    <w:rsid w:val="1B184A03"/>
    <w:rsid w:val="1B9413C8"/>
    <w:rsid w:val="1EC44A8F"/>
    <w:rsid w:val="277D5657"/>
    <w:rsid w:val="27E95015"/>
    <w:rsid w:val="2A32072A"/>
    <w:rsid w:val="33EE5796"/>
    <w:rsid w:val="391E10D5"/>
    <w:rsid w:val="3B4A6561"/>
    <w:rsid w:val="3C97441D"/>
    <w:rsid w:val="4CCE5C39"/>
    <w:rsid w:val="507B1E75"/>
    <w:rsid w:val="56AD44B8"/>
    <w:rsid w:val="576C18FA"/>
    <w:rsid w:val="5820159D"/>
    <w:rsid w:val="5BA81D4B"/>
    <w:rsid w:val="5DAB78D0"/>
    <w:rsid w:val="5F857F6A"/>
    <w:rsid w:val="627B1AC4"/>
    <w:rsid w:val="64290161"/>
    <w:rsid w:val="66EF1BEE"/>
    <w:rsid w:val="69643755"/>
    <w:rsid w:val="69D065A9"/>
    <w:rsid w:val="6A416A84"/>
    <w:rsid w:val="6CB24351"/>
    <w:rsid w:val="6F7637EB"/>
    <w:rsid w:val="6FD831EA"/>
    <w:rsid w:val="70252B15"/>
    <w:rsid w:val="772B653D"/>
    <w:rsid w:val="77D5581E"/>
    <w:rsid w:val="7823615D"/>
    <w:rsid w:val="788F055B"/>
    <w:rsid w:val="7DC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line="360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  <w:lang w:val="zh-CN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" w:hAnsi="Calibri" w:eastAsia="仿宋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outlineLvl w:val="2"/>
    </w:pPr>
    <w:rPr>
      <w:rFonts w:eastAsia="仿宋_GB2312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3"/>
    <w:qFormat/>
    <w:uiPriority w:val="9"/>
    <w:rPr>
      <w:rFonts w:ascii="Times New Roman" w:hAnsi="Times New Roman" w:eastAsia="黑体"/>
      <w:b/>
      <w:bCs/>
      <w:kern w:val="44"/>
      <w:sz w:val="32"/>
      <w:szCs w:val="44"/>
      <w:lang w:val="zh-CN"/>
    </w:rPr>
  </w:style>
  <w:style w:type="character" w:customStyle="1" w:styleId="10">
    <w:name w:val="标题 2 Char"/>
    <w:link w:val="4"/>
    <w:semiHidden/>
    <w:qFormat/>
    <w:uiPriority w:val="0"/>
    <w:rPr>
      <w:rFonts w:ascii="Calibri" w:hAnsi="Calibri" w:eastAsia="仿宋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906</Words>
  <Characters>1002</Characters>
  <Lines>0</Lines>
  <Paragraphs>0</Paragraphs>
  <TotalTime>6</TotalTime>
  <ScaleCrop>false</ScaleCrop>
  <LinksUpToDate>false</LinksUpToDate>
  <CharactersWithSpaces>1056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2025-08-28T08:34:00Z</dcterms:created>
  <dc:creator>雾里有平巷</dc:creator>
  <cp:lastModifiedBy>CoppercZ</cp:lastModifiedBy>
  <dcterms:modified xsi:type="dcterms:W3CDTF">2025-09-16T09:32:27Z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AFBE56FC38DA40FFB2CAE1CE592CB1C2_13</vt:lpwstr>
  </property>
  <property fmtid="{D5CDD505-2E9C-101B-9397-08002B2CF9AE}" pid="4" name="KSOTemplateDocerSaveRecord">
    <vt:lpwstr>eyJoZGlkIjoiN2ZiZGNlYTQwMjA0YjZiY2QzMmRlZmRjZWQ3ZTMzNGIiLCJ1c2VySWQiOiI0MDc1MjI1MzUifQ==</vt:lpwstr>
  </property>
</Properties>
</file>