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45291">
      <w:pPr>
        <w:spacing w:line="600" w:lineRule="exact"/>
        <w:jc w:val="center"/>
        <w:outlineLvl w:val="0"/>
        <w:rPr>
          <w:rFonts w:hint="eastAsia" w:ascii="方正小标宋简体" w:hAnsi="宋体" w:eastAsia="方正小标宋简体"/>
          <w:sz w:val="72"/>
          <w:szCs w:val="72"/>
        </w:rPr>
      </w:pPr>
      <w:bookmarkStart w:id="0" w:name="_Toc15396475"/>
      <w:bookmarkStart w:id="1" w:name="_Toc15378441"/>
      <w:bookmarkStart w:id="2" w:name="_Toc15377425"/>
      <w:bookmarkStart w:id="3" w:name="_Toc15377193"/>
      <w:bookmarkStart w:id="4" w:name="_Toc15396597"/>
      <w:bookmarkStart w:id="5" w:name="_Toc15306267"/>
    </w:p>
    <w:p w14:paraId="3C44A2A7">
      <w:pPr>
        <w:spacing w:line="600" w:lineRule="exact"/>
        <w:jc w:val="center"/>
        <w:outlineLvl w:val="0"/>
        <w:rPr>
          <w:rFonts w:ascii="方正小标宋简体" w:hAnsi="宋体" w:eastAsia="方正小标宋简体"/>
          <w:sz w:val="72"/>
          <w:szCs w:val="72"/>
        </w:rPr>
      </w:pPr>
    </w:p>
    <w:p w14:paraId="0D969AEF">
      <w:pPr>
        <w:spacing w:line="600" w:lineRule="exact"/>
        <w:jc w:val="center"/>
        <w:outlineLvl w:val="0"/>
        <w:rPr>
          <w:rFonts w:ascii="方正小标宋简体" w:hAnsi="宋体" w:eastAsia="方正小标宋简体"/>
          <w:sz w:val="72"/>
          <w:szCs w:val="72"/>
        </w:rPr>
      </w:pPr>
    </w:p>
    <w:p w14:paraId="218CD5FD">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14:paraId="790370AF">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476"/>
      <w:bookmarkStart w:id="7" w:name="_Toc15377426"/>
      <w:bookmarkStart w:id="8" w:name="_Toc15396598"/>
      <w:bookmarkStart w:id="9" w:name="_Toc15377194"/>
      <w:bookmarkStart w:id="10" w:name="_Toc15378442"/>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县人民政府办公室</w:t>
      </w:r>
    </w:p>
    <w:p w14:paraId="62E9D28E">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3A4E34BB">
      <w:pPr>
        <w:widowControl/>
        <w:jc w:val="center"/>
        <w:rPr>
          <w:rFonts w:hint="eastAsia" w:ascii="黑体" w:hAnsi="黑体" w:eastAsia="黑体"/>
          <w:sz w:val="48"/>
          <w:szCs w:val="48"/>
        </w:rPr>
        <w:sectPr>
          <w:headerReference r:id="rId4" w:type="first"/>
          <w:footerReference r:id="rId6" w:type="first"/>
          <w:headerReference r:id="rId3" w:type="default"/>
          <w:footerReference r:id="rId5" w:type="default"/>
          <w:pgSz w:w="11906" w:h="16838"/>
          <w:pgMar w:top="1440" w:right="1689" w:bottom="1440" w:left="1800" w:header="851" w:footer="992" w:gutter="0"/>
          <w:pgNumType w:fmt="decimal" w:start="1"/>
          <w:cols w:space="0" w:num="1"/>
          <w:rtlGutter w:val="0"/>
          <w:docGrid w:type="lines" w:linePitch="312" w:charSpace="0"/>
        </w:sectPr>
      </w:pPr>
      <w:bookmarkStart w:id="88" w:name="_GoBack"/>
      <w:bookmarkEnd w:id="88"/>
    </w:p>
    <w:p w14:paraId="57DF6656">
      <w:pPr>
        <w:widowControl/>
        <w:jc w:val="center"/>
        <w:rPr>
          <w:rFonts w:ascii="黑体" w:hAnsi="黑体" w:eastAsia="黑体"/>
          <w:sz w:val="48"/>
          <w:szCs w:val="48"/>
        </w:rPr>
      </w:pP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14:paraId="428A8F7E">
      <w:pPr>
        <w:widowControl/>
        <w:jc w:val="center"/>
        <w:rPr>
          <w:rFonts w:ascii="黑体" w:hAnsi="黑体" w:eastAsia="黑体" w:cstheme="minorBidi"/>
          <w:sz w:val="28"/>
          <w:szCs w:val="28"/>
        </w:rPr>
      </w:pPr>
    </w:p>
    <w:p w14:paraId="37B0E464">
      <w:pPr>
        <w:pStyle w:val="14"/>
        <w:adjustRightInd w:val="0"/>
        <w:snapToGrid w:val="0"/>
        <w:spacing w:line="440" w:lineRule="exact"/>
        <w:ind w:firstLine="2160" w:firstLineChars="900"/>
        <w:jc w:val="left"/>
        <w:rPr>
          <w:rFonts w:hint="eastAsia"/>
          <w:sz w:val="24"/>
        </w:rPr>
      </w:pPr>
      <w:r>
        <w:rPr>
          <w:rFonts w:hint="eastAsia"/>
          <w:sz w:val="24"/>
        </w:rPr>
        <w:t>公开时间：2023年</w:t>
      </w:r>
      <w:r>
        <w:rPr>
          <w:rFonts w:hint="eastAsia"/>
          <w:sz w:val="24"/>
          <w:lang w:val="en-US" w:eastAsia="zh-CN"/>
        </w:rPr>
        <w:t>10</w:t>
      </w:r>
      <w:r>
        <w:rPr>
          <w:rFonts w:hint="eastAsia"/>
          <w:sz w:val="24"/>
        </w:rPr>
        <w:t>月</w:t>
      </w:r>
      <w:r>
        <w:rPr>
          <w:rFonts w:hint="eastAsia"/>
          <w:sz w:val="24"/>
          <w:lang w:val="en-US" w:eastAsia="zh-CN"/>
        </w:rPr>
        <w:t>16</w:t>
      </w:r>
      <w:r>
        <w:rPr>
          <w:rFonts w:hint="eastAsia"/>
          <w:sz w:val="24"/>
        </w:rPr>
        <w:t>日</w:t>
      </w:r>
    </w:p>
    <w:p w14:paraId="6FCAC3EA"/>
    <w:p w14:paraId="6B2DCB6C">
      <w:pPr>
        <w:pStyle w:val="14"/>
        <w:adjustRightInd w:val="0"/>
        <w:snapToGrid w:val="0"/>
        <w:spacing w:line="440" w:lineRule="exact"/>
        <w:jc w:val="left"/>
        <w:rPr>
          <w:rFonts w:hint="eastAsia" w:eastAsia="宋体"/>
          <w:b/>
          <w:bCs/>
          <w:sz w:val="24"/>
          <w:lang w:val="en-US" w:eastAsia="zh-CN"/>
        </w:rPr>
      </w:pPr>
      <w:r>
        <w:rPr>
          <w:rFonts w:hint="eastAsia"/>
          <w:b/>
          <w:bCs/>
          <w:sz w:val="24"/>
        </w:rPr>
        <w:t>第一部分 部门概况</w:t>
      </w:r>
      <w:r>
        <w:rPr>
          <w:rFonts w:hint="eastAsia"/>
          <w:sz w:val="24"/>
        </w:rPr>
        <w:tab/>
      </w:r>
      <w:r>
        <w:rPr>
          <w:rFonts w:hint="eastAsia"/>
          <w:sz w:val="24"/>
          <w:lang w:val="en-US" w:eastAsia="zh-CN"/>
        </w:rPr>
        <w:t>3</w:t>
      </w:r>
    </w:p>
    <w:p w14:paraId="4CE7E707">
      <w:pPr>
        <w:pStyle w:val="14"/>
        <w:adjustRightInd w:val="0"/>
        <w:snapToGrid w:val="0"/>
        <w:spacing w:line="440" w:lineRule="exact"/>
        <w:jc w:val="left"/>
        <w:rPr>
          <w:rFonts w:hint="eastAsia" w:eastAsia="宋体"/>
          <w:sz w:val="24"/>
          <w:lang w:val="en-US" w:eastAsia="zh-CN"/>
        </w:rPr>
      </w:pPr>
      <w:r>
        <w:rPr>
          <w:rFonts w:hint="eastAsia"/>
          <w:sz w:val="24"/>
        </w:rPr>
        <w:t>一、部门职责及重点工作</w:t>
      </w:r>
      <w:r>
        <w:rPr>
          <w:rFonts w:hint="eastAsia"/>
          <w:sz w:val="24"/>
        </w:rPr>
        <w:tab/>
      </w:r>
      <w:r>
        <w:rPr>
          <w:rFonts w:hint="eastAsia"/>
          <w:sz w:val="24"/>
          <w:lang w:val="en-US" w:eastAsia="zh-CN"/>
        </w:rPr>
        <w:t>3</w:t>
      </w:r>
    </w:p>
    <w:p w14:paraId="4D0FB5D4">
      <w:pPr>
        <w:pStyle w:val="14"/>
        <w:adjustRightInd w:val="0"/>
        <w:snapToGrid w:val="0"/>
        <w:spacing w:line="440" w:lineRule="exact"/>
        <w:jc w:val="left"/>
        <w:rPr>
          <w:rFonts w:hint="eastAsia" w:eastAsia="宋体"/>
          <w:sz w:val="24"/>
          <w:lang w:val="en-US" w:eastAsia="zh-CN"/>
        </w:rPr>
      </w:pPr>
      <w:r>
        <w:rPr>
          <w:rFonts w:hint="eastAsia"/>
          <w:sz w:val="24"/>
        </w:rPr>
        <w:t>(一)部门职责</w:t>
      </w:r>
      <w:r>
        <w:rPr>
          <w:rFonts w:hint="eastAsia"/>
          <w:sz w:val="24"/>
        </w:rPr>
        <w:tab/>
      </w:r>
      <w:r>
        <w:rPr>
          <w:rFonts w:hint="eastAsia"/>
          <w:sz w:val="24"/>
          <w:lang w:val="en-US" w:eastAsia="zh-CN"/>
        </w:rPr>
        <w:t>3</w:t>
      </w:r>
    </w:p>
    <w:p w14:paraId="3DA4D511">
      <w:pPr>
        <w:pStyle w:val="14"/>
        <w:adjustRightInd w:val="0"/>
        <w:snapToGrid w:val="0"/>
        <w:spacing w:line="440" w:lineRule="exact"/>
        <w:ind w:left="0" w:leftChars="0" w:firstLine="240" w:firstLineChars="100"/>
        <w:jc w:val="left"/>
        <w:rPr>
          <w:rFonts w:hint="eastAsia" w:eastAsia="宋体"/>
          <w:sz w:val="24"/>
          <w:lang w:val="en-US" w:eastAsia="zh-CN"/>
        </w:rPr>
      </w:pPr>
      <w:r>
        <w:rPr>
          <w:rFonts w:hint="eastAsia"/>
          <w:sz w:val="24"/>
          <w:lang w:eastAsia="zh-CN"/>
        </w:rPr>
        <w:t>（</w:t>
      </w:r>
      <w:r>
        <w:rPr>
          <w:rFonts w:hint="eastAsia"/>
          <w:sz w:val="24"/>
        </w:rPr>
        <w:t>二）2022年重点工作完成情况</w:t>
      </w:r>
      <w:r>
        <w:rPr>
          <w:rFonts w:hint="eastAsia"/>
          <w:sz w:val="24"/>
        </w:rPr>
        <w:tab/>
      </w:r>
      <w:r>
        <w:rPr>
          <w:rFonts w:hint="eastAsia"/>
          <w:sz w:val="24"/>
          <w:lang w:val="en-US" w:eastAsia="zh-CN"/>
        </w:rPr>
        <w:t>4</w:t>
      </w:r>
    </w:p>
    <w:p w14:paraId="6D9368B7">
      <w:pPr>
        <w:pStyle w:val="14"/>
        <w:adjustRightInd w:val="0"/>
        <w:snapToGrid w:val="0"/>
        <w:spacing w:line="440" w:lineRule="exact"/>
        <w:jc w:val="left"/>
        <w:rPr>
          <w:rFonts w:hint="eastAsia"/>
          <w:sz w:val="24"/>
        </w:rPr>
      </w:pPr>
      <w:r>
        <w:rPr>
          <w:rFonts w:hint="eastAsia"/>
          <w:sz w:val="24"/>
        </w:rPr>
        <w:t>二、机构设置</w:t>
      </w:r>
      <w:r>
        <w:rPr>
          <w:rFonts w:hint="eastAsia"/>
          <w:sz w:val="24"/>
        </w:rPr>
        <w:tab/>
      </w:r>
      <w:r>
        <w:rPr>
          <w:rFonts w:hint="eastAsia"/>
          <w:sz w:val="24"/>
          <w:lang w:val="en-US" w:eastAsia="zh-CN"/>
        </w:rPr>
        <w:t xml:space="preserve">10 </w:t>
      </w:r>
    </w:p>
    <w:p w14:paraId="484EA9D2">
      <w:pPr>
        <w:pStyle w:val="14"/>
        <w:adjustRightInd w:val="0"/>
        <w:snapToGrid w:val="0"/>
        <w:spacing w:line="440" w:lineRule="exact"/>
        <w:jc w:val="left"/>
        <w:rPr>
          <w:rFonts w:hint="default" w:eastAsia="宋体"/>
          <w:b/>
          <w:bCs/>
          <w:sz w:val="24"/>
          <w:lang w:val="en-US" w:eastAsia="zh-CN"/>
        </w:rPr>
      </w:pPr>
      <w:r>
        <w:rPr>
          <w:rFonts w:hint="eastAsia"/>
          <w:b/>
          <w:bCs/>
          <w:sz w:val="24"/>
        </w:rPr>
        <w:t>第二部分 2022年度部门决算情况说明</w:t>
      </w:r>
      <w:r>
        <w:rPr>
          <w:rFonts w:hint="eastAsia"/>
          <w:sz w:val="24"/>
        </w:rPr>
        <w:tab/>
      </w:r>
      <w:r>
        <w:rPr>
          <w:rFonts w:hint="eastAsia"/>
          <w:sz w:val="24"/>
          <w:lang w:val="en-US" w:eastAsia="zh-CN"/>
        </w:rPr>
        <w:t>12</w:t>
      </w:r>
    </w:p>
    <w:p w14:paraId="62075039">
      <w:pPr>
        <w:pStyle w:val="14"/>
        <w:adjustRightInd w:val="0"/>
        <w:snapToGrid w:val="0"/>
        <w:spacing w:line="440" w:lineRule="exact"/>
        <w:jc w:val="left"/>
        <w:rPr>
          <w:rFonts w:hint="default" w:eastAsia="宋体"/>
          <w:sz w:val="24"/>
          <w:lang w:val="en-US" w:eastAsia="zh-CN"/>
        </w:rPr>
      </w:pPr>
      <w:r>
        <w:rPr>
          <w:rFonts w:hint="eastAsia"/>
          <w:sz w:val="24"/>
        </w:rPr>
        <w:t>一、收入支出决算总体情况说明</w:t>
      </w:r>
      <w:r>
        <w:rPr>
          <w:rFonts w:hint="eastAsia"/>
          <w:sz w:val="24"/>
        </w:rPr>
        <w:tab/>
      </w:r>
      <w:r>
        <w:rPr>
          <w:rFonts w:hint="eastAsia"/>
          <w:sz w:val="24"/>
          <w:lang w:val="en-US" w:eastAsia="zh-CN"/>
        </w:rPr>
        <w:t>12</w:t>
      </w:r>
    </w:p>
    <w:p w14:paraId="1225B4E5">
      <w:pPr>
        <w:pStyle w:val="14"/>
        <w:adjustRightInd w:val="0"/>
        <w:snapToGrid w:val="0"/>
        <w:spacing w:line="440" w:lineRule="exact"/>
        <w:jc w:val="left"/>
        <w:rPr>
          <w:rFonts w:hint="default" w:eastAsia="宋体"/>
          <w:sz w:val="24"/>
          <w:lang w:val="en-US" w:eastAsia="zh-CN"/>
        </w:rPr>
      </w:pPr>
      <w:r>
        <w:rPr>
          <w:rFonts w:hint="eastAsia"/>
          <w:sz w:val="24"/>
        </w:rPr>
        <w:t>二、收入决算情况说明</w:t>
      </w:r>
      <w:r>
        <w:rPr>
          <w:rFonts w:hint="eastAsia"/>
          <w:sz w:val="24"/>
        </w:rPr>
        <w:tab/>
      </w:r>
      <w:r>
        <w:rPr>
          <w:rFonts w:hint="eastAsia"/>
          <w:sz w:val="24"/>
          <w:lang w:val="en-US" w:eastAsia="zh-CN"/>
        </w:rPr>
        <w:t>13</w:t>
      </w:r>
    </w:p>
    <w:p w14:paraId="0F7C9E86">
      <w:pPr>
        <w:pStyle w:val="14"/>
        <w:adjustRightInd w:val="0"/>
        <w:snapToGrid w:val="0"/>
        <w:spacing w:line="440" w:lineRule="exact"/>
        <w:jc w:val="left"/>
        <w:rPr>
          <w:rFonts w:hint="default" w:eastAsia="宋体"/>
          <w:sz w:val="24"/>
          <w:lang w:val="en-US" w:eastAsia="zh-CN"/>
        </w:rPr>
      </w:pPr>
      <w:r>
        <w:rPr>
          <w:rFonts w:hint="eastAsia"/>
          <w:sz w:val="24"/>
        </w:rPr>
        <w:t>三、支出决算情况说明</w:t>
      </w:r>
      <w:r>
        <w:rPr>
          <w:rFonts w:hint="eastAsia"/>
          <w:sz w:val="24"/>
        </w:rPr>
        <w:tab/>
      </w:r>
      <w:r>
        <w:rPr>
          <w:rFonts w:hint="eastAsia"/>
          <w:sz w:val="24"/>
          <w:lang w:val="en-US" w:eastAsia="zh-CN"/>
        </w:rPr>
        <w:t>13</w:t>
      </w:r>
    </w:p>
    <w:p w14:paraId="1BA6BE89">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四、财政拨款收入支出决算总体情况说明</w:t>
      </w:r>
      <w:r>
        <w:rPr>
          <w:rFonts w:hint="eastAsia"/>
          <w:sz w:val="24"/>
        </w:rPr>
        <w:tab/>
      </w:r>
      <w:r>
        <w:rPr>
          <w:rFonts w:hint="eastAsia"/>
          <w:sz w:val="24"/>
          <w:lang w:val="en-US" w:eastAsia="zh-CN"/>
        </w:rPr>
        <w:t>14</w:t>
      </w:r>
    </w:p>
    <w:p w14:paraId="6B176F53">
      <w:pPr>
        <w:pStyle w:val="14"/>
        <w:adjustRightInd w:val="0"/>
        <w:snapToGrid w:val="0"/>
        <w:spacing w:line="440" w:lineRule="exact"/>
        <w:jc w:val="left"/>
        <w:rPr>
          <w:rFonts w:hint="default" w:eastAsia="宋体"/>
          <w:sz w:val="24"/>
          <w:lang w:val="en-US" w:eastAsia="zh-CN"/>
        </w:rPr>
      </w:pPr>
      <w:r>
        <w:rPr>
          <w:rFonts w:hint="eastAsia"/>
          <w:sz w:val="24"/>
        </w:rPr>
        <w:t>五、一般公共预算财政拨款支出决算情况说明</w:t>
      </w:r>
      <w:r>
        <w:rPr>
          <w:rFonts w:hint="eastAsia"/>
          <w:sz w:val="24"/>
        </w:rPr>
        <w:tab/>
      </w:r>
      <w:r>
        <w:rPr>
          <w:rFonts w:hint="eastAsia"/>
          <w:sz w:val="24"/>
          <w:lang w:val="en-US" w:eastAsia="zh-CN"/>
        </w:rPr>
        <w:t>14</w:t>
      </w:r>
    </w:p>
    <w:p w14:paraId="1EB69B62">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六、一般公共预算财政拨款基本支出决算情况说明</w:t>
      </w:r>
      <w:r>
        <w:rPr>
          <w:rFonts w:hint="eastAsia"/>
          <w:sz w:val="24"/>
        </w:rPr>
        <w:tab/>
      </w:r>
      <w:r>
        <w:rPr>
          <w:rFonts w:hint="eastAsia"/>
          <w:sz w:val="24"/>
          <w:lang w:val="en-US" w:eastAsia="zh-CN"/>
        </w:rPr>
        <w:t>17</w:t>
      </w:r>
    </w:p>
    <w:p w14:paraId="44392C67">
      <w:pPr>
        <w:pStyle w:val="14"/>
        <w:adjustRightInd w:val="0"/>
        <w:snapToGrid w:val="0"/>
        <w:spacing w:line="440" w:lineRule="exact"/>
        <w:jc w:val="left"/>
        <w:rPr>
          <w:rFonts w:hint="default" w:eastAsia="宋体"/>
          <w:sz w:val="24"/>
          <w:lang w:val="en-US" w:eastAsia="zh-CN"/>
        </w:rPr>
      </w:pPr>
      <w:r>
        <w:rPr>
          <w:rFonts w:hint="eastAsia"/>
          <w:sz w:val="24"/>
        </w:rPr>
        <w:t>七、财政拨款“三公”经费支出决算情况说明</w:t>
      </w:r>
      <w:r>
        <w:rPr>
          <w:rFonts w:hint="eastAsia"/>
          <w:sz w:val="24"/>
        </w:rPr>
        <w:tab/>
      </w:r>
      <w:r>
        <w:rPr>
          <w:rFonts w:hint="eastAsia"/>
          <w:sz w:val="24"/>
          <w:lang w:val="en-US" w:eastAsia="zh-CN"/>
        </w:rPr>
        <w:t>17</w:t>
      </w:r>
    </w:p>
    <w:p w14:paraId="0EAB6A91">
      <w:pPr>
        <w:pStyle w:val="14"/>
        <w:adjustRightInd w:val="0"/>
        <w:snapToGrid w:val="0"/>
        <w:spacing w:line="440" w:lineRule="exact"/>
        <w:jc w:val="left"/>
        <w:rPr>
          <w:rFonts w:hint="default" w:eastAsia="宋体"/>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18</w:t>
      </w:r>
    </w:p>
    <w:p w14:paraId="579F48E7">
      <w:pPr>
        <w:pStyle w:val="14"/>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rPr>
        <w:tab/>
      </w:r>
      <w:r>
        <w:rPr>
          <w:rFonts w:hint="eastAsia"/>
          <w:sz w:val="24"/>
          <w:lang w:val="en-US" w:eastAsia="zh-CN"/>
        </w:rPr>
        <w:t>19</w:t>
      </w:r>
    </w:p>
    <w:p w14:paraId="3F66DA34">
      <w:pPr>
        <w:pStyle w:val="14"/>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rPr>
        <w:tab/>
      </w:r>
      <w:r>
        <w:rPr>
          <w:rFonts w:hint="eastAsia"/>
          <w:sz w:val="24"/>
          <w:lang w:val="en-US" w:eastAsia="zh-CN"/>
        </w:rPr>
        <w:t>19</w:t>
      </w:r>
    </w:p>
    <w:p w14:paraId="2603DCBD">
      <w:pPr>
        <w:pStyle w:val="14"/>
        <w:adjustRightInd w:val="0"/>
        <w:snapToGrid w:val="0"/>
        <w:spacing w:line="440" w:lineRule="exact"/>
        <w:jc w:val="left"/>
        <w:rPr>
          <w:rFonts w:hint="default" w:eastAsia="宋体"/>
          <w:b/>
          <w:bCs/>
          <w:sz w:val="24"/>
          <w:lang w:val="en-US" w:eastAsia="zh-CN"/>
        </w:rPr>
      </w:pPr>
      <w:r>
        <w:rPr>
          <w:rFonts w:hint="eastAsia"/>
          <w:b/>
          <w:bCs/>
          <w:sz w:val="24"/>
        </w:rPr>
        <w:t>第三部分 名词解释</w:t>
      </w:r>
      <w:r>
        <w:rPr>
          <w:rFonts w:hint="eastAsia"/>
          <w:sz w:val="24"/>
        </w:rPr>
        <w:tab/>
      </w:r>
      <w:r>
        <w:rPr>
          <w:rFonts w:hint="eastAsia"/>
          <w:sz w:val="24"/>
          <w:lang w:val="en-US" w:eastAsia="zh-CN"/>
        </w:rPr>
        <w:t>20</w:t>
      </w:r>
    </w:p>
    <w:p w14:paraId="1D574A96">
      <w:pPr>
        <w:pStyle w:val="14"/>
        <w:adjustRightInd w:val="0"/>
        <w:snapToGrid w:val="0"/>
        <w:spacing w:line="440" w:lineRule="exact"/>
        <w:jc w:val="left"/>
        <w:rPr>
          <w:rFonts w:hint="default" w:eastAsia="宋体"/>
          <w:b/>
          <w:bCs/>
          <w:sz w:val="24"/>
          <w:lang w:val="en-US" w:eastAsia="zh-CN"/>
        </w:rPr>
      </w:pPr>
      <w:r>
        <w:rPr>
          <w:rFonts w:hint="eastAsia"/>
          <w:b/>
          <w:bCs/>
          <w:sz w:val="24"/>
        </w:rPr>
        <w:t>第四部分 附件</w:t>
      </w:r>
      <w:r>
        <w:rPr>
          <w:rFonts w:hint="eastAsia"/>
          <w:sz w:val="24"/>
        </w:rPr>
        <w:tab/>
      </w:r>
      <w:r>
        <w:rPr>
          <w:rFonts w:hint="eastAsia"/>
          <w:sz w:val="24"/>
          <w:lang w:val="en-US" w:eastAsia="zh-CN"/>
        </w:rPr>
        <w:t>22</w:t>
      </w:r>
    </w:p>
    <w:p w14:paraId="1755192F">
      <w:pPr>
        <w:pStyle w:val="14"/>
        <w:adjustRightInd w:val="0"/>
        <w:snapToGrid w:val="0"/>
        <w:spacing w:line="440" w:lineRule="exact"/>
        <w:jc w:val="left"/>
        <w:rPr>
          <w:rFonts w:hint="default" w:eastAsia="宋体"/>
          <w:b/>
          <w:bCs/>
          <w:sz w:val="24"/>
          <w:lang w:val="en-US" w:eastAsia="zh-CN"/>
        </w:rPr>
      </w:pPr>
      <w:r>
        <w:rPr>
          <w:rFonts w:hint="eastAsia"/>
          <w:b/>
          <w:bCs/>
          <w:sz w:val="24"/>
        </w:rPr>
        <w:t>第五部分 附表</w:t>
      </w:r>
      <w:r>
        <w:rPr>
          <w:rFonts w:hint="eastAsia"/>
          <w:sz w:val="24"/>
        </w:rPr>
        <w:tab/>
      </w:r>
      <w:r>
        <w:rPr>
          <w:rFonts w:hint="eastAsia"/>
          <w:sz w:val="24"/>
          <w:lang w:val="en-US" w:eastAsia="zh-CN"/>
        </w:rPr>
        <w:t>32</w:t>
      </w:r>
    </w:p>
    <w:p w14:paraId="7A32D981">
      <w:pPr>
        <w:pStyle w:val="14"/>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rPr>
        <w:tab/>
      </w:r>
      <w:r>
        <w:rPr>
          <w:rFonts w:hint="eastAsia"/>
          <w:sz w:val="24"/>
          <w:lang w:val="en-US" w:eastAsia="zh-CN"/>
        </w:rPr>
        <w:t>32</w:t>
      </w:r>
    </w:p>
    <w:p w14:paraId="50BA2936">
      <w:pPr>
        <w:pStyle w:val="14"/>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rPr>
        <w:tab/>
      </w:r>
      <w:r>
        <w:rPr>
          <w:rFonts w:hint="eastAsia"/>
          <w:sz w:val="24"/>
          <w:lang w:val="en-US" w:eastAsia="zh-CN"/>
        </w:rPr>
        <w:t>32</w:t>
      </w:r>
    </w:p>
    <w:p w14:paraId="65E86137">
      <w:pPr>
        <w:pStyle w:val="14"/>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rPr>
        <w:tab/>
      </w:r>
      <w:r>
        <w:rPr>
          <w:rFonts w:hint="eastAsia"/>
          <w:sz w:val="24"/>
          <w:lang w:val="en-US" w:eastAsia="zh-CN"/>
        </w:rPr>
        <w:t>32</w:t>
      </w:r>
    </w:p>
    <w:p w14:paraId="48F69069">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rPr>
        <w:tab/>
      </w:r>
      <w:r>
        <w:rPr>
          <w:rFonts w:hint="eastAsia"/>
          <w:sz w:val="24"/>
          <w:lang w:val="en-US" w:eastAsia="zh-CN"/>
        </w:rPr>
        <w:t>32</w:t>
      </w:r>
    </w:p>
    <w:p w14:paraId="16FDDE27">
      <w:pPr>
        <w:pStyle w:val="14"/>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rPr>
        <w:tab/>
      </w:r>
      <w:r>
        <w:rPr>
          <w:rFonts w:hint="eastAsia"/>
          <w:sz w:val="24"/>
          <w:lang w:val="en-US" w:eastAsia="zh-CN"/>
        </w:rPr>
        <w:t>32</w:t>
      </w:r>
    </w:p>
    <w:p w14:paraId="525E437E">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rPr>
        <w:tab/>
      </w:r>
      <w:r>
        <w:rPr>
          <w:rFonts w:hint="eastAsia"/>
          <w:sz w:val="24"/>
          <w:lang w:val="en-US" w:eastAsia="zh-CN"/>
        </w:rPr>
        <w:t>32</w:t>
      </w:r>
    </w:p>
    <w:p w14:paraId="609292A3">
      <w:pPr>
        <w:pStyle w:val="14"/>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rPr>
        <w:tab/>
      </w:r>
      <w:r>
        <w:rPr>
          <w:rFonts w:hint="eastAsia"/>
          <w:sz w:val="24"/>
          <w:lang w:val="en-US" w:eastAsia="zh-CN"/>
        </w:rPr>
        <w:t>32</w:t>
      </w:r>
    </w:p>
    <w:p w14:paraId="04509541">
      <w:pPr>
        <w:pStyle w:val="14"/>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rPr>
        <w:tab/>
      </w:r>
      <w:r>
        <w:rPr>
          <w:rFonts w:hint="eastAsia"/>
          <w:sz w:val="24"/>
          <w:lang w:val="en-US" w:eastAsia="zh-CN"/>
        </w:rPr>
        <w:t>32</w:t>
      </w:r>
    </w:p>
    <w:p w14:paraId="7D484158">
      <w:pPr>
        <w:pStyle w:val="14"/>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rPr>
        <w:tab/>
      </w:r>
      <w:r>
        <w:rPr>
          <w:rFonts w:hint="eastAsia"/>
          <w:sz w:val="24"/>
          <w:lang w:val="en-US" w:eastAsia="zh-CN"/>
        </w:rPr>
        <w:t>32</w:t>
      </w:r>
    </w:p>
    <w:p w14:paraId="11500E66">
      <w:pPr>
        <w:pStyle w:val="14"/>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rPr>
        <w:tab/>
      </w:r>
      <w:r>
        <w:rPr>
          <w:rFonts w:hint="eastAsia"/>
          <w:sz w:val="24"/>
          <w:lang w:val="en-US" w:eastAsia="zh-CN"/>
        </w:rPr>
        <w:t>32</w:t>
      </w:r>
    </w:p>
    <w:p w14:paraId="0EAEAA96">
      <w:pPr>
        <w:pStyle w:val="14"/>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rPr>
        <w:tab/>
      </w:r>
      <w:r>
        <w:rPr>
          <w:rFonts w:hint="eastAsia"/>
          <w:sz w:val="24"/>
          <w:lang w:val="en-US" w:eastAsia="zh-CN"/>
        </w:rPr>
        <w:t>32</w:t>
      </w:r>
    </w:p>
    <w:p w14:paraId="43B3E937">
      <w:pPr>
        <w:pStyle w:val="14"/>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rPr>
        <w:tab/>
      </w:r>
      <w:r>
        <w:rPr>
          <w:rFonts w:hint="eastAsia"/>
          <w:sz w:val="24"/>
          <w:lang w:val="en-US" w:eastAsia="zh-CN"/>
        </w:rPr>
        <w:t>32</w:t>
      </w:r>
    </w:p>
    <w:p w14:paraId="74E1847C">
      <w:pPr>
        <w:pStyle w:val="14"/>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rPr>
        <w:tab/>
      </w:r>
      <w:r>
        <w:rPr>
          <w:rFonts w:hint="eastAsia"/>
          <w:sz w:val="24"/>
          <w:lang w:val="en-US" w:eastAsia="zh-CN"/>
        </w:rPr>
        <w:t>32</w:t>
      </w:r>
    </w:p>
    <w:p w14:paraId="7446673E">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01B63D55">
      <w:pPr>
        <w:pStyle w:val="2"/>
        <w:spacing w:before="0" w:after="0" w:line="240" w:lineRule="auto"/>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14:paraId="285A7555">
      <w:pPr>
        <w:pStyle w:val="3"/>
        <w:spacing w:before="0" w:after="0" w:line="240" w:lineRule="auto"/>
        <w:ind w:firstLine="640" w:firstLineChars="200"/>
        <w:rPr>
          <w:rFonts w:hint="eastAsia" w:ascii="黑体" w:hAnsi="黑体" w:eastAsia="黑体"/>
          <w:b w:val="0"/>
        </w:rPr>
      </w:pPr>
      <w:r>
        <w:rPr>
          <w:rFonts w:hint="eastAsia" w:ascii="黑体" w:hAnsi="黑体" w:eastAsia="黑体"/>
          <w:b w:val="0"/>
        </w:rPr>
        <w:t>一、部门职责及重点工作</w:t>
      </w:r>
    </w:p>
    <w:p w14:paraId="7348708F">
      <w:pPr>
        <w:pStyle w:val="3"/>
        <w:bidi w:val="0"/>
        <w:spacing w:before="0" w:after="0" w:line="240" w:lineRule="auto"/>
        <w:ind w:firstLine="321" w:firstLineChars="100"/>
        <w:rPr>
          <w:rFonts w:hint="eastAsia"/>
          <w:lang w:eastAsia="zh-CN"/>
        </w:rPr>
      </w:pPr>
      <w:r>
        <w:rPr>
          <w:rFonts w:hint="eastAsia"/>
          <w:lang w:eastAsia="zh-CN"/>
        </w:rPr>
        <w:t>（一）部门职责</w:t>
      </w:r>
      <w:bookmarkStart w:id="14" w:name="_Toc24683"/>
    </w:p>
    <w:p w14:paraId="154A67C9">
      <w:pPr>
        <w:pStyle w:val="3"/>
        <w:bidi w:val="0"/>
        <w:spacing w:before="0" w:after="0" w:line="240" w:lineRule="auto"/>
        <w:ind w:firstLine="624" w:firstLineChars="200"/>
        <w:rPr>
          <w:rFonts w:hint="eastAsia" w:ascii="仿宋_GB2312" w:hAnsi="仿宋_GB2312" w:eastAsia="仿宋_GB2312" w:cs="仿宋_GB2312"/>
          <w:b w:val="0"/>
          <w:bCs w:val="0"/>
          <w:snapToGrid w:val="0"/>
          <w:color w:val="000000"/>
          <w:spacing w:val="-4"/>
          <w:kern w:val="0"/>
          <w:sz w:val="32"/>
          <w:szCs w:val="32"/>
        </w:rPr>
      </w:pPr>
      <w:r>
        <w:rPr>
          <w:rFonts w:hint="eastAsia" w:ascii="仿宋_GB2312" w:hAnsi="仿宋_GB2312" w:eastAsia="仿宋_GB2312" w:cs="仿宋_GB2312"/>
          <w:b w:val="0"/>
          <w:bCs w:val="0"/>
          <w:snapToGrid w:val="0"/>
          <w:color w:val="000000"/>
          <w:spacing w:val="-4"/>
          <w:kern w:val="0"/>
          <w:sz w:val="32"/>
          <w:szCs w:val="32"/>
        </w:rPr>
        <w:t>1.协助县政府领导组织起草或审核以县政府、县政府办公室名义发布的公文。办理市政府、市政府办公室及市政府各部门发送到县政府的文电。指导全县行政机关公文处理工作。</w:t>
      </w:r>
      <w:bookmarkEnd w:id="14"/>
    </w:p>
    <w:p w14:paraId="7E46EABB">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2.对各部门和乡镇人民政府请示县政府的事项，拟定处理意</w:t>
      </w:r>
      <w:r>
        <w:rPr>
          <w:rFonts w:hint="eastAsia" w:ascii="仿宋_GB2312" w:hAnsi="仿宋_GB2312" w:eastAsia="仿宋_GB2312" w:cs="仿宋_GB2312"/>
          <w:b w:val="0"/>
          <w:bCs w:val="0"/>
          <w:spacing w:val="-8"/>
          <w:sz w:val="32"/>
          <w:szCs w:val="32"/>
        </w:rPr>
        <w:t>见，报县政府领导审批。</w:t>
      </w:r>
    </w:p>
    <w:p w14:paraId="26DCD37D">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3.负责县政府各类会议的会务工作，协助县政府领导组织实施会议决定事项。</w:t>
      </w:r>
    </w:p>
    <w:p w14:paraId="2C44DB0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4.督促检查县政府部门和乡镇人民政府对县政府决定事项和县政府领导指示、批示事项的贯彻落实情况，及时向</w:t>
      </w:r>
      <w:r>
        <w:rPr>
          <w:rFonts w:hint="eastAsia" w:ascii="仿宋_GB2312" w:hAnsi="仿宋_GB2312" w:eastAsia="仿宋_GB2312" w:cs="仿宋_GB2312"/>
          <w:b w:val="0"/>
          <w:bCs w:val="0"/>
          <w:spacing w:val="-6"/>
          <w:sz w:val="32"/>
          <w:szCs w:val="32"/>
        </w:rPr>
        <w:t>县政府领导报</w:t>
      </w:r>
      <w:r>
        <w:rPr>
          <w:rFonts w:hint="eastAsia" w:ascii="仿宋_GB2312" w:hAnsi="仿宋_GB2312" w:eastAsia="仿宋_GB2312" w:cs="仿宋_GB2312"/>
          <w:b w:val="0"/>
          <w:bCs w:val="0"/>
          <w:spacing w:val="-11"/>
          <w:sz w:val="32"/>
          <w:szCs w:val="32"/>
        </w:rPr>
        <w:t>告。</w:t>
      </w:r>
    </w:p>
    <w:p w14:paraId="2C98670F">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5.根据县政府领导的指示，对县政府部门间</w:t>
      </w:r>
      <w:r>
        <w:rPr>
          <w:rFonts w:hint="eastAsia" w:ascii="仿宋_GB2312" w:hAnsi="仿宋_GB2312" w:eastAsia="仿宋_GB2312" w:cs="仿宋_GB2312"/>
          <w:b w:val="0"/>
          <w:bCs w:val="0"/>
          <w:spacing w:val="-5"/>
          <w:sz w:val="32"/>
          <w:szCs w:val="32"/>
        </w:rPr>
        <w:t>的争议问题提出</w:t>
      </w:r>
      <w:r>
        <w:rPr>
          <w:rFonts w:hint="eastAsia" w:ascii="仿宋_GB2312" w:hAnsi="仿宋_GB2312" w:eastAsia="仿宋_GB2312" w:cs="仿宋_GB2312"/>
          <w:b w:val="0"/>
          <w:bCs w:val="0"/>
          <w:spacing w:val="-6"/>
          <w:sz w:val="32"/>
          <w:szCs w:val="32"/>
        </w:rPr>
        <w:t>处理意见和建议，报县政府领导决定。</w:t>
      </w:r>
    </w:p>
    <w:p w14:paraId="59222794">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6.负责县政府值班工作，指导县政府部门和乡镇人民政府的值班工作，及时报告重要情况。</w:t>
      </w:r>
    </w:p>
    <w:p w14:paraId="30767F6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7.指导、监督全县政府信息公开、电子政务及政府网</w:t>
      </w:r>
      <w:r>
        <w:rPr>
          <w:rFonts w:hint="eastAsia" w:ascii="仿宋_GB2312" w:hAnsi="仿宋_GB2312" w:eastAsia="仿宋_GB2312" w:cs="仿宋_GB2312"/>
          <w:b w:val="0"/>
          <w:bCs w:val="0"/>
          <w:spacing w:val="-5"/>
          <w:sz w:val="32"/>
          <w:szCs w:val="32"/>
        </w:rPr>
        <w:t>站建设</w:t>
      </w:r>
      <w:r>
        <w:rPr>
          <w:rFonts w:hint="eastAsia" w:ascii="仿宋_GB2312" w:hAnsi="仿宋_GB2312" w:eastAsia="仿宋_GB2312" w:cs="仿宋_GB2312"/>
          <w:b w:val="0"/>
          <w:bCs w:val="0"/>
          <w:spacing w:val="-6"/>
          <w:sz w:val="32"/>
          <w:szCs w:val="32"/>
        </w:rPr>
        <w:t>和管理工作。</w:t>
      </w:r>
    </w:p>
    <w:p w14:paraId="790F2646">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8.组织办理涉及县政府工作的人大代表议案、批评、建议和</w:t>
      </w:r>
      <w:r>
        <w:rPr>
          <w:rFonts w:hint="eastAsia" w:ascii="仿宋_GB2312" w:hAnsi="仿宋_GB2312" w:eastAsia="仿宋_GB2312" w:cs="仿宋_GB2312"/>
          <w:b w:val="0"/>
          <w:bCs w:val="0"/>
          <w:spacing w:val="-6"/>
          <w:sz w:val="32"/>
          <w:szCs w:val="32"/>
        </w:rPr>
        <w:t>政协委员提案、建议案工作。</w:t>
      </w:r>
    </w:p>
    <w:p w14:paraId="4831E520">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5"/>
          <w:sz w:val="32"/>
          <w:szCs w:val="32"/>
        </w:rPr>
        <w:t>9.</w:t>
      </w:r>
      <w:r>
        <w:rPr>
          <w:rFonts w:hint="eastAsia" w:ascii="仿宋_GB2312" w:hAnsi="仿宋_GB2312" w:eastAsia="仿宋_GB2312" w:cs="仿宋_GB2312"/>
          <w:b w:val="0"/>
          <w:bCs w:val="0"/>
          <w:spacing w:val="-6"/>
          <w:sz w:val="32"/>
          <w:szCs w:val="32"/>
        </w:rPr>
        <w:t>围绕县政府中心工作、重点工作和根据县政府领导同志的指示、批示，组织专题调查研究，及时反映情况，提出建设性意见。</w:t>
      </w:r>
    </w:p>
    <w:p w14:paraId="0AFC9A4D">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10.承担非经营性资产新建、调配审批、公务车辆</w:t>
      </w:r>
      <w:r>
        <w:rPr>
          <w:rFonts w:hint="eastAsia" w:ascii="仿宋_GB2312" w:hAnsi="仿宋_GB2312" w:eastAsia="仿宋_GB2312" w:cs="仿宋_GB2312"/>
          <w:b w:val="0"/>
          <w:bCs w:val="0"/>
          <w:spacing w:val="-8"/>
          <w:sz w:val="32"/>
          <w:szCs w:val="32"/>
        </w:rPr>
        <w:t>编制审批、</w:t>
      </w:r>
      <w:r>
        <w:rPr>
          <w:rFonts w:hint="eastAsia" w:ascii="仿宋_GB2312" w:hAnsi="仿宋_GB2312" w:eastAsia="仿宋_GB2312" w:cs="仿宋_GB2312"/>
          <w:b w:val="0"/>
          <w:bCs w:val="0"/>
          <w:spacing w:val="-6"/>
          <w:sz w:val="32"/>
          <w:szCs w:val="32"/>
        </w:rPr>
        <w:t>公共机构节约能源资源管理。</w:t>
      </w:r>
    </w:p>
    <w:p w14:paraId="6795742A">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11.指导、协调、推进、监督全县优化营商环境、政务服务</w:t>
      </w:r>
      <w:r>
        <w:rPr>
          <w:rFonts w:hint="eastAsia" w:ascii="仿宋_GB2312" w:hAnsi="仿宋_GB2312" w:eastAsia="仿宋_GB2312" w:cs="仿宋_GB2312"/>
          <w:b w:val="0"/>
          <w:bCs w:val="0"/>
          <w:spacing w:val="-6"/>
          <w:sz w:val="32"/>
          <w:szCs w:val="32"/>
        </w:rPr>
        <w:t>管理、深化行政审批制度改革等工作。</w:t>
      </w:r>
    </w:p>
    <w:p w14:paraId="73564546">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12.负责县政府总值班室工作，指导全县值班管理，协助县</w:t>
      </w:r>
      <w:r>
        <w:rPr>
          <w:rFonts w:hint="eastAsia" w:ascii="仿宋_GB2312" w:hAnsi="仿宋_GB2312" w:eastAsia="仿宋_GB2312" w:cs="仿宋_GB2312"/>
          <w:b w:val="0"/>
          <w:bCs w:val="0"/>
          <w:spacing w:val="-15"/>
          <w:sz w:val="32"/>
          <w:szCs w:val="32"/>
        </w:rPr>
        <w:t>政府领导做好突发事件的应急处置工作。</w:t>
      </w:r>
    </w:p>
    <w:p w14:paraId="0ABD6966">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13.管理县政府办直属单位。</w:t>
      </w:r>
    </w:p>
    <w:p w14:paraId="4F2924DD">
      <w:pPr>
        <w:numPr>
          <w:ilvl w:val="0"/>
          <w:numId w:val="0"/>
        </w:numPr>
        <w:ind w:firstLine="576" w:firstLineChars="200"/>
      </w:pPr>
      <w:r>
        <w:rPr>
          <w:rFonts w:hint="eastAsia" w:ascii="仿宋_GB2312" w:hAnsi="仿宋_GB2312" w:eastAsia="仿宋_GB2312" w:cs="仿宋_GB2312"/>
          <w:b w:val="0"/>
          <w:bCs w:val="0"/>
          <w:spacing w:val="-16"/>
          <w:sz w:val="32"/>
          <w:szCs w:val="32"/>
        </w:rPr>
        <w:t>14.办理县政府和县政府领导交办的其他事项。</w:t>
      </w:r>
    </w:p>
    <w:p w14:paraId="454E6CC4">
      <w:pPr>
        <w:pStyle w:val="14"/>
        <w:adjustRightInd w:val="0"/>
        <w:snapToGrid w:val="0"/>
        <w:spacing w:line="440" w:lineRule="exact"/>
        <w:jc w:val="left"/>
        <w:rPr>
          <w:rFonts w:ascii="黑体" w:hAnsi="黑体" w:eastAsia="黑体"/>
          <w:b/>
          <w:bCs/>
          <w:sz w:val="32"/>
          <w:szCs w:val="32"/>
        </w:rPr>
      </w:pPr>
      <w:bookmarkStart w:id="15" w:name="_Toc15396601"/>
      <w:bookmarkStart w:id="16" w:name="_Toc15377200"/>
      <w:r>
        <w:rPr>
          <w:rFonts w:hint="eastAsia" w:ascii="黑体" w:hAnsi="黑体" w:eastAsia="黑体"/>
          <w:sz w:val="32"/>
          <w:szCs w:val="32"/>
        </w:rPr>
        <w:t>（二）2022年重点工作完成情况</w:t>
      </w:r>
    </w:p>
    <w:p w14:paraId="6655326C">
      <w:pPr>
        <w:keepNext w:val="0"/>
        <w:keepLines w:val="0"/>
        <w:pageBreakBefore w:val="0"/>
        <w:widowControl w:val="0"/>
        <w:kinsoku/>
        <w:wordWrap/>
        <w:overflowPunct/>
        <w:topLinePunct w:val="0"/>
        <w:autoSpaceDE/>
        <w:autoSpaceDN/>
        <w:bidi w:val="0"/>
        <w:spacing w:line="576" w:lineRule="exact"/>
        <w:ind w:firstLine="643" w:firstLineChars="200"/>
        <w:rPr>
          <w:rStyle w:val="36"/>
          <w:rFonts w:hint="eastAsia" w:ascii="黑体" w:hAnsi="黑体" w:eastAsia="黑体" w:cs="黑体"/>
          <w:b/>
          <w:bCs/>
          <w:i w:val="0"/>
          <w:caps w:val="0"/>
          <w:color w:val="000000"/>
          <w:spacing w:val="0"/>
          <w:w w:val="100"/>
          <w:kern w:val="2"/>
          <w:sz w:val="32"/>
          <w:szCs w:val="32"/>
          <w:lang w:val="en-US" w:eastAsia="zh-CN" w:bidi="ar-SA"/>
        </w:rPr>
      </w:pPr>
      <w:r>
        <w:rPr>
          <w:rStyle w:val="36"/>
          <w:rFonts w:hint="eastAsia" w:ascii="黑体" w:hAnsi="黑体" w:eastAsia="黑体" w:cs="黑体"/>
          <w:b/>
          <w:bCs/>
          <w:i w:val="0"/>
          <w:caps w:val="0"/>
          <w:color w:val="000000"/>
          <w:spacing w:val="0"/>
          <w:w w:val="100"/>
          <w:kern w:val="2"/>
          <w:sz w:val="32"/>
          <w:szCs w:val="32"/>
          <w:lang w:val="en-US" w:eastAsia="zh-CN" w:bidi="ar-SA"/>
        </w:rPr>
        <w:t>一、加强思想政治建设</w:t>
      </w:r>
    </w:p>
    <w:p w14:paraId="2D4B8217">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rPr>
          <w:rStyle w:val="36"/>
          <w:rFonts w:hint="eastAsia" w:ascii="仿宋_GB2312" w:hAnsi="仿宋_GB2312" w:eastAsia="仿宋_GB2312" w:cs="仿宋_GB2312"/>
          <w:b w:val="0"/>
          <w:bCs w:val="0"/>
          <w:i w:val="0"/>
          <w:caps w:val="0"/>
          <w:spacing w:val="0"/>
          <w:w w:val="100"/>
          <w:kern w:val="2"/>
          <w:sz w:val="32"/>
          <w:szCs w:val="32"/>
          <w:lang w:val="en-US" w:eastAsia="zh-CN" w:bidi="ar-SA"/>
        </w:rPr>
      </w:pPr>
      <w:r>
        <w:rPr>
          <w:rStyle w:val="36"/>
          <w:rFonts w:hint="eastAsia" w:ascii="仿宋_GB2312" w:hAnsi="仿宋_GB2312" w:eastAsia="仿宋_GB2312" w:cs="仿宋_GB2312"/>
          <w:b w:val="0"/>
          <w:bCs w:val="0"/>
          <w:i w:val="0"/>
          <w:caps w:val="0"/>
          <w:spacing w:val="0"/>
          <w:w w:val="100"/>
          <w:kern w:val="2"/>
          <w:sz w:val="32"/>
          <w:szCs w:val="32"/>
          <w:lang w:val="en-US" w:eastAsia="zh-CN" w:bidi="ar-SA"/>
        </w:rPr>
        <w:t>全面加强学习型机关建设，深刻学习领会习近平新时代中国特色社会主义思想的丰富内涵，全面贯彻落实党的二十大精神，不断提高干部职工的政治理论水平，全年开展“周三夜学”活动</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43</w:t>
      </w:r>
      <w:r>
        <w:rPr>
          <w:rStyle w:val="36"/>
          <w:rFonts w:hint="eastAsia" w:ascii="仿宋_GB2312" w:hAnsi="仿宋_GB2312" w:eastAsia="仿宋_GB2312" w:cs="仿宋_GB2312"/>
          <w:b w:val="0"/>
          <w:bCs w:val="0"/>
          <w:i w:val="0"/>
          <w:caps w:val="0"/>
          <w:spacing w:val="0"/>
          <w:w w:val="100"/>
          <w:kern w:val="2"/>
          <w:sz w:val="32"/>
          <w:szCs w:val="32"/>
          <w:lang w:val="en-US" w:eastAsia="zh-CN" w:bidi="ar-SA"/>
        </w:rPr>
        <w:t>次。坚持不懈抓好理论武装，持续筑牢思想根基，坚定用习近平新时代中国特色社会主义思想武装党员干部，推动学习贯彻往深里走、往实里走、往心里走。坚持经常性政治教育，通过党组理论学习中心组学习《习近平谈治国理政》第四卷和《关于全面深入持久开展民族团结进步创建工作铸牢中华民族共同体意识的意见》等内容，及时跟进学习习近平总书记的重要讲话以及中央、省、市、县各类重要会议精神及条例条规等内容。</w:t>
      </w:r>
    </w:p>
    <w:p w14:paraId="66354D4E">
      <w:pPr>
        <w:keepNext w:val="0"/>
        <w:keepLines w:val="0"/>
        <w:pageBreakBefore w:val="0"/>
        <w:widowControl w:val="0"/>
        <w:kinsoku/>
        <w:wordWrap/>
        <w:overflowPunct/>
        <w:topLinePunct w:val="0"/>
        <w:autoSpaceDE/>
        <w:autoSpaceDN/>
        <w:bidi w:val="0"/>
        <w:spacing w:line="576" w:lineRule="exact"/>
        <w:ind w:firstLine="643" w:firstLineChars="200"/>
        <w:rPr>
          <w:rStyle w:val="36"/>
          <w:rFonts w:hint="eastAsia" w:ascii="黑体" w:hAnsi="黑体" w:eastAsia="黑体" w:cs="黑体"/>
          <w:b/>
          <w:bCs/>
          <w:i w:val="0"/>
          <w:caps w:val="0"/>
          <w:color w:val="000000"/>
          <w:spacing w:val="0"/>
          <w:w w:val="100"/>
          <w:kern w:val="2"/>
          <w:sz w:val="32"/>
          <w:szCs w:val="32"/>
          <w:lang w:val="en-US" w:eastAsia="zh-CN" w:bidi="ar-SA"/>
        </w:rPr>
      </w:pPr>
      <w:r>
        <w:rPr>
          <w:rStyle w:val="36"/>
          <w:rFonts w:hint="eastAsia" w:ascii="黑体" w:hAnsi="黑体" w:eastAsia="黑体" w:cs="黑体"/>
          <w:b/>
          <w:bCs/>
          <w:i w:val="0"/>
          <w:caps w:val="0"/>
          <w:color w:val="000000"/>
          <w:spacing w:val="0"/>
          <w:w w:val="100"/>
          <w:kern w:val="2"/>
          <w:sz w:val="32"/>
          <w:szCs w:val="32"/>
          <w:lang w:val="en-US" w:eastAsia="zh-CN" w:bidi="ar-SA"/>
        </w:rPr>
        <w:t>二、提升参谋辅政能力</w:t>
      </w:r>
    </w:p>
    <w:p w14:paraId="2C1D0297">
      <w:pPr>
        <w:keepNext w:val="0"/>
        <w:keepLines w:val="0"/>
        <w:pageBreakBefore w:val="0"/>
        <w:widowControl w:val="0"/>
        <w:kinsoku/>
        <w:wordWrap/>
        <w:overflowPunct/>
        <w:topLinePunct w:val="0"/>
        <w:autoSpaceDE/>
        <w:autoSpaceDN/>
        <w:bidi w:val="0"/>
        <w:spacing w:line="576" w:lineRule="exact"/>
        <w:ind w:firstLine="643" w:firstLineChars="200"/>
        <w:rPr>
          <w:rStyle w:val="36"/>
          <w:rFonts w:hint="eastAsia" w:ascii="楷体_GB2312" w:hAnsi="楷体_GB2312" w:eastAsia="楷体_GB2312" w:cs="楷体_GB2312"/>
          <w:b/>
          <w:bCs/>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bCs/>
          <w:i w:val="0"/>
          <w:caps w:val="0"/>
          <w:color w:val="000000"/>
          <w:spacing w:val="0"/>
          <w:w w:val="100"/>
          <w:kern w:val="2"/>
          <w:sz w:val="32"/>
          <w:szCs w:val="32"/>
          <w:lang w:val="en-US" w:eastAsia="zh-CN" w:bidi="ar-SA"/>
        </w:rPr>
        <w:t>（一）政务信息卓有成效</w:t>
      </w:r>
    </w:p>
    <w:p w14:paraId="4F2A5CC8">
      <w:pPr>
        <w:pStyle w:val="5"/>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rPr>
          <w:rFonts w:hint="eastAsia"/>
          <w:lang w:val="en-US" w:eastAsia="zh-CN"/>
        </w:rPr>
      </w:pPr>
      <w:r>
        <w:rPr>
          <w:rFonts w:hint="eastAsia" w:ascii="仿宋_GB2312" w:hAnsi="仿宋_GB2312" w:eastAsia="仿宋_GB2312" w:cs="仿宋_GB2312"/>
          <w:b/>
          <w:bCs w:val="0"/>
          <w:sz w:val="32"/>
          <w:szCs w:val="32"/>
          <w:lang w:eastAsia="zh-CN"/>
        </w:rPr>
        <w:t>一是</w:t>
      </w:r>
      <w:r>
        <w:rPr>
          <w:rFonts w:hint="eastAsia" w:ascii="仿宋_GB2312" w:hAnsi="仿宋_GB2312" w:eastAsia="仿宋_GB2312" w:cs="仿宋_GB2312"/>
          <w:b/>
          <w:bCs w:val="0"/>
          <w:kern w:val="0"/>
          <w:sz w:val="32"/>
          <w:szCs w:val="32"/>
        </w:rPr>
        <w:t>运行机制</w:t>
      </w:r>
      <w:r>
        <w:rPr>
          <w:rFonts w:hint="eastAsia" w:ascii="仿宋_GB2312" w:hAnsi="仿宋_GB2312" w:eastAsia="仿宋_GB2312" w:cs="仿宋_GB2312"/>
          <w:b/>
          <w:bCs w:val="0"/>
          <w:kern w:val="0"/>
          <w:sz w:val="32"/>
          <w:szCs w:val="32"/>
          <w:lang w:eastAsia="zh-CN"/>
        </w:rPr>
        <w:t>更加健全。</w:t>
      </w:r>
      <w:r>
        <w:rPr>
          <w:rFonts w:hint="eastAsia" w:ascii="仿宋_GB2312" w:hAnsi="仿宋_GB2312" w:eastAsia="仿宋_GB2312" w:cs="仿宋_GB2312"/>
          <w:kern w:val="0"/>
          <w:sz w:val="32"/>
          <w:szCs w:val="32"/>
        </w:rPr>
        <w:t>在全县乡镇、部门遴选35岁以下、有写作功底人员130余纳入信息员梯队培养。</w:t>
      </w:r>
      <w:r>
        <w:rPr>
          <w:rFonts w:hint="eastAsia" w:ascii="仿宋_GB2312" w:hAnsi="仿宋_GB2312" w:eastAsia="仿宋_GB2312" w:cs="仿宋_GB2312"/>
          <w:kern w:val="0"/>
          <w:sz w:val="32"/>
          <w:szCs w:val="32"/>
          <w:lang w:val="en-US" w:eastAsia="zh-CN"/>
        </w:rPr>
        <w:t>依托</w:t>
      </w:r>
      <w:r>
        <w:rPr>
          <w:rFonts w:hint="eastAsia" w:ascii="仿宋_GB2312" w:hAnsi="仿宋_GB2312" w:eastAsia="仿宋_GB2312" w:cs="仿宋_GB2312"/>
          <w:kern w:val="0"/>
          <w:sz w:val="32"/>
          <w:szCs w:val="32"/>
        </w:rPr>
        <w:t>顶岗锻炼计划</w:t>
      </w:r>
      <w:r>
        <w:rPr>
          <w:rFonts w:hint="eastAsia" w:ascii="仿宋_GB2312" w:hAnsi="仿宋_GB2312" w:eastAsia="仿宋_GB2312" w:cs="仿宋_GB2312"/>
          <w:kern w:val="0"/>
          <w:sz w:val="32"/>
          <w:szCs w:val="32"/>
          <w:lang w:val="en-US" w:eastAsia="zh-CN"/>
        </w:rPr>
        <w:t>开展信息员</w:t>
      </w:r>
      <w:r>
        <w:rPr>
          <w:rFonts w:hint="eastAsia" w:ascii="仿宋_GB2312" w:hAnsi="仿宋_GB2312" w:eastAsia="仿宋_GB2312" w:cs="仿宋_GB2312"/>
          <w:kern w:val="0"/>
          <w:sz w:val="32"/>
          <w:szCs w:val="32"/>
        </w:rPr>
        <w:t>轮训，全面提高综合业务能力，</w:t>
      </w:r>
      <w:r>
        <w:rPr>
          <w:rFonts w:hint="eastAsia" w:ascii="仿宋_GB2312" w:hAnsi="仿宋_GB2312" w:eastAsia="仿宋_GB2312" w:cs="仿宋_GB2312"/>
          <w:kern w:val="0"/>
          <w:sz w:val="32"/>
          <w:szCs w:val="32"/>
          <w:lang w:val="en-US" w:eastAsia="zh-CN"/>
        </w:rPr>
        <w:t>目前已完成</w:t>
      </w:r>
      <w:r>
        <w:rPr>
          <w:rFonts w:hint="eastAsia" w:ascii="仿宋_GB2312" w:hAnsi="仿宋_GB2312" w:eastAsia="仿宋_GB2312" w:cs="仿宋_GB2312"/>
          <w:kern w:val="0"/>
          <w:sz w:val="32"/>
          <w:szCs w:val="32"/>
        </w:rPr>
        <w:t>轮训</w:t>
      </w:r>
      <w:r>
        <w:rPr>
          <w:rFonts w:hint="eastAsia" w:ascii="仿宋_GB2312" w:hAnsi="仿宋_GB2312" w:eastAsia="仿宋_GB2312" w:cs="仿宋_GB2312"/>
          <w:kern w:val="0"/>
          <w:sz w:val="32"/>
          <w:szCs w:val="32"/>
          <w:lang w:val="en-US" w:eastAsia="zh-CN"/>
        </w:rPr>
        <w:t>3批次1</w:t>
      </w:r>
      <w:r>
        <w:rPr>
          <w:rFonts w:hint="eastAsia" w:ascii="仿宋_GB2312" w:hAnsi="仿宋_GB2312" w:eastAsia="仿宋_GB2312" w:cs="仿宋_GB2312"/>
          <w:kern w:val="0"/>
          <w:sz w:val="32"/>
          <w:szCs w:val="32"/>
        </w:rPr>
        <w:t>5人。</w:t>
      </w:r>
      <w:r>
        <w:rPr>
          <w:rFonts w:hint="eastAsia" w:ascii="仿宋_GB2312" w:hAnsi="仿宋_GB2312" w:eastAsia="仿宋_GB2312" w:cs="仿宋_GB2312"/>
          <w:kern w:val="0"/>
          <w:sz w:val="32"/>
          <w:szCs w:val="32"/>
          <w:lang w:val="en-US" w:eastAsia="zh-CN"/>
        </w:rPr>
        <w:t>坚持“全员信息写作”制度，30余名信息人员每人每周编写上报政务信息不少于1条，全年共报送</w:t>
      </w:r>
      <w:r>
        <w:rPr>
          <w:rStyle w:val="36"/>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400</w:t>
      </w:r>
      <w:r>
        <w:rPr>
          <w:rFonts w:hint="eastAsia" w:ascii="仿宋_GB2312" w:hAnsi="仿宋_GB2312" w:eastAsia="仿宋_GB2312" w:cs="仿宋_GB2312"/>
          <w:kern w:val="0"/>
          <w:sz w:val="32"/>
          <w:szCs w:val="32"/>
          <w:lang w:val="en-US" w:eastAsia="zh-CN"/>
        </w:rPr>
        <w:t>余条。</w:t>
      </w:r>
      <w:r>
        <w:rPr>
          <w:rFonts w:hint="eastAsia" w:ascii="仿宋_GB2312" w:hAnsi="仿宋_GB2312" w:eastAsia="仿宋_GB2312" w:cs="仿宋_GB2312"/>
          <w:b/>
          <w:bCs w:val="0"/>
          <w:kern w:val="0"/>
          <w:sz w:val="32"/>
          <w:szCs w:val="32"/>
          <w:lang w:val="en-US" w:eastAsia="zh-CN"/>
        </w:rPr>
        <w:t>二是参谋决策作用显著增强。</w:t>
      </w:r>
      <w:r>
        <w:rPr>
          <w:rFonts w:hint="eastAsia" w:ascii="仿宋_GB2312" w:hAnsi="仿宋_GB2312" w:eastAsia="仿宋_GB2312" w:cs="仿宋_GB2312"/>
          <w:bCs/>
          <w:sz w:val="32"/>
          <w:szCs w:val="32"/>
        </w:rPr>
        <w:t>编发《</w:t>
      </w:r>
      <w:r>
        <w:rPr>
          <w:rFonts w:hint="eastAsia" w:ascii="仿宋_GB2312" w:hAnsi="仿宋_GB2312" w:eastAsia="仿宋_GB2312" w:cs="仿宋_GB2312"/>
          <w:bCs/>
          <w:sz w:val="32"/>
          <w:szCs w:val="32"/>
          <w:lang w:val="en-US" w:eastAsia="zh-CN"/>
        </w:rPr>
        <w:t>剑阁政务</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29</w:t>
      </w:r>
      <w:r>
        <w:rPr>
          <w:rFonts w:hint="eastAsia" w:ascii="仿宋_GB2312" w:hAnsi="仿宋_GB2312" w:eastAsia="仿宋_GB2312" w:cs="仿宋_GB2312"/>
          <w:bCs/>
          <w:sz w:val="32"/>
          <w:szCs w:val="32"/>
        </w:rPr>
        <w:t>期，</w:t>
      </w:r>
      <w:r>
        <w:rPr>
          <w:rFonts w:hint="eastAsia" w:ascii="仿宋_GB2312" w:hAnsi="仿宋_GB2312" w:eastAsia="仿宋_GB2312" w:cs="仿宋_GB2312"/>
          <w:bCs/>
          <w:sz w:val="32"/>
          <w:szCs w:val="32"/>
          <w:lang w:val="en-US" w:eastAsia="zh-CN"/>
        </w:rPr>
        <w:t>刊发优质信息100余篇，</w:t>
      </w:r>
      <w:r>
        <w:rPr>
          <w:rFonts w:hint="eastAsia" w:ascii="仿宋_GB2312" w:hAnsi="仿宋_GB2312" w:eastAsia="仿宋_GB2312" w:cs="仿宋_GB2312"/>
          <w:bCs/>
          <w:sz w:val="32"/>
          <w:szCs w:val="32"/>
        </w:rPr>
        <w:t>收集整理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采纳吸收一系列外地工作经验，转化为推动工作的“金点子”。</w:t>
      </w:r>
      <w:r>
        <w:rPr>
          <w:rFonts w:hint="eastAsia" w:ascii="仿宋_GB2312" w:hAnsi="仿宋_GB2312" w:eastAsia="仿宋_GB2312" w:cs="仿宋_GB2312"/>
          <w:b/>
          <w:bCs w:val="0"/>
          <w:kern w:val="0"/>
          <w:sz w:val="32"/>
          <w:szCs w:val="32"/>
          <w:lang w:val="en-US" w:eastAsia="zh-CN"/>
        </w:rPr>
        <w:t>三是信息采用率明显提升。</w:t>
      </w:r>
      <w:r>
        <w:rPr>
          <w:rFonts w:hint="eastAsia" w:ascii="仿宋_GB2312" w:hAnsi="仿宋_GB2312" w:eastAsia="仿宋_GB2312" w:cs="仿宋_GB2312"/>
          <w:kern w:val="0"/>
          <w:sz w:val="32"/>
          <w:szCs w:val="32"/>
        </w:rPr>
        <w:t>全年综合采编上报政务信息</w:t>
      </w:r>
      <w:r>
        <w:rPr>
          <w:rFonts w:hint="eastAsia" w:ascii="仿宋_GB2312" w:hAnsi="仿宋_GB2312" w:eastAsia="仿宋_GB2312" w:cs="仿宋_GB2312"/>
          <w:kern w:val="0"/>
          <w:sz w:val="32"/>
          <w:szCs w:val="32"/>
          <w:lang w:val="en-US" w:eastAsia="zh-CN"/>
        </w:rPr>
        <w:t>560余</w:t>
      </w:r>
      <w:r>
        <w:rPr>
          <w:rFonts w:hint="eastAsia" w:ascii="仿宋_GB2312" w:hAnsi="仿宋_GB2312" w:eastAsia="仿宋_GB2312" w:cs="仿宋_GB2312"/>
          <w:kern w:val="0"/>
          <w:sz w:val="32"/>
          <w:szCs w:val="32"/>
        </w:rPr>
        <w:t>篇，市政府</w:t>
      </w:r>
      <w:r>
        <w:rPr>
          <w:rFonts w:hint="eastAsia" w:ascii="仿宋_GB2312" w:hAnsi="仿宋_GB2312" w:eastAsia="仿宋_GB2312" w:cs="仿宋_GB2312"/>
          <w:kern w:val="0"/>
          <w:sz w:val="32"/>
          <w:szCs w:val="32"/>
          <w:lang w:eastAsia="zh-CN"/>
        </w:rPr>
        <w:t>办</w:t>
      </w:r>
      <w:r>
        <w:rPr>
          <w:rFonts w:hint="eastAsia" w:ascii="仿宋_GB2312" w:hAnsi="仿宋_GB2312" w:eastAsia="仿宋_GB2312" w:cs="仿宋_GB2312"/>
          <w:kern w:val="0"/>
          <w:sz w:val="32"/>
          <w:szCs w:val="32"/>
        </w:rPr>
        <w:t>《政务晨讯》采用</w:t>
      </w:r>
      <w:r>
        <w:rPr>
          <w:rFonts w:hint="eastAsia" w:ascii="仿宋_GB2312" w:hAnsi="仿宋_GB2312" w:eastAsia="仿宋_GB2312" w:cs="仿宋_GB2312"/>
          <w:kern w:val="0"/>
          <w:sz w:val="32"/>
          <w:szCs w:val="32"/>
          <w:lang w:val="en-US" w:eastAsia="zh-CN"/>
        </w:rPr>
        <w:t>92</w:t>
      </w:r>
      <w:r>
        <w:rPr>
          <w:rFonts w:hint="eastAsia" w:ascii="仿宋_GB2312" w:hAnsi="仿宋_GB2312" w:eastAsia="仿宋_GB2312" w:cs="仿宋_GB2312"/>
          <w:kern w:val="0"/>
          <w:sz w:val="32"/>
          <w:szCs w:val="32"/>
        </w:rPr>
        <w:t>篇</w:t>
      </w:r>
      <w:r>
        <w:rPr>
          <w:rFonts w:hint="eastAsia" w:ascii="仿宋_GB2312" w:hAnsi="仿宋_GB2312" w:eastAsia="仿宋_GB2312" w:cs="仿宋_GB2312"/>
          <w:kern w:val="0"/>
          <w:sz w:val="32"/>
          <w:szCs w:val="32"/>
          <w:lang w:val="en-US" w:eastAsia="zh-CN"/>
        </w:rPr>
        <w:t>，被市委主要领导</w:t>
      </w:r>
      <w:r>
        <w:rPr>
          <w:rFonts w:hint="eastAsia" w:ascii="仿宋_GB2312" w:hAnsi="仿宋_GB2312" w:eastAsia="仿宋_GB2312" w:cs="仿宋_GB2312"/>
          <w:kern w:val="0"/>
          <w:sz w:val="32"/>
          <w:szCs w:val="32"/>
        </w:rPr>
        <w:t>批示</w:t>
      </w:r>
      <w:r>
        <w:rPr>
          <w:rFonts w:hint="eastAsia" w:ascii="仿宋_GB2312" w:hAnsi="仿宋_GB2312" w:eastAsia="仿宋_GB2312" w:cs="仿宋_GB2312"/>
          <w:kern w:val="0"/>
          <w:sz w:val="32"/>
          <w:szCs w:val="32"/>
          <w:lang w:val="en-US" w:eastAsia="zh-CN"/>
        </w:rPr>
        <w:t>13篇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向省政府办直报信息200余条，</w:t>
      </w:r>
      <w:r>
        <w:rPr>
          <w:rFonts w:hint="eastAsia" w:ascii="仿宋_GB2312" w:hAnsi="仿宋_GB2312" w:eastAsia="仿宋_GB2312" w:cs="仿宋_GB2312"/>
          <w:kern w:val="0"/>
          <w:sz w:val="32"/>
          <w:szCs w:val="32"/>
        </w:rPr>
        <w:t>省政府办《政务工作交流》采用</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篇；</w:t>
      </w:r>
      <w:r>
        <w:rPr>
          <w:rFonts w:hint="eastAsia" w:ascii="仿宋_GB2312" w:hAnsi="仿宋_GB2312" w:eastAsia="仿宋_GB2312" w:cs="仿宋_GB2312"/>
          <w:kern w:val="0"/>
          <w:sz w:val="32"/>
          <w:szCs w:val="32"/>
          <w:lang w:val="en-US" w:eastAsia="zh-CN"/>
        </w:rPr>
        <w:t>直报《国办约稿》信息60余篇，其中《剑阁县反映2023届毕业生就业面临的困难和问题》等3篇被综合采编报送，综合得分在180余个直报点中位列第15名。</w:t>
      </w:r>
    </w:p>
    <w:p w14:paraId="447FF02F">
      <w:pPr>
        <w:keepNext w:val="0"/>
        <w:keepLines w:val="0"/>
        <w:pageBreakBefore w:val="0"/>
        <w:widowControl w:val="0"/>
        <w:numPr>
          <w:ilvl w:val="0"/>
          <w:numId w:val="1"/>
        </w:numPr>
        <w:kinsoku/>
        <w:wordWrap/>
        <w:overflowPunct/>
        <w:topLinePunct w:val="0"/>
        <w:autoSpaceDE/>
        <w:autoSpaceDN/>
        <w:bidi w:val="0"/>
        <w:spacing w:line="576" w:lineRule="exact"/>
        <w:ind w:firstLine="643" w:firstLineChars="200"/>
        <w:rPr>
          <w:rStyle w:val="36"/>
          <w:rFonts w:hint="eastAsia" w:ascii="楷体_GB2312" w:hAnsi="楷体_GB2312" w:eastAsia="楷体_GB2312" w:cs="楷体_GB2312"/>
          <w:b/>
          <w:bCs/>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bCs/>
          <w:i w:val="0"/>
          <w:caps w:val="0"/>
          <w:color w:val="000000"/>
          <w:spacing w:val="0"/>
          <w:w w:val="100"/>
          <w:kern w:val="2"/>
          <w:sz w:val="32"/>
          <w:szCs w:val="32"/>
          <w:lang w:val="en-US" w:eastAsia="zh-CN" w:bidi="ar-SA"/>
        </w:rPr>
        <w:t>调研工作细致周密</w:t>
      </w:r>
    </w:p>
    <w:p w14:paraId="6398A8C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一是找准切入点。</w:t>
      </w:r>
      <w:r>
        <w:rPr>
          <w:rFonts w:hint="eastAsia" w:ascii="仿宋_GB2312" w:hAnsi="仿宋_GB2312" w:eastAsia="仿宋_GB2312" w:cs="仿宋_GB2312"/>
          <w:b w:val="0"/>
          <w:bCs w:val="0"/>
          <w:sz w:val="32"/>
          <w:szCs w:val="32"/>
          <w:lang w:val="en-US" w:eastAsia="zh-CN"/>
        </w:rPr>
        <w:t>采</w:t>
      </w:r>
      <w:r>
        <w:rPr>
          <w:rFonts w:hint="eastAsia" w:ascii="仿宋_GB2312" w:hAnsi="仿宋_GB2312" w:eastAsia="仿宋_GB2312" w:cs="仿宋_GB2312"/>
          <w:sz w:val="32"/>
          <w:szCs w:val="32"/>
          <w:lang w:val="en-US" w:eastAsia="zh-CN"/>
        </w:rPr>
        <w:t>取“走出去”的方式，围绕领导关注的难点，社会反映的热点，深入实地开展专题调研20余次，通过电话、会议访谈开展调研100余次，及时准确地收集反馈基层群众的“急难愁盼”。</w:t>
      </w:r>
      <w:r>
        <w:rPr>
          <w:rFonts w:hint="eastAsia" w:ascii="仿宋_GB2312" w:hAnsi="仿宋_GB2312" w:eastAsia="仿宋_GB2312" w:cs="仿宋_GB2312"/>
          <w:b/>
          <w:bCs w:val="0"/>
          <w:color w:val="auto"/>
          <w:kern w:val="2"/>
          <w:sz w:val="32"/>
          <w:szCs w:val="32"/>
          <w:lang w:val="en-US" w:eastAsia="zh-CN" w:bidi="ar-SA"/>
        </w:rPr>
        <w:t>二是明确任务图</w:t>
      </w:r>
      <w:r>
        <w:rPr>
          <w:rFonts w:hint="eastAsia" w:ascii="仿宋" w:hAnsi="仿宋" w:eastAsia="仿宋" w:cs="仿宋"/>
          <w:b/>
          <w:bCs/>
          <w:sz w:val="32"/>
          <w:szCs w:val="32"/>
          <w:lang w:val="en-US" w:eastAsia="zh-CN"/>
        </w:rPr>
        <w:t>。</w:t>
      </w:r>
      <w:r>
        <w:rPr>
          <w:rFonts w:hint="eastAsia" w:ascii="仿宋_GB2312" w:hAnsi="仿宋_GB2312" w:eastAsia="仿宋_GB2312" w:cs="仿宋_GB2312"/>
          <w:sz w:val="32"/>
          <w:szCs w:val="32"/>
          <w:lang w:val="en-US" w:eastAsia="zh-CN"/>
        </w:rPr>
        <w:t>制定“市+县+部门”3层级调研课题，印发了《关于进一步做好2022年调研工作的通知》，明确每个课题的县领导、部门责任和完成时限，确保调研内容符合上级要求、符合全县县情、符合群众期望。</w:t>
      </w:r>
      <w:r>
        <w:rPr>
          <w:rFonts w:hint="eastAsia" w:ascii="仿宋_GB2312" w:hAnsi="仿宋_GB2312" w:eastAsia="仿宋_GB2312" w:cs="仿宋_GB2312"/>
          <w:b/>
          <w:bCs w:val="0"/>
          <w:color w:val="auto"/>
          <w:kern w:val="2"/>
          <w:sz w:val="32"/>
          <w:szCs w:val="32"/>
          <w:lang w:val="en-US" w:eastAsia="zh-CN" w:bidi="ar-SA"/>
        </w:rPr>
        <w:t>三是融入施工图。</w:t>
      </w:r>
      <w:r>
        <w:rPr>
          <w:rFonts w:hint="eastAsia" w:ascii="仿宋_GB2312" w:hAnsi="仿宋_GB2312" w:eastAsia="仿宋_GB2312" w:cs="仿宋_GB2312"/>
          <w:b w:val="0"/>
          <w:bCs/>
          <w:color w:val="auto"/>
          <w:kern w:val="2"/>
          <w:sz w:val="32"/>
          <w:szCs w:val="32"/>
          <w:lang w:val="en-US" w:eastAsia="zh-CN" w:bidi="ar-SA"/>
        </w:rPr>
        <w:t>将调研成果融入到县政府主要领导讲话文稿，落实到具体安排部署。全年</w:t>
      </w:r>
      <w:r>
        <w:rPr>
          <w:rFonts w:hint="eastAsia" w:ascii="仿宋_GB2312" w:hAnsi="仿宋_GB2312" w:eastAsia="仿宋_GB2312" w:cs="仿宋_GB2312"/>
          <w:bCs/>
          <w:color w:val="auto"/>
          <w:kern w:val="2"/>
          <w:sz w:val="32"/>
          <w:szCs w:val="32"/>
          <w:lang w:val="en-US" w:eastAsia="zh-CN" w:bidi="ar-SA"/>
        </w:rPr>
        <w:t>高标准完成政府主要领导讲话稿、主持词等文字材料120余篇。完成市政府主要领导来剑调研活动统筹4次。</w:t>
      </w:r>
    </w:p>
    <w:p w14:paraId="577A4FF2">
      <w:pPr>
        <w:keepNext w:val="0"/>
        <w:keepLines w:val="0"/>
        <w:pageBreakBefore w:val="0"/>
        <w:widowControl w:val="0"/>
        <w:kinsoku/>
        <w:wordWrap/>
        <w:overflowPunct/>
        <w:topLinePunct w:val="0"/>
        <w:autoSpaceDE/>
        <w:autoSpaceDN/>
        <w:bidi w:val="0"/>
        <w:snapToGrid/>
        <w:spacing w:before="0" w:beforeAutospacing="0" w:after="0" w:afterAutospacing="0" w:line="576" w:lineRule="exact"/>
        <w:ind w:firstLine="643" w:firstLineChars="200"/>
        <w:jc w:val="both"/>
        <w:textAlignment w:val="baseline"/>
        <w:rPr>
          <w:rStyle w:val="36"/>
          <w:rFonts w:hint="eastAsia" w:ascii="楷体_GB2312" w:hAnsi="楷体_GB2312" w:eastAsia="楷体_GB2312" w:cs="楷体_GB2312"/>
          <w:b/>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i w:val="0"/>
          <w:caps w:val="0"/>
          <w:color w:val="000000"/>
          <w:spacing w:val="0"/>
          <w:w w:val="100"/>
          <w:kern w:val="2"/>
          <w:sz w:val="32"/>
          <w:szCs w:val="32"/>
          <w:lang w:val="en-US" w:eastAsia="zh-CN" w:bidi="ar-SA"/>
        </w:rPr>
        <w:t>（三）秘书工作优质高效</w:t>
      </w:r>
    </w:p>
    <w:p w14:paraId="7A43A0A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一是办文严谨规范。</w:t>
      </w:r>
      <w:r>
        <w:rPr>
          <w:rFonts w:hint="eastAsia" w:ascii="仿宋_GB2312" w:hAnsi="仿宋_GB2312" w:eastAsia="仿宋_GB2312" w:cs="仿宋_GB2312"/>
          <w:sz w:val="32"/>
          <w:szCs w:val="40"/>
          <w:lang w:val="en-US" w:eastAsia="zh-CN"/>
        </w:rPr>
        <w:t>严格落实公文传递“文不过夜”，把好文件进出关口，及时分类登记并整理转送，确保每份文件都有迹可循。严把公文审核关口，优化审核环节，切实提高公文校核质量。一年来，分别校核以县政府、县政府办名义发文430份、170份。</w:t>
      </w:r>
      <w:r>
        <w:rPr>
          <w:rFonts w:hint="eastAsia" w:ascii="仿宋_GB2312" w:hAnsi="仿宋_GB2312" w:eastAsia="仿宋_GB2312" w:cs="仿宋_GB2312"/>
          <w:b/>
          <w:bCs/>
          <w:sz w:val="32"/>
          <w:szCs w:val="40"/>
          <w:lang w:val="en-US" w:eastAsia="zh-CN"/>
        </w:rPr>
        <w:t>二是办会慎密周全。</w:t>
      </w:r>
      <w:r>
        <w:rPr>
          <w:rFonts w:hint="eastAsia" w:ascii="仿宋_GB2312" w:hAnsi="仿宋_GB2312" w:eastAsia="仿宋_GB2312" w:cs="仿宋_GB2312"/>
          <w:sz w:val="32"/>
          <w:szCs w:val="40"/>
          <w:lang w:val="en-US" w:eastAsia="zh-CN"/>
        </w:rPr>
        <w:t>优化完善县政府常务会议和县长办公会议流程，严格执行县政府常务会会议纪要、县长办公会议定事项三天内办结制度。一年来，共承办县政府常务会议16次、县长办公会</w:t>
      </w:r>
      <w:r>
        <w:rPr>
          <w:rFonts w:hint="eastAsia" w:ascii="仿宋_GB2312" w:hAnsi="仿宋_GB2312" w:eastAsia="仿宋_GB2312" w:cs="仿宋_GB2312"/>
          <w:sz w:val="32"/>
          <w:szCs w:val="40"/>
          <w:highlight w:val="none"/>
          <w:lang w:val="en-US" w:eastAsia="zh-CN"/>
        </w:rPr>
        <w:t>议</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9</w:t>
      </w:r>
      <w:r>
        <w:rPr>
          <w:rFonts w:hint="eastAsia" w:ascii="仿宋_GB2312" w:hAnsi="仿宋_GB2312" w:eastAsia="仿宋_GB2312" w:cs="仿宋_GB2312"/>
          <w:sz w:val="32"/>
          <w:szCs w:val="40"/>
          <w:lang w:val="en-US" w:eastAsia="zh-CN"/>
        </w:rPr>
        <w:t>次、县政府全体会议1次，印发县政府常务会议纪要16期、县长办公会议定事项</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9</w:t>
      </w:r>
      <w:r>
        <w:rPr>
          <w:rFonts w:hint="eastAsia" w:ascii="仿宋_GB2312" w:hAnsi="仿宋_GB2312" w:eastAsia="仿宋_GB2312" w:cs="仿宋_GB2312"/>
          <w:sz w:val="32"/>
          <w:szCs w:val="40"/>
          <w:lang w:val="en-US" w:eastAsia="zh-CN"/>
        </w:rPr>
        <w:t>期。</w:t>
      </w:r>
      <w:r>
        <w:rPr>
          <w:rFonts w:hint="eastAsia" w:ascii="仿宋_GB2312" w:hAnsi="仿宋_GB2312" w:eastAsia="仿宋_GB2312" w:cs="仿宋_GB2312"/>
          <w:b/>
          <w:bCs/>
          <w:sz w:val="32"/>
          <w:szCs w:val="40"/>
          <w:lang w:val="en-US" w:eastAsia="zh-CN"/>
        </w:rPr>
        <w:t>三是服务质量持续提升。</w:t>
      </w:r>
      <w:r>
        <w:rPr>
          <w:rFonts w:hint="eastAsia" w:ascii="仿宋_GB2312" w:eastAsia="仿宋_GB2312"/>
          <w:sz w:val="32"/>
          <w:szCs w:val="32"/>
          <w:lang w:eastAsia="zh-CN"/>
        </w:rPr>
        <w:t>认真学习各级最新政策、工作要求和重要会议精神，</w:t>
      </w:r>
      <w:r>
        <w:rPr>
          <w:rFonts w:hint="eastAsia" w:ascii="仿宋_GB2312" w:hAnsi="仿宋_GB2312" w:eastAsia="仿宋_GB2312" w:cs="仿宋_GB2312"/>
          <w:sz w:val="32"/>
          <w:szCs w:val="40"/>
          <w:lang w:val="en-US" w:eastAsia="zh-CN"/>
        </w:rPr>
        <w:t>提升分析解决问题能力，实现服务县政府领导“鞍前”不越位、“马后”不掉队，服务办公室领导件件有着落、事事有回响。</w:t>
      </w:r>
    </w:p>
    <w:p w14:paraId="07785043">
      <w:pPr>
        <w:keepNext w:val="0"/>
        <w:keepLines w:val="0"/>
        <w:pageBreakBefore w:val="0"/>
        <w:widowControl w:val="0"/>
        <w:kinsoku/>
        <w:wordWrap/>
        <w:overflowPunct/>
        <w:topLinePunct w:val="0"/>
        <w:autoSpaceDE/>
        <w:autoSpaceDN/>
        <w:bidi w:val="0"/>
        <w:snapToGrid/>
        <w:spacing w:before="0" w:beforeAutospacing="0" w:after="0" w:afterAutospacing="0" w:line="576" w:lineRule="exact"/>
        <w:ind w:firstLine="643" w:firstLineChars="200"/>
        <w:jc w:val="both"/>
        <w:textAlignment w:val="baseline"/>
        <w:rPr>
          <w:rStyle w:val="36"/>
          <w:rFonts w:hint="eastAsia" w:ascii="楷体_GB2312" w:hAnsi="楷体_GB2312" w:eastAsia="楷体_GB2312" w:cs="楷体_GB2312"/>
          <w:b/>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i w:val="0"/>
          <w:caps w:val="0"/>
          <w:color w:val="000000"/>
          <w:spacing w:val="0"/>
          <w:w w:val="100"/>
          <w:kern w:val="2"/>
          <w:sz w:val="32"/>
          <w:szCs w:val="32"/>
          <w:lang w:val="en-US" w:eastAsia="zh-CN" w:bidi="ar-SA"/>
        </w:rPr>
        <w:t>（四）督查督办及时周密</w:t>
      </w:r>
    </w:p>
    <w:p w14:paraId="1C2D6E08">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sz w:val="32"/>
          <w:szCs w:val="40"/>
          <w:lang w:val="en-US" w:eastAsia="zh-CN"/>
        </w:rPr>
      </w:pPr>
      <w:r>
        <w:rPr>
          <w:rStyle w:val="36"/>
          <w:rFonts w:hint="eastAsia" w:ascii="仿宋_GB2312" w:hAnsi="仿宋_GB2312" w:eastAsia="仿宋_GB2312" w:cs="仿宋_GB2312"/>
          <w:b/>
          <w:bCs/>
          <w:i w:val="0"/>
          <w:caps w:val="0"/>
          <w:spacing w:val="0"/>
          <w:w w:val="100"/>
          <w:kern w:val="2"/>
          <w:sz w:val="32"/>
          <w:szCs w:val="32"/>
          <w:lang w:val="en-US" w:eastAsia="zh-CN" w:bidi="ar-SA"/>
        </w:rPr>
        <w:t>一是逗硬督办重点工作。</w:t>
      </w:r>
      <w:r>
        <w:rPr>
          <w:rFonts w:hint="eastAsia" w:ascii="仿宋_GB2312" w:hAnsi="仿宋" w:eastAsia="仿宋_GB2312"/>
          <w:sz w:val="32"/>
          <w:szCs w:val="32"/>
          <w:lang w:val="en-US" w:eastAsia="zh-CN"/>
        </w:rPr>
        <w:t>严格按照《政府督查工作条例》，督办市委、市政府签批</w:t>
      </w:r>
      <w:r>
        <w:rPr>
          <w:rFonts w:hint="eastAsia" w:ascii="仿宋_GB2312" w:hAnsi="仿宋" w:eastAsia="仿宋_GB2312"/>
          <w:sz w:val="32"/>
          <w:szCs w:val="32"/>
          <w:highlight w:val="none"/>
          <w:lang w:val="en-US" w:eastAsia="zh-CN"/>
        </w:rPr>
        <w:t>件</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222</w:t>
      </w:r>
      <w:r>
        <w:rPr>
          <w:rFonts w:hint="eastAsia" w:ascii="仿宋_GB2312" w:hAnsi="仿宋" w:eastAsia="仿宋_GB2312"/>
          <w:sz w:val="32"/>
          <w:szCs w:val="32"/>
          <w:highlight w:val="none"/>
          <w:lang w:val="en-US" w:eastAsia="zh-CN"/>
        </w:rPr>
        <w:t>件，办结</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211</w:t>
      </w:r>
      <w:r>
        <w:rPr>
          <w:rFonts w:hint="eastAsia" w:ascii="仿宋_GB2312" w:hAnsi="仿宋" w:eastAsia="仿宋_GB2312"/>
          <w:sz w:val="32"/>
          <w:szCs w:val="32"/>
          <w:highlight w:val="none"/>
          <w:lang w:val="en-US" w:eastAsia="zh-CN"/>
        </w:rPr>
        <w:t>件，持续跟进</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11</w:t>
      </w:r>
      <w:r>
        <w:rPr>
          <w:rFonts w:hint="eastAsia" w:ascii="仿宋_GB2312" w:hAnsi="仿宋" w:eastAsia="仿宋_GB2312"/>
          <w:sz w:val="32"/>
          <w:szCs w:val="32"/>
          <w:highlight w:val="none"/>
          <w:lang w:val="en-US" w:eastAsia="zh-CN"/>
        </w:rPr>
        <w:t>件；县政府领导交办事项1</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34</w:t>
      </w:r>
      <w:r>
        <w:rPr>
          <w:rFonts w:hint="eastAsia" w:ascii="仿宋_GB2312" w:hAnsi="仿宋" w:eastAsia="仿宋_GB2312"/>
          <w:sz w:val="32"/>
          <w:szCs w:val="32"/>
          <w:highlight w:val="none"/>
          <w:lang w:val="en-US" w:eastAsia="zh-CN"/>
        </w:rPr>
        <w:t>件，办结</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96</w:t>
      </w:r>
      <w:r>
        <w:rPr>
          <w:rFonts w:hint="eastAsia" w:ascii="仿宋_GB2312" w:hAnsi="仿宋" w:eastAsia="仿宋_GB2312"/>
          <w:sz w:val="32"/>
          <w:szCs w:val="32"/>
          <w:highlight w:val="none"/>
          <w:lang w:val="en-US" w:eastAsia="zh-CN"/>
        </w:rPr>
        <w:t>件，持续跟进</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38</w:t>
      </w:r>
      <w:r>
        <w:rPr>
          <w:rFonts w:hint="eastAsia" w:ascii="仿宋_GB2312" w:hAnsi="仿宋" w:eastAsia="仿宋_GB2312"/>
          <w:sz w:val="32"/>
          <w:szCs w:val="32"/>
          <w:highlight w:val="none"/>
          <w:lang w:val="en-US" w:eastAsia="zh-CN"/>
        </w:rPr>
        <w:t>件，做到了件件均督办，事事有进度。</w:t>
      </w:r>
      <w:r>
        <w:rPr>
          <w:rStyle w:val="36"/>
          <w:rFonts w:hint="eastAsia" w:ascii="仿宋_GB2312" w:hAnsi="仿宋_GB2312" w:eastAsia="仿宋_GB2312" w:cs="仿宋_GB2312"/>
          <w:b/>
          <w:bCs/>
          <w:i w:val="0"/>
          <w:caps w:val="0"/>
          <w:spacing w:val="0"/>
          <w:w w:val="100"/>
          <w:kern w:val="2"/>
          <w:sz w:val="32"/>
          <w:szCs w:val="32"/>
          <w:highlight w:val="none"/>
          <w:lang w:val="en-US" w:eastAsia="zh-CN" w:bidi="ar-SA"/>
        </w:rPr>
        <w:t>二是狠抓人大政协督办。</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131件人大代表建议、128件</w:t>
      </w:r>
      <w:r>
        <w:rPr>
          <w:rStyle w:val="36"/>
          <w:rFonts w:hint="eastAsia" w:ascii="仿宋_GB2312" w:hAnsi="仿宋_GB2312" w:eastAsia="仿宋_GB2312" w:cs="仿宋_GB2312"/>
          <w:b w:val="0"/>
          <w:bCs w:val="0"/>
          <w:i w:val="0"/>
          <w:caps w:val="0"/>
          <w:spacing w:val="0"/>
          <w:w w:val="100"/>
          <w:kern w:val="2"/>
          <w:sz w:val="32"/>
          <w:szCs w:val="32"/>
          <w:lang w:val="en-US" w:eastAsia="zh-CN" w:bidi="ar-SA"/>
        </w:rPr>
        <w:t>政协委员提案均办理完结，对办理质量均非常满意或基本满意，将代表委员和群众的呼声落到实处。</w:t>
      </w:r>
      <w:r>
        <w:rPr>
          <w:rStyle w:val="36"/>
          <w:rFonts w:hint="eastAsia" w:ascii="仿宋_GB2312" w:hAnsi="仿宋_GB2312" w:eastAsia="仿宋_GB2312" w:cs="仿宋_GB2312"/>
          <w:b/>
          <w:bCs/>
          <w:i w:val="0"/>
          <w:caps w:val="0"/>
          <w:spacing w:val="0"/>
          <w:w w:val="100"/>
          <w:kern w:val="2"/>
          <w:sz w:val="32"/>
          <w:szCs w:val="32"/>
          <w:lang w:val="en-US" w:eastAsia="zh-CN" w:bidi="ar-SA"/>
        </w:rPr>
        <w:t>三是做好信访维稳工作。</w:t>
      </w:r>
      <w:r>
        <w:rPr>
          <w:rStyle w:val="36"/>
          <w:rFonts w:hint="eastAsia" w:ascii="仿宋_GB2312" w:hAnsi="仿宋_GB2312" w:eastAsia="仿宋_GB2312" w:cs="仿宋_GB2312"/>
          <w:b w:val="0"/>
          <w:bCs w:val="0"/>
          <w:i w:val="0"/>
          <w:caps w:val="0"/>
          <w:spacing w:val="0"/>
          <w:w w:val="100"/>
          <w:kern w:val="2"/>
          <w:sz w:val="32"/>
          <w:szCs w:val="32"/>
          <w:lang w:val="en-US" w:eastAsia="zh-CN" w:bidi="ar-SA"/>
        </w:rPr>
        <w:t>始终坚持把服务群众放在重要位置，日均接待群众来电5次，解决群众一般性、普遍性问题200余个，群众满意率达98%。</w:t>
      </w:r>
    </w:p>
    <w:p w14:paraId="0C1ED533">
      <w:pPr>
        <w:keepNext w:val="0"/>
        <w:keepLines w:val="0"/>
        <w:pageBreakBefore w:val="0"/>
        <w:widowControl w:val="0"/>
        <w:kinsoku/>
        <w:wordWrap/>
        <w:overflowPunct/>
        <w:topLinePunct w:val="0"/>
        <w:autoSpaceDE/>
        <w:autoSpaceDN/>
        <w:bidi w:val="0"/>
        <w:spacing w:line="576" w:lineRule="exact"/>
        <w:ind w:firstLine="643" w:firstLineChars="200"/>
        <w:rPr>
          <w:rStyle w:val="36"/>
          <w:rFonts w:hint="eastAsia" w:ascii="黑体" w:hAnsi="黑体" w:eastAsia="黑体" w:cs="黑体"/>
          <w:b/>
          <w:bCs/>
          <w:i w:val="0"/>
          <w:caps w:val="0"/>
          <w:color w:val="000000"/>
          <w:spacing w:val="0"/>
          <w:w w:val="100"/>
          <w:kern w:val="2"/>
          <w:sz w:val="32"/>
          <w:szCs w:val="32"/>
          <w:lang w:val="en-US" w:eastAsia="zh-CN" w:bidi="ar-SA"/>
        </w:rPr>
      </w:pPr>
      <w:r>
        <w:rPr>
          <w:rStyle w:val="36"/>
          <w:rFonts w:hint="eastAsia" w:ascii="黑体" w:hAnsi="黑体" w:eastAsia="黑体" w:cs="黑体"/>
          <w:b/>
          <w:bCs/>
          <w:i w:val="0"/>
          <w:caps w:val="0"/>
          <w:color w:val="000000"/>
          <w:spacing w:val="0"/>
          <w:w w:val="100"/>
          <w:kern w:val="2"/>
          <w:sz w:val="32"/>
          <w:szCs w:val="32"/>
          <w:lang w:val="en-US" w:eastAsia="zh-CN" w:bidi="ar-SA"/>
        </w:rPr>
        <w:t>三、提升服务保障水平</w:t>
      </w:r>
    </w:p>
    <w:p w14:paraId="52642C56">
      <w:pPr>
        <w:keepNext w:val="0"/>
        <w:keepLines w:val="0"/>
        <w:pageBreakBefore w:val="0"/>
        <w:widowControl w:val="0"/>
        <w:kinsoku/>
        <w:wordWrap/>
        <w:overflowPunct/>
        <w:topLinePunct w:val="0"/>
        <w:autoSpaceDE/>
        <w:autoSpaceDN/>
        <w:bidi w:val="0"/>
        <w:spacing w:line="576" w:lineRule="exact"/>
        <w:ind w:firstLine="643" w:firstLineChars="200"/>
        <w:rPr>
          <w:rStyle w:val="36"/>
          <w:rFonts w:hint="eastAsia" w:ascii="楷体_GB2312" w:hAnsi="楷体_GB2312" w:eastAsia="楷体_GB2312" w:cs="楷体_GB2312"/>
          <w:b/>
          <w:bCs/>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bCs/>
          <w:i w:val="0"/>
          <w:caps w:val="0"/>
          <w:color w:val="000000"/>
          <w:spacing w:val="0"/>
          <w:w w:val="100"/>
          <w:kern w:val="2"/>
          <w:sz w:val="32"/>
          <w:szCs w:val="32"/>
          <w:lang w:val="en-US" w:eastAsia="zh-CN" w:bidi="ar-SA"/>
        </w:rPr>
        <w:t>（一）民营经济服务有力保障</w:t>
      </w:r>
    </w:p>
    <w:p w14:paraId="0D26E0FA">
      <w:pPr>
        <w:keepNext w:val="0"/>
        <w:keepLines w:val="0"/>
        <w:pageBreakBefore w:val="0"/>
        <w:widowControl w:val="0"/>
        <w:kinsoku/>
        <w:wordWrap/>
        <w:overflowPunct/>
        <w:topLinePunct w:val="0"/>
        <w:autoSpaceDE/>
        <w:autoSpaceDN/>
        <w:bidi w:val="0"/>
        <w:spacing w:line="576" w:lineRule="exact"/>
        <w:ind w:firstLine="643" w:firstLineChars="200"/>
        <w:jc w:val="left"/>
        <w:rPr>
          <w:rFonts w:hint="eastAsia"/>
          <w:lang w:val="en-US" w:eastAsia="zh-CN"/>
        </w:rPr>
      </w:pPr>
      <w:r>
        <w:rPr>
          <w:rFonts w:hint="eastAsia" w:ascii="仿宋_GB2312" w:hAnsi="仿宋" w:eastAsia="仿宋_GB2312" w:cs="仿宋_GB2312"/>
          <w:b/>
          <w:bCs/>
          <w:sz w:val="32"/>
          <w:szCs w:val="32"/>
        </w:rPr>
        <w:t>一是打造亲商重商氛围。</w:t>
      </w:r>
      <w:r>
        <w:rPr>
          <w:rFonts w:hint="eastAsia" w:ascii="仿宋_GB2312" w:hAnsi="仿宋" w:eastAsia="仿宋_GB2312" w:cs="仿宋_GB2312"/>
          <w:b w:val="0"/>
          <w:bCs w:val="0"/>
          <w:sz w:val="32"/>
          <w:szCs w:val="32"/>
          <w:lang w:eastAsia="zh-CN"/>
        </w:rPr>
        <w:t>建立健全</w:t>
      </w:r>
      <w:r>
        <w:rPr>
          <w:rFonts w:hint="eastAsia" w:ascii="仿宋_GB2312" w:hAnsi="仿宋" w:eastAsia="仿宋_GB2312" w:cs="仿宋_GB2312"/>
          <w:sz w:val="32"/>
          <w:szCs w:val="32"/>
        </w:rPr>
        <w:t>全县企业家座谈会</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餐聊会</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优化营商环境联席大会</w:t>
      </w:r>
      <w:r>
        <w:rPr>
          <w:rFonts w:hint="eastAsia" w:ascii="仿宋_GB2312" w:hAnsi="仿宋" w:eastAsia="仿宋_GB2312" w:cs="仿宋_GB2312"/>
          <w:sz w:val="32"/>
          <w:szCs w:val="32"/>
          <w:lang w:eastAsia="zh-CN"/>
        </w:rPr>
        <w:t>制度</w:t>
      </w:r>
      <w:r>
        <w:rPr>
          <w:rFonts w:hint="eastAsia" w:ascii="仿宋_GB2312" w:hAnsi="仿宋" w:eastAsia="仿宋_GB2312" w:cs="仿宋_GB2312"/>
          <w:sz w:val="32"/>
          <w:szCs w:val="32"/>
        </w:rPr>
        <w:t>，组织全县2200余名干部观看营商环境整治教育片</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伸手必被捉</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，发布《关于对损害营商环境问题线索实行有奖举报的公告》，全面收集破坏营商环境问题线索</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营造</w:t>
      </w:r>
      <w:r>
        <w:rPr>
          <w:rFonts w:hint="eastAsia" w:ascii="仿宋_GB2312" w:hAnsi="仿宋" w:eastAsia="仿宋_GB2312" w:cs="仿宋_GB2312"/>
          <w:sz w:val="32"/>
          <w:szCs w:val="32"/>
          <w:lang w:eastAsia="zh-CN"/>
        </w:rPr>
        <w:t>了</w:t>
      </w:r>
      <w:r>
        <w:rPr>
          <w:rFonts w:hint="eastAsia" w:ascii="仿宋_GB2312" w:hAnsi="仿宋" w:eastAsia="仿宋_GB2312" w:cs="仿宋_GB2312"/>
          <w:sz w:val="32"/>
          <w:szCs w:val="32"/>
        </w:rPr>
        <w:t>“亲商、重商、爱商、护商”良好氛围。</w:t>
      </w:r>
      <w:r>
        <w:rPr>
          <w:rFonts w:hint="eastAsia" w:ascii="仿宋_GB2312" w:hAnsi="仿宋" w:eastAsia="仿宋_GB2312" w:cs="仿宋_GB2312"/>
          <w:b/>
          <w:bCs/>
          <w:sz w:val="32"/>
          <w:szCs w:val="32"/>
        </w:rPr>
        <w:t>二是</w:t>
      </w:r>
      <w:r>
        <w:rPr>
          <w:rFonts w:hint="eastAsia" w:ascii="仿宋_GB2312" w:eastAsia="仿宋_GB2312"/>
          <w:b/>
          <w:bCs/>
          <w:sz w:val="32"/>
          <w:szCs w:val="32"/>
        </w:rPr>
        <w:t>全面推广惠企政策。</w:t>
      </w:r>
      <w:r>
        <w:rPr>
          <w:rFonts w:hint="eastAsia" w:ascii="仿宋_GB2312" w:eastAsia="仿宋_GB2312"/>
          <w:bCs/>
          <w:sz w:val="32"/>
          <w:szCs w:val="32"/>
        </w:rPr>
        <w:t>发布2.1万余份四川省“助企纾困明白</w:t>
      </w:r>
      <w:r>
        <w:rPr>
          <w:rFonts w:hint="eastAsia" w:ascii="仿宋_GB2312" w:eastAsia="仿宋_GB2312"/>
          <w:bCs/>
          <w:sz w:val="32"/>
          <w:szCs w:val="32"/>
          <w:lang w:eastAsia="zh-CN"/>
        </w:rPr>
        <w:t>卡</w:t>
      </w:r>
      <w:r>
        <w:rPr>
          <w:rFonts w:hint="eastAsia" w:ascii="仿宋_GB2312" w:eastAsia="仿宋_GB2312"/>
          <w:bCs/>
          <w:sz w:val="32"/>
          <w:szCs w:val="32"/>
        </w:rPr>
        <w:t>”</w:t>
      </w:r>
      <w:r>
        <w:rPr>
          <w:rFonts w:hint="eastAsia" w:ascii="仿宋_GB2312" w:eastAsia="仿宋_GB2312"/>
          <w:bCs/>
          <w:sz w:val="32"/>
          <w:szCs w:val="32"/>
          <w:lang w:eastAsia="zh-CN"/>
        </w:rPr>
        <w:t>，</w:t>
      </w:r>
      <w:r>
        <w:rPr>
          <w:rFonts w:hint="eastAsia" w:ascii="仿宋_GB2312" w:eastAsia="仿宋_GB2312"/>
          <w:bCs/>
          <w:sz w:val="32"/>
          <w:szCs w:val="32"/>
        </w:rPr>
        <w:t>督促各行业主管部门</w:t>
      </w:r>
      <w:r>
        <w:rPr>
          <w:rFonts w:hint="eastAsia" w:ascii="仿宋_GB2312" w:eastAsia="仿宋_GB2312"/>
          <w:sz w:val="32"/>
          <w:szCs w:val="32"/>
        </w:rPr>
        <w:t>制定</w:t>
      </w:r>
      <w:r>
        <w:rPr>
          <w:rFonts w:hint="eastAsia" w:ascii="仿宋_GB2312" w:eastAsia="仿宋_GB2312"/>
          <w:bCs/>
          <w:sz w:val="32"/>
          <w:szCs w:val="32"/>
        </w:rPr>
        <w:t>《关于县属国有企业向中小微企业和个体工商户减免房租方案》等惠企文件，全县355户市场主体享受了房租减免政策，共计242.9万元；为229户办理“六税两费”减免共计74万元，为1</w:t>
      </w:r>
      <w:r>
        <w:rPr>
          <w:rFonts w:hint="eastAsia" w:ascii="仿宋_GB2312" w:eastAsia="仿宋_GB2312"/>
          <w:bCs/>
          <w:sz w:val="32"/>
          <w:szCs w:val="32"/>
          <w:lang w:val="en-US" w:eastAsia="zh-CN"/>
        </w:rPr>
        <w:t>2</w:t>
      </w:r>
      <w:r>
        <w:rPr>
          <w:rFonts w:hint="eastAsia" w:ascii="仿宋_GB2312" w:eastAsia="仿宋_GB2312"/>
          <w:bCs/>
          <w:sz w:val="32"/>
          <w:szCs w:val="32"/>
        </w:rPr>
        <w:t>5户制造业中小微企业办理缓缴</w:t>
      </w:r>
      <w:r>
        <w:rPr>
          <w:rFonts w:hint="eastAsia" w:ascii="仿宋_GB2312" w:eastAsia="仿宋_GB2312"/>
          <w:bCs/>
          <w:sz w:val="32"/>
          <w:szCs w:val="32"/>
          <w:lang w:eastAsia="zh-CN"/>
        </w:rPr>
        <w:t>“</w:t>
      </w:r>
      <w:r>
        <w:rPr>
          <w:rFonts w:hint="eastAsia" w:ascii="仿宋_GB2312" w:eastAsia="仿宋_GB2312"/>
          <w:bCs/>
          <w:sz w:val="32"/>
          <w:szCs w:val="32"/>
        </w:rPr>
        <w:t>五税两费</w:t>
      </w:r>
      <w:r>
        <w:rPr>
          <w:rFonts w:hint="eastAsia" w:ascii="仿宋_GB2312" w:eastAsia="仿宋_GB2312"/>
          <w:bCs/>
          <w:sz w:val="32"/>
          <w:szCs w:val="32"/>
          <w:lang w:eastAsia="zh-CN"/>
        </w:rPr>
        <w:t>”</w:t>
      </w:r>
      <w:r>
        <w:rPr>
          <w:rFonts w:hint="eastAsia" w:ascii="仿宋_GB2312" w:eastAsia="仿宋_GB2312"/>
          <w:bCs/>
          <w:sz w:val="32"/>
          <w:szCs w:val="32"/>
        </w:rPr>
        <w:t>共计50</w:t>
      </w:r>
      <w:r>
        <w:rPr>
          <w:rFonts w:hint="eastAsia" w:ascii="仿宋_GB2312" w:eastAsia="仿宋_GB2312"/>
          <w:bCs/>
          <w:sz w:val="32"/>
          <w:szCs w:val="32"/>
          <w:lang w:val="en-US" w:eastAsia="zh-CN"/>
        </w:rPr>
        <w:t>0</w:t>
      </w:r>
      <w:r>
        <w:rPr>
          <w:rFonts w:hint="eastAsia" w:ascii="仿宋_GB2312" w:eastAsia="仿宋_GB2312"/>
          <w:bCs/>
          <w:sz w:val="32"/>
          <w:szCs w:val="32"/>
        </w:rPr>
        <w:t>万元。</w:t>
      </w:r>
      <w:r>
        <w:rPr>
          <w:rFonts w:hint="eastAsia" w:ascii="仿宋_GB2312" w:hAnsi="仿宋" w:eastAsia="仿宋_GB2312" w:cs="仿宋_GB2312"/>
          <w:b/>
          <w:bCs/>
          <w:sz w:val="32"/>
          <w:szCs w:val="32"/>
        </w:rPr>
        <w:t>三是创新举措助企纾困。</w:t>
      </w:r>
      <w:r>
        <w:rPr>
          <w:rFonts w:hint="eastAsia" w:ascii="仿宋_GB2312" w:eastAsia="仿宋_GB2312"/>
          <w:bCs/>
          <w:sz w:val="32"/>
          <w:szCs w:val="32"/>
        </w:rPr>
        <w:t>邀请县委</w:t>
      </w:r>
      <w:r>
        <w:rPr>
          <w:rFonts w:hint="eastAsia" w:ascii="仿宋_GB2312" w:eastAsia="仿宋_GB2312"/>
          <w:bCs/>
          <w:sz w:val="32"/>
          <w:szCs w:val="32"/>
          <w:highlight w:val="none"/>
        </w:rPr>
        <w:t>、县政府主要领导开展</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8</w:t>
      </w:r>
      <w:r>
        <w:rPr>
          <w:rFonts w:hint="eastAsia" w:ascii="仿宋_GB2312" w:eastAsia="仿宋_GB2312"/>
          <w:bCs/>
          <w:sz w:val="32"/>
          <w:szCs w:val="32"/>
          <w:highlight w:val="none"/>
        </w:rPr>
        <w:t>期“政企银每月谈”活动，会商解决企业问题</w:t>
      </w:r>
      <w:r>
        <w:rPr>
          <w:rStyle w:val="36"/>
          <w:rFonts w:hint="eastAsia" w:ascii="仿宋_GB2312" w:hAnsi="仿宋_GB2312" w:eastAsia="仿宋_GB2312" w:cs="仿宋_GB2312"/>
          <w:b w:val="0"/>
          <w:bCs w:val="0"/>
          <w:i w:val="0"/>
          <w:caps w:val="0"/>
          <w:spacing w:val="0"/>
          <w:w w:val="100"/>
          <w:kern w:val="2"/>
          <w:sz w:val="32"/>
          <w:szCs w:val="32"/>
          <w:highlight w:val="none"/>
          <w:lang w:val="en-US" w:eastAsia="zh-CN" w:bidi="ar-SA"/>
        </w:rPr>
        <w:t>22个</w:t>
      </w:r>
      <w:r>
        <w:rPr>
          <w:rFonts w:hint="eastAsia" w:ascii="仿宋_GB2312" w:eastAsia="仿宋_GB2312"/>
          <w:bCs/>
          <w:sz w:val="32"/>
          <w:szCs w:val="32"/>
          <w:highlight w:val="none"/>
        </w:rPr>
        <w:t>。印发《剑阁县企业困难问题会商会机制》，每季度</w:t>
      </w:r>
      <w:r>
        <w:rPr>
          <w:rFonts w:hint="eastAsia" w:ascii="仿宋_GB2312" w:eastAsia="仿宋_GB2312"/>
          <w:bCs/>
          <w:sz w:val="32"/>
          <w:szCs w:val="32"/>
          <w:highlight w:val="none"/>
          <w:lang w:eastAsia="zh-CN"/>
        </w:rPr>
        <w:t>组织</w:t>
      </w:r>
      <w:r>
        <w:rPr>
          <w:rFonts w:hint="eastAsia" w:ascii="仿宋_GB2312" w:eastAsia="仿宋_GB2312"/>
          <w:bCs/>
          <w:sz w:val="32"/>
          <w:szCs w:val="32"/>
          <w:highlight w:val="none"/>
        </w:rPr>
        <w:t>召开企</w:t>
      </w:r>
      <w:r>
        <w:rPr>
          <w:rFonts w:hint="eastAsia" w:ascii="仿宋_GB2312" w:eastAsia="仿宋_GB2312"/>
          <w:bCs/>
          <w:sz w:val="32"/>
          <w:szCs w:val="32"/>
        </w:rPr>
        <w:t>业困难问题会商会，为企业发展解难题。</w:t>
      </w:r>
    </w:p>
    <w:p w14:paraId="65A2B112">
      <w:pPr>
        <w:keepNext w:val="0"/>
        <w:keepLines w:val="0"/>
        <w:pageBreakBefore w:val="0"/>
        <w:widowControl w:val="0"/>
        <w:kinsoku/>
        <w:wordWrap/>
        <w:overflowPunct/>
        <w:topLinePunct w:val="0"/>
        <w:autoSpaceDE/>
        <w:autoSpaceDN/>
        <w:bidi w:val="0"/>
        <w:spacing w:line="576" w:lineRule="exact"/>
        <w:ind w:firstLine="643" w:firstLineChars="200"/>
        <w:rPr>
          <w:rStyle w:val="36"/>
          <w:rFonts w:hint="eastAsia" w:ascii="楷体_GB2312" w:hAnsi="楷体_GB2312" w:eastAsia="楷体_GB2312" w:cs="楷体_GB2312"/>
          <w:b/>
          <w:bCs/>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bCs/>
          <w:i w:val="0"/>
          <w:caps w:val="0"/>
          <w:color w:val="000000"/>
          <w:spacing w:val="0"/>
          <w:w w:val="100"/>
          <w:kern w:val="2"/>
          <w:sz w:val="32"/>
          <w:szCs w:val="32"/>
          <w:lang w:val="en-US" w:eastAsia="zh-CN" w:bidi="ar-SA"/>
        </w:rPr>
        <w:t>（二）疫情防控工作统筹推进</w:t>
      </w:r>
    </w:p>
    <w:p w14:paraId="6C024242">
      <w:pPr>
        <w:keepNext w:val="0"/>
        <w:keepLines w:val="0"/>
        <w:pageBreakBefore w:val="0"/>
        <w:widowControl w:val="0"/>
        <w:kinsoku/>
        <w:wordWrap/>
        <w:overflowPunct/>
        <w:topLinePunct w:val="0"/>
        <w:autoSpaceDE/>
        <w:autoSpaceDN/>
        <w:bidi w:val="0"/>
        <w:spacing w:line="576" w:lineRule="exact"/>
        <w:ind w:firstLine="640" w:firstLineChars="200"/>
        <w:jc w:val="left"/>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常态化抓好疫情防控，做好节假日干部职工离剑返剑报备登记，及时准确上报各类大数据排查情况。发动45名干部职工，配合做好金沙御苑、清江人家小区值守56天。切实做好10.11新冠疫情应急处置期间前线联合指挥部后勤保障服务工作，制发工作证4300个，发放口罩1.5万余个、消毒液500余瓶、酒精400瓶，安装应急视频会议系统3套，确保疫情应急处置期间前线联合指挥部政令畅通。</w:t>
      </w:r>
    </w:p>
    <w:p w14:paraId="68D65ACF">
      <w:pPr>
        <w:keepNext w:val="0"/>
        <w:keepLines w:val="0"/>
        <w:pageBreakBefore w:val="0"/>
        <w:widowControl w:val="0"/>
        <w:kinsoku/>
        <w:wordWrap/>
        <w:overflowPunct/>
        <w:topLinePunct w:val="0"/>
        <w:autoSpaceDE/>
        <w:autoSpaceDN/>
        <w:bidi w:val="0"/>
        <w:spacing w:line="576" w:lineRule="exact"/>
        <w:ind w:firstLine="643" w:firstLineChars="200"/>
        <w:jc w:val="left"/>
        <w:rPr>
          <w:rStyle w:val="36"/>
          <w:rFonts w:ascii="楷体" w:hAnsi="楷体" w:eastAsia="楷体"/>
          <w:b/>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bCs/>
          <w:i w:val="0"/>
          <w:caps w:val="0"/>
          <w:color w:val="000000"/>
          <w:spacing w:val="0"/>
          <w:w w:val="100"/>
          <w:kern w:val="2"/>
          <w:sz w:val="32"/>
          <w:szCs w:val="32"/>
          <w:lang w:val="en-US" w:eastAsia="zh-CN" w:bidi="ar-SA"/>
        </w:rPr>
        <w:t>（三）电子政务工作稳步提升</w:t>
      </w:r>
    </w:p>
    <w:p w14:paraId="7C4085E1">
      <w:pPr>
        <w:keepNext w:val="0"/>
        <w:keepLines w:val="0"/>
        <w:pageBreakBefore w:val="0"/>
        <w:widowControl w:val="0"/>
        <w:kinsoku/>
        <w:wordWrap/>
        <w:overflowPunct/>
        <w:topLinePunct w:val="0"/>
        <w:autoSpaceDE/>
        <w:autoSpaceDN/>
        <w:bidi w:val="0"/>
        <w:spacing w:after="0" w:line="576" w:lineRule="exact"/>
        <w:ind w:left="105" w:leftChars="50" w:firstLine="643" w:firstLineChars="200"/>
        <w:jc w:val="both"/>
        <w:rPr>
          <w:rFonts w:hint="eastAsia" w:ascii="仿宋_GB2312" w:hAnsi="宋体" w:eastAsia="仿宋_GB2312"/>
          <w:sz w:val="32"/>
          <w:szCs w:val="32"/>
        </w:rPr>
      </w:pPr>
      <w:r>
        <w:rPr>
          <w:rStyle w:val="36"/>
          <w:rFonts w:hint="eastAsia" w:ascii="仿宋_GB2312" w:hAnsi="仿宋_GB2312" w:eastAsia="仿宋_GB2312" w:cs="仿宋_GB2312"/>
          <w:b/>
          <w:bCs/>
          <w:i w:val="0"/>
          <w:caps w:val="0"/>
          <w:spacing w:val="0"/>
          <w:w w:val="100"/>
          <w:kern w:val="2"/>
          <w:sz w:val="32"/>
          <w:szCs w:val="32"/>
          <w:lang w:val="en-US" w:eastAsia="zh-CN" w:bidi="ar-SA"/>
        </w:rPr>
        <w:t>一是走好网上群众路线。</w:t>
      </w:r>
      <w:r>
        <w:rPr>
          <w:rFonts w:hint="eastAsia" w:ascii="仿宋_GB2312" w:hAnsi="仿宋_GB2312" w:eastAsia="仿宋_GB2312" w:cs="仿宋_GB2312"/>
          <w:sz w:val="32"/>
          <w:szCs w:val="32"/>
          <w:lang w:val="en-US" w:eastAsia="zh-CN"/>
        </w:rPr>
        <w:t>建立健全“走好网上群众路线为民服务办实事收件处理笺”县领导签批制、已办结诉求件“二次回访”机制，开展一线走访、家常热线、网格式管理、拓宽政务公开渠道、销号比武“五大行动”，召开推进会及会商会议8次，印发专项通报8期，实现15808件群众信访诉求按时办结率100%。</w:t>
      </w:r>
      <w:r>
        <w:rPr>
          <w:rStyle w:val="36"/>
          <w:rFonts w:hint="eastAsia" w:ascii="仿宋_GB2312" w:hAnsi="仿宋_GB2312" w:eastAsia="仿宋_GB2312" w:cs="仿宋_GB2312"/>
          <w:b/>
          <w:bCs/>
          <w:i w:val="0"/>
          <w:caps w:val="0"/>
          <w:spacing w:val="0"/>
          <w:w w:val="100"/>
          <w:kern w:val="2"/>
          <w:sz w:val="32"/>
          <w:szCs w:val="32"/>
          <w:lang w:val="en-US" w:eastAsia="zh-CN" w:bidi="ar-SA"/>
        </w:rPr>
        <w:t>二是加强政务新媒体管理。</w:t>
      </w:r>
      <w:r>
        <w:rPr>
          <w:rFonts w:hint="eastAsia" w:ascii="仿宋_GB2312" w:hAnsi="仿宋_GB2312" w:eastAsia="仿宋_GB2312" w:cs="仿宋_GB2312"/>
          <w:sz w:val="32"/>
          <w:szCs w:val="32"/>
          <w:lang w:eastAsia="zh-CN"/>
        </w:rPr>
        <w:t>全年审核乡镇、部门信息</w:t>
      </w:r>
      <w:r>
        <w:rPr>
          <w:rFonts w:hint="eastAsia" w:ascii="仿宋_GB2312" w:hAnsi="仿宋_GB2312" w:eastAsia="仿宋_GB2312" w:cs="仿宋_GB2312"/>
          <w:sz w:val="32"/>
          <w:szCs w:val="32"/>
          <w:lang w:val="en-US" w:eastAsia="zh-CN"/>
        </w:rPr>
        <w:t>2314条，</w:t>
      </w:r>
      <w:r>
        <w:rPr>
          <w:rFonts w:hint="eastAsia" w:ascii="仿宋_GB2312" w:hAnsi="仿宋_GB2312" w:eastAsia="仿宋_GB2312" w:cs="仿宋_GB2312"/>
          <w:sz w:val="32"/>
          <w:szCs w:val="32"/>
          <w:lang w:eastAsia="zh-CN"/>
        </w:rPr>
        <w:t>公开统计数据、规划计划、预决算等政府信息</w:t>
      </w:r>
      <w:r>
        <w:rPr>
          <w:rFonts w:hint="eastAsia" w:ascii="仿宋_GB2312" w:hAnsi="仿宋_GB2312" w:eastAsia="仿宋_GB2312" w:cs="仿宋_GB2312"/>
          <w:sz w:val="32"/>
          <w:szCs w:val="32"/>
          <w:lang w:val="en-US" w:eastAsia="zh-CN"/>
        </w:rPr>
        <w:t>11020</w:t>
      </w:r>
      <w:r>
        <w:rPr>
          <w:rFonts w:hint="eastAsia" w:ascii="仿宋_GB2312" w:hAnsi="仿宋_GB2312" w:eastAsia="仿宋_GB2312" w:cs="仿宋_GB2312"/>
          <w:sz w:val="32"/>
          <w:szCs w:val="32"/>
          <w:lang w:eastAsia="zh-CN"/>
        </w:rPr>
        <w:t>条。严格落实政务新媒体分级备案制度，制发《关于切实加强政务新媒体规范管理的通知》，对全县</w:t>
      </w:r>
      <w:r>
        <w:rPr>
          <w:rFonts w:hint="eastAsia" w:ascii="仿宋_GB2312" w:hAnsi="仿宋_GB2312" w:eastAsia="仿宋_GB2312" w:cs="仿宋_GB2312"/>
          <w:sz w:val="32"/>
          <w:szCs w:val="32"/>
          <w:lang w:val="en-US" w:eastAsia="zh-CN"/>
        </w:rPr>
        <w:t>22家</w:t>
      </w:r>
      <w:r>
        <w:rPr>
          <w:rFonts w:hint="eastAsia" w:ascii="仿宋_GB2312" w:hAnsi="仿宋_GB2312" w:eastAsia="仿宋_GB2312" w:cs="仿宋_GB2312"/>
          <w:sz w:val="32"/>
          <w:szCs w:val="32"/>
          <w:lang w:eastAsia="zh-CN"/>
        </w:rPr>
        <w:t>政务新媒体实行每周巡查+动态抽查，全年均未发任何安全事故和负面舆情。</w:t>
      </w:r>
      <w:r>
        <w:rPr>
          <w:rStyle w:val="36"/>
          <w:rFonts w:hint="eastAsia" w:ascii="楷体_GB2312" w:hAnsi="楷体_GB2312" w:eastAsia="楷体_GB2312" w:cs="楷体_GB2312"/>
          <w:b/>
          <w:bCs/>
          <w:i w:val="0"/>
          <w:caps w:val="0"/>
          <w:spacing w:val="0"/>
          <w:w w:val="100"/>
          <w:kern w:val="2"/>
          <w:sz w:val="32"/>
          <w:szCs w:val="32"/>
          <w:lang w:val="en-US" w:eastAsia="zh-CN" w:bidi="ar-SA"/>
        </w:rPr>
        <w:t>三是依法推进政务公开。</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lang w:eastAsia="zh-CN"/>
        </w:rPr>
        <w:t>《剑阁县202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年政务公开</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安排</w:t>
      </w:r>
      <w:r>
        <w:rPr>
          <w:rFonts w:hint="eastAsia" w:ascii="仿宋_GB2312" w:hAnsi="仿宋_GB2312" w:eastAsia="仿宋_GB2312" w:cs="仿宋_GB2312"/>
          <w:sz w:val="32"/>
          <w:szCs w:val="32"/>
          <w:lang w:eastAsia="zh-CN"/>
        </w:rPr>
        <w:t>》，编制发布了行政权力清单、公共服务事项清单、责任清单并动态调整。重新编制并公开基层政务公开标准目录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政府信息主动公开基本目录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实现政务过程和结果全公开。制定《剑阁县深化政务公开促进基层政府治理能力提升工作实施方案》，打造</w:t>
      </w:r>
      <w:r>
        <w:rPr>
          <w:rFonts w:hint="eastAsia" w:ascii="仿宋_GB2312" w:hAnsi="仿宋_GB2312" w:eastAsia="仿宋_GB2312" w:cs="仿宋_GB2312"/>
          <w:sz w:val="32"/>
          <w:szCs w:val="32"/>
          <w:lang w:val="en-US" w:eastAsia="zh-CN"/>
        </w:rPr>
        <w:t>县、乡、村三级政务服务公开专区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全年公开政府文件146个，解读文件31个，解读占比提升21.2%。“10.11”疫情期间，累计发布信息71条，浏览量达10万余次。</w:t>
      </w:r>
    </w:p>
    <w:p w14:paraId="339E9D0A">
      <w:pPr>
        <w:keepNext w:val="0"/>
        <w:keepLines w:val="0"/>
        <w:pageBreakBefore w:val="0"/>
        <w:widowControl w:val="0"/>
        <w:kinsoku/>
        <w:wordWrap/>
        <w:overflowPunct/>
        <w:topLinePunct w:val="0"/>
        <w:autoSpaceDE/>
        <w:autoSpaceDN/>
        <w:bidi w:val="0"/>
        <w:snapToGrid/>
        <w:spacing w:before="0" w:beforeAutospacing="0" w:after="0" w:afterAutospacing="0" w:line="576" w:lineRule="exact"/>
        <w:ind w:firstLine="643" w:firstLineChars="200"/>
        <w:jc w:val="both"/>
        <w:textAlignment w:val="baseline"/>
        <w:rPr>
          <w:rStyle w:val="36"/>
          <w:rFonts w:ascii="楷体" w:hAnsi="楷体" w:eastAsia="楷体"/>
          <w:b/>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i w:val="0"/>
          <w:caps w:val="0"/>
          <w:color w:val="000000"/>
          <w:spacing w:val="0"/>
          <w:w w:val="100"/>
          <w:kern w:val="2"/>
          <w:sz w:val="32"/>
          <w:szCs w:val="32"/>
          <w:lang w:val="en-US" w:eastAsia="zh-CN" w:bidi="ar-SA"/>
        </w:rPr>
        <w:t>（四）</w:t>
      </w:r>
      <w:r>
        <w:rPr>
          <w:rStyle w:val="36"/>
          <w:rFonts w:ascii="楷体" w:hAnsi="楷体" w:eastAsia="楷体"/>
          <w:b/>
          <w:i w:val="0"/>
          <w:caps w:val="0"/>
          <w:color w:val="000000"/>
          <w:spacing w:val="0"/>
          <w:w w:val="100"/>
          <w:kern w:val="2"/>
          <w:sz w:val="32"/>
          <w:szCs w:val="32"/>
          <w:lang w:val="en-US" w:eastAsia="zh-CN" w:bidi="ar-SA"/>
        </w:rPr>
        <w:t>政务服务能力不断增强</w:t>
      </w:r>
    </w:p>
    <w:p w14:paraId="2AA4AFAE">
      <w:pPr>
        <w:keepNext w:val="0"/>
        <w:keepLines w:val="0"/>
        <w:pageBreakBefore w:val="0"/>
        <w:widowControl w:val="0"/>
        <w:kinsoku/>
        <w:wordWrap/>
        <w:overflowPunct/>
        <w:topLinePunct w:val="0"/>
        <w:autoSpaceDE/>
        <w:autoSpaceDN/>
        <w:bidi w:val="0"/>
        <w:snapToGrid/>
        <w:spacing w:before="0" w:beforeAutospacing="0" w:after="0" w:afterAutospacing="0" w:line="576" w:lineRule="exact"/>
        <w:ind w:firstLine="643" w:firstLineChars="200"/>
        <w:jc w:val="both"/>
        <w:textAlignment w:val="baseline"/>
        <w:rPr>
          <w:rFonts w:hint="eastAsia" w:ascii="仿宋_GB2312" w:hAnsi="仿宋_GB2312" w:eastAsia="仿宋_GB2312" w:cs="仿宋_GB2312"/>
          <w:sz w:val="32"/>
          <w:szCs w:val="32"/>
        </w:rPr>
      </w:pPr>
      <w:r>
        <w:rPr>
          <w:rStyle w:val="36"/>
          <w:rFonts w:ascii="仿宋_GB2312" w:hAnsi="仿宋_GB2312" w:eastAsia="仿宋_GB2312" w:cs="仿宋_GB2312"/>
          <w:b/>
          <w:bCs/>
          <w:i w:val="0"/>
          <w:caps w:val="0"/>
          <w:spacing w:val="0"/>
          <w:w w:val="100"/>
          <w:kern w:val="2"/>
          <w:sz w:val="32"/>
          <w:szCs w:val="32"/>
          <w:lang w:val="en-US" w:eastAsia="zh-CN" w:bidi="ar-SA"/>
        </w:rPr>
        <w:t>一是持续推进“放管服”改革。</w:t>
      </w:r>
      <w:r>
        <w:rPr>
          <w:rStyle w:val="36"/>
          <w:rFonts w:hint="eastAsia" w:ascii="仿宋_GB2312" w:hAnsi="仿宋_GB2312" w:eastAsia="仿宋_GB2312" w:cs="仿宋_GB2312"/>
          <w:b w:val="0"/>
          <w:bCs w:val="0"/>
          <w:i w:val="0"/>
          <w:caps w:val="0"/>
          <w:spacing w:val="0"/>
          <w:w w:val="100"/>
          <w:kern w:val="2"/>
          <w:sz w:val="32"/>
          <w:szCs w:val="32"/>
          <w:lang w:val="en-US" w:eastAsia="zh-CN" w:bidi="ar-SA"/>
        </w:rPr>
        <w:t>全面梳理2021年以来国省市深化“放管服”改革优化营商环境各项政措施，及时跟进各项改革任务，</w:t>
      </w:r>
      <w:r>
        <w:rPr>
          <w:rFonts w:hint="eastAsia" w:ascii="仿宋_GB2312" w:hAnsi="仿宋_GB2312" w:eastAsia="仿宋_GB2312" w:cs="仿宋_GB2312"/>
          <w:sz w:val="32"/>
          <w:szCs w:val="32"/>
          <w:lang w:eastAsia="zh-CN"/>
        </w:rPr>
        <w:t>印</w:t>
      </w:r>
      <w:r>
        <w:rPr>
          <w:rFonts w:hint="eastAsia" w:ascii="仿宋_GB2312" w:hAnsi="仿宋_GB2312" w:eastAsia="仿宋_GB2312" w:cs="仿宋_GB2312"/>
          <w:sz w:val="32"/>
          <w:szCs w:val="32"/>
        </w:rPr>
        <w:t>发《剑阁县深化“放管服”改革优化营商环境2022年工作要点》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明确部门（单位）职责任务，</w:t>
      </w:r>
      <w:r>
        <w:rPr>
          <w:rFonts w:hint="eastAsia" w:ascii="仿宋_GB2312" w:hAnsi="仿宋_GB2312" w:eastAsia="仿宋_GB2312" w:cs="仿宋_GB2312"/>
          <w:sz w:val="32"/>
          <w:szCs w:val="32"/>
          <w:lang w:eastAsia="zh-CN"/>
        </w:rPr>
        <w:t>压实部门工作责任</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二是深化</w:t>
      </w:r>
      <w:r>
        <w:rPr>
          <w:rFonts w:hint="eastAsia" w:ascii="仿宋_GB2312" w:hAnsi="仿宋_GB2312" w:eastAsia="仿宋_GB2312" w:cs="仿宋_GB2312"/>
          <w:b/>
          <w:bCs/>
          <w:sz w:val="32"/>
          <w:szCs w:val="32"/>
        </w:rPr>
        <w:t>政务数据共享开放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《剑阁县加强全县公共数据资源开放安全管理工作方案》《关于持续开展政务数据共享开放工作的通知》</w:t>
      </w:r>
      <w:r>
        <w:rPr>
          <w:rFonts w:hint="eastAsia" w:ascii="仿宋_GB2312" w:hAnsi="仿宋_GB2312" w:eastAsia="仿宋_GB2312" w:cs="仿宋_GB2312"/>
          <w:sz w:val="32"/>
          <w:szCs w:val="32"/>
          <w:lang w:eastAsia="zh-CN"/>
        </w:rPr>
        <w:t>等文件</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全县政务数据共享开放</w:t>
      </w:r>
      <w:r>
        <w:rPr>
          <w:rFonts w:hint="eastAsia" w:ascii="仿宋_GB2312" w:hAnsi="仿宋_GB2312" w:eastAsia="仿宋_GB2312" w:cs="仿宋_GB2312"/>
          <w:sz w:val="32"/>
          <w:szCs w:val="32"/>
        </w:rPr>
        <w:t>业务培训会议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次，督促指导33个县级部门完成政务数据</w:t>
      </w:r>
      <w:r>
        <w:rPr>
          <w:rFonts w:hint="eastAsia" w:ascii="仿宋_GB2312" w:hAnsi="仿宋_GB2312" w:eastAsia="仿宋_GB2312" w:cs="仿宋_GB2312"/>
          <w:sz w:val="32"/>
          <w:szCs w:val="32"/>
          <w:lang w:eastAsia="zh-CN"/>
        </w:rPr>
        <w:t>开放</w:t>
      </w:r>
      <w:r>
        <w:rPr>
          <w:rFonts w:hint="eastAsia" w:ascii="仿宋_GB2312" w:hAnsi="仿宋_GB2312" w:eastAsia="仿宋_GB2312" w:cs="仿宋_GB2312"/>
          <w:sz w:val="32"/>
          <w:szCs w:val="32"/>
        </w:rPr>
        <w:t>共享</w:t>
      </w:r>
      <w:r>
        <w:rPr>
          <w:rFonts w:hint="eastAsia" w:ascii="仿宋_GB2312" w:hAnsi="仿宋_GB2312" w:eastAsia="仿宋_GB2312" w:cs="仿宋_GB2312"/>
          <w:sz w:val="32"/>
          <w:szCs w:val="32"/>
          <w:lang w:val="en-US" w:eastAsia="zh-CN"/>
        </w:rPr>
        <w:t>1277</w:t>
      </w:r>
      <w:r>
        <w:rPr>
          <w:rFonts w:hint="eastAsia" w:ascii="仿宋_GB2312" w:hAnsi="仿宋_GB2312" w:eastAsia="仿宋_GB2312" w:cs="仿宋_GB2312"/>
          <w:sz w:val="32"/>
          <w:szCs w:val="32"/>
        </w:rPr>
        <w:t>条。</w:t>
      </w:r>
      <w:r>
        <w:rPr>
          <w:rStyle w:val="36"/>
          <w:rFonts w:hint="eastAsia" w:ascii="仿宋_GB2312" w:hAnsi="仿宋_GB2312" w:eastAsia="仿宋_GB2312" w:cs="仿宋_GB2312"/>
          <w:b/>
          <w:bCs/>
          <w:i w:val="0"/>
          <w:caps w:val="0"/>
          <w:spacing w:val="0"/>
          <w:w w:val="100"/>
          <w:kern w:val="2"/>
          <w:sz w:val="32"/>
          <w:szCs w:val="32"/>
          <w:lang w:val="en-US" w:eastAsia="zh-CN" w:bidi="ar-SA"/>
        </w:rPr>
        <w:t>三</w:t>
      </w:r>
      <w:r>
        <w:rPr>
          <w:rStyle w:val="36"/>
          <w:rFonts w:ascii="仿宋_GB2312" w:hAnsi="仿宋_GB2312" w:eastAsia="仿宋_GB2312" w:cs="仿宋_GB2312"/>
          <w:b/>
          <w:bCs/>
          <w:i w:val="0"/>
          <w:caps w:val="0"/>
          <w:spacing w:val="0"/>
          <w:w w:val="100"/>
          <w:kern w:val="2"/>
          <w:sz w:val="32"/>
          <w:szCs w:val="32"/>
          <w:lang w:val="en-US" w:eastAsia="zh-CN" w:bidi="ar-SA"/>
        </w:rPr>
        <w:t>是不断提升服务质效</w:t>
      </w:r>
      <w:r>
        <w:rPr>
          <w:rStyle w:val="36"/>
          <w:rFonts w:ascii="仿宋_GB2312" w:hAnsi="仿宋_GB2312" w:eastAsia="仿宋_GB2312"/>
          <w:b/>
          <w:bCs/>
          <w:i w:val="0"/>
          <w:caps w:val="0"/>
          <w:spacing w:val="0"/>
          <w:w w:val="100"/>
          <w:kern w:val="2"/>
          <w:sz w:val="32"/>
          <w:szCs w:val="32"/>
          <w:lang w:val="en-US" w:eastAsia="zh-CN" w:bidi="ar-SA"/>
        </w:rPr>
        <w:t>。</w:t>
      </w:r>
      <w:r>
        <w:rPr>
          <w:rFonts w:hint="eastAsia" w:ascii="仿宋_GB2312" w:hAnsi="仿宋_GB2312" w:eastAsia="仿宋_GB2312" w:cs="仿宋_GB2312"/>
          <w:sz w:val="32"/>
          <w:szCs w:val="32"/>
        </w:rPr>
        <w:t>编制《剑阁县行政许可事项清单（2022年版）》</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召开全县“互联网+监管”工作推进会、业务培训会</w:t>
      </w:r>
      <w:r>
        <w:rPr>
          <w:rFonts w:hint="eastAsia" w:ascii="仿宋_GB2312" w:hAnsi="仿宋_GB2312" w:eastAsia="仿宋_GB2312" w:cs="仿宋_GB2312"/>
          <w:sz w:val="32"/>
          <w:szCs w:val="32"/>
          <w:lang w:eastAsia="zh-CN"/>
        </w:rPr>
        <w:t>，扎实</w:t>
      </w:r>
      <w:r>
        <w:rPr>
          <w:rFonts w:hint="eastAsia" w:ascii="仿宋_GB2312" w:hAnsi="仿宋_GB2312" w:eastAsia="仿宋_GB2312" w:cs="仿宋_GB2312"/>
          <w:sz w:val="32"/>
          <w:szCs w:val="32"/>
        </w:rPr>
        <w:t>推进“互联网+监管”工作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督促“互联网+监管”平台数据高质量汇集，</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30个县级部门认领编辑监管事项11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项，录入监管行为</w:t>
      </w:r>
      <w:r>
        <w:rPr>
          <w:rFonts w:hint="eastAsia" w:ascii="仿宋_GB2312" w:hAnsi="仿宋_GB2312" w:eastAsia="仿宋_GB2312" w:cs="仿宋_GB2312"/>
          <w:sz w:val="32"/>
          <w:szCs w:val="32"/>
          <w:lang w:val="en-US" w:eastAsia="zh-CN"/>
        </w:rPr>
        <w:t>10533</w:t>
      </w:r>
      <w:r>
        <w:rPr>
          <w:rFonts w:hint="eastAsia" w:ascii="仿宋_GB2312" w:hAnsi="仿宋_GB2312" w:eastAsia="仿宋_GB2312" w:cs="仿宋_GB2312"/>
          <w:sz w:val="32"/>
          <w:szCs w:val="32"/>
        </w:rPr>
        <w:t>条。</w:t>
      </w:r>
    </w:p>
    <w:p w14:paraId="0E4EFB6C">
      <w:pPr>
        <w:keepNext w:val="0"/>
        <w:keepLines w:val="0"/>
        <w:pageBreakBefore w:val="0"/>
        <w:widowControl w:val="0"/>
        <w:kinsoku/>
        <w:wordWrap/>
        <w:overflowPunct/>
        <w:topLinePunct w:val="0"/>
        <w:autoSpaceDE/>
        <w:autoSpaceDN/>
        <w:bidi w:val="0"/>
        <w:snapToGrid/>
        <w:spacing w:before="0" w:beforeAutospacing="0" w:after="0" w:afterAutospacing="0" w:line="576" w:lineRule="exact"/>
        <w:ind w:firstLine="643" w:firstLineChars="200"/>
        <w:jc w:val="both"/>
        <w:textAlignment w:val="baseline"/>
        <w:rPr>
          <w:rStyle w:val="36"/>
          <w:rFonts w:hint="eastAsia" w:ascii="楷体_GB2312" w:hAnsi="楷体_GB2312" w:eastAsia="楷体_GB2312" w:cs="楷体_GB2312"/>
          <w:b/>
          <w:i w:val="0"/>
          <w:caps w:val="0"/>
          <w:color w:val="000000"/>
          <w:spacing w:val="0"/>
          <w:w w:val="100"/>
          <w:kern w:val="2"/>
          <w:sz w:val="32"/>
          <w:szCs w:val="32"/>
          <w:lang w:val="en-US" w:eastAsia="zh-CN" w:bidi="ar-SA"/>
        </w:rPr>
      </w:pPr>
      <w:r>
        <w:rPr>
          <w:rStyle w:val="36"/>
          <w:rFonts w:hint="eastAsia" w:ascii="楷体_GB2312" w:hAnsi="楷体_GB2312" w:eastAsia="楷体_GB2312" w:cs="楷体_GB2312"/>
          <w:b/>
          <w:i w:val="0"/>
          <w:caps w:val="0"/>
          <w:color w:val="000000"/>
          <w:spacing w:val="0"/>
          <w:w w:val="100"/>
          <w:kern w:val="2"/>
          <w:sz w:val="32"/>
          <w:szCs w:val="32"/>
          <w:lang w:val="en-US" w:eastAsia="zh-CN" w:bidi="ar-SA"/>
        </w:rPr>
        <w:t>（五）挂联帮扶卓有成效</w:t>
      </w:r>
    </w:p>
    <w:p w14:paraId="53888E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Style w:val="36"/>
          <w:rFonts w:hint="eastAsia" w:ascii="仿宋_GB2312" w:hAnsi="仿宋_GB2312" w:eastAsia="仿宋_GB2312" w:cs="仿宋_GB2312"/>
          <w:b w:val="0"/>
          <w:bCs w:val="0"/>
          <w:i w:val="0"/>
          <w:caps w:val="0"/>
          <w:spacing w:val="0"/>
          <w:w w:val="100"/>
          <w:kern w:val="2"/>
          <w:sz w:val="32"/>
          <w:szCs w:val="32"/>
          <w:lang w:val="en-US" w:eastAsia="zh-CN" w:bidi="ar-SA"/>
        </w:rPr>
      </w:pPr>
      <w:r>
        <w:rPr>
          <w:rStyle w:val="36"/>
          <w:rFonts w:hint="eastAsia" w:ascii="仿宋_GB2312" w:hAnsi="仿宋_GB2312" w:eastAsia="仿宋_GB2312" w:cs="仿宋_GB2312"/>
          <w:b/>
          <w:bCs/>
          <w:i w:val="0"/>
          <w:caps w:val="0"/>
          <w:spacing w:val="0"/>
          <w:w w:val="100"/>
          <w:kern w:val="2"/>
          <w:sz w:val="32"/>
          <w:szCs w:val="32"/>
          <w:lang w:val="en-US" w:eastAsia="zh-CN" w:bidi="ar-SA"/>
        </w:rPr>
        <w:t>一是持续巩固拓展脱贫攻坚成果。</w:t>
      </w:r>
      <w:r>
        <w:rPr>
          <w:rFonts w:hint="eastAsia" w:ascii="仿宋_GB2312" w:hAnsi="仿宋_GB2312" w:eastAsia="仿宋_GB2312" w:cs="仿宋_GB2312"/>
          <w:sz w:val="32"/>
          <w:szCs w:val="32"/>
          <w:lang w:eastAsia="zh-CN"/>
        </w:rPr>
        <w:t>动态监测脱贫户、边缘易致贫户、突发困难户，建立监测户台账、大病动态观察户台账，确保无致贫返贫情况发生。用</w:t>
      </w:r>
      <w:r>
        <w:rPr>
          <w:rFonts w:hint="eastAsia" w:ascii="仿宋_GB2312" w:hAnsi="仿宋_GB2312" w:eastAsia="仿宋_GB2312" w:cs="仿宋_GB2312"/>
          <w:sz w:val="32"/>
          <w:szCs w:val="32"/>
        </w:rPr>
        <w:t>好就业、教育、残疾等政策,确保项目、资金落实到人。制定</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建立监测对象一对一联系制度，</w:t>
      </w:r>
      <w:r>
        <w:rPr>
          <w:rFonts w:hint="eastAsia" w:ascii="仿宋_GB2312" w:hAnsi="仿宋_GB2312" w:eastAsia="仿宋_GB2312" w:cs="仿宋_GB2312"/>
          <w:sz w:val="32"/>
          <w:szCs w:val="32"/>
        </w:rPr>
        <w:t>宣讲</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政策,开展感恩教育,巩固提升脱贫成果。</w:t>
      </w:r>
      <w:r>
        <w:rPr>
          <w:rFonts w:hint="eastAsia" w:ascii="仿宋_GB2312" w:hAnsi="仿宋_GB2312" w:eastAsia="仿宋_GB2312" w:cs="仿宋_GB2312"/>
          <w:sz w:val="32"/>
          <w:szCs w:val="32"/>
          <w:lang w:eastAsia="zh-CN"/>
        </w:rPr>
        <w:t>结合本村实际和发展需求，申报产业园区道路硬化等项目</w:t>
      </w:r>
      <w:r>
        <w:rPr>
          <w:rFonts w:hint="eastAsia" w:ascii="仿宋_GB2312" w:hAnsi="仿宋_GB2312" w:eastAsia="仿宋_GB2312" w:cs="仿宋_GB2312"/>
          <w:sz w:val="32"/>
          <w:szCs w:val="32"/>
          <w:lang w:val="en-US" w:eastAsia="zh-CN"/>
        </w:rPr>
        <w:t>3个。</w:t>
      </w:r>
      <w:r>
        <w:rPr>
          <w:rStyle w:val="36"/>
          <w:rFonts w:hint="eastAsia" w:ascii="仿宋_GB2312" w:hAnsi="仿宋_GB2312" w:eastAsia="仿宋_GB2312" w:cs="仿宋_GB2312"/>
          <w:b/>
          <w:bCs/>
          <w:i w:val="0"/>
          <w:caps w:val="0"/>
          <w:spacing w:val="0"/>
          <w:w w:val="100"/>
          <w:kern w:val="2"/>
          <w:sz w:val="32"/>
          <w:szCs w:val="32"/>
          <w:lang w:val="en-US" w:eastAsia="zh-CN" w:bidi="ar-SA"/>
        </w:rPr>
        <w:t>二是全面开展结对帮扶。</w:t>
      </w:r>
      <w:r>
        <w:rPr>
          <w:rFonts w:hint="eastAsia" w:ascii="仿宋_GB2312" w:hAnsi="仿宋_GB2312" w:eastAsia="仿宋_GB2312" w:cs="仿宋_GB2312"/>
          <w:sz w:val="32"/>
          <w:szCs w:val="32"/>
        </w:rPr>
        <w:t>深入开展农户大走访和群众意见大收集,</w:t>
      </w:r>
      <w:r>
        <w:rPr>
          <w:rFonts w:hint="eastAsia" w:ascii="仿宋_GB2312" w:hAnsi="仿宋_GB2312" w:eastAsia="仿宋_GB2312" w:cs="仿宋_GB2312"/>
          <w:sz w:val="32"/>
          <w:szCs w:val="32"/>
          <w:lang w:eastAsia="zh-CN"/>
        </w:rPr>
        <w:t>全覆盖走访已脱贫户</w:t>
      </w:r>
      <w:r>
        <w:rPr>
          <w:rFonts w:hint="eastAsia" w:ascii="仿宋_GB2312" w:hAnsi="仿宋_GB2312" w:eastAsia="仿宋_GB2312" w:cs="仿宋_GB2312"/>
          <w:sz w:val="32"/>
          <w:szCs w:val="32"/>
          <w:lang w:val="en-US" w:eastAsia="zh-CN"/>
        </w:rPr>
        <w:t>55户188人、一般户321户</w:t>
      </w:r>
      <w:r>
        <w:rPr>
          <w:rFonts w:hint="eastAsia" w:ascii="仿宋_GB2312" w:hAnsi="仿宋_GB2312" w:eastAsia="仿宋_GB2312" w:cs="仿宋_GB2312"/>
          <w:sz w:val="32"/>
          <w:szCs w:val="32"/>
          <w:lang w:eastAsia="zh-CN"/>
        </w:rPr>
        <w:t>，全年走访</w:t>
      </w:r>
      <w:r>
        <w:rPr>
          <w:rFonts w:hint="eastAsia" w:ascii="仿宋_GB2312" w:hAnsi="仿宋_GB2312" w:eastAsia="仿宋_GB2312" w:cs="仿宋_GB2312"/>
          <w:sz w:val="32"/>
          <w:szCs w:val="32"/>
          <w:lang w:val="en-US" w:eastAsia="zh-CN"/>
        </w:rPr>
        <w:t>2300余人次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开展慰问活动</w:t>
      </w:r>
      <w:r>
        <w:rPr>
          <w:rFonts w:hint="eastAsia" w:ascii="仿宋_GB2312" w:hAnsi="仿宋_GB2312" w:eastAsia="仿宋_GB2312" w:cs="仿宋_GB2312"/>
          <w:sz w:val="32"/>
          <w:szCs w:val="32"/>
          <w:lang w:val="en-US" w:eastAsia="zh-CN"/>
        </w:rPr>
        <w:t>3次，以购代扶活动5次</w:t>
      </w:r>
      <w:r>
        <w:rPr>
          <w:rFonts w:hint="eastAsia" w:ascii="仿宋_GB2312" w:hAnsi="仿宋_GB2312" w:eastAsia="仿宋_GB2312" w:cs="仿宋_GB2312"/>
          <w:sz w:val="32"/>
          <w:szCs w:val="32"/>
          <w:lang w:eastAsia="zh-CN"/>
        </w:rPr>
        <w:t>。常态化开展返乡人员排查，开展新冠疫情</w:t>
      </w:r>
      <w:r>
        <w:rPr>
          <w:rFonts w:hint="eastAsia" w:ascii="仿宋_GB2312" w:hAnsi="仿宋_GB2312" w:eastAsia="仿宋_GB2312" w:cs="仿宋_GB2312"/>
          <w:sz w:val="32"/>
          <w:szCs w:val="32"/>
        </w:rPr>
        <w:t>防控</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lang w:val="en-US" w:eastAsia="zh-CN"/>
        </w:rPr>
        <w:t>30余次</w:t>
      </w:r>
      <w:r>
        <w:rPr>
          <w:rFonts w:hint="eastAsia" w:ascii="仿宋_GB2312" w:hAnsi="仿宋_GB2312" w:eastAsia="仿宋_GB2312" w:cs="仿宋_GB2312"/>
          <w:sz w:val="32"/>
          <w:szCs w:val="32"/>
          <w:lang w:eastAsia="zh-CN"/>
        </w:rPr>
        <w:t>，组织全员核酸检测</w:t>
      </w:r>
      <w:r>
        <w:rPr>
          <w:rFonts w:hint="eastAsia" w:ascii="仿宋_GB2312" w:hAnsi="仿宋_GB2312" w:eastAsia="仿宋_GB2312" w:cs="仿宋_GB2312"/>
          <w:sz w:val="32"/>
          <w:szCs w:val="32"/>
          <w:lang w:val="en-US" w:eastAsia="zh-CN"/>
        </w:rPr>
        <w:t>20余次。</w:t>
      </w:r>
      <w:r>
        <w:rPr>
          <w:rFonts w:hint="eastAsia" w:ascii="仿宋_GB2312" w:hAnsi="仿宋_GB2312" w:eastAsia="仿宋_GB2312" w:cs="仿宋_GB2312"/>
          <w:sz w:val="32"/>
          <w:szCs w:val="32"/>
          <w:lang w:eastAsia="zh-CN"/>
        </w:rPr>
        <w:t>同步开展森林防灭火、安全生产</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lang w:val="en-US" w:eastAsia="zh-CN"/>
        </w:rPr>
        <w:t>26次</w:t>
      </w:r>
      <w:r>
        <w:rPr>
          <w:rFonts w:hint="eastAsia" w:ascii="仿宋_GB2312" w:hAnsi="仿宋_GB2312" w:eastAsia="仿宋_GB2312" w:cs="仿宋_GB2312"/>
          <w:sz w:val="32"/>
          <w:szCs w:val="32"/>
        </w:rPr>
        <w:t>,全年无安全事故发生</w:t>
      </w:r>
      <w:r>
        <w:rPr>
          <w:rFonts w:hint="eastAsia" w:ascii="仿宋_GB2312" w:hAnsi="仿宋_GB2312" w:eastAsia="仿宋_GB2312" w:cs="仿宋_GB2312"/>
          <w:sz w:val="32"/>
          <w:szCs w:val="32"/>
          <w:lang w:eastAsia="zh-CN"/>
        </w:rPr>
        <w:t>。</w:t>
      </w:r>
      <w:r>
        <w:rPr>
          <w:rStyle w:val="36"/>
          <w:rFonts w:hint="eastAsia" w:ascii="仿宋_GB2312" w:hAnsi="仿宋_GB2312" w:eastAsia="仿宋_GB2312" w:cs="仿宋_GB2312"/>
          <w:b/>
          <w:bCs/>
          <w:i w:val="0"/>
          <w:caps w:val="0"/>
          <w:spacing w:val="0"/>
          <w:w w:val="100"/>
          <w:kern w:val="2"/>
          <w:sz w:val="32"/>
          <w:szCs w:val="32"/>
          <w:lang w:val="en-US" w:eastAsia="zh-CN" w:bidi="ar-SA"/>
        </w:rPr>
        <w:t>三是深入推进乡村振兴。</w:t>
      </w:r>
      <w:r>
        <w:rPr>
          <w:rStyle w:val="36"/>
          <w:rFonts w:hint="eastAsia" w:ascii="仿宋_GB2312" w:hAnsi="仿宋_GB2312" w:eastAsia="仿宋_GB2312" w:cs="仿宋_GB2312"/>
          <w:b w:val="0"/>
          <w:bCs w:val="0"/>
          <w:i w:val="0"/>
          <w:caps w:val="0"/>
          <w:spacing w:val="0"/>
          <w:w w:val="100"/>
          <w:kern w:val="2"/>
          <w:sz w:val="32"/>
          <w:szCs w:val="32"/>
          <w:lang w:val="en-US" w:eastAsia="zh-CN" w:bidi="ar-SA"/>
        </w:rPr>
        <w:t>各方协调</w:t>
      </w:r>
      <w:r>
        <w:rPr>
          <w:rFonts w:hint="eastAsia" w:ascii="仿宋_GB2312" w:hAnsi="仿宋_GB2312" w:eastAsia="仿宋_GB2312" w:cs="仿宋_GB2312"/>
          <w:sz w:val="32"/>
          <w:szCs w:val="32"/>
          <w:lang w:val="en-US" w:eastAsia="zh-CN"/>
        </w:rPr>
        <w:t>资金10万元，开展村级阵地维护。规范项目实施</w:t>
      </w:r>
      <w:r>
        <w:rPr>
          <w:rFonts w:hint="eastAsia" w:ascii="仿宋_GB2312" w:hAnsi="仿宋_GB2312" w:eastAsia="仿宋_GB2312" w:cs="仿宋_GB2312"/>
          <w:sz w:val="32"/>
          <w:szCs w:val="32"/>
          <w:lang w:eastAsia="zh-CN"/>
        </w:rPr>
        <w:t>，硬化产业园道路</w:t>
      </w:r>
      <w:r>
        <w:rPr>
          <w:rFonts w:hint="eastAsia" w:ascii="仿宋_GB2312" w:hAnsi="仿宋_GB2312" w:eastAsia="仿宋_GB2312" w:cs="仿宋_GB2312"/>
          <w:sz w:val="32"/>
          <w:szCs w:val="32"/>
          <w:lang w:val="en-US" w:eastAsia="zh-CN"/>
        </w:rPr>
        <w:t>1.2公里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积极发展蔬菜产业，2022年全村种植冬瓜85亩、香芋40亩、大头菜120亩，提升种植户收入。</w:t>
      </w:r>
    </w:p>
    <w:p w14:paraId="2D107D2E">
      <w:pPr>
        <w:keepNext w:val="0"/>
        <w:keepLines w:val="0"/>
        <w:pageBreakBefore w:val="0"/>
        <w:widowControl w:val="0"/>
        <w:kinsoku/>
        <w:wordWrap/>
        <w:overflowPunct/>
        <w:topLinePunct w:val="0"/>
        <w:autoSpaceDE/>
        <w:autoSpaceDN/>
        <w:bidi w:val="0"/>
        <w:spacing w:line="576" w:lineRule="exact"/>
        <w:ind w:firstLine="643" w:firstLineChars="200"/>
        <w:rPr>
          <w:rStyle w:val="36"/>
          <w:rFonts w:hint="eastAsia" w:ascii="黑体" w:hAnsi="黑体" w:eastAsia="黑体" w:cs="黑体"/>
          <w:b/>
          <w:bCs/>
          <w:i w:val="0"/>
          <w:caps w:val="0"/>
          <w:color w:val="000000"/>
          <w:spacing w:val="0"/>
          <w:w w:val="100"/>
          <w:kern w:val="2"/>
          <w:sz w:val="32"/>
          <w:szCs w:val="32"/>
          <w:lang w:val="en-US" w:eastAsia="zh-CN" w:bidi="ar-SA"/>
        </w:rPr>
      </w:pPr>
      <w:r>
        <w:rPr>
          <w:rStyle w:val="36"/>
          <w:rFonts w:hint="eastAsia" w:ascii="黑体" w:hAnsi="黑体" w:eastAsia="黑体" w:cs="黑体"/>
          <w:b/>
          <w:bCs/>
          <w:i w:val="0"/>
          <w:caps w:val="0"/>
          <w:color w:val="000000"/>
          <w:spacing w:val="0"/>
          <w:w w:val="100"/>
          <w:kern w:val="2"/>
          <w:sz w:val="32"/>
          <w:szCs w:val="32"/>
          <w:lang w:val="en-US" w:eastAsia="zh-CN" w:bidi="ar-SA"/>
        </w:rPr>
        <w:t>四、筑牢纪律作风基础</w:t>
      </w:r>
    </w:p>
    <w:p w14:paraId="09D37D4B">
      <w:pPr>
        <w:keepNext w:val="0"/>
        <w:keepLines w:val="0"/>
        <w:pageBreakBefore w:val="0"/>
        <w:widowControl w:val="0"/>
        <w:kinsoku/>
        <w:wordWrap/>
        <w:overflowPunct/>
        <w:topLinePunct w:val="0"/>
        <w:autoSpaceDE/>
        <w:autoSpaceDN/>
        <w:bidi w:val="0"/>
        <w:snapToGrid/>
        <w:spacing w:before="0" w:beforeAutospacing="0" w:after="0" w:afterAutospacing="0" w:line="576" w:lineRule="exact"/>
        <w:ind w:firstLine="643" w:firstLineChars="200"/>
        <w:jc w:val="both"/>
        <w:textAlignment w:val="baseline"/>
        <w:rPr>
          <w:rStyle w:val="36"/>
          <w:rFonts w:hint="eastAsia" w:ascii="仿宋" w:hAnsi="仿宋" w:eastAsia="仿宋"/>
          <w:b w:val="0"/>
          <w:i w:val="0"/>
          <w:caps w:val="0"/>
          <w:color w:val="000000"/>
          <w:spacing w:val="0"/>
          <w:w w:val="100"/>
          <w:kern w:val="2"/>
          <w:sz w:val="32"/>
          <w:szCs w:val="32"/>
          <w:lang w:val="en-US" w:eastAsia="zh-CN" w:bidi="ar-SA"/>
        </w:rPr>
      </w:pPr>
      <w:r>
        <w:rPr>
          <w:rStyle w:val="36"/>
          <w:rFonts w:hint="eastAsia" w:ascii="仿宋_GB2312" w:hAnsi="仿宋_GB2312" w:eastAsia="仿宋_GB2312" w:cs="仿宋_GB2312"/>
          <w:b/>
          <w:bCs/>
          <w:i w:val="0"/>
          <w:caps w:val="0"/>
          <w:spacing w:val="0"/>
          <w:w w:val="100"/>
          <w:kern w:val="2"/>
          <w:sz w:val="32"/>
          <w:szCs w:val="32"/>
          <w:lang w:val="en-US" w:eastAsia="zh-CN" w:bidi="ar-SA"/>
        </w:rPr>
        <w:t>一是深入推进党风廉政建设和反腐败工作</w:t>
      </w:r>
      <w:r>
        <w:rPr>
          <w:rStyle w:val="36"/>
          <w:rFonts w:hint="eastAsia" w:ascii="仿宋_GB2312" w:hAnsi="仿宋_GB2312" w:eastAsia="仿宋_GB2312" w:cs="仿宋_GB2312"/>
          <w:b w:val="0"/>
          <w:bCs w:val="0"/>
          <w:i w:val="0"/>
          <w:caps w:val="0"/>
          <w:spacing w:val="0"/>
          <w:w w:val="100"/>
          <w:kern w:val="2"/>
          <w:sz w:val="32"/>
          <w:szCs w:val="32"/>
          <w:lang w:val="en-US" w:eastAsia="zh-CN" w:bidi="ar-SA"/>
        </w:rPr>
        <w:t>。制发2022年度办公室《权力风险防控清单》《全面从严治党主体责任清单》，制定《党组书记履行全面从严治党主体责任“第一责任人”工作清单》《党组成员履行全面从严治党主体责任“一岗双责”工作清单》，全面落实党要管党、从严治党根本要求，明确党组书记、党组成员和各股室责任，进一步明确责任、细化举措。</w:t>
      </w:r>
      <w:r>
        <w:rPr>
          <w:rStyle w:val="36"/>
          <w:rFonts w:hint="eastAsia" w:ascii="仿宋_GB2312" w:hAnsi="仿宋_GB2312" w:eastAsia="仿宋_GB2312" w:cs="仿宋_GB2312"/>
          <w:b/>
          <w:bCs/>
          <w:i w:val="0"/>
          <w:caps w:val="0"/>
          <w:spacing w:val="0"/>
          <w:w w:val="100"/>
          <w:kern w:val="2"/>
          <w:sz w:val="32"/>
          <w:szCs w:val="32"/>
          <w:lang w:val="en-US" w:eastAsia="zh-CN" w:bidi="ar-SA"/>
        </w:rPr>
        <w:t>二是扎实开展各类专项整治。</w:t>
      </w:r>
      <w:r>
        <w:rPr>
          <w:rStyle w:val="36"/>
          <w:rFonts w:hint="eastAsia" w:ascii="仿宋_GB2312" w:hAnsi="仿宋_GB2312" w:eastAsia="仿宋_GB2312" w:cs="仿宋_GB2312"/>
          <w:b w:val="0"/>
          <w:bCs w:val="0"/>
          <w:i w:val="0"/>
          <w:caps w:val="0"/>
          <w:spacing w:val="0"/>
          <w:w w:val="100"/>
          <w:kern w:val="2"/>
          <w:sz w:val="32"/>
          <w:szCs w:val="32"/>
          <w:lang w:val="en-US" w:eastAsia="zh-CN" w:bidi="ar-SA"/>
        </w:rPr>
        <w:t>制定《办公室领导干部负面清单》，深入推进“违规借支拖欠公款”“赌博敛财”“干部人情关系异化变味”“政商关系亲而不清”等专项整治，与干部职工签订相关承诺书。坚持常态化开展谈心谈话，提醒党员干部明高线、知底线、不踩红线。在元旦、春节、中秋、国庆等重要时点，开展节前廉政谈话，督促全体干部努力弘扬优良传统和作风，廉洁过节。</w:t>
      </w:r>
    </w:p>
    <w:p w14:paraId="5C450F62">
      <w:pPr>
        <w:rPr>
          <w:rFonts w:hint="eastAsia"/>
          <w:lang w:eastAsia="zh-CN"/>
        </w:rPr>
      </w:pPr>
    </w:p>
    <w:p w14:paraId="16B1C301">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60" w:lineRule="exact"/>
        <w:ind w:right="0" w:rightChars="0" w:firstLine="624" w:firstLineChars="200"/>
        <w:jc w:val="both"/>
        <w:textAlignment w:val="baseline"/>
        <w:rPr>
          <w:rFonts w:hint="eastAsia" w:ascii="黑体" w:hAnsi="黑体" w:eastAsia="黑体" w:cs="黑体"/>
          <w:b w:val="0"/>
          <w:bCs w:val="0"/>
          <w:snapToGrid w:val="0"/>
          <w:color w:val="000000"/>
          <w:spacing w:val="-4"/>
          <w:kern w:val="0"/>
          <w:sz w:val="32"/>
          <w:szCs w:val="32"/>
          <w:lang w:eastAsia="zh-CN"/>
        </w:rPr>
      </w:pPr>
      <w:r>
        <w:rPr>
          <w:rFonts w:hint="eastAsia" w:ascii="黑体" w:hAnsi="黑体" w:eastAsia="黑体" w:cs="黑体"/>
          <w:b w:val="0"/>
          <w:bCs w:val="0"/>
          <w:snapToGrid w:val="0"/>
          <w:color w:val="000000"/>
          <w:spacing w:val="-4"/>
          <w:kern w:val="0"/>
          <w:sz w:val="32"/>
          <w:szCs w:val="32"/>
          <w:lang w:eastAsia="zh-CN"/>
        </w:rPr>
        <w:t>二、机构设置</w:t>
      </w:r>
      <w:bookmarkEnd w:id="15"/>
      <w:bookmarkEnd w:id="16"/>
    </w:p>
    <w:p w14:paraId="4FE6778B">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rPr>
        <w:t>剑阁县人民政府办公室无下属二级单位，其中行政单位1个，参照公务员法管理的事业单位1个（副科级），其他事业单位1个。纳入2022年度部门</w:t>
      </w:r>
      <w:r>
        <w:rPr>
          <w:rFonts w:hint="eastAsia" w:ascii="仿宋" w:hAnsi="仿宋" w:eastAsia="仿宋"/>
          <w:sz w:val="32"/>
          <w:szCs w:val="32"/>
        </w:rPr>
        <w:t>决算</w:t>
      </w:r>
      <w:r>
        <w:rPr>
          <w:rFonts w:hint="eastAsia" w:ascii="仿宋_GB2312" w:hAnsi="仿宋_GB2312" w:eastAsia="仿宋_GB2312" w:cs="仿宋_GB2312"/>
          <w:b w:val="0"/>
          <w:bCs w:val="0"/>
          <w:spacing w:val="-2"/>
          <w:sz w:val="32"/>
          <w:szCs w:val="32"/>
        </w:rPr>
        <w:t>编制范围的预算单位包括：</w:t>
      </w:r>
    </w:p>
    <w:p w14:paraId="75960294">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1、剑阁县人民政府办公室</w:t>
      </w:r>
    </w:p>
    <w:p w14:paraId="02678B4C">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2、剑阁县民营经济服务中心</w:t>
      </w:r>
    </w:p>
    <w:p w14:paraId="6417AB4D">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3、剑阁县政府信息中心</w:t>
      </w:r>
    </w:p>
    <w:p w14:paraId="2ED76464">
      <w:pPr>
        <w:widowControl/>
        <w:jc w:val="left"/>
        <w:rPr>
          <w:rFonts w:ascii="仿宋" w:hAnsi="仿宋" w:eastAsia="仿宋"/>
          <w:kern w:val="0"/>
          <w:sz w:val="32"/>
          <w:szCs w:val="32"/>
        </w:rPr>
      </w:pPr>
      <w:r>
        <w:rPr>
          <w:rFonts w:ascii="仿宋" w:hAnsi="仿宋" w:eastAsia="仿宋"/>
          <w:sz w:val="32"/>
          <w:szCs w:val="32"/>
        </w:rPr>
        <w:br w:type="page"/>
      </w:r>
    </w:p>
    <w:p w14:paraId="220CEADE">
      <w:pPr>
        <w:pStyle w:val="2"/>
        <w:ind w:right="440"/>
        <w:jc w:val="center"/>
        <w:rPr>
          <w:rStyle w:val="29"/>
          <w:rFonts w:ascii="黑体" w:hAnsi="黑体" w:eastAsia="黑体"/>
          <w:b w:val="0"/>
          <w:bCs/>
        </w:rPr>
      </w:pPr>
      <w:bookmarkStart w:id="17" w:name="_Toc15377204"/>
      <w:bookmarkStart w:id="18" w:name="_Toc15396602"/>
      <w:r>
        <w:rPr>
          <w:rFonts w:hint="eastAsia" w:ascii="黑体" w:hAnsi="黑体" w:eastAsia="黑体"/>
          <w:b w:val="0"/>
        </w:rPr>
        <w:t>第二部分 2022年度</w:t>
      </w:r>
      <w:r>
        <w:rPr>
          <w:rStyle w:val="29"/>
          <w:rFonts w:hint="eastAsia" w:ascii="黑体" w:hAnsi="黑体" w:eastAsia="黑体"/>
          <w:b w:val="0"/>
          <w:bCs/>
        </w:rPr>
        <w:t>部门决算情况说明</w:t>
      </w:r>
      <w:bookmarkEnd w:id="17"/>
      <w:bookmarkEnd w:id="18"/>
    </w:p>
    <w:p w14:paraId="2C43931E"/>
    <w:p w14:paraId="0E8F23A8">
      <w:pPr>
        <w:pStyle w:val="28"/>
        <w:numPr>
          <w:ilvl w:val="0"/>
          <w:numId w:val="2"/>
        </w:numPr>
        <w:spacing w:line="600" w:lineRule="exact"/>
        <w:ind w:firstLineChars="0"/>
        <w:outlineLvl w:val="1"/>
        <w:rPr>
          <w:rStyle w:val="30"/>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9"/>
      <w:bookmarkEnd w:id="20"/>
    </w:p>
    <w:p w14:paraId="5DD16D0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52" w:firstLineChars="200"/>
        <w:jc w:val="both"/>
        <w:textAlignment w:val="baseline"/>
        <w:rPr>
          <w:rFonts w:hint="eastAsia" w:ascii="仿宋_GB2312" w:hAnsi="仿宋_GB2312" w:eastAsia="仿宋_GB2312" w:cs="仿宋_GB2312"/>
          <w:b w:val="0"/>
          <w:bCs w:val="0"/>
          <w:snapToGrid w:val="0"/>
          <w:color w:val="000000"/>
          <w:spacing w:val="3"/>
          <w:kern w:val="0"/>
          <w:sz w:val="32"/>
          <w:szCs w:val="32"/>
        </w:rPr>
      </w:pPr>
      <w:r>
        <w:rPr>
          <w:rFonts w:hint="eastAsia" w:ascii="仿宋_GB2312" w:hAnsi="仿宋_GB2312" w:eastAsia="仿宋_GB2312" w:cs="仿宋_GB2312"/>
          <w:b w:val="0"/>
          <w:bCs w:val="0"/>
          <w:snapToGrid w:val="0"/>
          <w:color w:val="000000"/>
          <w:spacing w:val="3"/>
          <w:kern w:val="0"/>
          <w:sz w:val="32"/>
          <w:szCs w:val="32"/>
        </w:rPr>
        <w:t>2022年度收、支总计</w:t>
      </w:r>
      <w:r>
        <w:rPr>
          <w:rFonts w:hint="eastAsia" w:ascii="仿宋_GB2312" w:hAnsi="仿宋_GB2312" w:eastAsia="仿宋_GB2312" w:cs="仿宋_GB2312"/>
          <w:b w:val="0"/>
          <w:bCs w:val="0"/>
          <w:snapToGrid w:val="0"/>
          <w:color w:val="000000"/>
          <w:spacing w:val="3"/>
          <w:kern w:val="0"/>
          <w:sz w:val="32"/>
          <w:szCs w:val="32"/>
          <w:lang w:eastAsia="zh-CN"/>
        </w:rPr>
        <w:t>为</w:t>
      </w:r>
      <w:r>
        <w:rPr>
          <w:rFonts w:hint="eastAsia" w:ascii="仿宋_GB2312" w:hAnsi="仿宋_GB2312" w:eastAsia="仿宋_GB2312" w:cs="仿宋_GB2312"/>
          <w:b w:val="0"/>
          <w:bCs w:val="0"/>
          <w:snapToGrid w:val="0"/>
          <w:color w:val="000000"/>
          <w:spacing w:val="3"/>
          <w:kern w:val="0"/>
          <w:sz w:val="32"/>
          <w:szCs w:val="32"/>
          <w:lang w:val="en-US" w:eastAsia="zh-CN"/>
        </w:rPr>
        <w:t>651.04</w:t>
      </w:r>
      <w:r>
        <w:rPr>
          <w:rFonts w:hint="eastAsia" w:ascii="仿宋_GB2312" w:hAnsi="仿宋_GB2312" w:eastAsia="仿宋_GB2312" w:cs="仿宋_GB2312"/>
          <w:b w:val="0"/>
          <w:bCs w:val="0"/>
          <w:snapToGrid w:val="0"/>
          <w:color w:val="000000"/>
          <w:spacing w:val="3"/>
          <w:kern w:val="0"/>
          <w:sz w:val="32"/>
          <w:szCs w:val="32"/>
        </w:rPr>
        <w:t>万元。与2021年相比，收、支总计</w:t>
      </w:r>
      <w:r>
        <w:rPr>
          <w:rFonts w:hint="eastAsia" w:ascii="仿宋_GB2312" w:hAnsi="仿宋_GB2312" w:eastAsia="仿宋_GB2312" w:cs="仿宋_GB2312"/>
          <w:b w:val="0"/>
          <w:bCs w:val="0"/>
          <w:snapToGrid w:val="0"/>
          <w:color w:val="000000"/>
          <w:spacing w:val="3"/>
          <w:kern w:val="0"/>
          <w:sz w:val="32"/>
          <w:szCs w:val="32"/>
          <w:lang w:eastAsia="zh-CN"/>
        </w:rPr>
        <w:t>减少</w:t>
      </w:r>
      <w:r>
        <w:rPr>
          <w:rFonts w:hint="eastAsia" w:ascii="仿宋_GB2312" w:hAnsi="仿宋_GB2312" w:eastAsia="仿宋_GB2312" w:cs="仿宋_GB2312"/>
          <w:b w:val="0"/>
          <w:bCs w:val="0"/>
          <w:snapToGrid w:val="0"/>
          <w:color w:val="000000"/>
          <w:spacing w:val="3"/>
          <w:kern w:val="0"/>
          <w:sz w:val="32"/>
          <w:szCs w:val="32"/>
          <w:lang w:val="en-US" w:eastAsia="zh-CN"/>
        </w:rPr>
        <w:t>279.94</w:t>
      </w:r>
      <w:r>
        <w:rPr>
          <w:rFonts w:hint="eastAsia" w:ascii="仿宋_GB2312" w:hAnsi="仿宋_GB2312" w:eastAsia="仿宋_GB2312" w:cs="仿宋_GB2312"/>
          <w:b w:val="0"/>
          <w:bCs w:val="0"/>
          <w:snapToGrid w:val="0"/>
          <w:color w:val="000000"/>
          <w:spacing w:val="3"/>
          <w:kern w:val="0"/>
          <w:sz w:val="32"/>
          <w:szCs w:val="32"/>
        </w:rPr>
        <w:t>万元，下降</w:t>
      </w:r>
      <w:r>
        <w:rPr>
          <w:rFonts w:hint="eastAsia" w:ascii="仿宋_GB2312" w:hAnsi="仿宋_GB2312" w:eastAsia="仿宋_GB2312" w:cs="仿宋_GB2312"/>
          <w:b w:val="0"/>
          <w:bCs w:val="0"/>
          <w:snapToGrid w:val="0"/>
          <w:color w:val="000000"/>
          <w:spacing w:val="3"/>
          <w:kern w:val="0"/>
          <w:sz w:val="32"/>
          <w:szCs w:val="32"/>
          <w:lang w:val="en-US" w:eastAsia="zh-CN"/>
        </w:rPr>
        <w:t>30.07</w:t>
      </w:r>
      <w:r>
        <w:rPr>
          <w:rFonts w:hint="eastAsia" w:ascii="仿宋_GB2312" w:hAnsi="仿宋_GB2312" w:eastAsia="仿宋_GB2312" w:cs="仿宋_GB2312"/>
          <w:b w:val="0"/>
          <w:bCs w:val="0"/>
          <w:snapToGrid w:val="0"/>
          <w:color w:val="000000"/>
          <w:spacing w:val="3"/>
          <w:kern w:val="0"/>
          <w:sz w:val="32"/>
          <w:szCs w:val="32"/>
        </w:rPr>
        <w:t>%。主要变动原因是</w:t>
      </w:r>
      <w:r>
        <w:rPr>
          <w:rFonts w:hint="eastAsia" w:ascii="仿宋_GB2312" w:hAnsi="仿宋_GB2312" w:eastAsia="仿宋_GB2312" w:cs="仿宋_GB2312"/>
          <w:b w:val="0"/>
          <w:bCs w:val="0"/>
          <w:snapToGrid w:val="0"/>
          <w:color w:val="000000"/>
          <w:spacing w:val="3"/>
          <w:kern w:val="0"/>
          <w:sz w:val="32"/>
          <w:szCs w:val="32"/>
          <w:lang w:val="en-US" w:eastAsia="zh-CN"/>
        </w:rPr>
        <w:t>2022年项目经费减少，收支总额减少</w:t>
      </w:r>
      <w:r>
        <w:rPr>
          <w:rFonts w:hint="eastAsia" w:ascii="仿宋_GB2312" w:hAnsi="仿宋_GB2312" w:eastAsia="仿宋_GB2312" w:cs="仿宋_GB2312"/>
          <w:b w:val="0"/>
          <w:bCs w:val="0"/>
          <w:snapToGrid w:val="0"/>
          <w:color w:val="000000"/>
          <w:spacing w:val="3"/>
          <w:kern w:val="0"/>
          <w:sz w:val="32"/>
          <w:szCs w:val="32"/>
        </w:rPr>
        <w:t>。</w:t>
      </w:r>
    </w:p>
    <w:p w14:paraId="7885BFA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5F3BECF">
      <w:pPr>
        <w:pStyle w:val="5"/>
        <w:rPr>
          <w:rFonts w:hint="default" w:eastAsia="仿宋_GB2312"/>
          <w:lang w:val="en-US" w:eastAsia="zh-CN"/>
        </w:rPr>
      </w:pPr>
      <w:r>
        <w:rPr>
          <w:rFonts w:hint="eastAsia"/>
          <w:lang w:val="en-US" w:eastAsia="zh-CN"/>
        </w:rPr>
        <w:t xml:space="preserve">   </w:t>
      </w:r>
    </w:p>
    <w:p w14:paraId="68F796BB">
      <w:pPr>
        <w:spacing w:line="600" w:lineRule="exact"/>
        <w:ind w:firstLine="640" w:firstLineChars="200"/>
        <w:jc w:val="left"/>
        <w:rPr>
          <w:rFonts w:ascii="仿宋_GB2312" w:eastAsia="仿宋_GB2312"/>
          <w:sz w:val="32"/>
          <w:szCs w:val="32"/>
        </w:rPr>
      </w:pPr>
    </w:p>
    <w:p w14:paraId="6C42DA8B">
      <w:pPr>
        <w:pStyle w:val="28"/>
        <w:numPr>
          <w:ilvl w:val="0"/>
          <w:numId w:val="0"/>
        </w:numPr>
        <w:spacing w:line="600" w:lineRule="exact"/>
        <w:ind w:left="640" w:leftChars="0"/>
        <w:outlineLvl w:val="1"/>
        <w:rPr>
          <w:rFonts w:hint="eastAsia" w:ascii="黑体" w:hAnsi="黑体" w:eastAsia="黑体"/>
          <w:sz w:val="32"/>
          <w:szCs w:val="32"/>
        </w:rPr>
      </w:pPr>
      <w:bookmarkStart w:id="21" w:name="_Toc15396604"/>
      <w:bookmarkStart w:id="22" w:name="_Toc15377206"/>
    </w:p>
    <w:p w14:paraId="5E1208D9">
      <w:pPr>
        <w:pStyle w:val="28"/>
        <w:numPr>
          <w:ilvl w:val="0"/>
          <w:numId w:val="0"/>
        </w:numPr>
        <w:spacing w:line="600" w:lineRule="exact"/>
        <w:ind w:left="640" w:leftChars="0"/>
        <w:outlineLvl w:val="1"/>
        <w:rPr>
          <w:rFonts w:hint="eastAsia" w:ascii="黑体" w:hAnsi="黑体" w:eastAsia="黑体"/>
          <w:sz w:val="32"/>
          <w:szCs w:val="32"/>
        </w:rPr>
      </w:pPr>
    </w:p>
    <w:p w14:paraId="5329EC45">
      <w:pPr>
        <w:pStyle w:val="28"/>
        <w:numPr>
          <w:ilvl w:val="0"/>
          <w:numId w:val="0"/>
        </w:numPr>
        <w:spacing w:line="600" w:lineRule="exact"/>
        <w:ind w:left="640" w:leftChars="0"/>
        <w:outlineLvl w:val="1"/>
        <w:rPr>
          <w:rFonts w:hint="eastAsia" w:ascii="黑体" w:hAnsi="黑体" w:eastAsia="黑体"/>
          <w:sz w:val="32"/>
          <w:szCs w:val="32"/>
          <w:lang w:eastAsia="zh-CN"/>
        </w:rPr>
      </w:pPr>
    </w:p>
    <w:p w14:paraId="08C4CD79">
      <w:pPr>
        <w:pStyle w:val="28"/>
        <w:numPr>
          <w:ilvl w:val="0"/>
          <w:numId w:val="0"/>
        </w:numPr>
        <w:spacing w:line="600" w:lineRule="exact"/>
        <w:ind w:left="640" w:leftChars="0"/>
        <w:outlineLvl w:val="1"/>
        <w:rPr>
          <w:rFonts w:hint="eastAsia" w:ascii="黑体" w:hAnsi="黑体" w:eastAsia="黑体"/>
          <w:sz w:val="32"/>
          <w:szCs w:val="32"/>
          <w:lang w:eastAsia="zh-CN"/>
        </w:rPr>
      </w:pPr>
    </w:p>
    <w:p w14:paraId="1A8E8600">
      <w:pPr>
        <w:pStyle w:val="28"/>
        <w:numPr>
          <w:ilvl w:val="0"/>
          <w:numId w:val="0"/>
        </w:numPr>
        <w:spacing w:line="600" w:lineRule="exact"/>
        <w:ind w:left="640" w:leftChars="0"/>
        <w:outlineLvl w:val="1"/>
        <w:rPr>
          <w:rFonts w:hint="eastAsia" w:ascii="黑体" w:hAnsi="黑体" w:eastAsia="黑体"/>
          <w:sz w:val="32"/>
          <w:szCs w:val="32"/>
          <w:lang w:eastAsia="zh-CN"/>
        </w:rPr>
      </w:pPr>
    </w:p>
    <w:p w14:paraId="438BEE40">
      <w:pPr>
        <w:pStyle w:val="28"/>
        <w:numPr>
          <w:ilvl w:val="0"/>
          <w:numId w:val="0"/>
        </w:numPr>
        <w:spacing w:line="600" w:lineRule="exact"/>
        <w:ind w:left="640" w:leftChars="0"/>
        <w:outlineLvl w:val="1"/>
        <w:rPr>
          <w:rFonts w:hint="eastAsia" w:ascii="黑体" w:hAnsi="黑体" w:eastAsia="黑体"/>
          <w:sz w:val="32"/>
          <w:szCs w:val="32"/>
          <w:lang w:eastAsia="zh-CN"/>
        </w:rPr>
      </w:pPr>
      <w:r>
        <w:drawing>
          <wp:anchor distT="0" distB="0" distL="114300" distR="114300" simplePos="0" relativeHeight="251659264"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A0A75C8">
      <w:pPr>
        <w:pStyle w:val="28"/>
        <w:numPr>
          <w:ilvl w:val="0"/>
          <w:numId w:val="0"/>
        </w:numPr>
        <w:spacing w:line="600" w:lineRule="exact"/>
        <w:ind w:left="640" w:leftChars="0"/>
        <w:outlineLvl w:val="1"/>
        <w:rPr>
          <w:rStyle w:val="30"/>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1"/>
      <w:bookmarkEnd w:id="22"/>
    </w:p>
    <w:p w14:paraId="3407C40A">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651.04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651.04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0737E0FD">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04887F7B">
      <w:pPr>
        <w:pStyle w:val="5"/>
        <w:rPr>
          <w:rFonts w:ascii="仿宋_GB2312" w:eastAsia="仿宋_GB2312"/>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880442">
      <w:pPr>
        <w:pStyle w:val="28"/>
        <w:numPr>
          <w:ilvl w:val="0"/>
          <w:numId w:val="0"/>
        </w:numPr>
        <w:spacing w:line="600" w:lineRule="exact"/>
        <w:ind w:left="640" w:leftChars="0"/>
        <w:outlineLvl w:val="1"/>
        <w:rPr>
          <w:rStyle w:val="30"/>
          <w:rFonts w:ascii="黑体" w:hAnsi="黑体" w:eastAsia="黑体"/>
          <w:b w:val="0"/>
        </w:rPr>
      </w:pPr>
      <w:bookmarkStart w:id="23" w:name="_Toc15396605"/>
      <w:bookmarkStart w:id="24" w:name="_Toc15377207"/>
      <w:r>
        <w:rPr>
          <w:rFonts w:hint="eastAsia" w:ascii="黑体" w:hAnsi="黑体" w:eastAsia="黑体"/>
          <w:sz w:val="32"/>
          <w:szCs w:val="32"/>
          <w:lang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23"/>
      <w:bookmarkEnd w:id="24"/>
    </w:p>
    <w:p w14:paraId="0329F31D">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651.04</w:t>
      </w:r>
      <w:r>
        <w:rPr>
          <w:rFonts w:hint="eastAsia" w:ascii="仿宋" w:hAnsi="仿宋" w:eastAsia="仿宋"/>
          <w:sz w:val="32"/>
          <w:szCs w:val="32"/>
        </w:rPr>
        <w:t>万元，其中：基本支出</w:t>
      </w:r>
      <w:r>
        <w:rPr>
          <w:rFonts w:hint="eastAsia" w:ascii="仿宋" w:hAnsi="仿宋" w:eastAsia="仿宋"/>
          <w:sz w:val="32"/>
          <w:szCs w:val="32"/>
          <w:lang w:val="en-US" w:eastAsia="zh-CN"/>
        </w:rPr>
        <w:t>631.04</w:t>
      </w:r>
      <w:r>
        <w:rPr>
          <w:rFonts w:hint="eastAsia" w:ascii="仿宋" w:hAnsi="仿宋" w:eastAsia="仿宋"/>
          <w:sz w:val="32"/>
          <w:szCs w:val="32"/>
        </w:rPr>
        <w:t>万元，占</w:t>
      </w:r>
      <w:r>
        <w:rPr>
          <w:rFonts w:hint="eastAsia" w:ascii="仿宋" w:hAnsi="仿宋" w:eastAsia="仿宋"/>
          <w:sz w:val="32"/>
          <w:szCs w:val="32"/>
          <w:lang w:val="en-US" w:eastAsia="zh-CN"/>
        </w:rPr>
        <w:t>96.93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20</w:t>
      </w:r>
      <w:r>
        <w:rPr>
          <w:rFonts w:hint="eastAsia" w:ascii="仿宋" w:hAnsi="仿宋" w:eastAsia="仿宋"/>
          <w:sz w:val="32"/>
          <w:szCs w:val="32"/>
        </w:rPr>
        <w:t>万元，占</w:t>
      </w:r>
      <w:r>
        <w:rPr>
          <w:rFonts w:hint="eastAsia" w:ascii="仿宋" w:hAnsi="仿宋" w:eastAsia="仿宋"/>
          <w:sz w:val="32"/>
          <w:szCs w:val="32"/>
          <w:lang w:val="en-US" w:eastAsia="zh-CN"/>
        </w:rPr>
        <w:t>3.07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0万</w:t>
      </w:r>
      <w:r>
        <w:rPr>
          <w:rFonts w:hint="eastAsia" w:ascii="仿宋" w:hAnsi="仿宋" w:eastAsia="仿宋"/>
          <w:sz w:val="32"/>
          <w:szCs w:val="32"/>
        </w:rPr>
        <w:t>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21DA0B2F">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771012F8">
      <w:pPr>
        <w:pStyle w:val="5"/>
        <w:rPr>
          <w:rFonts w:hint="default" w:ascii="仿宋_GB2312" w:eastAsia="仿宋_GB2312"/>
          <w:sz w:val="32"/>
          <w:szCs w:val="32"/>
          <w:lang w:val="en-US" w:eastAsia="zh-CN"/>
        </w:rPr>
      </w:pPr>
      <w:r>
        <w:rPr>
          <w:rFonts w:hint="eastAsia"/>
          <w:sz w:val="32"/>
          <w:szCs w:val="32"/>
          <w:lang w:val="en-US" w:eastAsia="zh-CN"/>
        </w:rPr>
        <w:t xml:space="preserve">      </w:t>
      </w: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026992">
      <w:pPr>
        <w:pStyle w:val="5"/>
        <w:rPr>
          <w:rFonts w:ascii="仿宋_GB2312" w:eastAsia="仿宋_GB2312"/>
          <w:sz w:val="32"/>
          <w:szCs w:val="32"/>
        </w:rPr>
      </w:pPr>
    </w:p>
    <w:p w14:paraId="285084A1">
      <w:pPr>
        <w:spacing w:line="600" w:lineRule="exact"/>
        <w:ind w:firstLine="640" w:firstLineChars="200"/>
        <w:outlineLvl w:val="1"/>
        <w:rPr>
          <w:rStyle w:val="30"/>
          <w:rFonts w:ascii="黑体" w:hAnsi="黑体" w:eastAsia="黑体"/>
          <w:b w:val="0"/>
        </w:rPr>
      </w:pPr>
      <w:bookmarkStart w:id="25" w:name="_Toc15396606"/>
      <w:bookmarkStart w:id="26"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5"/>
      <w:bookmarkEnd w:id="26"/>
    </w:p>
    <w:p w14:paraId="13599788">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b w:val="0"/>
          <w:bCs w:val="0"/>
          <w:snapToGrid w:val="0"/>
          <w:color w:val="000000"/>
          <w:spacing w:val="3"/>
          <w:kern w:val="0"/>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651.04</w:t>
      </w:r>
      <w:r>
        <w:rPr>
          <w:rFonts w:hint="eastAsia" w:ascii="仿宋" w:hAnsi="仿宋" w:eastAsia="仿宋"/>
          <w:sz w:val="32"/>
          <w:szCs w:val="32"/>
        </w:rPr>
        <w:t>万元。</w:t>
      </w:r>
      <w:r>
        <w:rPr>
          <w:rFonts w:hint="eastAsia" w:ascii="仿宋_GB2312" w:hAnsi="仿宋_GB2312" w:eastAsia="仿宋_GB2312" w:cs="仿宋_GB2312"/>
          <w:b w:val="0"/>
          <w:bCs w:val="0"/>
          <w:snapToGrid w:val="0"/>
          <w:color w:val="000000"/>
          <w:spacing w:val="3"/>
          <w:kern w:val="0"/>
          <w:sz w:val="32"/>
          <w:szCs w:val="32"/>
        </w:rPr>
        <w:t>与2021年相比，收、支总计</w:t>
      </w:r>
      <w:r>
        <w:rPr>
          <w:rFonts w:hint="eastAsia" w:ascii="仿宋_GB2312" w:hAnsi="仿宋_GB2312" w:eastAsia="仿宋_GB2312" w:cs="仿宋_GB2312"/>
          <w:b w:val="0"/>
          <w:bCs w:val="0"/>
          <w:snapToGrid w:val="0"/>
          <w:color w:val="000000"/>
          <w:spacing w:val="3"/>
          <w:kern w:val="0"/>
          <w:sz w:val="32"/>
          <w:szCs w:val="32"/>
          <w:lang w:eastAsia="zh-CN"/>
        </w:rPr>
        <w:t>减少</w:t>
      </w:r>
      <w:r>
        <w:rPr>
          <w:rFonts w:hint="eastAsia" w:ascii="仿宋_GB2312" w:hAnsi="仿宋_GB2312" w:eastAsia="仿宋_GB2312" w:cs="仿宋_GB2312"/>
          <w:b w:val="0"/>
          <w:bCs w:val="0"/>
          <w:snapToGrid w:val="0"/>
          <w:color w:val="000000"/>
          <w:spacing w:val="3"/>
          <w:kern w:val="0"/>
          <w:sz w:val="32"/>
          <w:szCs w:val="32"/>
          <w:lang w:val="en-US" w:eastAsia="zh-CN"/>
        </w:rPr>
        <w:t>279.94</w:t>
      </w:r>
      <w:r>
        <w:rPr>
          <w:rFonts w:hint="eastAsia" w:ascii="仿宋_GB2312" w:hAnsi="仿宋_GB2312" w:eastAsia="仿宋_GB2312" w:cs="仿宋_GB2312"/>
          <w:b w:val="0"/>
          <w:bCs w:val="0"/>
          <w:snapToGrid w:val="0"/>
          <w:color w:val="000000"/>
          <w:spacing w:val="3"/>
          <w:kern w:val="0"/>
          <w:sz w:val="32"/>
          <w:szCs w:val="32"/>
        </w:rPr>
        <w:t>万元，下降</w:t>
      </w:r>
      <w:r>
        <w:rPr>
          <w:rFonts w:hint="eastAsia" w:ascii="仿宋_GB2312" w:hAnsi="仿宋_GB2312" w:eastAsia="仿宋_GB2312" w:cs="仿宋_GB2312"/>
          <w:b w:val="0"/>
          <w:bCs w:val="0"/>
          <w:snapToGrid w:val="0"/>
          <w:color w:val="000000"/>
          <w:spacing w:val="3"/>
          <w:kern w:val="0"/>
          <w:sz w:val="32"/>
          <w:szCs w:val="32"/>
          <w:lang w:val="en-US" w:eastAsia="zh-CN"/>
        </w:rPr>
        <w:t>30.07</w:t>
      </w:r>
      <w:r>
        <w:rPr>
          <w:rFonts w:hint="eastAsia" w:ascii="仿宋_GB2312" w:hAnsi="仿宋_GB2312" w:eastAsia="仿宋_GB2312" w:cs="仿宋_GB2312"/>
          <w:b w:val="0"/>
          <w:bCs w:val="0"/>
          <w:snapToGrid w:val="0"/>
          <w:color w:val="000000"/>
          <w:spacing w:val="3"/>
          <w:kern w:val="0"/>
          <w:sz w:val="32"/>
          <w:szCs w:val="32"/>
        </w:rPr>
        <w:t>%。主要变动原因是</w:t>
      </w:r>
      <w:r>
        <w:rPr>
          <w:rFonts w:hint="eastAsia" w:ascii="仿宋_GB2312" w:hAnsi="仿宋_GB2312" w:eastAsia="仿宋_GB2312" w:cs="仿宋_GB2312"/>
          <w:b w:val="0"/>
          <w:bCs w:val="0"/>
          <w:snapToGrid w:val="0"/>
          <w:color w:val="000000"/>
          <w:spacing w:val="3"/>
          <w:kern w:val="0"/>
          <w:sz w:val="32"/>
          <w:szCs w:val="32"/>
          <w:lang w:val="en-US" w:eastAsia="zh-CN"/>
        </w:rPr>
        <w:t>2022年项目经费减少，收支总额减少</w:t>
      </w:r>
      <w:r>
        <w:rPr>
          <w:rFonts w:hint="eastAsia" w:ascii="仿宋_GB2312" w:hAnsi="仿宋_GB2312" w:eastAsia="仿宋_GB2312" w:cs="仿宋_GB2312"/>
          <w:b w:val="0"/>
          <w:bCs w:val="0"/>
          <w:snapToGrid w:val="0"/>
          <w:color w:val="000000"/>
          <w:spacing w:val="3"/>
          <w:kern w:val="0"/>
          <w:sz w:val="32"/>
          <w:szCs w:val="32"/>
        </w:rPr>
        <w:t>。</w:t>
      </w:r>
    </w:p>
    <w:p w14:paraId="2C6B8B21">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（图4：财政拨款收、支决算总计变动情况）（柱状图）</w:t>
      </w:r>
    </w:p>
    <w:p w14:paraId="41F70783">
      <w:pPr>
        <w:spacing w:line="600" w:lineRule="exact"/>
        <w:ind w:firstLine="640" w:firstLineChars="200"/>
        <w:outlineLvl w:val="1"/>
        <w:rPr>
          <w:rFonts w:ascii="仿宋" w:hAnsi="仿宋" w:eastAsia="仿宋"/>
          <w:sz w:val="32"/>
          <w:szCs w:val="32"/>
        </w:rPr>
      </w:pPr>
    </w:p>
    <w:p w14:paraId="09AB926A">
      <w:pPr>
        <w:pStyle w:val="5"/>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37F73C">
      <w:pPr>
        <w:spacing w:line="600" w:lineRule="exact"/>
        <w:ind w:firstLine="640" w:firstLineChars="200"/>
        <w:outlineLvl w:val="1"/>
        <w:rPr>
          <w:rStyle w:val="30"/>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7"/>
      <w:bookmarkEnd w:id="28"/>
    </w:p>
    <w:p w14:paraId="2134406E">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14:paraId="7D4D7E48">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b w:val="0"/>
          <w:bCs w:val="0"/>
          <w:snapToGrid w:val="0"/>
          <w:color w:val="000000"/>
          <w:spacing w:val="3"/>
          <w:kern w:val="0"/>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651.04</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279.94</w:t>
      </w:r>
      <w:r>
        <w:rPr>
          <w:rFonts w:hint="eastAsia" w:ascii="仿宋" w:hAnsi="仿宋" w:eastAsia="仿宋"/>
          <w:sz w:val="32"/>
          <w:szCs w:val="32"/>
        </w:rPr>
        <w:t>万元，下降</w:t>
      </w:r>
      <w:r>
        <w:rPr>
          <w:rFonts w:hint="eastAsia" w:ascii="仿宋" w:hAnsi="仿宋" w:eastAsia="仿宋"/>
          <w:sz w:val="32"/>
          <w:szCs w:val="32"/>
          <w:lang w:val="en-US" w:eastAsia="zh-CN"/>
        </w:rPr>
        <w:t>30.07</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b w:val="0"/>
          <w:bCs w:val="0"/>
          <w:snapToGrid w:val="0"/>
          <w:color w:val="000000"/>
          <w:spacing w:val="3"/>
          <w:kern w:val="0"/>
          <w:sz w:val="32"/>
          <w:szCs w:val="32"/>
          <w:lang w:val="en-US" w:eastAsia="zh-CN"/>
        </w:rPr>
        <w:t>2022年项目经费减少，收支总额减少</w:t>
      </w:r>
      <w:r>
        <w:rPr>
          <w:rFonts w:hint="eastAsia" w:ascii="仿宋_GB2312" w:hAnsi="仿宋_GB2312" w:eastAsia="仿宋_GB2312" w:cs="仿宋_GB2312"/>
          <w:b w:val="0"/>
          <w:bCs w:val="0"/>
          <w:snapToGrid w:val="0"/>
          <w:color w:val="000000"/>
          <w:spacing w:val="3"/>
          <w:kern w:val="0"/>
          <w:sz w:val="32"/>
          <w:szCs w:val="32"/>
        </w:rPr>
        <w:t>。</w:t>
      </w:r>
    </w:p>
    <w:p w14:paraId="6B895192">
      <w:pPr>
        <w:spacing w:line="600" w:lineRule="exact"/>
        <w:ind w:firstLine="640" w:firstLineChars="200"/>
        <w:outlineLvl w:val="1"/>
        <w:rPr>
          <w:rFonts w:ascii="仿宋" w:hAnsi="仿宋" w:eastAsia="仿宋"/>
          <w:sz w:val="32"/>
          <w:szCs w:val="32"/>
        </w:rPr>
      </w:pPr>
    </w:p>
    <w:p w14:paraId="66604F92">
      <w:pPr>
        <w:spacing w:line="600" w:lineRule="exact"/>
        <w:ind w:firstLine="640" w:firstLineChars="200"/>
        <w:rPr>
          <w:rFonts w:ascii="仿宋" w:hAnsi="仿宋" w:eastAsia="仿宋"/>
          <w:sz w:val="32"/>
          <w:szCs w:val="32"/>
        </w:rPr>
      </w:pPr>
    </w:p>
    <w:p w14:paraId="6D76A0C7">
      <w:pPr>
        <w:spacing w:line="600" w:lineRule="exact"/>
        <w:ind w:firstLine="640" w:firstLineChars="200"/>
        <w:rPr>
          <w:rFonts w:hint="eastAsia" w:ascii="仿宋" w:hAnsi="仿宋" w:eastAsia="仿宋"/>
          <w:sz w:val="32"/>
          <w:szCs w:val="32"/>
        </w:rPr>
      </w:pPr>
    </w:p>
    <w:p w14:paraId="29E0B2E2">
      <w:pPr>
        <w:spacing w:line="600" w:lineRule="exact"/>
        <w:ind w:firstLine="640" w:firstLineChars="200"/>
        <w:rPr>
          <w:rFonts w:hint="eastAsia" w:ascii="仿宋" w:hAnsi="仿宋" w:eastAsia="仿宋"/>
          <w:sz w:val="32"/>
          <w:szCs w:val="32"/>
        </w:rPr>
      </w:pPr>
    </w:p>
    <w:p w14:paraId="41BA1B2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1CCB4EBD">
      <w:pPr>
        <w:pStyle w:val="5"/>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drawing>
          <wp:inline distT="0" distB="0" distL="114300" distR="114300">
            <wp:extent cx="4058285" cy="2609850"/>
            <wp:effectExtent l="4445" t="5080" r="13970" b="1397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F7A16B">
      <w:pPr>
        <w:pStyle w:val="5"/>
        <w:rPr>
          <w:rFonts w:ascii="仿宋" w:hAnsi="仿宋" w:eastAsia="仿宋"/>
          <w:b/>
          <w:sz w:val="32"/>
          <w:szCs w:val="32"/>
        </w:rPr>
      </w:pPr>
      <w:r>
        <w:rPr>
          <w:rFonts w:hint="eastAsia" w:ascii="仿宋" w:hAnsi="仿宋" w:eastAsia="仿宋"/>
          <w:sz w:val="32"/>
          <w:szCs w:val="32"/>
          <w:lang w:val="en-US" w:eastAsia="zh-CN"/>
        </w:rPr>
        <w:t xml:space="preserve">    </w:t>
      </w:r>
      <w:bookmarkStart w:id="30" w:name="_Toc15377211"/>
      <w:r>
        <w:rPr>
          <w:rFonts w:hint="eastAsia" w:ascii="仿宋" w:hAnsi="仿宋" w:eastAsia="仿宋"/>
          <w:b/>
          <w:sz w:val="32"/>
          <w:szCs w:val="32"/>
        </w:rPr>
        <w:t>（二）一般公共预算财政拨款支出决算结构情况</w:t>
      </w:r>
      <w:bookmarkEnd w:id="30"/>
    </w:p>
    <w:p w14:paraId="3B165A6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651.04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557.78</w:t>
      </w:r>
      <w:r>
        <w:rPr>
          <w:rFonts w:hint="eastAsia" w:ascii="仿宋" w:hAnsi="仿宋" w:eastAsia="仿宋"/>
          <w:sz w:val="32"/>
          <w:szCs w:val="32"/>
        </w:rPr>
        <w:t>万元，占</w:t>
      </w:r>
      <w:r>
        <w:rPr>
          <w:rFonts w:hint="eastAsia" w:ascii="仿宋" w:hAnsi="仿宋" w:eastAsia="仿宋"/>
          <w:sz w:val="32"/>
          <w:szCs w:val="32"/>
          <w:lang w:val="en-US" w:eastAsia="zh-CN"/>
        </w:rPr>
        <w:t>85.68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41.45</w:t>
      </w:r>
      <w:r>
        <w:rPr>
          <w:rFonts w:hint="eastAsia" w:ascii="仿宋" w:hAnsi="仿宋" w:eastAsia="仿宋"/>
          <w:sz w:val="32"/>
          <w:szCs w:val="32"/>
        </w:rPr>
        <w:t>万元，占</w:t>
      </w:r>
      <w:r>
        <w:rPr>
          <w:rFonts w:hint="eastAsia" w:ascii="仿宋" w:hAnsi="仿宋" w:eastAsia="仿宋"/>
          <w:sz w:val="32"/>
          <w:szCs w:val="32"/>
          <w:lang w:val="en-US" w:eastAsia="zh-CN"/>
        </w:rPr>
        <w:t>6.37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20.72</w:t>
      </w:r>
      <w:r>
        <w:rPr>
          <w:rFonts w:hint="eastAsia" w:ascii="仿宋" w:hAnsi="仿宋" w:eastAsia="仿宋"/>
          <w:sz w:val="32"/>
          <w:szCs w:val="32"/>
        </w:rPr>
        <w:t>万元，占</w:t>
      </w:r>
      <w:r>
        <w:rPr>
          <w:rFonts w:hint="eastAsia" w:ascii="仿宋" w:hAnsi="仿宋" w:eastAsia="仿宋"/>
          <w:sz w:val="32"/>
          <w:szCs w:val="32"/>
          <w:lang w:val="en-US" w:eastAsia="zh-CN"/>
        </w:rPr>
        <w:t>3.18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31.09</w:t>
      </w:r>
      <w:r>
        <w:rPr>
          <w:rFonts w:hint="eastAsia" w:ascii="仿宋" w:hAnsi="仿宋" w:eastAsia="仿宋"/>
          <w:sz w:val="32"/>
          <w:szCs w:val="32"/>
        </w:rPr>
        <w:t>万元，占</w:t>
      </w:r>
      <w:r>
        <w:rPr>
          <w:rFonts w:hint="eastAsia" w:ascii="仿宋" w:hAnsi="仿宋" w:eastAsia="仿宋"/>
          <w:sz w:val="32"/>
          <w:szCs w:val="32"/>
          <w:lang w:val="en-US" w:eastAsia="zh-CN"/>
        </w:rPr>
        <w:t>4.77</w:t>
      </w:r>
      <w:r>
        <w:rPr>
          <w:rFonts w:ascii="仿宋" w:hAnsi="仿宋" w:eastAsia="仿宋"/>
          <w:sz w:val="32"/>
          <w:szCs w:val="32"/>
        </w:rPr>
        <w:t>%</w:t>
      </w:r>
      <w:r>
        <w:rPr>
          <w:rFonts w:hint="eastAsia" w:ascii="仿宋" w:hAnsi="仿宋" w:eastAsia="仿宋"/>
          <w:sz w:val="32"/>
          <w:szCs w:val="32"/>
          <w:lang w:eastAsia="zh-CN"/>
        </w:rPr>
        <w:t>。</w:t>
      </w:r>
    </w:p>
    <w:p w14:paraId="28DDF788">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453BCBA9">
      <w:pPr>
        <w:pStyle w:val="5"/>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7DA6EE">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14:paraId="785F75E4">
      <w:pPr>
        <w:spacing w:line="600" w:lineRule="exact"/>
        <w:ind w:firstLine="643" w:firstLineChars="200"/>
        <w:outlineLvl w:val="2"/>
        <w:rPr>
          <w:rFonts w:ascii="仿宋" w:hAnsi="仿宋" w:eastAsia="仿宋"/>
          <w:sz w:val="32"/>
          <w:szCs w:val="32"/>
        </w:rPr>
      </w:pPr>
      <w:bookmarkStart w:id="32" w:name="_Toc15377444"/>
      <w:bookmarkStart w:id="33" w:name="_Toc15378460"/>
      <w:bookmarkStart w:id="34"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651.04</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2"/>
      <w:bookmarkEnd w:id="33"/>
      <w:bookmarkEnd w:id="34"/>
    </w:p>
    <w:p w14:paraId="00F791D4">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政府办公厅（室）及相关机构事务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402.62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8C4BA1C">
      <w:pPr>
        <w:spacing w:line="600" w:lineRule="exact"/>
        <w:ind w:firstLine="643" w:firstLineChars="200"/>
        <w:rPr>
          <w:rStyle w:val="18"/>
          <w:rFonts w:hint="eastAsia" w:ascii="仿宋" w:hAnsi="仿宋" w:eastAsia="仿宋"/>
          <w:bCs/>
          <w:sz w:val="32"/>
          <w:szCs w:val="32"/>
          <w:lang w:val="en-US" w:eastAsia="zh-CN"/>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政府办公厅（室）及相关机构事务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135.15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2BBEDB4">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商贸事务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招商引资</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23815C23">
      <w:pPr>
        <w:spacing w:line="600" w:lineRule="exact"/>
        <w:ind w:firstLine="643" w:firstLineChars="200"/>
        <w:rPr>
          <w:rFonts w:hint="eastAsia" w:ascii="仿宋" w:hAnsi="仿宋" w:eastAsia="仿宋"/>
          <w:b/>
          <w:sz w:val="32"/>
          <w:szCs w:val="32"/>
          <w:lang w:eastAsia="zh-CN"/>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机关事业单位基本养老保险缴费支出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41.45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14:paraId="3E9A40BE">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15.24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DCA8236">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5.49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68C58F3">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Fonts w:hint="eastAsia" w:ascii="仿宋" w:hAnsi="仿宋" w:eastAsia="仿宋"/>
          <w:b/>
          <w:bCs/>
          <w:sz w:val="32"/>
          <w:szCs w:val="32"/>
          <w:lang w:eastAsia="zh-CN"/>
        </w:rPr>
        <w:t>住房保障支出</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住房改革支出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住房公积金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31.09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EB9D669">
      <w:pPr>
        <w:tabs>
          <w:tab w:val="right" w:pos="8306"/>
        </w:tabs>
        <w:spacing w:line="600" w:lineRule="exact"/>
        <w:ind w:firstLine="640"/>
        <w:outlineLvl w:val="1"/>
        <w:rPr>
          <w:rFonts w:hint="eastAsia" w:ascii="黑体" w:eastAsia="黑体"/>
          <w:sz w:val="32"/>
          <w:szCs w:val="32"/>
        </w:rPr>
      </w:pPr>
      <w:bookmarkStart w:id="35" w:name="_Toc15396608"/>
      <w:bookmarkStart w:id="36" w:name="_Toc15377214"/>
    </w:p>
    <w:p w14:paraId="255DFFC5">
      <w:pPr>
        <w:tabs>
          <w:tab w:val="right" w:pos="8306"/>
        </w:tabs>
        <w:spacing w:line="600" w:lineRule="exact"/>
        <w:ind w:firstLine="640"/>
        <w:outlineLvl w:val="1"/>
        <w:rPr>
          <w:rFonts w:hint="eastAsia" w:ascii="黑体" w:eastAsia="黑体"/>
          <w:sz w:val="32"/>
          <w:szCs w:val="32"/>
        </w:rPr>
      </w:pPr>
    </w:p>
    <w:p w14:paraId="52C50603">
      <w:pPr>
        <w:tabs>
          <w:tab w:val="right" w:pos="8306"/>
        </w:tabs>
        <w:spacing w:line="600" w:lineRule="exact"/>
        <w:ind w:firstLine="640"/>
        <w:outlineLvl w:val="1"/>
        <w:rPr>
          <w:rFonts w:hint="eastAsia" w:ascii="黑体" w:eastAsia="黑体"/>
          <w:sz w:val="32"/>
          <w:szCs w:val="32"/>
        </w:rPr>
      </w:pPr>
    </w:p>
    <w:p w14:paraId="436A5F2B">
      <w:pPr>
        <w:tabs>
          <w:tab w:val="right" w:pos="8306"/>
        </w:tabs>
        <w:spacing w:line="600" w:lineRule="exact"/>
        <w:ind w:firstLine="640"/>
        <w:outlineLvl w:val="1"/>
        <w:rPr>
          <w:rStyle w:val="30"/>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5"/>
      <w:bookmarkEnd w:id="36"/>
      <w:r>
        <w:rPr>
          <w:rStyle w:val="30"/>
          <w:rFonts w:ascii="黑体" w:hAnsi="黑体" w:eastAsia="黑体"/>
          <w:b w:val="0"/>
        </w:rPr>
        <w:tab/>
      </w:r>
    </w:p>
    <w:p w14:paraId="41835FFD">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631.04</w:t>
      </w:r>
      <w:r>
        <w:rPr>
          <w:rFonts w:hint="eastAsia" w:ascii="仿宋" w:hAnsi="仿宋" w:eastAsia="仿宋"/>
          <w:sz w:val="32"/>
          <w:szCs w:val="32"/>
        </w:rPr>
        <w:t>万元，其中：</w:t>
      </w:r>
    </w:p>
    <w:p w14:paraId="63EC384F">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530.58</w:t>
      </w:r>
      <w:r>
        <w:rPr>
          <w:rFonts w:hint="eastAsia" w:ascii="仿宋" w:hAnsi="仿宋" w:eastAsia="仿宋"/>
          <w:sz w:val="32"/>
          <w:szCs w:val="32"/>
        </w:rPr>
        <w:t>万元，主要包括：基本工资、津贴补贴、奖金、绩效工资、机关事业单位基本养老保险缴费、</w:t>
      </w:r>
      <w:r>
        <w:rPr>
          <w:rFonts w:hint="eastAsia" w:ascii="仿宋" w:hAnsi="仿宋" w:eastAsia="仿宋"/>
          <w:sz w:val="32"/>
          <w:szCs w:val="32"/>
          <w:lang w:eastAsia="zh-CN"/>
        </w:rPr>
        <w:t>职工基工医疗保险缴费、</w:t>
      </w:r>
      <w:r>
        <w:rPr>
          <w:rFonts w:hint="eastAsia" w:ascii="仿宋" w:hAnsi="仿宋" w:eastAsia="仿宋"/>
          <w:sz w:val="32"/>
          <w:szCs w:val="32"/>
        </w:rPr>
        <w:t>其他社会保障缴费、退休费、生活补助、住房公积金、其他对个人和家庭的补助支出等。</w:t>
      </w:r>
    </w:p>
    <w:p w14:paraId="71FCE50B">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100.46</w:t>
      </w:r>
      <w:r>
        <w:rPr>
          <w:rFonts w:hint="eastAsia" w:ascii="仿宋" w:hAnsi="仿宋" w:eastAsia="仿宋"/>
          <w:sz w:val="32"/>
          <w:szCs w:val="32"/>
        </w:rPr>
        <w:t>万元，主要包括：办公费、水费、电费、差旅费、维修（护）费、公务接待费、劳务费、工会经费、福利费、其他交通费、其他商品和服务支出。</w:t>
      </w:r>
    </w:p>
    <w:p w14:paraId="2A5F2E7C">
      <w:pPr>
        <w:spacing w:line="600" w:lineRule="exact"/>
        <w:ind w:firstLine="640"/>
        <w:outlineLvl w:val="1"/>
        <w:rPr>
          <w:rStyle w:val="30"/>
          <w:rFonts w:ascii="黑体" w:hAnsi="黑体" w:eastAsia="黑体"/>
          <w:b w:val="0"/>
        </w:rPr>
      </w:pPr>
      <w:bookmarkStart w:id="37" w:name="_Toc15396609"/>
      <w:bookmarkStart w:id="38"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7"/>
      <w:bookmarkEnd w:id="38"/>
    </w:p>
    <w:p w14:paraId="7B7666B7">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14:paraId="60CC6B3E">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18.07</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7.57</w:t>
      </w:r>
      <w:r>
        <w:rPr>
          <w:rFonts w:hint="eastAsia" w:ascii="仿宋" w:hAnsi="仿宋" w:eastAsia="仿宋"/>
          <w:sz w:val="32"/>
          <w:szCs w:val="32"/>
        </w:rPr>
        <w:t>万元，增长</w:t>
      </w:r>
      <w:r>
        <w:rPr>
          <w:rFonts w:hint="eastAsia" w:ascii="仿宋" w:hAnsi="仿宋" w:eastAsia="仿宋"/>
          <w:sz w:val="32"/>
          <w:szCs w:val="32"/>
          <w:lang w:val="en-US" w:eastAsia="zh-CN"/>
        </w:rPr>
        <w:t>72.1</w:t>
      </w:r>
      <w:r>
        <w:rPr>
          <w:rFonts w:hint="eastAsia" w:ascii="仿宋" w:hAnsi="仿宋" w:eastAsia="仿宋"/>
          <w:sz w:val="32"/>
          <w:szCs w:val="32"/>
        </w:rPr>
        <w:t>%。决算数</w:t>
      </w:r>
      <w:r>
        <w:rPr>
          <w:rFonts w:hint="eastAsia" w:ascii="仿宋" w:hAnsi="仿宋" w:eastAsia="仿宋"/>
          <w:sz w:val="32"/>
          <w:szCs w:val="32"/>
          <w:lang w:eastAsia="zh-CN"/>
        </w:rPr>
        <w:t>与</w:t>
      </w:r>
      <w:r>
        <w:rPr>
          <w:rFonts w:hint="eastAsia" w:ascii="仿宋" w:hAnsi="仿宋" w:eastAsia="仿宋"/>
          <w:sz w:val="32"/>
          <w:szCs w:val="32"/>
        </w:rPr>
        <w:t>预算数</w:t>
      </w:r>
      <w:r>
        <w:rPr>
          <w:rFonts w:hint="eastAsia" w:ascii="仿宋" w:hAnsi="仿宋" w:eastAsia="仿宋"/>
          <w:sz w:val="32"/>
          <w:szCs w:val="32"/>
          <w:lang w:eastAsia="zh-CN"/>
        </w:rPr>
        <w:t>持平</w:t>
      </w:r>
      <w:r>
        <w:rPr>
          <w:rFonts w:hint="eastAsia" w:ascii="仿宋" w:hAnsi="仿宋" w:eastAsia="仿宋"/>
          <w:sz w:val="32"/>
          <w:szCs w:val="32"/>
        </w:rPr>
        <w:t>。</w:t>
      </w:r>
    </w:p>
    <w:p w14:paraId="4BCD7B84">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14:paraId="03803917">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18.07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14:paraId="239D2641">
      <w:pPr>
        <w:spacing w:line="600" w:lineRule="exact"/>
        <w:ind w:firstLine="640"/>
        <w:rPr>
          <w:rFonts w:hint="eastAsia" w:ascii="仿宋" w:hAnsi="仿宋" w:eastAsia="仿宋"/>
          <w:sz w:val="32"/>
          <w:szCs w:val="32"/>
        </w:rPr>
      </w:pPr>
    </w:p>
    <w:p w14:paraId="32CB9ADF">
      <w:pPr>
        <w:spacing w:line="600" w:lineRule="exact"/>
        <w:ind w:firstLine="640"/>
        <w:rPr>
          <w:rFonts w:hint="eastAsia" w:ascii="仿宋" w:hAnsi="仿宋" w:eastAsia="仿宋"/>
          <w:sz w:val="32"/>
          <w:szCs w:val="32"/>
        </w:rPr>
      </w:pPr>
    </w:p>
    <w:p w14:paraId="2F42028A">
      <w:pPr>
        <w:spacing w:line="600" w:lineRule="exact"/>
        <w:ind w:firstLine="640"/>
        <w:rPr>
          <w:rFonts w:hint="eastAsia" w:ascii="仿宋" w:hAnsi="仿宋" w:eastAsia="仿宋"/>
          <w:sz w:val="32"/>
          <w:szCs w:val="32"/>
        </w:rPr>
      </w:pPr>
    </w:p>
    <w:p w14:paraId="0C70B3B9">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5D922646">
      <w:pPr>
        <w:pStyle w:val="5"/>
        <w:rPr>
          <w:rFonts w:hint="default" w:ascii="仿宋_GB2312" w:eastAsia="仿宋_GB2312"/>
          <w:b/>
          <w:sz w:val="32"/>
          <w:szCs w:val="32"/>
          <w:lang w:val="en-US" w:eastAsia="zh-CN"/>
        </w:rPr>
      </w:pPr>
      <w:r>
        <w:rPr>
          <w:rFonts w:hint="eastAsia"/>
          <w:b/>
          <w:sz w:val="32"/>
          <w:szCs w:val="32"/>
          <w:lang w:val="en-US" w:eastAsia="zh-CN"/>
        </w:rPr>
        <w:t xml:space="preserve">      </w:t>
      </w:r>
      <w:r>
        <w:drawing>
          <wp:inline distT="0" distB="0" distL="114300" distR="114300">
            <wp:extent cx="4561840" cy="2524125"/>
            <wp:effectExtent l="4445" t="5080" r="5715" b="444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A6A060">
      <w:pPr>
        <w:spacing w:line="600" w:lineRule="exact"/>
        <w:ind w:firstLine="64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hAnsi="仿宋" w:eastAsia="仿宋"/>
          <w:sz w:val="32"/>
          <w:szCs w:val="32"/>
        </w:rPr>
        <w:t>完成预算</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年未安排国公出国(境)经费预算，无相应支出，较上年无变化。</w:t>
      </w:r>
    </w:p>
    <w:p w14:paraId="1CAE2E1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 w:hAnsi="仿宋" w:eastAsia="仿宋"/>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本单位</w:t>
      </w:r>
      <w:r>
        <w:rPr>
          <w:rFonts w:hint="eastAsia" w:ascii="仿宋" w:hAnsi="仿宋" w:eastAsia="仿宋"/>
          <w:sz w:val="32"/>
          <w:szCs w:val="32"/>
        </w:rPr>
        <w:t>无公务用车，未安排公务用车购置及运行维护费预算，无相应支出，较上年无变化；</w:t>
      </w:r>
    </w:p>
    <w:p w14:paraId="01D1DE67">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18.07</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7.57</w:t>
      </w:r>
      <w:r>
        <w:rPr>
          <w:rFonts w:hint="eastAsia" w:ascii="仿宋_GB2312" w:eastAsia="仿宋_GB2312"/>
          <w:sz w:val="32"/>
          <w:szCs w:val="32"/>
        </w:rPr>
        <w:t>万元，增长</w:t>
      </w:r>
      <w:r>
        <w:rPr>
          <w:rFonts w:hint="eastAsia" w:ascii="仿宋_GB2312" w:eastAsia="仿宋_GB2312"/>
          <w:sz w:val="32"/>
          <w:szCs w:val="32"/>
          <w:lang w:val="en-US" w:eastAsia="zh-CN"/>
        </w:rPr>
        <w:t>72.1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2022年是疫情关键的一年，上级疫情检查较多，但没有超预算支出</w:t>
      </w:r>
      <w:r>
        <w:rPr>
          <w:rFonts w:hint="eastAsia" w:ascii="仿宋_GB2312" w:eastAsia="仿宋_GB2312"/>
          <w:sz w:val="32"/>
          <w:szCs w:val="32"/>
        </w:rPr>
        <w:t>。其中：</w:t>
      </w:r>
    </w:p>
    <w:p w14:paraId="60274D3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18.07</w:t>
      </w:r>
      <w:r>
        <w:rPr>
          <w:rFonts w:hint="eastAsia" w:ascii="仿宋_GB2312" w:eastAsia="仿宋_GB2312"/>
          <w:sz w:val="32"/>
          <w:szCs w:val="32"/>
        </w:rPr>
        <w:t>万元，主要用于执行公务、开展业务活动开支的住宿费、用餐费等。国内公务接待</w:t>
      </w:r>
      <w:r>
        <w:rPr>
          <w:rFonts w:hint="eastAsia" w:ascii="仿宋_GB2312" w:eastAsia="仿宋_GB2312"/>
          <w:sz w:val="32"/>
          <w:szCs w:val="32"/>
          <w:lang w:val="en-US" w:eastAsia="zh-CN"/>
        </w:rPr>
        <w:t>126</w:t>
      </w:r>
      <w:r>
        <w:rPr>
          <w:rFonts w:hint="eastAsia" w:ascii="仿宋_GB2312" w:eastAsia="仿宋_GB2312"/>
          <w:sz w:val="32"/>
          <w:szCs w:val="32"/>
        </w:rPr>
        <w:t>批次，</w:t>
      </w:r>
      <w:r>
        <w:rPr>
          <w:rFonts w:hint="eastAsia" w:ascii="仿宋_GB2312" w:eastAsia="仿宋_GB2312"/>
          <w:sz w:val="32"/>
          <w:szCs w:val="32"/>
          <w:lang w:val="en-US" w:eastAsia="zh-CN"/>
        </w:rPr>
        <w:t>1642</w:t>
      </w:r>
      <w:r>
        <w:rPr>
          <w:rFonts w:hint="eastAsia" w:ascii="仿宋_GB2312" w:eastAsia="仿宋_GB2312"/>
          <w:sz w:val="32"/>
          <w:szCs w:val="32"/>
        </w:rPr>
        <w:t>人次。无外事接待支出。</w:t>
      </w:r>
    </w:p>
    <w:p w14:paraId="3FB71346">
      <w:pPr>
        <w:spacing w:line="600" w:lineRule="exact"/>
        <w:ind w:firstLine="640"/>
        <w:outlineLvl w:val="1"/>
        <w:rPr>
          <w:rStyle w:val="30"/>
          <w:rFonts w:ascii="黑体" w:hAnsi="黑体" w:eastAsia="黑体"/>
        </w:rPr>
      </w:pPr>
      <w:bookmarkStart w:id="41" w:name="_Toc15396610"/>
      <w:bookmarkStart w:id="42" w:name="_Toc15377218"/>
      <w:r>
        <w:rPr>
          <w:rFonts w:hint="eastAsia" w:ascii="黑体" w:eastAsia="黑体"/>
          <w:sz w:val="32"/>
          <w:szCs w:val="32"/>
        </w:rPr>
        <w:t>八、</w:t>
      </w:r>
      <w:r>
        <w:rPr>
          <w:rStyle w:val="30"/>
          <w:rFonts w:hint="eastAsia" w:ascii="黑体" w:hAnsi="黑体" w:eastAsia="黑体"/>
          <w:b w:val="0"/>
        </w:rPr>
        <w:t>政府性基金预算支出决算情况说明</w:t>
      </w:r>
      <w:bookmarkEnd w:id="41"/>
      <w:bookmarkEnd w:id="42"/>
    </w:p>
    <w:p w14:paraId="32F94533">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县政府办202</w:t>
      </w:r>
      <w:r>
        <w:rPr>
          <w:rFonts w:hint="eastAsia" w:ascii="仿宋_GB2312" w:hAnsi="仿宋_GB2312" w:eastAsia="仿宋_GB2312" w:cs="仿宋_GB2312"/>
          <w:b w:val="0"/>
          <w:bCs w:val="0"/>
          <w:spacing w:val="-5"/>
          <w:sz w:val="32"/>
          <w:szCs w:val="32"/>
          <w:lang w:val="en-US" w:eastAsia="zh-CN"/>
        </w:rPr>
        <w:t>2</w:t>
      </w:r>
      <w:r>
        <w:rPr>
          <w:rFonts w:hint="eastAsia" w:ascii="仿宋_GB2312" w:hAnsi="仿宋_GB2312" w:eastAsia="仿宋_GB2312" w:cs="仿宋_GB2312"/>
          <w:b w:val="0"/>
          <w:bCs w:val="0"/>
          <w:spacing w:val="-5"/>
          <w:sz w:val="32"/>
          <w:szCs w:val="32"/>
        </w:rPr>
        <w:t>年无政府性基金预算财政拨款支出。</w:t>
      </w:r>
    </w:p>
    <w:p w14:paraId="4C6ECD4D">
      <w:pPr>
        <w:numPr>
          <w:ilvl w:val="0"/>
          <w:numId w:val="3"/>
        </w:numPr>
        <w:spacing w:line="600" w:lineRule="exact"/>
        <w:ind w:firstLine="640"/>
        <w:outlineLvl w:val="1"/>
        <w:rPr>
          <w:rStyle w:val="30"/>
          <w:rFonts w:ascii="黑体" w:hAnsi="黑体" w:eastAsia="黑体"/>
          <w:b w:val="0"/>
        </w:rPr>
      </w:pPr>
      <w:bookmarkStart w:id="43" w:name="_Toc15396611"/>
      <w:bookmarkStart w:id="44" w:name="_Toc15377219"/>
      <w:r>
        <w:rPr>
          <w:rStyle w:val="30"/>
          <w:rFonts w:hint="eastAsia" w:ascii="黑体" w:hAnsi="黑体" w:eastAsia="黑体"/>
          <w:b w:val="0"/>
        </w:rPr>
        <w:t>国有资本经营预算支出决算情况说明</w:t>
      </w:r>
      <w:bookmarkEnd w:id="43"/>
      <w:bookmarkEnd w:id="44"/>
    </w:p>
    <w:p w14:paraId="18D596C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县政府办202</w:t>
      </w: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rPr>
        <w:t>年无国有资本经营预算财政拨款支出</w:t>
      </w:r>
      <w:r>
        <w:rPr>
          <w:rFonts w:hint="eastAsia" w:ascii="仿宋_GB2312" w:hAnsi="仿宋_GB2312" w:eastAsia="仿宋_GB2312" w:cs="仿宋_GB2312"/>
          <w:b w:val="0"/>
          <w:bCs w:val="0"/>
          <w:spacing w:val="-5"/>
          <w:sz w:val="32"/>
          <w:szCs w:val="32"/>
        </w:rPr>
        <w:t>。</w:t>
      </w:r>
    </w:p>
    <w:p w14:paraId="60E6501A">
      <w:pPr>
        <w:numPr>
          <w:ilvl w:val="0"/>
          <w:numId w:val="3"/>
        </w:numPr>
        <w:spacing w:line="600" w:lineRule="exact"/>
        <w:ind w:firstLine="640"/>
        <w:outlineLvl w:val="1"/>
        <w:rPr>
          <w:rStyle w:val="30"/>
          <w:rFonts w:ascii="黑体" w:hAnsi="黑体" w:eastAsia="黑体"/>
          <w:b w:val="0"/>
        </w:rPr>
      </w:pPr>
      <w:bookmarkStart w:id="45" w:name="_Toc15377221"/>
      <w:bookmarkStart w:id="46" w:name="_Toc15396612"/>
      <w:r>
        <w:rPr>
          <w:rStyle w:val="30"/>
          <w:rFonts w:hint="eastAsia" w:ascii="黑体" w:hAnsi="黑体" w:eastAsia="黑体"/>
          <w:b w:val="0"/>
        </w:rPr>
        <w:t>其他重要事项的情况说明</w:t>
      </w:r>
      <w:bookmarkEnd w:id="45"/>
      <w:bookmarkEnd w:id="46"/>
    </w:p>
    <w:p w14:paraId="3E3557EA">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14:paraId="16454EEE">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县政府办</w:t>
      </w:r>
      <w:r>
        <w:rPr>
          <w:rFonts w:hint="eastAsia" w:ascii="仿宋_GB2312" w:eastAsia="仿宋_GB2312"/>
          <w:sz w:val="32"/>
          <w:szCs w:val="32"/>
        </w:rPr>
        <w:t>机关运行经费支出</w:t>
      </w:r>
      <w:r>
        <w:rPr>
          <w:rFonts w:hint="eastAsia" w:ascii="仿宋_GB2312" w:eastAsia="仿宋_GB2312"/>
          <w:sz w:val="32"/>
          <w:szCs w:val="32"/>
          <w:lang w:val="en-US" w:eastAsia="zh-CN"/>
        </w:rPr>
        <w:t>100.46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19.81</w:t>
      </w:r>
      <w:r>
        <w:rPr>
          <w:rFonts w:hint="eastAsia" w:ascii="仿宋_GB2312" w:eastAsia="仿宋_GB2312"/>
          <w:sz w:val="32"/>
          <w:szCs w:val="32"/>
        </w:rPr>
        <w:t>万元，下降</w:t>
      </w:r>
      <w:r>
        <w:rPr>
          <w:rFonts w:hint="eastAsia" w:ascii="仿宋_GB2312" w:eastAsia="仿宋_GB2312"/>
          <w:sz w:val="32"/>
          <w:szCs w:val="32"/>
          <w:lang w:val="en-US" w:eastAsia="zh-CN"/>
        </w:rPr>
        <w:t>16.47</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hAnsi="仿宋_GB2312" w:eastAsia="仿宋_GB2312" w:cs="仿宋_GB2312"/>
          <w:b w:val="0"/>
          <w:bCs w:val="0"/>
          <w:spacing w:val="-7"/>
          <w:sz w:val="32"/>
          <w:szCs w:val="32"/>
        </w:rPr>
        <w:t>主要原因是认真贯彻落</w:t>
      </w:r>
      <w:r>
        <w:rPr>
          <w:rFonts w:hint="eastAsia" w:ascii="仿宋_GB2312" w:hAnsi="仿宋_GB2312" w:eastAsia="仿宋_GB2312" w:cs="仿宋_GB2312"/>
          <w:b w:val="0"/>
          <w:bCs w:val="0"/>
          <w:spacing w:val="-8"/>
          <w:sz w:val="32"/>
          <w:szCs w:val="32"/>
        </w:rPr>
        <w:t>实“党政机关要</w:t>
      </w:r>
      <w:r>
        <w:rPr>
          <w:rFonts w:hint="eastAsia" w:ascii="仿宋_GB2312" w:hAnsi="仿宋_GB2312" w:eastAsia="仿宋_GB2312" w:cs="仿宋_GB2312"/>
          <w:b w:val="0"/>
          <w:bCs w:val="0"/>
          <w:spacing w:val="-13"/>
          <w:sz w:val="32"/>
          <w:szCs w:val="32"/>
        </w:rPr>
        <w:t>坚持过紧日子”的要求，厉行节约。</w:t>
      </w:r>
    </w:p>
    <w:p w14:paraId="0B02BBE3">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14:paraId="59F9C7DE">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县政府办</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B043F7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14:paraId="2D007955">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县政府办</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p>
    <w:p w14:paraId="7BD81D5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3AFF4EA">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eastAsia="zh-CN"/>
        </w:rPr>
        <w:t>招商引资工作经费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项目编制了绩效目标，预算执行过程中，开展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绩效监控。</w:t>
      </w:r>
    </w:p>
    <w:p w14:paraId="2BBF3C0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组织对2022年度一般公共预算资金全面开展绩效自评，形成</w:t>
      </w:r>
      <w:r>
        <w:rPr>
          <w:rFonts w:hint="eastAsia" w:ascii="仿宋_GB2312" w:hAnsi="仿宋_GB2312" w:eastAsia="仿宋_GB2312" w:cs="仿宋_GB2312"/>
          <w:sz w:val="32"/>
          <w:szCs w:val="32"/>
          <w:lang w:eastAsia="zh-CN"/>
        </w:rPr>
        <w:t>政府办</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招商引资</w:t>
      </w:r>
      <w:r>
        <w:rPr>
          <w:rFonts w:hint="eastAsia" w:ascii="仿宋_GB2312" w:hAnsi="仿宋_GB2312" w:eastAsia="仿宋_GB2312" w:cs="仿宋_GB2312"/>
          <w:sz w:val="32"/>
          <w:szCs w:val="32"/>
        </w:rPr>
        <w:t>专项预算项目绩效自评报告，其中，</w:t>
      </w:r>
      <w:r>
        <w:rPr>
          <w:rFonts w:hint="eastAsia" w:ascii="仿宋_GB2312" w:hAnsi="仿宋_GB2312" w:eastAsia="仿宋_GB2312" w:cs="仿宋_GB2312"/>
          <w:sz w:val="32"/>
          <w:szCs w:val="32"/>
          <w:lang w:eastAsia="zh-CN"/>
        </w:rPr>
        <w:t>剑阁县人民政府办公室</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w:t>
      </w:r>
      <w:r>
        <w:rPr>
          <w:rFonts w:hint="eastAsia" w:ascii="仿宋_GB2312" w:hAnsi="仿宋_GB2312" w:eastAsia="仿宋_GB2312" w:cs="仿宋_GB2312"/>
          <w:b w:val="0"/>
          <w:bCs w:val="0"/>
          <w:spacing w:val="-3"/>
          <w:sz w:val="32"/>
          <w:szCs w:val="32"/>
        </w:rPr>
        <w:t>20</w:t>
      </w:r>
      <w:r>
        <w:rPr>
          <w:rFonts w:hint="eastAsia" w:ascii="仿宋_GB2312" w:hAnsi="仿宋_GB2312" w:eastAsia="仿宋_GB2312" w:cs="仿宋_GB2312"/>
          <w:b w:val="0"/>
          <w:bCs w:val="0"/>
          <w:spacing w:val="-4"/>
          <w:sz w:val="32"/>
          <w:szCs w:val="32"/>
        </w:rPr>
        <w:t>2</w:t>
      </w: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rPr>
        <w:t>年单位预算项目绩效目</w:t>
      </w:r>
      <w:r>
        <w:rPr>
          <w:rFonts w:hint="eastAsia" w:ascii="仿宋_GB2312" w:hAnsi="仿宋_GB2312" w:eastAsia="仿宋_GB2312" w:cs="仿宋_GB2312"/>
          <w:b w:val="0"/>
          <w:bCs w:val="0"/>
          <w:spacing w:val="9"/>
          <w:sz w:val="32"/>
          <w:szCs w:val="32"/>
        </w:rPr>
        <w:t>标自评表见附件(第四部分)。</w:t>
      </w:r>
    </w:p>
    <w:p w14:paraId="55A6B2C8">
      <w:pPr>
        <w:widowControl/>
        <w:ind w:firstLine="643" w:firstLineChars="200"/>
        <w:jc w:val="left"/>
        <w:rPr>
          <w:rFonts w:ascii="仿宋_GB2312" w:eastAsia="仿宋_GB2312"/>
          <w:b/>
          <w:sz w:val="32"/>
          <w:szCs w:val="32"/>
        </w:rPr>
      </w:pPr>
      <w:r>
        <w:rPr>
          <w:rFonts w:ascii="仿宋_GB2312" w:eastAsia="仿宋_GB2312"/>
          <w:b/>
          <w:sz w:val="32"/>
          <w:szCs w:val="32"/>
        </w:rPr>
        <w:br w:type="page"/>
      </w:r>
    </w:p>
    <w:p w14:paraId="0EEEAA0F">
      <w:pPr>
        <w:numPr>
          <w:ilvl w:val="0"/>
          <w:numId w:val="4"/>
        </w:numPr>
        <w:spacing w:line="600" w:lineRule="exact"/>
        <w:ind w:firstLine="660" w:firstLineChars="150"/>
        <w:jc w:val="center"/>
        <w:outlineLvl w:val="0"/>
        <w:rPr>
          <w:rStyle w:val="29"/>
          <w:rFonts w:ascii="黑体" w:hAnsi="黑体" w:eastAsia="黑体"/>
          <w:b w:val="0"/>
        </w:rPr>
      </w:pPr>
      <w:bookmarkStart w:id="50" w:name="_Toc15377225"/>
      <w:bookmarkStart w:id="51" w:name="_Toc15396613"/>
      <w:r>
        <w:rPr>
          <w:rFonts w:hint="eastAsia" w:ascii="黑体" w:hAnsi="黑体" w:eastAsia="黑体"/>
          <w:sz w:val="44"/>
          <w:szCs w:val="44"/>
        </w:rPr>
        <w:t>名</w:t>
      </w:r>
      <w:r>
        <w:rPr>
          <w:rStyle w:val="29"/>
          <w:rFonts w:hint="eastAsia" w:ascii="黑体" w:hAnsi="黑体" w:eastAsia="黑体"/>
          <w:b w:val="0"/>
        </w:rPr>
        <w:t>词解释</w:t>
      </w:r>
      <w:bookmarkEnd w:id="50"/>
      <w:bookmarkEnd w:id="51"/>
    </w:p>
    <w:p w14:paraId="0DD4ADDA">
      <w:pPr>
        <w:spacing w:line="600" w:lineRule="exact"/>
        <w:jc w:val="left"/>
        <w:rPr>
          <w:rFonts w:ascii="宋体"/>
          <w:b/>
          <w:sz w:val="44"/>
          <w:szCs w:val="44"/>
        </w:rPr>
      </w:pPr>
    </w:p>
    <w:p w14:paraId="10650D22">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4" w:firstLineChars="200"/>
        <w:jc w:val="both"/>
        <w:textAlignment w:val="baseline"/>
        <w:rPr>
          <w:rFonts w:hint="eastAsia" w:ascii="仿宋_GB2312" w:hAnsi="仿宋_GB2312" w:eastAsia="仿宋_GB2312" w:cs="仿宋_GB2312"/>
          <w:b w:val="0"/>
          <w:bCs w:val="0"/>
          <w:spacing w:val="-10"/>
          <w:sz w:val="32"/>
          <w:szCs w:val="32"/>
        </w:rPr>
      </w:pPr>
      <w:r>
        <w:rPr>
          <w:rFonts w:hint="eastAsia" w:ascii="仿宋_GB2312" w:hAnsi="仿宋_GB2312" w:eastAsia="仿宋_GB2312" w:cs="仿宋_GB2312"/>
          <w:b w:val="0"/>
          <w:bCs w:val="0"/>
          <w:spacing w:val="-9"/>
          <w:sz w:val="32"/>
          <w:szCs w:val="32"/>
        </w:rPr>
        <w:t>1.财政拨款收入：指单位从同级财政部门取得的财政</w:t>
      </w:r>
      <w:r>
        <w:rPr>
          <w:rFonts w:hint="eastAsia" w:ascii="仿宋_GB2312" w:hAnsi="仿宋_GB2312" w:eastAsia="仿宋_GB2312" w:cs="仿宋_GB2312"/>
          <w:b w:val="0"/>
          <w:bCs w:val="0"/>
          <w:spacing w:val="-10"/>
          <w:sz w:val="32"/>
          <w:szCs w:val="32"/>
        </w:rPr>
        <w:t>预算资金。</w:t>
      </w:r>
    </w:p>
    <w:p w14:paraId="0FF0C3F9">
      <w:pPr>
        <w:ind w:firstLine="420" w:firstLineChars="200"/>
        <w:rPr>
          <w:rFonts w:hint="eastAsia" w:ascii="仿宋_GB2312" w:hAnsi="仿宋_GB2312" w:eastAsia="仿宋_GB2312" w:cs="仿宋_GB2312"/>
          <w:b w:val="0"/>
          <w:bCs w:val="0"/>
          <w:spacing w:val="-9"/>
          <w:sz w:val="32"/>
          <w:szCs w:val="32"/>
        </w:rPr>
      </w:pPr>
      <w:r>
        <w:rPr>
          <w:rFonts w:hint="eastAsia"/>
          <w:lang w:val="en-US" w:eastAsia="zh-CN"/>
        </w:rPr>
        <w:t xml:space="preserve">  </w:t>
      </w:r>
      <w:r>
        <w:rPr>
          <w:rFonts w:hint="eastAsia" w:ascii="仿宋_GB2312" w:hAnsi="仿宋_GB2312" w:eastAsia="仿宋_GB2312" w:cs="仿宋_GB2312"/>
          <w:b w:val="0"/>
          <w:bCs w:val="0"/>
          <w:spacing w:val="-9"/>
          <w:sz w:val="32"/>
          <w:szCs w:val="32"/>
        </w:rPr>
        <w:t>2. 一般公共预算拨款收入：指县级财政当年拨付的资金。</w:t>
      </w:r>
    </w:p>
    <w:p w14:paraId="65E7EE7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8"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lang w:val="en-US" w:eastAsia="zh-CN"/>
        </w:rPr>
        <w:t>3</w:t>
      </w:r>
      <w:r>
        <w:rPr>
          <w:rFonts w:hint="eastAsia" w:ascii="仿宋_GB2312" w:hAnsi="仿宋_GB2312" w:eastAsia="仿宋_GB2312" w:cs="仿宋_GB2312"/>
          <w:b w:val="0"/>
          <w:bCs w:val="0"/>
          <w:spacing w:val="-3"/>
          <w:sz w:val="32"/>
          <w:szCs w:val="32"/>
        </w:rPr>
        <w:t>.一般公共服务支出(类)政府办公厅(室)及相关机构事务(款)</w:t>
      </w:r>
      <w:r>
        <w:rPr>
          <w:rFonts w:hint="eastAsia" w:ascii="仿宋_GB2312" w:hAnsi="仿宋_GB2312" w:eastAsia="仿宋_GB2312" w:cs="仿宋_GB2312"/>
          <w:b/>
          <w:bCs/>
          <w:spacing w:val="9"/>
          <w:sz w:val="32"/>
          <w:szCs w:val="32"/>
        </w:rPr>
        <w:t>行政运行</w:t>
      </w:r>
      <w:r>
        <w:rPr>
          <w:rFonts w:hint="eastAsia" w:ascii="仿宋_GB2312" w:hAnsi="仿宋_GB2312" w:eastAsia="仿宋_GB2312" w:cs="仿宋_GB2312"/>
          <w:b w:val="0"/>
          <w:bCs w:val="0"/>
          <w:spacing w:val="9"/>
          <w:sz w:val="32"/>
          <w:szCs w:val="32"/>
        </w:rPr>
        <w:t>(项):指反映行政单位(包括实行公务员管理的事业单</w:t>
      </w:r>
      <w:r>
        <w:rPr>
          <w:rFonts w:hint="eastAsia" w:ascii="仿宋_GB2312" w:hAnsi="仿宋_GB2312" w:eastAsia="仿宋_GB2312" w:cs="仿宋_GB2312"/>
          <w:b w:val="0"/>
          <w:bCs w:val="0"/>
          <w:spacing w:val="6"/>
          <w:sz w:val="32"/>
          <w:szCs w:val="32"/>
        </w:rPr>
        <w:t>位)的基本支出。</w:t>
      </w:r>
    </w:p>
    <w:p w14:paraId="77436C1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8"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lang w:val="en-US" w:eastAsia="zh-CN"/>
        </w:rPr>
        <w:t>4</w:t>
      </w:r>
      <w:r>
        <w:rPr>
          <w:rFonts w:hint="eastAsia" w:ascii="仿宋_GB2312" w:hAnsi="仿宋_GB2312" w:eastAsia="仿宋_GB2312" w:cs="仿宋_GB2312"/>
          <w:b w:val="0"/>
          <w:bCs w:val="0"/>
          <w:spacing w:val="-3"/>
          <w:sz w:val="32"/>
          <w:szCs w:val="32"/>
        </w:rPr>
        <w:t>.一般公共服务支出(类)政府办公厅(室)及相关机构事务(款)</w:t>
      </w:r>
      <w:r>
        <w:rPr>
          <w:rFonts w:hint="eastAsia" w:ascii="仿宋_GB2312" w:hAnsi="仿宋_GB2312" w:eastAsia="仿宋_GB2312" w:cs="仿宋_GB2312"/>
          <w:b/>
          <w:bCs/>
          <w:spacing w:val="8"/>
          <w:sz w:val="32"/>
          <w:szCs w:val="32"/>
        </w:rPr>
        <w:t>事业运行</w:t>
      </w:r>
      <w:r>
        <w:rPr>
          <w:rFonts w:hint="eastAsia" w:ascii="仿宋_GB2312" w:hAnsi="仿宋_GB2312" w:eastAsia="仿宋_GB2312" w:cs="仿宋_GB2312"/>
          <w:b w:val="0"/>
          <w:bCs w:val="0"/>
          <w:spacing w:val="8"/>
          <w:sz w:val="32"/>
          <w:szCs w:val="32"/>
        </w:rPr>
        <w:t>(项):反映事业单位的基本支出，不包括行政单位(包</w:t>
      </w:r>
      <w:r>
        <w:rPr>
          <w:rFonts w:hint="eastAsia" w:ascii="仿宋_GB2312" w:hAnsi="仿宋_GB2312" w:eastAsia="仿宋_GB2312" w:cs="仿宋_GB2312"/>
          <w:b w:val="0"/>
          <w:bCs w:val="0"/>
          <w:spacing w:val="-1"/>
          <w:sz w:val="32"/>
          <w:szCs w:val="32"/>
        </w:rPr>
        <w:t>括实行公务员管理的事业单位)后勤服务中心</w:t>
      </w:r>
      <w:r>
        <w:rPr>
          <w:rFonts w:hint="eastAsia" w:ascii="仿宋_GB2312" w:hAnsi="仿宋_GB2312" w:eastAsia="仿宋_GB2312" w:cs="仿宋_GB2312"/>
          <w:b w:val="0"/>
          <w:bCs w:val="0"/>
          <w:spacing w:val="-2"/>
          <w:sz w:val="32"/>
          <w:szCs w:val="32"/>
        </w:rPr>
        <w:t>、医务室等附属事业</w:t>
      </w:r>
      <w:r>
        <w:rPr>
          <w:rFonts w:hint="eastAsia" w:ascii="仿宋_GB2312" w:hAnsi="仿宋_GB2312" w:eastAsia="仿宋_GB2312" w:cs="仿宋_GB2312"/>
          <w:b w:val="0"/>
          <w:bCs w:val="0"/>
          <w:spacing w:val="-9"/>
          <w:sz w:val="32"/>
          <w:szCs w:val="32"/>
        </w:rPr>
        <w:t>单位。</w:t>
      </w:r>
    </w:p>
    <w:p w14:paraId="5B3771B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spacing w:val="10"/>
          <w:sz w:val="32"/>
          <w:szCs w:val="32"/>
          <w:lang w:val="en-US" w:eastAsia="zh-CN"/>
        </w:rPr>
      </w:pPr>
      <w:r>
        <w:rPr>
          <w:rFonts w:hint="eastAsia" w:ascii="仿宋_GB2312" w:hAnsi="仿宋_GB2312" w:eastAsia="仿宋_GB2312" w:cs="仿宋_GB2312"/>
          <w:b w:val="0"/>
          <w:bCs w:val="0"/>
          <w:spacing w:val="10"/>
          <w:sz w:val="32"/>
          <w:szCs w:val="32"/>
          <w:lang w:val="en-US" w:eastAsia="zh-CN"/>
        </w:rPr>
        <w:t>5、</w:t>
      </w:r>
      <w:r>
        <w:rPr>
          <w:rFonts w:hint="eastAsia" w:ascii="仿宋_GB2312" w:hAnsi="仿宋_GB2312" w:eastAsia="仿宋_GB2312" w:cs="仿宋_GB2312"/>
          <w:b w:val="0"/>
          <w:bCs w:val="0"/>
          <w:spacing w:val="-3"/>
          <w:sz w:val="32"/>
          <w:szCs w:val="32"/>
        </w:rPr>
        <w:t>一般公共服务支出(类)</w:t>
      </w:r>
      <w:r>
        <w:rPr>
          <w:rFonts w:hint="eastAsia" w:ascii="仿宋_GB2312" w:hAnsi="仿宋_GB2312" w:eastAsia="仿宋_GB2312" w:cs="仿宋_GB2312"/>
          <w:b w:val="0"/>
          <w:bCs w:val="0"/>
          <w:spacing w:val="10"/>
          <w:sz w:val="32"/>
          <w:szCs w:val="32"/>
          <w:lang w:val="en-US" w:eastAsia="zh-CN"/>
        </w:rPr>
        <w:t>商贸事务（款）</w:t>
      </w:r>
      <w:r>
        <w:rPr>
          <w:rFonts w:hint="eastAsia" w:ascii="仿宋_GB2312" w:hAnsi="仿宋_GB2312" w:eastAsia="仿宋_GB2312" w:cs="仿宋_GB2312"/>
          <w:b/>
          <w:bCs/>
          <w:spacing w:val="10"/>
          <w:sz w:val="32"/>
          <w:szCs w:val="32"/>
          <w:lang w:val="en-US" w:eastAsia="zh-CN"/>
        </w:rPr>
        <w:t>招商引资</w:t>
      </w:r>
      <w:r>
        <w:rPr>
          <w:rFonts w:hint="eastAsia" w:ascii="仿宋_GB2312" w:hAnsi="仿宋_GB2312" w:eastAsia="仿宋_GB2312" w:cs="仿宋_GB2312"/>
          <w:b w:val="0"/>
          <w:bCs w:val="0"/>
          <w:spacing w:val="10"/>
          <w:sz w:val="32"/>
          <w:szCs w:val="32"/>
          <w:lang w:val="en-US" w:eastAsia="zh-CN"/>
        </w:rPr>
        <w:t>（项）：反映用于招商引资、优化经济环境等方面的支出。</w:t>
      </w:r>
    </w:p>
    <w:p w14:paraId="38ED8D0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lang w:val="en-US" w:eastAsia="zh-CN"/>
        </w:rPr>
        <w:t>6</w:t>
      </w:r>
      <w:r>
        <w:rPr>
          <w:rFonts w:hint="eastAsia" w:ascii="仿宋_GB2312" w:hAnsi="仿宋_GB2312" w:eastAsia="仿宋_GB2312" w:cs="仿宋_GB2312"/>
          <w:b w:val="0"/>
          <w:bCs w:val="0"/>
          <w:spacing w:val="11"/>
          <w:sz w:val="32"/>
          <w:szCs w:val="32"/>
        </w:rPr>
        <w:t>.社会保障和就业支出(类)行政事业单位养老支出(款)机</w:t>
      </w:r>
      <w:r>
        <w:rPr>
          <w:rFonts w:hint="eastAsia" w:ascii="仿宋_GB2312" w:hAnsi="仿宋_GB2312" w:eastAsia="仿宋_GB2312" w:cs="仿宋_GB2312"/>
          <w:b w:val="0"/>
          <w:bCs w:val="0"/>
          <w:spacing w:val="5"/>
          <w:sz w:val="32"/>
          <w:szCs w:val="32"/>
        </w:rPr>
        <w:t>关事业单位基本养老保险缴费支出(项):指反映机关事业单位实</w:t>
      </w:r>
      <w:r>
        <w:rPr>
          <w:rFonts w:hint="eastAsia" w:ascii="仿宋_GB2312" w:hAnsi="仿宋_GB2312" w:eastAsia="仿宋_GB2312" w:cs="仿宋_GB2312"/>
          <w:b w:val="0"/>
          <w:bCs w:val="0"/>
          <w:spacing w:val="-6"/>
          <w:sz w:val="32"/>
          <w:szCs w:val="32"/>
        </w:rPr>
        <w:t>施养老保险制度由单位缴纳的基本养老保险费支出。</w:t>
      </w:r>
    </w:p>
    <w:p w14:paraId="11168D0D">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lang w:val="en-US" w:eastAsia="zh-CN"/>
        </w:rPr>
        <w:t>7</w:t>
      </w:r>
      <w:r>
        <w:rPr>
          <w:rFonts w:hint="eastAsia" w:ascii="仿宋_GB2312" w:hAnsi="仿宋_GB2312" w:eastAsia="仿宋_GB2312" w:cs="仿宋_GB2312"/>
          <w:b w:val="0"/>
          <w:bCs w:val="0"/>
          <w:spacing w:val="9"/>
          <w:sz w:val="32"/>
          <w:szCs w:val="32"/>
        </w:rPr>
        <w:t>.卫生健康支出(类)行政事业单位医疗(款)行政单位医疗</w:t>
      </w:r>
      <w:r>
        <w:rPr>
          <w:rFonts w:hint="eastAsia" w:ascii="仿宋_GB2312" w:hAnsi="仿宋_GB2312" w:eastAsia="仿宋_GB2312" w:cs="仿宋_GB2312"/>
          <w:b w:val="0"/>
          <w:bCs w:val="0"/>
          <w:spacing w:val="3"/>
          <w:sz w:val="32"/>
          <w:szCs w:val="32"/>
        </w:rPr>
        <w:t>(项):</w:t>
      </w:r>
      <w:r>
        <w:rPr>
          <w:rFonts w:hint="eastAsia" w:ascii="仿宋_GB2312" w:hAnsi="仿宋_GB2312" w:eastAsia="仿宋_GB2312" w:cs="仿宋_GB2312"/>
          <w:b w:val="0"/>
          <w:bCs w:val="0"/>
          <w:spacing w:val="3"/>
          <w:sz w:val="32"/>
          <w:szCs w:val="32"/>
          <w:lang w:eastAsia="zh-CN"/>
        </w:rPr>
        <w:t>反映财政部门安排的行政单位（包括实行公务员管理的事业单位）基本医疗保险缴费经费。</w:t>
      </w:r>
    </w:p>
    <w:p w14:paraId="6F1D552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6" w:firstLineChars="200"/>
        <w:jc w:val="both"/>
        <w:textAlignment w:val="baseline"/>
        <w:rPr>
          <w:rFonts w:hint="eastAsia" w:ascii="仿宋_GB2312" w:hAnsi="仿宋_GB2312" w:eastAsia="仿宋_GB2312" w:cs="仿宋_GB2312"/>
          <w:b w:val="0"/>
          <w:bCs w:val="0"/>
          <w:spacing w:val="10"/>
          <w:sz w:val="32"/>
          <w:szCs w:val="32"/>
        </w:rPr>
      </w:pPr>
      <w:r>
        <w:rPr>
          <w:rFonts w:hint="eastAsia" w:ascii="仿宋_GB2312" w:hAnsi="仿宋_GB2312" w:eastAsia="仿宋_GB2312" w:cs="仿宋_GB2312"/>
          <w:b w:val="0"/>
          <w:bCs w:val="0"/>
          <w:spacing w:val="9"/>
          <w:sz w:val="32"/>
          <w:szCs w:val="32"/>
          <w:lang w:val="en-US" w:eastAsia="zh-CN"/>
        </w:rPr>
        <w:t>8</w:t>
      </w:r>
      <w:r>
        <w:rPr>
          <w:rFonts w:hint="eastAsia" w:ascii="仿宋_GB2312" w:hAnsi="仿宋_GB2312" w:eastAsia="仿宋_GB2312" w:cs="仿宋_GB2312"/>
          <w:b w:val="0"/>
          <w:bCs w:val="0"/>
          <w:spacing w:val="9"/>
          <w:sz w:val="32"/>
          <w:szCs w:val="32"/>
        </w:rPr>
        <w:t>.卫生健康支出(类)行政事业单位医疗(款)</w:t>
      </w:r>
      <w:r>
        <w:rPr>
          <w:rFonts w:hint="eastAsia" w:ascii="仿宋_GB2312" w:hAnsi="仿宋_GB2312" w:eastAsia="仿宋_GB2312" w:cs="仿宋_GB2312"/>
          <w:b w:val="0"/>
          <w:bCs w:val="0"/>
          <w:spacing w:val="9"/>
          <w:sz w:val="32"/>
          <w:szCs w:val="32"/>
          <w:lang w:eastAsia="zh-CN"/>
        </w:rPr>
        <w:t>事业</w:t>
      </w:r>
      <w:r>
        <w:rPr>
          <w:rFonts w:hint="eastAsia" w:ascii="仿宋_GB2312" w:hAnsi="仿宋_GB2312" w:eastAsia="仿宋_GB2312" w:cs="仿宋_GB2312"/>
          <w:b w:val="0"/>
          <w:bCs w:val="0"/>
          <w:spacing w:val="9"/>
          <w:sz w:val="32"/>
          <w:szCs w:val="32"/>
        </w:rPr>
        <w:t>单位医疗</w:t>
      </w:r>
      <w:r>
        <w:rPr>
          <w:rFonts w:hint="eastAsia" w:ascii="仿宋_GB2312" w:hAnsi="仿宋_GB2312" w:eastAsia="仿宋_GB2312" w:cs="仿宋_GB2312"/>
          <w:b w:val="0"/>
          <w:bCs w:val="0"/>
          <w:spacing w:val="3"/>
          <w:sz w:val="32"/>
          <w:szCs w:val="32"/>
        </w:rPr>
        <w:t>(项):</w:t>
      </w:r>
      <w:r>
        <w:rPr>
          <w:rFonts w:hint="eastAsia" w:ascii="仿宋_GB2312" w:hAnsi="仿宋_GB2312" w:eastAsia="仿宋_GB2312" w:cs="仿宋_GB2312"/>
          <w:b w:val="0"/>
          <w:bCs w:val="0"/>
          <w:spacing w:val="3"/>
          <w:sz w:val="32"/>
          <w:szCs w:val="32"/>
          <w:lang w:eastAsia="zh-CN"/>
        </w:rPr>
        <w:t>反映财政部门安排的事业单位基本医疗保险缴费经费。</w:t>
      </w:r>
    </w:p>
    <w:p w14:paraId="5376BBF0">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lang w:val="en-US" w:eastAsia="zh-CN"/>
        </w:rPr>
        <w:t>9</w:t>
      </w:r>
      <w:r>
        <w:rPr>
          <w:rFonts w:hint="eastAsia" w:ascii="仿宋_GB2312" w:hAnsi="仿宋_GB2312" w:eastAsia="仿宋_GB2312" w:cs="仿宋_GB2312"/>
          <w:b w:val="0"/>
          <w:bCs w:val="0"/>
          <w:spacing w:val="10"/>
          <w:sz w:val="32"/>
          <w:szCs w:val="32"/>
        </w:rPr>
        <w:t>.住房保障支出(类)住房改革支出(款)住</w:t>
      </w:r>
      <w:r>
        <w:rPr>
          <w:rFonts w:hint="eastAsia" w:ascii="仿宋_GB2312" w:hAnsi="仿宋_GB2312" w:eastAsia="仿宋_GB2312" w:cs="仿宋_GB2312"/>
          <w:b w:val="0"/>
          <w:bCs w:val="0"/>
          <w:spacing w:val="9"/>
          <w:sz w:val="32"/>
          <w:szCs w:val="32"/>
        </w:rPr>
        <w:t>房公积金(项):</w:t>
      </w:r>
      <w:r>
        <w:rPr>
          <w:rFonts w:hint="eastAsia" w:ascii="仿宋_GB2312" w:hAnsi="仿宋_GB2312" w:eastAsia="仿宋_GB2312" w:cs="仿宋_GB2312"/>
          <w:b w:val="0"/>
          <w:bCs w:val="0"/>
          <w:spacing w:val="-5"/>
          <w:sz w:val="32"/>
          <w:szCs w:val="32"/>
        </w:rPr>
        <w:t>指反映行政事业单位按人力资源和社会保障部、财政部规定的基本工资和津贴补贴以及规定比例为职工缴纳的住房公积金。</w:t>
      </w:r>
    </w:p>
    <w:p w14:paraId="71170AE0">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lang w:val="en-US" w:eastAsia="zh-CN"/>
        </w:rPr>
        <w:t>10</w:t>
      </w:r>
      <w:r>
        <w:rPr>
          <w:rFonts w:hint="eastAsia" w:ascii="仿宋_GB2312" w:hAnsi="仿宋_GB2312" w:eastAsia="仿宋_GB2312" w:cs="仿宋_GB2312"/>
          <w:b w:val="0"/>
          <w:bCs w:val="0"/>
          <w:spacing w:val="-6"/>
          <w:sz w:val="32"/>
          <w:szCs w:val="32"/>
        </w:rPr>
        <w:t>.基本支出：指为保障机构正常运转、完成日常工作任务</w:t>
      </w:r>
      <w:r>
        <w:rPr>
          <w:rFonts w:hint="eastAsia" w:ascii="仿宋_GB2312" w:hAnsi="仿宋_GB2312" w:eastAsia="仿宋_GB2312" w:cs="仿宋_GB2312"/>
          <w:b w:val="0"/>
          <w:bCs w:val="0"/>
          <w:spacing w:val="-5"/>
          <w:sz w:val="32"/>
          <w:szCs w:val="32"/>
        </w:rPr>
        <w:t>而发生的人员支出和公用支出。</w:t>
      </w:r>
    </w:p>
    <w:p w14:paraId="038642D2">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lang w:val="en-US" w:eastAsia="zh-CN"/>
        </w:rPr>
        <w:t>11</w:t>
      </w:r>
      <w:r>
        <w:rPr>
          <w:rFonts w:hint="eastAsia" w:ascii="仿宋_GB2312" w:hAnsi="仿宋_GB2312" w:eastAsia="仿宋_GB2312" w:cs="仿宋_GB2312"/>
          <w:b w:val="0"/>
          <w:bCs w:val="0"/>
          <w:spacing w:val="-6"/>
          <w:sz w:val="32"/>
          <w:szCs w:val="32"/>
        </w:rPr>
        <w:t>.项目支出：指在基本支出之外为完成特定行政任务和事</w:t>
      </w:r>
      <w:r>
        <w:rPr>
          <w:rFonts w:hint="eastAsia" w:ascii="仿宋_GB2312" w:hAnsi="仿宋_GB2312" w:eastAsia="仿宋_GB2312" w:cs="仿宋_GB2312"/>
          <w:b w:val="0"/>
          <w:bCs w:val="0"/>
          <w:spacing w:val="-5"/>
          <w:sz w:val="32"/>
          <w:szCs w:val="32"/>
        </w:rPr>
        <w:t>业发展目标所发生的支出。</w:t>
      </w:r>
    </w:p>
    <w:p w14:paraId="151789DC">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val="en-US" w:eastAsia="zh-CN"/>
        </w:rPr>
        <w:t>12</w:t>
      </w:r>
      <w:r>
        <w:rPr>
          <w:rFonts w:hint="eastAsia" w:ascii="仿宋_GB2312" w:hAnsi="仿宋_GB2312" w:eastAsia="仿宋_GB2312" w:cs="仿宋_GB2312"/>
          <w:b w:val="0"/>
          <w:bCs w:val="0"/>
          <w:spacing w:val="-1"/>
          <w:sz w:val="32"/>
          <w:szCs w:val="32"/>
        </w:rPr>
        <w:t>."三公"经费：指单位用财政拨款安排的因公出国(境)</w:t>
      </w:r>
    </w:p>
    <w:p w14:paraId="056B3684">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费、公务用车购置及运行费和公务接待费。其中，因公出国(境)费反映单位公务出国(境)的国际旅费、国外城市间交通费、住宿</w:t>
      </w:r>
      <w:r>
        <w:rPr>
          <w:rFonts w:hint="eastAsia" w:ascii="仿宋_GB2312" w:hAnsi="仿宋_GB2312" w:eastAsia="仿宋_GB2312" w:cs="仿宋_GB2312"/>
          <w:b w:val="0"/>
          <w:bCs w:val="0"/>
          <w:spacing w:val="-6"/>
          <w:sz w:val="32"/>
          <w:szCs w:val="32"/>
        </w:rPr>
        <w:t>费、伙食费、培训费、公杂费等支出；公务用车购</w:t>
      </w:r>
      <w:r>
        <w:rPr>
          <w:rFonts w:hint="eastAsia" w:ascii="仿宋_GB2312" w:hAnsi="仿宋_GB2312" w:eastAsia="仿宋_GB2312" w:cs="仿宋_GB2312"/>
          <w:b w:val="0"/>
          <w:bCs w:val="0"/>
          <w:spacing w:val="-7"/>
          <w:sz w:val="32"/>
          <w:szCs w:val="32"/>
        </w:rPr>
        <w:t>置及运行费反映</w:t>
      </w:r>
      <w:r>
        <w:rPr>
          <w:rFonts w:hint="eastAsia" w:ascii="仿宋_GB2312" w:hAnsi="仿宋_GB2312" w:eastAsia="仿宋_GB2312" w:cs="仿宋_GB2312"/>
          <w:b w:val="0"/>
          <w:bCs w:val="0"/>
          <w:spacing w:val="2"/>
          <w:sz w:val="32"/>
          <w:szCs w:val="32"/>
        </w:rPr>
        <w:t>单位公务用车车辆购置支出(含车辆购置税)及租用费、燃料费、</w:t>
      </w:r>
      <w:r>
        <w:rPr>
          <w:rFonts w:hint="eastAsia" w:ascii="仿宋_GB2312" w:hAnsi="仿宋_GB2312" w:eastAsia="仿宋_GB2312" w:cs="仿宋_GB2312"/>
          <w:b w:val="0"/>
          <w:bCs w:val="0"/>
          <w:spacing w:val="-6"/>
          <w:sz w:val="32"/>
          <w:szCs w:val="32"/>
        </w:rPr>
        <w:t>维修费、过路过桥费、保险费等支出；公务接待费反映单位</w:t>
      </w:r>
      <w:r>
        <w:rPr>
          <w:rFonts w:hint="eastAsia" w:ascii="仿宋_GB2312" w:hAnsi="仿宋_GB2312" w:eastAsia="仿宋_GB2312" w:cs="仿宋_GB2312"/>
          <w:b w:val="0"/>
          <w:bCs w:val="0"/>
          <w:spacing w:val="-7"/>
          <w:sz w:val="32"/>
          <w:szCs w:val="32"/>
        </w:rPr>
        <w:t>按规定</w:t>
      </w:r>
      <w:r>
        <w:rPr>
          <w:rFonts w:hint="eastAsia" w:ascii="仿宋_GB2312" w:hAnsi="仿宋_GB2312" w:eastAsia="仿宋_GB2312" w:cs="仿宋_GB2312"/>
          <w:b w:val="0"/>
          <w:bCs w:val="0"/>
          <w:spacing w:val="6"/>
          <w:sz w:val="32"/>
          <w:szCs w:val="32"/>
        </w:rPr>
        <w:t>开支的各类公务接待(含外宾接待)支出。</w:t>
      </w:r>
    </w:p>
    <w:p w14:paraId="11651BEA">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8" w:firstLineChars="200"/>
        <w:jc w:val="both"/>
        <w:textAlignment w:val="baseline"/>
        <w:rPr>
          <w:rFonts w:ascii="仿宋_GB2312" w:eastAsia="仿宋_GB2312"/>
          <w:color w:val="auto"/>
          <w:sz w:val="32"/>
          <w:szCs w:val="32"/>
        </w:rPr>
      </w:pPr>
      <w:r>
        <w:rPr>
          <w:rFonts w:hint="eastAsia" w:ascii="仿宋_GB2312" w:hAnsi="仿宋_GB2312" w:eastAsia="仿宋_GB2312" w:cs="仿宋_GB2312"/>
          <w:b w:val="0"/>
          <w:bCs w:val="0"/>
          <w:spacing w:val="-3"/>
          <w:sz w:val="32"/>
          <w:szCs w:val="32"/>
        </w:rPr>
        <w:t>1</w:t>
      </w:r>
      <w:r>
        <w:rPr>
          <w:rFonts w:hint="eastAsia" w:ascii="仿宋_GB2312" w:hAnsi="仿宋_GB2312" w:eastAsia="仿宋_GB2312" w:cs="仿宋_GB2312"/>
          <w:b w:val="0"/>
          <w:bCs w:val="0"/>
          <w:spacing w:val="-3"/>
          <w:sz w:val="32"/>
          <w:szCs w:val="32"/>
          <w:lang w:val="en-US" w:eastAsia="zh-CN"/>
        </w:rPr>
        <w:t>3</w:t>
      </w:r>
      <w:r>
        <w:rPr>
          <w:rFonts w:hint="eastAsia" w:ascii="仿宋_GB2312" w:hAnsi="仿宋_GB2312" w:eastAsia="仿宋_GB2312" w:cs="仿宋_GB2312"/>
          <w:b w:val="0"/>
          <w:bCs w:val="0"/>
          <w:spacing w:val="-3"/>
          <w:sz w:val="32"/>
          <w:szCs w:val="32"/>
        </w:rPr>
        <w:t>.机关运行经费：为保障行政单位(含参照公务员法管理</w:t>
      </w:r>
      <w:r>
        <w:rPr>
          <w:rFonts w:hint="eastAsia" w:ascii="仿宋_GB2312" w:hAnsi="仿宋_GB2312" w:eastAsia="仿宋_GB2312" w:cs="仿宋_GB2312"/>
          <w:b w:val="0"/>
          <w:bCs w:val="0"/>
          <w:spacing w:val="-2"/>
          <w:sz w:val="32"/>
          <w:szCs w:val="32"/>
        </w:rPr>
        <w:t>的事业单位)运行用于购买货物和服务的各项</w:t>
      </w:r>
      <w:r>
        <w:rPr>
          <w:rFonts w:hint="eastAsia" w:ascii="仿宋_GB2312" w:hAnsi="仿宋_GB2312" w:eastAsia="仿宋_GB2312" w:cs="仿宋_GB2312"/>
          <w:b w:val="0"/>
          <w:bCs w:val="0"/>
          <w:spacing w:val="-3"/>
          <w:sz w:val="32"/>
          <w:szCs w:val="32"/>
        </w:rPr>
        <w:t>资金，包括办公及印</w:t>
      </w:r>
      <w:r>
        <w:rPr>
          <w:rFonts w:hint="eastAsia" w:ascii="仿宋_GB2312" w:hAnsi="仿宋_GB2312" w:eastAsia="仿宋_GB2312" w:cs="仿宋_GB2312"/>
          <w:b w:val="0"/>
          <w:bCs w:val="0"/>
          <w:spacing w:val="-6"/>
          <w:sz w:val="32"/>
          <w:szCs w:val="32"/>
        </w:rPr>
        <w:t>刷费、邮电费、差旅费、会议费、福利费、日常维修费、办公</w:t>
      </w:r>
      <w:r>
        <w:rPr>
          <w:rFonts w:hint="eastAsia" w:ascii="仿宋_GB2312" w:hAnsi="仿宋_GB2312" w:eastAsia="仿宋_GB2312" w:cs="仿宋_GB2312"/>
          <w:b w:val="0"/>
          <w:bCs w:val="0"/>
          <w:spacing w:val="-7"/>
          <w:sz w:val="32"/>
          <w:szCs w:val="32"/>
        </w:rPr>
        <w:t>用房</w:t>
      </w:r>
      <w:r>
        <w:rPr>
          <w:rFonts w:hint="eastAsia" w:ascii="仿宋_GB2312" w:hAnsi="仿宋_GB2312" w:eastAsia="仿宋_GB2312" w:cs="仿宋_GB2312"/>
          <w:b w:val="0"/>
          <w:bCs w:val="0"/>
          <w:spacing w:val="-10"/>
          <w:sz w:val="32"/>
          <w:szCs w:val="32"/>
        </w:rPr>
        <w:t>水电费、办公用房物业管理费、公务用车运行维护费以及其他费用。</w:t>
      </w:r>
    </w:p>
    <w:p w14:paraId="11F4AE3E">
      <w:pPr>
        <w:spacing w:line="600" w:lineRule="exact"/>
        <w:jc w:val="center"/>
        <w:outlineLvl w:val="0"/>
        <w:rPr>
          <w:rStyle w:val="29"/>
          <w:rFonts w:ascii="黑体" w:hAnsi="黑体" w:eastAsia="黑体"/>
          <w:b w:val="0"/>
        </w:rPr>
      </w:pPr>
      <w:bookmarkStart w:id="52" w:name="_Toc15377226"/>
      <w:r>
        <w:rPr>
          <w:rFonts w:ascii="宋体"/>
          <w:b/>
          <w:sz w:val="44"/>
          <w:szCs w:val="44"/>
        </w:rPr>
        <w:br w:type="page"/>
      </w:r>
      <w:bookmarkStart w:id="53" w:name="_Toc15396614"/>
      <w:r>
        <w:rPr>
          <w:rFonts w:hint="eastAsia" w:ascii="黑体" w:hAnsi="黑体" w:eastAsia="黑体"/>
          <w:sz w:val="44"/>
          <w:szCs w:val="44"/>
        </w:rPr>
        <w:t>第</w:t>
      </w:r>
      <w:r>
        <w:rPr>
          <w:rStyle w:val="29"/>
          <w:rFonts w:hint="eastAsia" w:ascii="黑体" w:hAnsi="黑体" w:eastAsia="黑体"/>
          <w:b w:val="0"/>
        </w:rPr>
        <w:t>四部分 附件</w:t>
      </w:r>
      <w:bookmarkEnd w:id="53"/>
    </w:p>
    <w:p w14:paraId="126A81F6">
      <w:pPr>
        <w:widowControl/>
        <w:spacing w:line="560" w:lineRule="exact"/>
        <w:contextualSpacing/>
        <w:jc w:val="center"/>
        <w:rPr>
          <w:rFonts w:hint="eastAsia" w:ascii="黑体" w:hAnsi="黑体" w:eastAsia="黑体" w:cs="黑体"/>
          <w:b/>
          <w:bCs/>
          <w:spacing w:val="-8"/>
          <w:sz w:val="32"/>
          <w:szCs w:val="32"/>
        </w:rPr>
      </w:pPr>
    </w:p>
    <w:p w14:paraId="6F4285DD">
      <w:pPr>
        <w:widowControl/>
        <w:spacing w:line="560" w:lineRule="exact"/>
        <w:contextualSpacing/>
        <w:jc w:val="center"/>
        <w:rPr>
          <w:rFonts w:hint="eastAsia" w:ascii="宋体" w:hAnsi="宋体"/>
          <w:b/>
          <w:sz w:val="32"/>
          <w:szCs w:val="32"/>
          <w:shd w:val="clear" w:color="auto" w:fill="FFFFFF"/>
        </w:rPr>
      </w:pPr>
      <w:r>
        <w:rPr>
          <w:rFonts w:hint="eastAsia" w:ascii="黑体" w:hAnsi="黑体" w:eastAsia="黑体" w:cs="黑体"/>
          <w:b/>
          <w:bCs/>
          <w:spacing w:val="-8"/>
          <w:sz w:val="32"/>
          <w:szCs w:val="32"/>
        </w:rPr>
        <w:t>剑阁县人民政府办公室</w:t>
      </w:r>
    </w:p>
    <w:p w14:paraId="68A9A098">
      <w:pPr>
        <w:widowControl/>
        <w:spacing w:line="560" w:lineRule="exact"/>
        <w:contextualSpacing/>
        <w:jc w:val="center"/>
        <w:rPr>
          <w:rFonts w:hint="eastAsia" w:ascii="黑体" w:hAnsi="黑体" w:eastAsia="黑体" w:cs="黑体"/>
          <w:b/>
          <w:bCs/>
          <w:spacing w:val="-8"/>
          <w:sz w:val="32"/>
          <w:szCs w:val="32"/>
        </w:rPr>
      </w:pPr>
      <w:r>
        <w:rPr>
          <w:rFonts w:hint="eastAsia" w:ascii="黑体" w:hAnsi="黑体" w:eastAsia="黑体" w:cs="黑体"/>
          <w:b/>
          <w:bCs/>
          <w:spacing w:val="-8"/>
          <w:sz w:val="32"/>
          <w:szCs w:val="32"/>
        </w:rPr>
        <w:t>202</w:t>
      </w:r>
      <w:r>
        <w:rPr>
          <w:rFonts w:hint="eastAsia" w:ascii="黑体" w:hAnsi="黑体" w:eastAsia="黑体" w:cs="黑体"/>
          <w:b/>
          <w:bCs/>
          <w:spacing w:val="-8"/>
          <w:sz w:val="32"/>
          <w:szCs w:val="32"/>
          <w:lang w:val="en-US" w:eastAsia="zh-CN"/>
        </w:rPr>
        <w:t>2</w:t>
      </w:r>
      <w:r>
        <w:rPr>
          <w:rFonts w:hint="eastAsia" w:ascii="黑体" w:hAnsi="黑体" w:eastAsia="黑体" w:cs="黑体"/>
          <w:b/>
          <w:bCs/>
          <w:spacing w:val="-8"/>
          <w:sz w:val="32"/>
          <w:szCs w:val="32"/>
        </w:rPr>
        <w:t>年部门整体绩效评价报告</w:t>
      </w:r>
    </w:p>
    <w:p w14:paraId="66F5024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hint="eastAsia" w:ascii="黑体" w:hAnsi="宋体" w:eastAsia="黑体" w:cs="宋体"/>
          <w:kern w:val="0"/>
          <w:sz w:val="32"/>
          <w:szCs w:val="32"/>
          <w:shd w:val="clear" w:color="auto" w:fill="FFFFFF"/>
          <w:lang w:val="en-US" w:eastAsia="zh-CN"/>
        </w:rPr>
      </w:pPr>
    </w:p>
    <w:p w14:paraId="287182F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hint="default" w:ascii="黑体" w:hAnsi="黑体" w:eastAsia="黑体" w:cs="黑体"/>
          <w:b/>
          <w:bCs/>
          <w:sz w:val="32"/>
          <w:szCs w:val="32"/>
          <w:lang w:val="en-US" w:eastAsia="zh-CN"/>
        </w:rPr>
      </w:pPr>
      <w:r>
        <w:rPr>
          <w:rFonts w:hint="eastAsia" w:ascii="黑体" w:hAnsi="宋体" w:eastAsia="黑体" w:cs="宋体"/>
          <w:kern w:val="0"/>
          <w:sz w:val="32"/>
          <w:szCs w:val="32"/>
          <w:shd w:val="clear" w:color="auto" w:fill="FFFFFF"/>
          <w:lang w:val="en-US" w:eastAsia="zh-CN"/>
        </w:rPr>
        <w:t xml:space="preserve"> </w:t>
      </w:r>
      <w:bookmarkStart w:id="54" w:name="_Toc17389"/>
      <w:r>
        <w:rPr>
          <w:rFonts w:hint="eastAsia" w:ascii="黑体" w:hAnsi="黑体" w:eastAsia="黑体" w:cs="黑体"/>
          <w:b/>
          <w:bCs/>
          <w:spacing w:val="-8"/>
          <w:sz w:val="32"/>
          <w:szCs w:val="32"/>
        </w:rPr>
        <w:t>一、部门</w:t>
      </w:r>
      <w:bookmarkEnd w:id="54"/>
      <w:r>
        <w:rPr>
          <w:rFonts w:hint="eastAsia" w:ascii="黑体" w:hAnsi="黑体" w:eastAsia="黑体" w:cs="黑体"/>
          <w:b/>
          <w:bCs/>
          <w:spacing w:val="-8"/>
          <w:sz w:val="32"/>
          <w:szCs w:val="32"/>
          <w:lang w:eastAsia="zh-CN"/>
        </w:rPr>
        <w:t>基本情况</w:t>
      </w:r>
      <w:r>
        <w:rPr>
          <w:rFonts w:hint="eastAsia" w:ascii="黑体" w:hAnsi="黑体" w:eastAsia="黑体" w:cs="黑体"/>
          <w:b/>
          <w:bCs/>
          <w:spacing w:val="-8"/>
          <w:sz w:val="32"/>
          <w:szCs w:val="32"/>
          <w:lang w:val="en-US" w:eastAsia="zh-CN"/>
        </w:rPr>
        <w:t xml:space="preserve"> </w:t>
      </w:r>
    </w:p>
    <w:p w14:paraId="24074DA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z w:val="32"/>
          <w:szCs w:val="32"/>
        </w:rPr>
      </w:pPr>
      <w:bookmarkStart w:id="55" w:name="_Toc17126"/>
      <w:r>
        <w:rPr>
          <w:rFonts w:hint="eastAsia" w:ascii="仿宋_GB2312" w:hAnsi="仿宋_GB2312" w:eastAsia="仿宋_GB2312" w:cs="仿宋_GB2312"/>
          <w:b/>
          <w:bCs/>
          <w:sz w:val="32"/>
          <w:szCs w:val="32"/>
        </w:rPr>
        <w:t>(一)机构</w:t>
      </w:r>
      <w:r>
        <w:rPr>
          <w:rFonts w:hint="eastAsia" w:ascii="仿宋_GB2312" w:hAnsi="仿宋_GB2312" w:eastAsia="仿宋_GB2312" w:cs="仿宋_GB2312"/>
          <w:b/>
          <w:bCs/>
          <w:sz w:val="32"/>
          <w:szCs w:val="32"/>
          <w:lang w:eastAsia="zh-CN"/>
        </w:rPr>
        <w:t>设置</w:t>
      </w:r>
      <w:r>
        <w:rPr>
          <w:rFonts w:hint="eastAsia" w:ascii="仿宋_GB2312" w:hAnsi="仿宋_GB2312" w:eastAsia="仿宋_GB2312" w:cs="仿宋_GB2312"/>
          <w:b/>
          <w:bCs/>
          <w:sz w:val="32"/>
          <w:szCs w:val="32"/>
        </w:rPr>
        <w:t>。</w:t>
      </w:r>
      <w:bookmarkEnd w:id="55"/>
    </w:p>
    <w:p w14:paraId="74F6DA13">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rPr>
        <w:t>剑阁县人民政府办公室无下属二级单位，其中行政单位1个，参照公务员法管理的事业单位1个（副科级），其他事业单位1个。纳入202</w:t>
      </w:r>
      <w:r>
        <w:rPr>
          <w:rFonts w:hint="eastAsia" w:ascii="仿宋_GB2312" w:hAnsi="仿宋_GB2312" w:eastAsia="仿宋_GB2312" w:cs="仿宋_GB2312"/>
          <w:b w:val="0"/>
          <w:bCs w:val="0"/>
          <w:spacing w:val="-2"/>
          <w:sz w:val="32"/>
          <w:szCs w:val="32"/>
          <w:lang w:val="en-US" w:eastAsia="zh-CN"/>
        </w:rPr>
        <w:t>2</w:t>
      </w:r>
      <w:r>
        <w:rPr>
          <w:rFonts w:hint="eastAsia" w:ascii="仿宋_GB2312" w:hAnsi="仿宋_GB2312" w:eastAsia="仿宋_GB2312" w:cs="仿宋_GB2312"/>
          <w:b w:val="0"/>
          <w:bCs w:val="0"/>
          <w:spacing w:val="-2"/>
          <w:sz w:val="32"/>
          <w:szCs w:val="32"/>
        </w:rPr>
        <w:t>年度部门</w:t>
      </w:r>
      <w:r>
        <w:rPr>
          <w:rFonts w:hint="eastAsia" w:ascii="仿宋" w:hAnsi="仿宋" w:eastAsia="仿宋"/>
          <w:sz w:val="32"/>
          <w:szCs w:val="32"/>
        </w:rPr>
        <w:t>决算</w:t>
      </w:r>
      <w:r>
        <w:rPr>
          <w:rFonts w:hint="eastAsia" w:ascii="仿宋_GB2312" w:hAnsi="仿宋_GB2312" w:eastAsia="仿宋_GB2312" w:cs="仿宋_GB2312"/>
          <w:b w:val="0"/>
          <w:bCs w:val="0"/>
          <w:spacing w:val="-2"/>
          <w:sz w:val="32"/>
          <w:szCs w:val="32"/>
        </w:rPr>
        <w:t>编制范围的预算单位包括：</w:t>
      </w:r>
    </w:p>
    <w:p w14:paraId="5BF07B6C">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1、剑阁县人民政府办公室</w:t>
      </w:r>
    </w:p>
    <w:p w14:paraId="4B51ED06">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2、剑阁县民营经济服务中心</w:t>
      </w:r>
    </w:p>
    <w:p w14:paraId="42E79D76">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3、剑阁县政府信息中心</w:t>
      </w:r>
    </w:p>
    <w:p w14:paraId="0BCB6C1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z w:val="32"/>
          <w:szCs w:val="32"/>
        </w:rPr>
      </w:pPr>
      <w:bookmarkStart w:id="56" w:name="_Toc13021"/>
      <w:r>
        <w:rPr>
          <w:rFonts w:hint="eastAsia" w:ascii="仿宋_GB2312" w:hAnsi="仿宋_GB2312" w:eastAsia="仿宋_GB2312" w:cs="仿宋_GB2312"/>
          <w:b/>
          <w:bCs/>
          <w:sz w:val="32"/>
          <w:szCs w:val="32"/>
        </w:rPr>
        <w:t>(二)机构职能。</w:t>
      </w:r>
      <w:bookmarkEnd w:id="56"/>
    </w:p>
    <w:p w14:paraId="2D8304A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1.协助县政府领导组织起草或审核以县政府、县政府办公室名义发</w:t>
      </w:r>
      <w:r>
        <w:rPr>
          <w:rFonts w:hint="eastAsia" w:ascii="仿宋_GB2312" w:hAnsi="仿宋_GB2312" w:eastAsia="仿宋_GB2312" w:cs="仿宋_GB2312"/>
          <w:b w:val="0"/>
          <w:bCs w:val="0"/>
          <w:spacing w:val="-14"/>
          <w:sz w:val="32"/>
          <w:szCs w:val="32"/>
        </w:rPr>
        <w:t>布的公文。办理市政府、市政府办公室及市政府各部门发送到县政府的文电。指导全县行政机关公文处理工作。</w:t>
      </w:r>
    </w:p>
    <w:p w14:paraId="0387E1E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2.对各部门和乡镇人民政府请示县政府的事项，拟定处理意见，报</w:t>
      </w:r>
      <w:r>
        <w:rPr>
          <w:rFonts w:hint="eastAsia" w:ascii="仿宋_GB2312" w:hAnsi="仿宋_GB2312" w:eastAsia="仿宋_GB2312" w:cs="仿宋_GB2312"/>
          <w:b w:val="0"/>
          <w:bCs w:val="0"/>
          <w:spacing w:val="-14"/>
          <w:sz w:val="32"/>
          <w:szCs w:val="32"/>
        </w:rPr>
        <w:t>县政府领导审批。</w:t>
      </w:r>
    </w:p>
    <w:p w14:paraId="12A936A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3.负责县政府各类会议的会务工作，协助县政府领导组织实施会议</w:t>
      </w:r>
      <w:r>
        <w:rPr>
          <w:rFonts w:hint="eastAsia" w:ascii="仿宋_GB2312" w:hAnsi="仿宋_GB2312" w:eastAsia="仿宋_GB2312" w:cs="仿宋_GB2312"/>
          <w:b w:val="0"/>
          <w:bCs w:val="0"/>
          <w:spacing w:val="-12"/>
          <w:sz w:val="32"/>
          <w:szCs w:val="32"/>
        </w:rPr>
        <w:t>决定事项。</w:t>
      </w:r>
    </w:p>
    <w:p w14:paraId="172FDA5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8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4"/>
          <w:sz w:val="32"/>
          <w:szCs w:val="32"/>
        </w:rPr>
        <w:t>4.督促检查县政府部门和乡镇人民政府对县政府决定事项和县政府领导指示、批示事项的贯彻落实情况，及时向县政府领导报告。</w:t>
      </w:r>
    </w:p>
    <w:p w14:paraId="184BCE3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5.根据县政府领导的指示，对县政府部门间的争议问题提出处理意</w:t>
      </w:r>
      <w:r>
        <w:rPr>
          <w:rFonts w:hint="eastAsia" w:ascii="仿宋_GB2312" w:hAnsi="仿宋_GB2312" w:eastAsia="仿宋_GB2312" w:cs="仿宋_GB2312"/>
          <w:b w:val="0"/>
          <w:bCs w:val="0"/>
          <w:spacing w:val="-14"/>
          <w:sz w:val="32"/>
          <w:szCs w:val="32"/>
        </w:rPr>
        <w:t>见和建议，报县政府领导决定。</w:t>
      </w:r>
    </w:p>
    <w:p w14:paraId="25ED0F6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6.负责县政府值班工作，指导县政府部门和乡镇人民政府的值班工</w:t>
      </w:r>
      <w:r>
        <w:rPr>
          <w:rFonts w:hint="eastAsia" w:ascii="仿宋_GB2312" w:hAnsi="仿宋_GB2312" w:eastAsia="仿宋_GB2312" w:cs="仿宋_GB2312"/>
          <w:b w:val="0"/>
          <w:bCs w:val="0"/>
          <w:spacing w:val="-14"/>
          <w:sz w:val="32"/>
          <w:szCs w:val="32"/>
        </w:rPr>
        <w:t>作，及时报告重要情况。</w:t>
      </w:r>
    </w:p>
    <w:p w14:paraId="6E76FE8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7.指导、监督全县政府信息公开、电子政务及政府网站建设和管理</w:t>
      </w:r>
      <w:r>
        <w:rPr>
          <w:rFonts w:hint="eastAsia" w:ascii="仿宋_GB2312" w:hAnsi="仿宋_GB2312" w:eastAsia="仿宋_GB2312" w:cs="仿宋_GB2312"/>
          <w:b w:val="0"/>
          <w:bCs w:val="0"/>
          <w:spacing w:val="-10"/>
          <w:sz w:val="32"/>
          <w:szCs w:val="32"/>
        </w:rPr>
        <w:t>工作。</w:t>
      </w:r>
    </w:p>
    <w:p w14:paraId="5143926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8.组织办理涉及县政府工作的人大代表议案、批评、建议和政协委</w:t>
      </w:r>
      <w:r>
        <w:rPr>
          <w:rFonts w:hint="eastAsia" w:ascii="仿宋_GB2312" w:hAnsi="仿宋_GB2312" w:eastAsia="仿宋_GB2312" w:cs="仿宋_GB2312"/>
          <w:b w:val="0"/>
          <w:bCs w:val="0"/>
          <w:spacing w:val="-15"/>
          <w:sz w:val="32"/>
          <w:szCs w:val="32"/>
        </w:rPr>
        <w:t>员提案、建议案工作。</w:t>
      </w:r>
    </w:p>
    <w:p w14:paraId="71466B7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9.围绕县政府中心工作、重点工作和根据县政府领导同志的指示、批示，组织专题调查研究，及时反映情况，提出建设性意见。</w:t>
      </w:r>
    </w:p>
    <w:p w14:paraId="564BD8F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1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10.承担非经营性资产新建、调配审批、公务车辆编制审批、公共</w:t>
      </w:r>
      <w:r>
        <w:rPr>
          <w:rFonts w:hint="eastAsia" w:ascii="仿宋_GB2312" w:hAnsi="仿宋_GB2312" w:eastAsia="仿宋_GB2312" w:cs="仿宋_GB2312"/>
          <w:b w:val="0"/>
          <w:bCs w:val="0"/>
          <w:spacing w:val="-4"/>
          <w:sz w:val="32"/>
          <w:szCs w:val="32"/>
        </w:rPr>
        <w:t>机构节约能源资源管理。</w:t>
      </w:r>
    </w:p>
    <w:p w14:paraId="6DF68D5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11.指导、协调、推进、监督全县优化营商环境、政务服务管理</w:t>
      </w:r>
      <w:r>
        <w:rPr>
          <w:rFonts w:hint="eastAsia" w:ascii="仿宋_GB2312" w:hAnsi="仿宋_GB2312" w:eastAsia="仿宋_GB2312" w:cs="仿宋_GB2312"/>
          <w:b w:val="0"/>
          <w:bCs w:val="0"/>
          <w:spacing w:val="-5"/>
          <w:sz w:val="32"/>
          <w:szCs w:val="32"/>
        </w:rPr>
        <w:t>、深化行政审批制度改革等工作。</w:t>
      </w:r>
    </w:p>
    <w:p w14:paraId="40F907F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12.负责县政府总值班室工作，指导全县值班管理</w:t>
      </w:r>
      <w:r>
        <w:rPr>
          <w:rFonts w:hint="eastAsia" w:ascii="仿宋_GB2312" w:hAnsi="仿宋_GB2312" w:eastAsia="仿宋_GB2312" w:cs="仿宋_GB2312"/>
          <w:b w:val="0"/>
          <w:bCs w:val="0"/>
          <w:spacing w:val="-5"/>
          <w:sz w:val="32"/>
          <w:szCs w:val="32"/>
        </w:rPr>
        <w:t>，协助县政府领</w:t>
      </w:r>
      <w:r>
        <w:rPr>
          <w:rFonts w:hint="eastAsia" w:ascii="仿宋_GB2312" w:hAnsi="仿宋_GB2312" w:eastAsia="仿宋_GB2312" w:cs="仿宋_GB2312"/>
          <w:b w:val="0"/>
          <w:bCs w:val="0"/>
          <w:spacing w:val="-6"/>
          <w:sz w:val="32"/>
          <w:szCs w:val="32"/>
        </w:rPr>
        <w:t>导做好突发事件的应急处置工作。</w:t>
      </w:r>
    </w:p>
    <w:p w14:paraId="1D0A02E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08"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13.管理县政府办直属单位。</w:t>
      </w:r>
    </w:p>
    <w:p w14:paraId="1D8ADF48">
      <w:pPr>
        <w:widowControl/>
        <w:numPr>
          <w:ilvl w:val="0"/>
          <w:numId w:val="0"/>
        </w:numPr>
        <w:adjustRightInd w:val="0"/>
        <w:snapToGrid w:val="0"/>
        <w:spacing w:line="560" w:lineRule="exact"/>
        <w:contextualSpacing/>
        <w:jc w:val="left"/>
        <w:rPr>
          <w:rFonts w:hint="default" w:ascii="黑体" w:hAnsi="宋体" w:eastAsia="黑体" w:cs="宋体"/>
          <w:kern w:val="0"/>
          <w:sz w:val="32"/>
          <w:szCs w:val="32"/>
          <w:shd w:val="clear" w:color="auto" w:fill="FFFFFF"/>
          <w:lang w:val="en-US" w:eastAsia="zh-CN"/>
        </w:rPr>
      </w:pPr>
      <w:r>
        <w:rPr>
          <w:rFonts w:hint="eastAsia" w:ascii="仿宋_GB2312" w:hAnsi="仿宋_GB2312" w:eastAsia="仿宋_GB2312" w:cs="仿宋_GB2312"/>
          <w:b w:val="0"/>
          <w:bCs w:val="0"/>
          <w:spacing w:val="-7"/>
          <w:sz w:val="32"/>
          <w:szCs w:val="32"/>
        </w:rPr>
        <w:t>14.办理县政府和县政府领导交办的其他事项。</w:t>
      </w:r>
    </w:p>
    <w:p w14:paraId="4525363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75" w:firstLineChars="200"/>
        <w:jc w:val="both"/>
        <w:textAlignment w:val="baseline"/>
        <w:outlineLvl w:val="2"/>
        <w:rPr>
          <w:rFonts w:hint="eastAsia" w:ascii="仿宋_GB2312" w:hAnsi="仿宋_GB2312" w:eastAsia="仿宋_GB2312" w:cs="仿宋_GB2312"/>
          <w:b/>
          <w:bCs/>
          <w:sz w:val="32"/>
          <w:szCs w:val="32"/>
        </w:rPr>
      </w:pPr>
      <w:bookmarkStart w:id="57" w:name="_Toc9286"/>
      <w:r>
        <w:rPr>
          <w:rFonts w:hint="eastAsia" w:ascii="仿宋_GB2312" w:hAnsi="仿宋_GB2312" w:eastAsia="仿宋_GB2312" w:cs="仿宋_GB2312"/>
          <w:b/>
          <w:bCs/>
          <w:spacing w:val="8"/>
          <w:sz w:val="32"/>
          <w:szCs w:val="32"/>
        </w:rPr>
        <w:t>(三)人员概况。</w:t>
      </w:r>
      <w:bookmarkEnd w:id="57"/>
    </w:p>
    <w:p w14:paraId="1372575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县政府办共有编制人数</w:t>
      </w:r>
      <w:r>
        <w:rPr>
          <w:rFonts w:hint="eastAsia" w:ascii="仿宋_GB2312" w:hAnsi="仿宋_GB2312" w:eastAsia="仿宋_GB2312" w:cs="仿宋_GB2312"/>
          <w:b w:val="0"/>
          <w:bCs w:val="0"/>
          <w:spacing w:val="8"/>
          <w:sz w:val="32"/>
          <w:szCs w:val="32"/>
          <w:lang w:val="en-US" w:eastAsia="zh-CN"/>
        </w:rPr>
        <w:t>58</w:t>
      </w:r>
      <w:r>
        <w:rPr>
          <w:rFonts w:hint="eastAsia" w:ascii="仿宋_GB2312" w:hAnsi="仿宋_GB2312" w:eastAsia="仿宋_GB2312" w:cs="仿宋_GB2312"/>
          <w:b w:val="0"/>
          <w:bCs w:val="0"/>
          <w:spacing w:val="8"/>
          <w:sz w:val="32"/>
          <w:szCs w:val="32"/>
        </w:rPr>
        <w:t>人，</w:t>
      </w:r>
      <w:r>
        <w:rPr>
          <w:rFonts w:hint="eastAsia" w:ascii="仿宋_GB2312" w:hAnsi="仿宋_GB2312" w:eastAsia="仿宋_GB2312" w:cs="仿宋_GB2312"/>
          <w:b w:val="0"/>
          <w:bCs w:val="0"/>
          <w:spacing w:val="8"/>
          <w:sz w:val="32"/>
          <w:szCs w:val="32"/>
          <w:lang w:eastAsia="zh-CN"/>
        </w:rPr>
        <w:t>其中：市管干部</w:t>
      </w:r>
      <w:r>
        <w:rPr>
          <w:rFonts w:hint="eastAsia" w:ascii="仿宋_GB2312" w:hAnsi="仿宋_GB2312" w:eastAsia="仿宋_GB2312" w:cs="仿宋_GB2312"/>
          <w:b w:val="0"/>
          <w:bCs w:val="0"/>
          <w:spacing w:val="8"/>
          <w:sz w:val="32"/>
          <w:szCs w:val="32"/>
          <w:lang w:val="en-US" w:eastAsia="zh-CN"/>
        </w:rPr>
        <w:t>8人，公务员编制18人，参公人员9人，工勤人员3人，事业人员20人。</w:t>
      </w:r>
      <w:r>
        <w:rPr>
          <w:rFonts w:hint="eastAsia" w:ascii="仿宋_GB2312" w:hAnsi="仿宋_GB2312" w:eastAsia="仿宋_GB2312" w:cs="仿宋_GB2312"/>
          <w:b w:val="0"/>
          <w:bCs w:val="0"/>
          <w:spacing w:val="8"/>
          <w:sz w:val="32"/>
          <w:szCs w:val="32"/>
        </w:rPr>
        <w:t>截至202</w:t>
      </w:r>
      <w:r>
        <w:rPr>
          <w:rFonts w:hint="eastAsia" w:ascii="仿宋_GB2312" w:hAnsi="仿宋_GB2312" w:eastAsia="仿宋_GB2312" w:cs="仿宋_GB2312"/>
          <w:b w:val="0"/>
          <w:bCs w:val="0"/>
          <w:spacing w:val="8"/>
          <w:sz w:val="32"/>
          <w:szCs w:val="32"/>
          <w:lang w:val="en-US" w:eastAsia="zh-CN"/>
        </w:rPr>
        <w:t>2</w:t>
      </w:r>
      <w:r>
        <w:rPr>
          <w:rFonts w:hint="eastAsia" w:ascii="仿宋_GB2312" w:hAnsi="仿宋_GB2312" w:eastAsia="仿宋_GB2312" w:cs="仿宋_GB2312"/>
          <w:b w:val="0"/>
          <w:bCs w:val="0"/>
          <w:spacing w:val="8"/>
          <w:sz w:val="32"/>
          <w:szCs w:val="32"/>
        </w:rPr>
        <w:t>年</w:t>
      </w:r>
      <w:r>
        <w:rPr>
          <w:rFonts w:hint="eastAsia" w:ascii="仿宋_GB2312" w:hAnsi="仿宋_GB2312" w:eastAsia="仿宋_GB2312" w:cs="仿宋_GB2312"/>
          <w:b w:val="0"/>
          <w:bCs w:val="0"/>
          <w:spacing w:val="7"/>
          <w:sz w:val="32"/>
          <w:szCs w:val="32"/>
        </w:rPr>
        <w:t>12月31日实有人数</w:t>
      </w:r>
      <w:r>
        <w:rPr>
          <w:rFonts w:hint="eastAsia" w:ascii="仿宋_GB2312" w:hAnsi="仿宋_GB2312" w:eastAsia="仿宋_GB2312" w:cs="仿宋_GB2312"/>
          <w:b w:val="0"/>
          <w:bCs w:val="0"/>
          <w:spacing w:val="6"/>
          <w:sz w:val="32"/>
          <w:szCs w:val="32"/>
          <w:lang w:val="en-US" w:eastAsia="zh-CN"/>
        </w:rPr>
        <w:t>43</w:t>
      </w:r>
      <w:r>
        <w:rPr>
          <w:rFonts w:hint="eastAsia" w:ascii="仿宋_GB2312" w:hAnsi="仿宋_GB2312" w:eastAsia="仿宋_GB2312" w:cs="仿宋_GB2312"/>
          <w:b w:val="0"/>
          <w:bCs w:val="0"/>
          <w:spacing w:val="6"/>
          <w:sz w:val="32"/>
          <w:szCs w:val="32"/>
        </w:rPr>
        <w:t>人。</w:t>
      </w:r>
    </w:p>
    <w:p w14:paraId="33465929">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p>
    <w:p w14:paraId="27EF08B6">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560" w:lineRule="exact"/>
        <w:ind w:left="0" w:leftChars="0" w:right="0" w:firstLine="675" w:firstLineChars="200"/>
        <w:jc w:val="both"/>
        <w:textAlignment w:val="baseline"/>
        <w:outlineLvl w:val="2"/>
        <w:rPr>
          <w:rFonts w:hint="eastAsia" w:ascii="仿宋_GB2312" w:hAnsi="仿宋_GB2312" w:eastAsia="仿宋_GB2312" w:cs="仿宋_GB2312"/>
          <w:b/>
          <w:bCs/>
          <w:spacing w:val="8"/>
          <w:sz w:val="32"/>
          <w:szCs w:val="32"/>
          <w:lang w:val="zh-CN"/>
        </w:rPr>
      </w:pPr>
      <w:r>
        <w:rPr>
          <w:rFonts w:hint="eastAsia" w:ascii="仿宋_GB2312" w:hAnsi="仿宋_GB2312" w:eastAsia="仿宋_GB2312" w:cs="仿宋_GB2312"/>
          <w:b/>
          <w:bCs/>
          <w:spacing w:val="8"/>
          <w:sz w:val="32"/>
          <w:szCs w:val="32"/>
          <w:lang w:val="zh-CN"/>
        </w:rPr>
        <w:t>部门整体支出绩效目标。</w:t>
      </w:r>
    </w:p>
    <w:p w14:paraId="497F81B7">
      <w:pPr>
        <w:pStyle w:val="5"/>
        <w:numPr>
          <w:ilvl w:val="0"/>
          <w:numId w:val="0"/>
        </w:numPr>
        <w:rPr>
          <w:rFonts w:hint="default" w:eastAsia="仿宋_GB2312"/>
          <w:lang w:val="en-US" w:eastAsia="zh-CN"/>
        </w:rPr>
      </w:pPr>
      <w:r>
        <w:rPr>
          <w:rFonts w:hint="eastAsia"/>
          <w:lang w:val="en-US" w:eastAsia="zh-CN"/>
        </w:rPr>
        <w:t xml:space="preserve">     </w:t>
      </w:r>
      <w:r>
        <w:rPr>
          <w:rFonts w:hint="eastAsia" w:ascii="仿宋_GB2312" w:hAnsi="仿宋_GB2312" w:eastAsia="仿宋_GB2312" w:cs="仿宋_GB2312"/>
          <w:spacing w:val="0"/>
          <w:sz w:val="32"/>
          <w:szCs w:val="32"/>
        </w:rPr>
        <w:t>2022年，在</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的指导下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我单位以实现绩效目标为导向，以财政支出绩效评价为手段，以评价结果应用为保障，提高财政资金使用效益，扎实有效推进了我办预算绩效管理工作，预算绩效管理工作取得了一定的成效。</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b/>
          <w:bCs/>
          <w:spacing w:val="0"/>
          <w:sz w:val="32"/>
          <w:szCs w:val="32"/>
        </w:rPr>
        <w:t>预算控制制度。</w:t>
      </w:r>
      <w:r>
        <w:rPr>
          <w:rFonts w:hint="eastAsia" w:ascii="仿宋_GB2312" w:hAnsi="仿宋_GB2312" w:eastAsia="仿宋_GB2312" w:cs="仿宋_GB2312"/>
          <w:spacing w:val="0"/>
          <w:sz w:val="32"/>
          <w:szCs w:val="32"/>
        </w:rPr>
        <w:t>提高预算控制管理水平，一</w:t>
      </w:r>
      <w:r>
        <w:rPr>
          <w:rFonts w:hint="eastAsia" w:ascii="仿宋_GB2312" w:hAnsi="仿宋_GB2312" w:eastAsia="仿宋_GB2312" w:cs="仿宋_GB2312"/>
          <w:spacing w:val="0"/>
          <w:sz w:val="32"/>
          <w:szCs w:val="32"/>
          <w:lang w:eastAsia="zh-CN"/>
        </w:rPr>
        <w:t>是</w:t>
      </w:r>
      <w:r>
        <w:rPr>
          <w:rFonts w:hint="eastAsia" w:ascii="仿宋_GB2312" w:hAnsi="仿宋_GB2312" w:eastAsia="仿宋_GB2312" w:cs="仿宋_GB2312"/>
          <w:spacing w:val="0"/>
          <w:sz w:val="32"/>
          <w:szCs w:val="32"/>
        </w:rPr>
        <w:t>完善部门预算的调整制度，从调整时间、方法、程序等作相应的规定，建立预算的跟踪、分析和评价制度；二</w:t>
      </w:r>
      <w:r>
        <w:rPr>
          <w:rFonts w:hint="eastAsia" w:ascii="仿宋_GB2312" w:hAnsi="仿宋_GB2312" w:eastAsia="仿宋_GB2312" w:cs="仿宋_GB2312"/>
          <w:spacing w:val="0"/>
          <w:sz w:val="32"/>
          <w:szCs w:val="32"/>
          <w:lang w:eastAsia="zh-CN"/>
        </w:rPr>
        <w:t>是</w:t>
      </w:r>
      <w:r>
        <w:rPr>
          <w:rFonts w:hint="eastAsia" w:ascii="仿宋_GB2312" w:hAnsi="仿宋_GB2312" w:eastAsia="仿宋_GB2312" w:cs="仿宋_GB2312"/>
          <w:spacing w:val="0"/>
          <w:sz w:val="32"/>
          <w:szCs w:val="32"/>
        </w:rPr>
        <w:t>完善预算控制制度，确保资金的正确使用，提高资金的使用效益；三要建立预算执行情况预警机制，科学选择预警指标，合理确定预警范围，及时发出预警信号，积极采取应对措施。</w:t>
      </w:r>
      <w:r>
        <w:rPr>
          <w:rFonts w:hint="eastAsia" w:ascii="仿宋_GB2312" w:hAnsi="仿宋_GB2312" w:eastAsia="仿宋_GB2312" w:cs="仿宋_GB2312"/>
          <w:b/>
          <w:bCs/>
          <w:spacing w:val="0"/>
          <w:sz w:val="32"/>
          <w:szCs w:val="32"/>
          <w:lang w:eastAsia="zh-CN"/>
        </w:rPr>
        <w:t>二</w:t>
      </w:r>
      <w:r>
        <w:rPr>
          <w:rFonts w:hint="eastAsia" w:ascii="仿宋_GB2312" w:hAnsi="仿宋_GB2312" w:eastAsia="仿宋_GB2312" w:cs="仿宋_GB2312"/>
          <w:b/>
          <w:bCs/>
          <w:spacing w:val="0"/>
          <w:sz w:val="32"/>
          <w:szCs w:val="32"/>
        </w:rPr>
        <w:t>是建立和实施绩效考评制度。</w:t>
      </w:r>
      <w:r>
        <w:rPr>
          <w:rFonts w:hint="eastAsia" w:ascii="仿宋_GB2312" w:hAnsi="仿宋_GB2312" w:eastAsia="仿宋_GB2312" w:cs="仿宋_GB2312"/>
          <w:spacing w:val="0"/>
          <w:sz w:val="32"/>
          <w:szCs w:val="32"/>
        </w:rPr>
        <w:t>要科学设置考核指标体系，对单位内部各个责任部门和干部职工的业绩进行定期考核和客观评价，来实现对其在工作过程中行为的约束和引导。对于严格执行内部会计控制制度的，给予精神或者物质奖励;对于违规违章的，坚决给予行政处分和经济处罚。做到压力与动力相结合，最终达到内部控制的目的，使制度真正落到实处。</w:t>
      </w:r>
    </w:p>
    <w:p w14:paraId="31B55B8D">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14:paraId="1B66D095">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52" w:firstLineChars="200"/>
        <w:jc w:val="both"/>
        <w:textAlignment w:val="baseline"/>
        <w:outlineLvl w:val="2"/>
        <w:rPr>
          <w:rFonts w:hint="eastAsia" w:ascii="仿宋_GB2312" w:hAnsi="仿宋_GB2312" w:eastAsia="仿宋_GB2312" w:cs="仿宋_GB2312"/>
          <w:b w:val="0"/>
          <w:bCs w:val="0"/>
          <w:sz w:val="32"/>
          <w:szCs w:val="32"/>
        </w:rPr>
      </w:pPr>
      <w:bookmarkStart w:id="58" w:name="_Toc7860"/>
      <w:r>
        <w:rPr>
          <w:rFonts w:hint="eastAsia" w:ascii="仿宋_GB2312" w:hAnsi="仿宋_GB2312" w:eastAsia="仿宋_GB2312" w:cs="仿宋_GB2312"/>
          <w:b w:val="0"/>
          <w:bCs w:val="0"/>
          <w:spacing w:val="3"/>
          <w:sz w:val="32"/>
          <w:szCs w:val="32"/>
        </w:rPr>
        <w:t>(一)</w:t>
      </w:r>
      <w:r>
        <w:rPr>
          <w:rFonts w:hint="eastAsia" w:ascii="仿宋_GB2312" w:hAnsi="仿宋_GB2312" w:eastAsia="仿宋_GB2312" w:cs="仿宋_GB2312"/>
          <w:kern w:val="0"/>
          <w:sz w:val="32"/>
          <w:szCs w:val="32"/>
          <w:shd w:val="clear" w:color="auto" w:fill="FFFFFF"/>
        </w:rPr>
        <w:t>部门总体收入情况</w:t>
      </w:r>
      <w:r>
        <w:rPr>
          <w:rFonts w:hint="eastAsia" w:ascii="仿宋_GB2312" w:hAnsi="仿宋_GB2312" w:eastAsia="仿宋_GB2312" w:cs="仿宋_GB2312"/>
          <w:b w:val="0"/>
          <w:bCs w:val="0"/>
          <w:spacing w:val="3"/>
          <w:sz w:val="32"/>
          <w:szCs w:val="32"/>
        </w:rPr>
        <w:t>。</w:t>
      </w:r>
      <w:bookmarkEnd w:id="58"/>
    </w:p>
    <w:p w14:paraId="18D47CD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202</w:t>
      </w:r>
      <w:r>
        <w:rPr>
          <w:rFonts w:hint="eastAsia" w:ascii="仿宋_GB2312" w:hAnsi="仿宋_GB2312" w:eastAsia="仿宋_GB2312" w:cs="仿宋_GB2312"/>
          <w:b w:val="0"/>
          <w:bCs w:val="0"/>
          <w:spacing w:val="-5"/>
          <w:sz w:val="32"/>
          <w:szCs w:val="32"/>
          <w:lang w:val="en-US" w:eastAsia="zh-CN"/>
        </w:rPr>
        <w:t>2</w:t>
      </w:r>
      <w:r>
        <w:rPr>
          <w:rFonts w:hint="eastAsia" w:ascii="仿宋_GB2312" w:hAnsi="仿宋_GB2312" w:eastAsia="仿宋_GB2312" w:cs="仿宋_GB2312"/>
          <w:b w:val="0"/>
          <w:bCs w:val="0"/>
          <w:spacing w:val="-5"/>
          <w:sz w:val="32"/>
          <w:szCs w:val="32"/>
        </w:rPr>
        <w:t>年县政府办本年收入合计</w:t>
      </w:r>
      <w:r>
        <w:rPr>
          <w:rFonts w:hint="eastAsia" w:ascii="仿宋_GB2312" w:hAnsi="仿宋_GB2312" w:eastAsia="仿宋_GB2312" w:cs="仿宋_GB2312"/>
          <w:b w:val="0"/>
          <w:bCs w:val="0"/>
          <w:spacing w:val="-5"/>
          <w:sz w:val="32"/>
          <w:szCs w:val="32"/>
          <w:lang w:val="en-US" w:eastAsia="zh-CN"/>
        </w:rPr>
        <w:t>651.04</w:t>
      </w:r>
      <w:r>
        <w:rPr>
          <w:rFonts w:hint="eastAsia" w:ascii="仿宋_GB2312" w:hAnsi="仿宋_GB2312" w:eastAsia="仿宋_GB2312" w:cs="仿宋_GB2312"/>
          <w:b w:val="0"/>
          <w:bCs w:val="0"/>
          <w:spacing w:val="-5"/>
          <w:sz w:val="32"/>
          <w:szCs w:val="32"/>
        </w:rPr>
        <w:t>万元，其中：一般公共预算</w:t>
      </w:r>
      <w:r>
        <w:rPr>
          <w:rFonts w:hint="eastAsia" w:ascii="仿宋_GB2312" w:hAnsi="仿宋_GB2312" w:eastAsia="仿宋_GB2312" w:cs="仿宋_GB2312"/>
          <w:b w:val="0"/>
          <w:bCs w:val="0"/>
          <w:spacing w:val="6"/>
          <w:sz w:val="32"/>
          <w:szCs w:val="32"/>
        </w:rPr>
        <w:t>财政拨款收入</w:t>
      </w:r>
      <w:r>
        <w:rPr>
          <w:rFonts w:hint="eastAsia" w:ascii="仿宋_GB2312" w:hAnsi="仿宋_GB2312" w:eastAsia="仿宋_GB2312" w:cs="仿宋_GB2312"/>
          <w:b w:val="0"/>
          <w:bCs w:val="0"/>
          <w:spacing w:val="6"/>
          <w:sz w:val="32"/>
          <w:szCs w:val="32"/>
          <w:lang w:val="en-US" w:eastAsia="zh-CN"/>
        </w:rPr>
        <w:t>651.04</w:t>
      </w:r>
      <w:r>
        <w:rPr>
          <w:rFonts w:hint="eastAsia" w:ascii="仿宋_GB2312" w:hAnsi="仿宋_GB2312" w:eastAsia="仿宋_GB2312" w:cs="仿宋_GB2312"/>
          <w:b w:val="0"/>
          <w:bCs w:val="0"/>
          <w:spacing w:val="6"/>
          <w:sz w:val="32"/>
          <w:szCs w:val="32"/>
        </w:rPr>
        <w:t>万元，占100%;无其他收</w:t>
      </w:r>
      <w:r>
        <w:rPr>
          <w:rFonts w:hint="eastAsia" w:ascii="仿宋_GB2312" w:hAnsi="仿宋_GB2312" w:eastAsia="仿宋_GB2312" w:cs="仿宋_GB2312"/>
          <w:b w:val="0"/>
          <w:bCs w:val="0"/>
          <w:spacing w:val="5"/>
          <w:sz w:val="32"/>
          <w:szCs w:val="32"/>
        </w:rPr>
        <w:t>入。</w:t>
      </w:r>
    </w:p>
    <w:p w14:paraId="44A0EFA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52" w:firstLineChars="200"/>
        <w:jc w:val="both"/>
        <w:textAlignment w:val="baseline"/>
        <w:outlineLvl w:val="2"/>
        <w:rPr>
          <w:rFonts w:hint="eastAsia" w:ascii="仿宋_GB2312" w:hAnsi="仿宋_GB2312" w:eastAsia="仿宋_GB2312" w:cs="仿宋_GB2312"/>
          <w:b w:val="0"/>
          <w:bCs w:val="0"/>
          <w:sz w:val="32"/>
          <w:szCs w:val="32"/>
        </w:rPr>
      </w:pPr>
      <w:bookmarkStart w:id="59" w:name="_Toc31133"/>
      <w:r>
        <w:rPr>
          <w:rFonts w:hint="eastAsia" w:ascii="仿宋_GB2312" w:hAnsi="仿宋_GB2312" w:eastAsia="仿宋_GB2312" w:cs="仿宋_GB2312"/>
          <w:b w:val="0"/>
          <w:bCs w:val="0"/>
          <w:spacing w:val="3"/>
          <w:sz w:val="32"/>
          <w:szCs w:val="32"/>
        </w:rPr>
        <w:t>(二)</w:t>
      </w:r>
      <w:r>
        <w:rPr>
          <w:rFonts w:hint="eastAsia" w:ascii="仿宋_GB2312" w:hAnsi="仿宋_GB2312" w:eastAsia="仿宋_GB2312" w:cs="仿宋_GB2312"/>
          <w:kern w:val="0"/>
          <w:sz w:val="32"/>
          <w:szCs w:val="32"/>
          <w:shd w:val="clear" w:color="auto" w:fill="FFFFFF"/>
        </w:rPr>
        <w:t>部门总体支出情况</w:t>
      </w:r>
      <w:r>
        <w:rPr>
          <w:rFonts w:hint="eastAsia" w:ascii="仿宋_GB2312" w:hAnsi="仿宋_GB2312" w:eastAsia="仿宋_GB2312" w:cs="仿宋_GB2312"/>
          <w:b w:val="0"/>
          <w:bCs w:val="0"/>
          <w:spacing w:val="3"/>
          <w:sz w:val="32"/>
          <w:szCs w:val="32"/>
        </w:rPr>
        <w:t>。</w:t>
      </w:r>
      <w:bookmarkEnd w:id="59"/>
    </w:p>
    <w:p w14:paraId="1D5BBF5A">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2"/>
          <w:sz w:val="32"/>
          <w:szCs w:val="32"/>
        </w:rPr>
        <w:t>202</w:t>
      </w:r>
      <w:r>
        <w:rPr>
          <w:rFonts w:hint="eastAsia" w:ascii="仿宋_GB2312" w:hAnsi="仿宋_GB2312" w:eastAsia="仿宋_GB2312" w:cs="仿宋_GB2312"/>
          <w:b w:val="0"/>
          <w:bCs w:val="0"/>
          <w:spacing w:val="-2"/>
          <w:sz w:val="32"/>
          <w:szCs w:val="32"/>
          <w:lang w:val="en-US" w:eastAsia="zh-CN"/>
        </w:rPr>
        <w:t>2</w:t>
      </w:r>
      <w:r>
        <w:rPr>
          <w:rFonts w:hint="eastAsia" w:ascii="仿宋_GB2312" w:hAnsi="仿宋_GB2312" w:eastAsia="仿宋_GB2312" w:cs="仿宋_GB2312"/>
          <w:b w:val="0"/>
          <w:bCs w:val="0"/>
          <w:spacing w:val="-2"/>
          <w:sz w:val="32"/>
          <w:szCs w:val="32"/>
        </w:rPr>
        <w:t>年县政府办本年支出合计</w:t>
      </w:r>
      <w:r>
        <w:rPr>
          <w:rFonts w:hint="eastAsia" w:ascii="仿宋_GB2312" w:hAnsi="仿宋_GB2312" w:eastAsia="仿宋_GB2312" w:cs="仿宋_GB2312"/>
          <w:b w:val="0"/>
          <w:bCs w:val="0"/>
          <w:spacing w:val="-2"/>
          <w:sz w:val="32"/>
          <w:szCs w:val="32"/>
          <w:lang w:val="en-US" w:eastAsia="zh-CN"/>
        </w:rPr>
        <w:t>651.04</w:t>
      </w:r>
      <w:r>
        <w:rPr>
          <w:rFonts w:hint="eastAsia" w:ascii="仿宋_GB2312" w:hAnsi="仿宋_GB2312" w:eastAsia="仿宋_GB2312" w:cs="仿宋_GB2312"/>
          <w:b w:val="0"/>
          <w:bCs w:val="0"/>
          <w:spacing w:val="-2"/>
          <w:sz w:val="32"/>
          <w:szCs w:val="32"/>
        </w:rPr>
        <w:t>万元，其中：基本支出</w:t>
      </w:r>
      <w:r>
        <w:rPr>
          <w:rFonts w:hint="eastAsia" w:ascii="仿宋_GB2312" w:hAnsi="仿宋_GB2312" w:eastAsia="仿宋_GB2312" w:cs="仿宋_GB2312"/>
          <w:b w:val="0"/>
          <w:bCs w:val="0"/>
          <w:spacing w:val="-2"/>
          <w:sz w:val="32"/>
          <w:szCs w:val="32"/>
          <w:lang w:val="en-US" w:eastAsia="zh-CN"/>
        </w:rPr>
        <w:t>631.04</w:t>
      </w:r>
      <w:r>
        <w:rPr>
          <w:rFonts w:hint="eastAsia" w:ascii="仿宋_GB2312" w:hAnsi="仿宋_GB2312" w:eastAsia="仿宋_GB2312" w:cs="仿宋_GB2312"/>
          <w:b w:val="0"/>
          <w:bCs w:val="0"/>
          <w:spacing w:val="6"/>
          <w:sz w:val="32"/>
          <w:szCs w:val="32"/>
        </w:rPr>
        <w:t>万元，占</w:t>
      </w:r>
      <w:r>
        <w:rPr>
          <w:rFonts w:hint="eastAsia" w:ascii="仿宋_GB2312" w:hAnsi="仿宋_GB2312" w:eastAsia="仿宋_GB2312" w:cs="仿宋_GB2312"/>
          <w:b w:val="0"/>
          <w:bCs w:val="0"/>
          <w:spacing w:val="6"/>
          <w:sz w:val="32"/>
          <w:szCs w:val="32"/>
          <w:lang w:val="en-US" w:eastAsia="zh-CN"/>
        </w:rPr>
        <w:t>96.93</w:t>
      </w:r>
      <w:r>
        <w:rPr>
          <w:rFonts w:hint="eastAsia" w:ascii="仿宋_GB2312" w:hAnsi="仿宋_GB2312" w:eastAsia="仿宋_GB2312" w:cs="仿宋_GB2312"/>
          <w:b w:val="0"/>
          <w:bCs w:val="0"/>
          <w:spacing w:val="6"/>
          <w:sz w:val="32"/>
          <w:szCs w:val="32"/>
        </w:rPr>
        <w:t>%;项目支出</w:t>
      </w:r>
      <w:r>
        <w:rPr>
          <w:rFonts w:hint="eastAsia" w:ascii="仿宋_GB2312" w:hAnsi="仿宋_GB2312" w:eastAsia="仿宋_GB2312" w:cs="仿宋_GB2312"/>
          <w:b w:val="0"/>
          <w:bCs w:val="0"/>
          <w:spacing w:val="6"/>
          <w:sz w:val="32"/>
          <w:szCs w:val="32"/>
          <w:lang w:val="en-US" w:eastAsia="zh-CN"/>
        </w:rPr>
        <w:t>20</w:t>
      </w:r>
      <w:r>
        <w:rPr>
          <w:rFonts w:hint="eastAsia" w:ascii="仿宋_GB2312" w:hAnsi="仿宋_GB2312" w:eastAsia="仿宋_GB2312" w:cs="仿宋_GB2312"/>
          <w:b w:val="0"/>
          <w:bCs w:val="0"/>
          <w:spacing w:val="6"/>
          <w:sz w:val="32"/>
          <w:szCs w:val="32"/>
        </w:rPr>
        <w:t>万元，占</w:t>
      </w:r>
      <w:r>
        <w:rPr>
          <w:rFonts w:hint="eastAsia" w:ascii="仿宋_GB2312" w:hAnsi="仿宋_GB2312" w:eastAsia="仿宋_GB2312" w:cs="仿宋_GB2312"/>
          <w:b w:val="0"/>
          <w:bCs w:val="0"/>
          <w:spacing w:val="6"/>
          <w:sz w:val="32"/>
          <w:szCs w:val="32"/>
          <w:lang w:val="en-US" w:eastAsia="zh-CN"/>
        </w:rPr>
        <w:t>3.07</w:t>
      </w:r>
      <w:r>
        <w:rPr>
          <w:rFonts w:hint="eastAsia" w:ascii="仿宋_GB2312" w:hAnsi="仿宋_GB2312" w:eastAsia="仿宋_GB2312" w:cs="仿宋_GB2312"/>
          <w:b w:val="0"/>
          <w:bCs w:val="0"/>
          <w:spacing w:val="5"/>
          <w:sz w:val="32"/>
          <w:szCs w:val="32"/>
        </w:rPr>
        <w:t>%。</w:t>
      </w:r>
    </w:p>
    <w:p w14:paraId="3655AC5F">
      <w:pPr>
        <w:widowControl/>
        <w:adjustRightInd w:val="0"/>
        <w:snapToGrid w:val="0"/>
        <w:spacing w:line="560" w:lineRule="exact"/>
        <w:ind w:firstLine="660" w:firstLineChars="200"/>
        <w:contextualSpacing/>
        <w:jc w:val="left"/>
        <w:rPr>
          <w:rFonts w:hint="eastAsia" w:ascii="仿宋_GB2312" w:hAnsi="仿宋_GB2312" w:eastAsia="仿宋_GB2312" w:cs="仿宋_GB2312"/>
          <w:b w:val="0"/>
          <w:bCs w:val="0"/>
          <w:spacing w:val="3"/>
          <w:sz w:val="32"/>
          <w:szCs w:val="32"/>
        </w:rPr>
      </w:pPr>
      <w:r>
        <w:rPr>
          <w:rFonts w:hint="eastAsia" w:hAnsi="仿宋_GB2312" w:cs="仿宋_GB2312"/>
          <w:b w:val="0"/>
          <w:bCs w:val="0"/>
          <w:spacing w:val="5"/>
          <w:sz w:val="32"/>
          <w:szCs w:val="32"/>
          <w:lang w:val="en-US" w:eastAsia="zh-CN"/>
        </w:rPr>
        <w:t>（</w:t>
      </w:r>
      <w:r>
        <w:rPr>
          <w:rFonts w:hint="eastAsia" w:ascii="仿宋_GB2312" w:hAnsi="仿宋_GB2312" w:eastAsia="仿宋_GB2312" w:cs="仿宋_GB2312"/>
          <w:b w:val="0"/>
          <w:bCs w:val="0"/>
          <w:spacing w:val="3"/>
          <w:sz w:val="32"/>
          <w:szCs w:val="32"/>
          <w:lang w:val="en-US" w:eastAsia="zh-CN"/>
        </w:rPr>
        <w:t>三）</w:t>
      </w:r>
      <w:r>
        <w:rPr>
          <w:rFonts w:hint="eastAsia" w:ascii="仿宋_GB2312" w:hAnsi="仿宋_GB2312" w:eastAsia="仿宋_GB2312" w:cs="仿宋_GB2312"/>
          <w:b w:val="0"/>
          <w:bCs w:val="0"/>
          <w:spacing w:val="3"/>
          <w:sz w:val="32"/>
          <w:szCs w:val="32"/>
        </w:rPr>
        <w:t>部门总体结转结余情况</w:t>
      </w:r>
    </w:p>
    <w:p w14:paraId="4551B5D0">
      <w:pPr>
        <w:pStyle w:val="5"/>
        <w:rPr>
          <w:rFonts w:hint="eastAsia" w:eastAsia="仿宋_GB2312"/>
          <w:lang w:val="en-US" w:eastAsia="zh-CN"/>
        </w:rPr>
      </w:pPr>
      <w:r>
        <w:rPr>
          <w:rFonts w:hint="eastAsia"/>
          <w:lang w:val="en-US" w:eastAsia="zh-CN"/>
        </w:rPr>
        <w:t xml:space="preserve">     </w:t>
      </w:r>
      <w:r>
        <w:rPr>
          <w:rFonts w:hint="eastAsia" w:ascii="仿宋_GB2312" w:hAnsi="仿宋_GB2312" w:eastAsia="仿宋_GB2312" w:cs="仿宋_GB2312"/>
          <w:b w:val="0"/>
          <w:bCs w:val="0"/>
          <w:spacing w:val="-2"/>
          <w:sz w:val="32"/>
          <w:szCs w:val="32"/>
        </w:rPr>
        <w:t>202</w:t>
      </w:r>
      <w:r>
        <w:rPr>
          <w:rFonts w:hint="eastAsia" w:ascii="仿宋_GB2312" w:hAnsi="仿宋_GB2312" w:eastAsia="仿宋_GB2312" w:cs="仿宋_GB2312"/>
          <w:b w:val="0"/>
          <w:bCs w:val="0"/>
          <w:spacing w:val="-2"/>
          <w:sz w:val="32"/>
          <w:szCs w:val="32"/>
          <w:lang w:val="en-US" w:eastAsia="zh-CN"/>
        </w:rPr>
        <w:t>2</w:t>
      </w:r>
      <w:r>
        <w:rPr>
          <w:rFonts w:hint="eastAsia" w:ascii="仿宋_GB2312" w:hAnsi="仿宋_GB2312" w:eastAsia="仿宋_GB2312" w:cs="仿宋_GB2312"/>
          <w:b w:val="0"/>
          <w:bCs w:val="0"/>
          <w:spacing w:val="-2"/>
          <w:sz w:val="32"/>
          <w:szCs w:val="32"/>
        </w:rPr>
        <w:t>年县政府办</w:t>
      </w:r>
      <w:r>
        <w:rPr>
          <w:rFonts w:hint="eastAsia" w:hAnsi="仿宋_GB2312" w:cs="仿宋_GB2312"/>
          <w:b w:val="0"/>
          <w:bCs w:val="0"/>
          <w:spacing w:val="-2"/>
          <w:sz w:val="32"/>
          <w:szCs w:val="32"/>
          <w:lang w:eastAsia="zh-CN"/>
        </w:rPr>
        <w:t>总体结转结余</w:t>
      </w:r>
      <w:r>
        <w:rPr>
          <w:rFonts w:hint="eastAsia" w:ascii="仿宋_GB2312" w:hAnsi="仿宋_GB2312" w:eastAsia="仿宋_GB2312" w:cs="仿宋_GB2312"/>
          <w:b w:val="0"/>
          <w:bCs w:val="0"/>
          <w:spacing w:val="-2"/>
          <w:sz w:val="32"/>
          <w:szCs w:val="32"/>
        </w:rPr>
        <w:t>合计</w:t>
      </w:r>
      <w:r>
        <w:rPr>
          <w:rFonts w:hint="eastAsia" w:hAnsi="仿宋_GB2312" w:cs="仿宋_GB2312"/>
          <w:b w:val="0"/>
          <w:bCs w:val="0"/>
          <w:spacing w:val="-2"/>
          <w:sz w:val="32"/>
          <w:szCs w:val="32"/>
          <w:lang w:val="en-US" w:eastAsia="zh-CN"/>
        </w:rPr>
        <w:t>0</w:t>
      </w:r>
      <w:r>
        <w:rPr>
          <w:rFonts w:hint="eastAsia" w:ascii="仿宋_GB2312" w:hAnsi="仿宋_GB2312" w:eastAsia="仿宋_GB2312" w:cs="仿宋_GB2312"/>
          <w:b w:val="0"/>
          <w:bCs w:val="0"/>
          <w:spacing w:val="-2"/>
          <w:sz w:val="32"/>
          <w:szCs w:val="32"/>
        </w:rPr>
        <w:t>万元</w:t>
      </w:r>
      <w:r>
        <w:rPr>
          <w:rFonts w:hint="eastAsia" w:hAnsi="仿宋_GB2312" w:cs="仿宋_GB2312"/>
          <w:b w:val="0"/>
          <w:bCs w:val="0"/>
          <w:spacing w:val="-2"/>
          <w:sz w:val="32"/>
          <w:szCs w:val="32"/>
          <w:lang w:eastAsia="zh-CN"/>
        </w:rPr>
        <w:t>。</w:t>
      </w:r>
    </w:p>
    <w:p w14:paraId="4B3ADD0C">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bookmarkStart w:id="60" w:name="_Toc7622"/>
      <w:r>
        <w:rPr>
          <w:rFonts w:hint="eastAsia" w:ascii="黑体" w:hAnsi="宋体" w:eastAsia="黑体" w:cs="宋体"/>
          <w:kern w:val="0"/>
          <w:sz w:val="32"/>
          <w:szCs w:val="32"/>
          <w:shd w:val="clear" w:color="auto" w:fill="FFFFFF"/>
        </w:rPr>
        <w:t>三、部门整体绩效分析</w:t>
      </w:r>
    </w:p>
    <w:p w14:paraId="7EADD560">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eastAsia="zh-CN"/>
        </w:rPr>
      </w:pPr>
      <w:r>
        <w:rPr>
          <w:rFonts w:hint="eastAsia" w:ascii="楷体_GB2312" w:hAnsi="楷体_GB2312" w:eastAsia="楷体_GB2312" w:cs="楷体_GB2312"/>
          <w:b/>
          <w:bCs/>
          <w:kern w:val="0"/>
          <w:sz w:val="32"/>
          <w:szCs w:val="32"/>
          <w:highlight w:val="none"/>
          <w:shd w:val="clear" w:color="auto" w:fill="FFFFFF"/>
          <w:lang w:val="zh-CN" w:eastAsia="zh-CN"/>
        </w:rPr>
        <w:t>（一）部门预算项目绩效分析。</w:t>
      </w:r>
    </w:p>
    <w:p w14:paraId="254927B3">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1.人员类项目绩效分析</w:t>
      </w:r>
    </w:p>
    <w:p w14:paraId="11A5FEC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lang w:eastAsia="zh-CN"/>
        </w:rPr>
        <w:t>县政府办</w:t>
      </w:r>
      <w:r>
        <w:rPr>
          <w:rFonts w:hint="eastAsia" w:ascii="仿宋_GB2312" w:hAnsi="仿宋_GB2312" w:eastAsia="仿宋_GB2312" w:cs="仿宋_GB2312"/>
          <w:b w:val="0"/>
          <w:bCs w:val="0"/>
          <w:spacing w:val="-2"/>
          <w:sz w:val="32"/>
          <w:szCs w:val="32"/>
          <w:lang w:val="en-US" w:eastAsia="zh-CN"/>
        </w:rPr>
        <w:t>2022年人员类项目全年预算数530.28万元，预算执行数530.28万元，预算执行率100%。</w:t>
      </w:r>
      <w:r>
        <w:rPr>
          <w:rFonts w:hint="eastAsia" w:ascii="仿宋_GB2312" w:hAnsi="仿宋_GB2312" w:eastAsia="仿宋_GB2312" w:cs="仿宋_GB2312"/>
          <w:b w:val="0"/>
          <w:bCs w:val="0"/>
          <w:spacing w:val="-2"/>
          <w:sz w:val="32"/>
          <w:szCs w:val="32"/>
        </w:rPr>
        <w:t>通过细化工作目标，明确工作步骤及时间安排等内容，按月</w:t>
      </w:r>
      <w:r>
        <w:rPr>
          <w:rFonts w:hint="eastAsia" w:ascii="仿宋_GB2312" w:hAnsi="仿宋_GB2312" w:eastAsia="仿宋_GB2312" w:cs="仿宋_GB2312"/>
          <w:b w:val="0"/>
          <w:bCs w:val="0"/>
          <w:spacing w:val="-2"/>
          <w:sz w:val="32"/>
          <w:szCs w:val="32"/>
          <w:lang w:eastAsia="zh-CN"/>
        </w:rPr>
        <w:t>足额</w:t>
      </w:r>
      <w:r>
        <w:rPr>
          <w:rFonts w:hint="eastAsia" w:ascii="仿宋_GB2312" w:hAnsi="仿宋_GB2312" w:eastAsia="仿宋_GB2312" w:cs="仿宋_GB2312"/>
          <w:b w:val="0"/>
          <w:bCs w:val="0"/>
          <w:spacing w:val="-2"/>
          <w:sz w:val="32"/>
          <w:szCs w:val="32"/>
        </w:rPr>
        <w:t>确保了在职人员工资发放及“五险一金”的缴纳</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均达到</w:t>
      </w:r>
      <w:r>
        <w:rPr>
          <w:rFonts w:hint="eastAsia" w:ascii="仿宋_GB2312" w:hAnsi="仿宋_GB2312" w:eastAsia="仿宋_GB2312" w:cs="仿宋_GB2312"/>
          <w:b w:val="0"/>
          <w:bCs w:val="0"/>
          <w:spacing w:val="-2"/>
          <w:sz w:val="32"/>
          <w:szCs w:val="32"/>
          <w:lang w:eastAsia="zh-CN"/>
        </w:rPr>
        <w:t>了</w:t>
      </w:r>
      <w:r>
        <w:rPr>
          <w:rFonts w:hint="eastAsia" w:ascii="仿宋_GB2312" w:hAnsi="仿宋_GB2312" w:eastAsia="仿宋_GB2312" w:cs="仿宋_GB2312"/>
          <w:b w:val="0"/>
          <w:bCs w:val="0"/>
          <w:spacing w:val="-2"/>
          <w:sz w:val="32"/>
          <w:szCs w:val="32"/>
        </w:rPr>
        <w:t>预期目标</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按时完成了当年预算下达资金目标进度，预算绩效总体评价良好，无违规记录。</w:t>
      </w:r>
    </w:p>
    <w:p w14:paraId="51A159DB">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zh-CN" w:eastAsia="zh-CN"/>
        </w:rPr>
      </w:pPr>
      <w:r>
        <w:rPr>
          <w:rFonts w:hint="eastAsia" w:ascii="仿宋_GB2312" w:hAnsi="仿宋_GB2312" w:eastAsia="仿宋_GB2312" w:cs="仿宋_GB2312"/>
          <w:kern w:val="0"/>
          <w:sz w:val="32"/>
          <w:szCs w:val="32"/>
          <w:highlight w:val="none"/>
          <w:shd w:val="clear" w:color="auto" w:fill="FFFFFF"/>
          <w:lang w:val="en-US" w:eastAsia="zh-CN"/>
        </w:rPr>
        <w:t>2.</w:t>
      </w:r>
      <w:r>
        <w:rPr>
          <w:rFonts w:hint="eastAsia" w:ascii="仿宋_GB2312" w:hAnsi="仿宋_GB2312" w:eastAsia="仿宋_GB2312" w:cs="仿宋_GB2312"/>
          <w:kern w:val="0"/>
          <w:sz w:val="32"/>
          <w:szCs w:val="32"/>
          <w:highlight w:val="none"/>
          <w:shd w:val="clear" w:color="auto" w:fill="FFFFFF"/>
          <w:lang w:val="zh-CN" w:eastAsia="zh-CN"/>
        </w:rPr>
        <w:t>运转类项目绩效分析</w:t>
      </w:r>
    </w:p>
    <w:p w14:paraId="5106677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default" w:ascii="仿宋_GB2312" w:hAnsi="仿宋_GB2312" w:eastAsia="仿宋_GB2312" w:cs="仿宋_GB2312"/>
          <w:b w:val="0"/>
          <w:bCs w:val="0"/>
          <w:spacing w:val="-2"/>
          <w:sz w:val="32"/>
          <w:szCs w:val="32"/>
          <w:lang w:val="en-US" w:eastAsia="zh-CN"/>
        </w:rPr>
      </w:pPr>
      <w:r>
        <w:rPr>
          <w:rFonts w:hint="eastAsia" w:ascii="仿宋_GB2312" w:hAnsi="仿宋_GB2312" w:eastAsia="仿宋_GB2312" w:cs="仿宋_GB2312"/>
          <w:b w:val="0"/>
          <w:bCs w:val="0"/>
          <w:spacing w:val="-2"/>
          <w:sz w:val="32"/>
          <w:szCs w:val="32"/>
          <w:lang w:eastAsia="zh-CN"/>
        </w:rPr>
        <w:t>县政府办</w:t>
      </w:r>
      <w:r>
        <w:rPr>
          <w:rFonts w:hint="eastAsia" w:ascii="仿宋_GB2312" w:hAnsi="仿宋_GB2312" w:eastAsia="仿宋_GB2312" w:cs="仿宋_GB2312"/>
          <w:b w:val="0"/>
          <w:bCs w:val="0"/>
          <w:spacing w:val="-2"/>
          <w:sz w:val="32"/>
          <w:szCs w:val="32"/>
          <w:lang w:val="en-US" w:eastAsia="zh-CN"/>
        </w:rPr>
        <w:t>2022年未安排运转类项目经费。</w:t>
      </w:r>
    </w:p>
    <w:p w14:paraId="0B9C4E4A">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zh-CN" w:eastAsia="zh-CN"/>
        </w:rPr>
      </w:pPr>
      <w:r>
        <w:rPr>
          <w:rFonts w:hint="eastAsia" w:ascii="仿宋_GB2312" w:hAnsi="仿宋_GB2312" w:eastAsia="仿宋_GB2312" w:cs="仿宋_GB2312"/>
          <w:kern w:val="0"/>
          <w:sz w:val="32"/>
          <w:szCs w:val="32"/>
          <w:highlight w:val="none"/>
          <w:shd w:val="clear" w:color="auto" w:fill="FFFFFF"/>
          <w:lang w:val="en-US" w:eastAsia="zh-CN"/>
        </w:rPr>
        <w:t>3.</w:t>
      </w:r>
      <w:r>
        <w:rPr>
          <w:rFonts w:hint="eastAsia" w:ascii="仿宋_GB2312" w:hAnsi="仿宋_GB2312" w:eastAsia="仿宋_GB2312" w:cs="仿宋_GB2312"/>
          <w:kern w:val="0"/>
          <w:sz w:val="32"/>
          <w:szCs w:val="32"/>
          <w:highlight w:val="none"/>
          <w:shd w:val="clear" w:color="auto" w:fill="FFFFFF"/>
          <w:lang w:val="zh-CN" w:eastAsia="zh-CN"/>
        </w:rPr>
        <w:t>特定目标类项目绩效分析</w:t>
      </w:r>
    </w:p>
    <w:p w14:paraId="3F059867">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2022年</w:t>
      </w:r>
      <w:r>
        <w:rPr>
          <w:rFonts w:hint="eastAsia" w:ascii="仿宋_GB2312" w:hAnsi="仿宋_GB2312" w:eastAsia="仿宋_GB2312" w:cs="仿宋_GB2312"/>
          <w:b w:val="0"/>
          <w:bCs w:val="0"/>
          <w:spacing w:val="-2"/>
          <w:sz w:val="32"/>
          <w:szCs w:val="32"/>
          <w:lang w:eastAsia="zh-CN"/>
        </w:rPr>
        <w:t>县政府办安排特定类项目</w:t>
      </w:r>
      <w:r>
        <w:rPr>
          <w:rFonts w:hint="eastAsia" w:ascii="仿宋_GB2312" w:hAnsi="仿宋_GB2312" w:eastAsia="仿宋_GB2312" w:cs="仿宋_GB2312"/>
          <w:b w:val="0"/>
          <w:bCs w:val="0"/>
          <w:spacing w:val="-2"/>
          <w:sz w:val="32"/>
          <w:szCs w:val="32"/>
          <w:lang w:val="en-US" w:eastAsia="zh-CN"/>
        </w:rPr>
        <w:t>1</w:t>
      </w:r>
      <w:r>
        <w:rPr>
          <w:rFonts w:hint="eastAsia" w:ascii="仿宋_GB2312" w:hAnsi="仿宋_GB2312" w:eastAsia="仿宋_GB2312" w:cs="仿宋_GB2312"/>
          <w:b w:val="0"/>
          <w:bCs w:val="0"/>
          <w:spacing w:val="-2"/>
          <w:sz w:val="32"/>
          <w:szCs w:val="32"/>
        </w:rPr>
        <w:t>个，全年预算数</w:t>
      </w:r>
      <w:r>
        <w:rPr>
          <w:rFonts w:hint="eastAsia" w:ascii="仿宋_GB2312" w:hAnsi="仿宋_GB2312" w:eastAsia="仿宋_GB2312" w:cs="仿宋_GB2312"/>
          <w:b w:val="0"/>
          <w:bCs w:val="0"/>
          <w:spacing w:val="-2"/>
          <w:sz w:val="32"/>
          <w:szCs w:val="32"/>
          <w:lang w:val="en-US" w:eastAsia="zh-CN"/>
        </w:rPr>
        <w:t>20</w:t>
      </w:r>
      <w:r>
        <w:rPr>
          <w:rFonts w:hint="eastAsia" w:ascii="仿宋_GB2312" w:hAnsi="仿宋_GB2312" w:eastAsia="仿宋_GB2312" w:cs="仿宋_GB2312"/>
          <w:b w:val="0"/>
          <w:bCs w:val="0"/>
          <w:spacing w:val="-2"/>
          <w:sz w:val="32"/>
          <w:szCs w:val="32"/>
        </w:rPr>
        <w:t>万元，预算执行数</w:t>
      </w:r>
      <w:r>
        <w:rPr>
          <w:rFonts w:hint="eastAsia" w:ascii="仿宋_GB2312" w:hAnsi="仿宋_GB2312" w:eastAsia="仿宋_GB2312" w:cs="仿宋_GB2312"/>
          <w:b w:val="0"/>
          <w:bCs w:val="0"/>
          <w:spacing w:val="-2"/>
          <w:sz w:val="32"/>
          <w:szCs w:val="32"/>
          <w:lang w:val="en-US" w:eastAsia="zh-CN"/>
        </w:rPr>
        <w:t>20</w:t>
      </w:r>
      <w:r>
        <w:rPr>
          <w:rFonts w:hint="eastAsia" w:ascii="仿宋_GB2312" w:hAnsi="仿宋_GB2312" w:eastAsia="仿宋_GB2312" w:cs="仿宋_GB2312"/>
          <w:b w:val="0"/>
          <w:bCs w:val="0"/>
          <w:spacing w:val="-2"/>
          <w:sz w:val="32"/>
          <w:szCs w:val="32"/>
        </w:rPr>
        <w:t>万元，预算执行率为100%。</w:t>
      </w:r>
      <w:r>
        <w:rPr>
          <w:rFonts w:hint="eastAsia" w:ascii="仿宋_GB2312" w:hAnsi="仿宋_GB2312" w:eastAsia="仿宋_GB2312" w:cs="仿宋_GB2312"/>
          <w:b w:val="0"/>
          <w:bCs w:val="0"/>
          <w:spacing w:val="-2"/>
          <w:sz w:val="32"/>
          <w:szCs w:val="32"/>
          <w:lang w:eastAsia="zh-CN"/>
        </w:rPr>
        <w:t>该</w:t>
      </w:r>
      <w:r>
        <w:rPr>
          <w:rFonts w:hint="eastAsia" w:ascii="仿宋_GB2312" w:hAnsi="仿宋_GB2312" w:eastAsia="仿宋_GB2312" w:cs="仿宋_GB2312"/>
          <w:b w:val="0"/>
          <w:bCs w:val="0"/>
          <w:spacing w:val="-2"/>
          <w:sz w:val="32"/>
          <w:szCs w:val="32"/>
        </w:rPr>
        <w:t>项目</w:t>
      </w:r>
      <w:r>
        <w:rPr>
          <w:rFonts w:hint="eastAsia" w:ascii="仿宋_GB2312" w:hAnsi="仿宋_GB2312" w:eastAsia="仿宋_GB2312" w:cs="仿宋_GB2312"/>
          <w:b w:val="0"/>
          <w:bCs w:val="0"/>
          <w:spacing w:val="-2"/>
          <w:sz w:val="32"/>
          <w:szCs w:val="32"/>
          <w:lang w:eastAsia="zh-CN"/>
        </w:rPr>
        <w:t>是招商引资工作经费，该</w:t>
      </w:r>
      <w:r>
        <w:rPr>
          <w:rFonts w:hint="eastAsia" w:ascii="仿宋_GB2312" w:hAnsi="仿宋_GB2312" w:eastAsia="仿宋_GB2312" w:cs="仿宋_GB2312"/>
          <w:b w:val="0"/>
          <w:bCs w:val="0"/>
          <w:spacing w:val="-2"/>
          <w:sz w:val="32"/>
          <w:szCs w:val="32"/>
        </w:rPr>
        <w:t>项目目标实现程度与预算绩效目标</w:t>
      </w:r>
      <w:r>
        <w:rPr>
          <w:rFonts w:hint="eastAsia" w:ascii="仿宋_GB2312" w:hAnsi="仿宋_GB2312" w:eastAsia="仿宋_GB2312" w:cs="仿宋_GB2312"/>
          <w:b w:val="0"/>
          <w:bCs w:val="0"/>
          <w:spacing w:val="-2"/>
          <w:sz w:val="32"/>
          <w:szCs w:val="32"/>
          <w:lang w:eastAsia="zh-CN"/>
        </w:rPr>
        <w:t>没</w:t>
      </w:r>
      <w:r>
        <w:rPr>
          <w:rFonts w:hint="eastAsia" w:ascii="仿宋_GB2312" w:hAnsi="仿宋_GB2312" w:eastAsia="仿宋_GB2312" w:cs="仿宋_GB2312"/>
          <w:b w:val="0"/>
          <w:bCs w:val="0"/>
          <w:spacing w:val="-2"/>
          <w:sz w:val="32"/>
          <w:szCs w:val="32"/>
        </w:rPr>
        <w:t>有偏离。按时完成了当年预算下达资金目标进度，预算绩效总体评价良好，无违规记录。</w:t>
      </w:r>
    </w:p>
    <w:p w14:paraId="1609C886">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eastAsia="zh-CN"/>
        </w:rPr>
      </w:pPr>
      <w:r>
        <w:rPr>
          <w:rFonts w:hint="eastAsia" w:ascii="楷体_GB2312" w:hAnsi="楷体_GB2312" w:eastAsia="楷体_GB2312" w:cs="楷体_GB2312"/>
          <w:b/>
          <w:bCs/>
          <w:kern w:val="0"/>
          <w:sz w:val="32"/>
          <w:szCs w:val="32"/>
          <w:highlight w:val="none"/>
          <w:shd w:val="clear" w:color="auto" w:fill="FFFFFF"/>
          <w:lang w:val="zh-CN" w:eastAsia="zh-CN"/>
        </w:rPr>
        <w:t>（二）部门整体履职绩效分析。</w:t>
      </w:r>
    </w:p>
    <w:p w14:paraId="14DBA099">
      <w:pPr>
        <w:pStyle w:val="5"/>
        <w:spacing w:before="93"/>
        <w:ind w:firstLine="632" w:firstLineChars="200"/>
        <w:rPr>
          <w:rFonts w:hint="eastAsia" w:ascii="仿宋_GB2312" w:hAnsi="仿宋_GB2312" w:eastAsia="仿宋_GB2312" w:cs="仿宋_GB2312"/>
          <w:b w:val="0"/>
          <w:bCs w:val="0"/>
          <w:spacing w:val="-2"/>
          <w:kern w:val="2"/>
          <w:sz w:val="32"/>
          <w:szCs w:val="32"/>
          <w:lang w:val="en-US" w:eastAsia="zh-CN" w:bidi="ar-SA"/>
        </w:rPr>
      </w:pPr>
      <w:r>
        <w:rPr>
          <w:rFonts w:hint="eastAsia" w:ascii="仿宋_GB2312" w:hAnsi="仿宋_GB2312" w:eastAsia="仿宋_GB2312" w:cs="仿宋_GB2312"/>
          <w:b w:val="0"/>
          <w:bCs w:val="0"/>
          <w:spacing w:val="-2"/>
          <w:kern w:val="2"/>
          <w:sz w:val="32"/>
          <w:szCs w:val="32"/>
          <w:lang w:val="en-US" w:eastAsia="zh-CN" w:bidi="ar-SA"/>
        </w:rPr>
        <w:t>县政府办2022年严格按照财经法规及制度使用、管理资金。把有限资金用在刀刃上，确保了干部职工工资、津补贴的及时足额发放。严格落实预算项目绩效监控制度，及时跟进预算项目执行进度，确保项目及时完成，各项工作顺利开展。</w:t>
      </w:r>
    </w:p>
    <w:p w14:paraId="1777CB53">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eastAsia="zh-CN"/>
        </w:rPr>
      </w:pPr>
      <w:r>
        <w:rPr>
          <w:rFonts w:hint="eastAsia" w:ascii="楷体_GB2312" w:hAnsi="楷体_GB2312" w:eastAsia="楷体_GB2312" w:cs="楷体_GB2312"/>
          <w:b/>
          <w:bCs/>
          <w:kern w:val="0"/>
          <w:sz w:val="32"/>
          <w:szCs w:val="32"/>
          <w:highlight w:val="none"/>
          <w:shd w:val="clear" w:color="auto" w:fill="FFFFFF"/>
          <w:lang w:val="zh-CN" w:eastAsia="zh-CN"/>
        </w:rPr>
        <w:t>（三）结果应用情况。</w:t>
      </w:r>
    </w:p>
    <w:p w14:paraId="44021AD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lang w:eastAsia="zh-CN"/>
        </w:rPr>
        <w:t>按照县财政局《关于开展2022年度财政支出绩效自评的工作通知》要求，将股室预算绩效管理纳入内部考核体系，在项目实施过程中严格相关规定和要求，开展了预算执行动态监控、中期评估、绩效跟踪监控管理工作，并按规定时间、格式、内容、方式等报送了绩效运行监控报告，针对绩效管理过程中提出的问题，进行梳理研判及时进行整改。</w:t>
      </w:r>
    </w:p>
    <w:p w14:paraId="1948D0B1">
      <w:pPr>
        <w:pStyle w:val="5"/>
        <w:spacing w:before="93"/>
        <w:rPr>
          <w:rFonts w:hint="eastAsia" w:ascii="楷体_GB2312" w:hAnsi="楷体_GB2312" w:eastAsia="楷体_GB2312" w:cs="楷体_GB2312"/>
          <w:b/>
          <w:bCs/>
          <w:kern w:val="0"/>
          <w:sz w:val="32"/>
          <w:szCs w:val="32"/>
          <w:highlight w:val="none"/>
          <w:shd w:val="clear" w:color="auto" w:fill="FFFFFF"/>
          <w:lang w:val="zh-CN" w:eastAsia="zh-CN" w:bidi="ar-SA"/>
        </w:rPr>
      </w:pPr>
      <w:r>
        <w:rPr>
          <w:rFonts w:hint="eastAsia"/>
        </w:rPr>
        <w:t xml:space="preserve"> </w:t>
      </w:r>
      <w:r>
        <w:rPr>
          <w:rFonts w:hint="eastAsia" w:ascii="黑体" w:hAnsi="黑体" w:eastAsia="黑体"/>
          <w:sz w:val="32"/>
          <w:szCs w:val="32"/>
        </w:rPr>
        <w:t xml:space="preserve">   </w:t>
      </w:r>
      <w:r>
        <w:rPr>
          <w:rFonts w:hint="eastAsia" w:ascii="楷体_GB2312" w:hAnsi="楷体_GB2312" w:eastAsia="楷体_GB2312" w:cs="楷体_GB2312"/>
          <w:b/>
          <w:bCs/>
          <w:kern w:val="0"/>
          <w:sz w:val="32"/>
          <w:szCs w:val="32"/>
          <w:highlight w:val="none"/>
          <w:shd w:val="clear" w:color="auto" w:fill="FFFFFF"/>
          <w:lang w:val="zh-CN" w:eastAsia="zh-CN" w:bidi="ar-SA"/>
        </w:rPr>
        <w:t>（四）自评质量。</w:t>
      </w:r>
    </w:p>
    <w:p w14:paraId="582CCCDE">
      <w:pPr>
        <w:pStyle w:val="5"/>
        <w:spacing w:before="93"/>
        <w:ind w:firstLine="632" w:firstLineChars="200"/>
        <w:rPr>
          <w:rFonts w:hint="eastAsia" w:ascii="仿宋_GB2312" w:hAnsi="仿宋_GB2312" w:eastAsia="仿宋_GB2312" w:cs="仿宋_GB2312"/>
          <w:b w:val="0"/>
          <w:bCs w:val="0"/>
          <w:spacing w:val="-2"/>
          <w:kern w:val="2"/>
          <w:sz w:val="32"/>
          <w:szCs w:val="32"/>
          <w:lang w:val="en-US" w:eastAsia="zh-CN" w:bidi="ar-SA"/>
        </w:rPr>
      </w:pPr>
      <w:r>
        <w:rPr>
          <w:rFonts w:hint="eastAsia" w:hAnsi="仿宋_GB2312" w:cs="仿宋_GB2312"/>
          <w:b w:val="0"/>
          <w:bCs w:val="0"/>
          <w:spacing w:val="-2"/>
          <w:kern w:val="2"/>
          <w:sz w:val="32"/>
          <w:szCs w:val="32"/>
          <w:lang w:val="en-US" w:eastAsia="zh-CN" w:bidi="ar-SA"/>
        </w:rPr>
        <w:t>县政府办</w:t>
      </w:r>
      <w:r>
        <w:rPr>
          <w:rFonts w:hint="eastAsia" w:ascii="仿宋_GB2312" w:hAnsi="仿宋_GB2312" w:eastAsia="仿宋_GB2312" w:cs="仿宋_GB2312"/>
          <w:b w:val="0"/>
          <w:bCs w:val="0"/>
          <w:spacing w:val="-2"/>
          <w:kern w:val="2"/>
          <w:sz w:val="32"/>
          <w:szCs w:val="32"/>
          <w:lang w:val="en-US" w:eastAsia="zh-CN" w:bidi="ar-SA"/>
        </w:rPr>
        <w:t>严格按照绩效自评工作要求和自评程序开展2022年度部门整体支出及部门预算项目绩效管理自评工作，确保自评客观准确，自评得分较为理想。</w:t>
      </w:r>
    </w:p>
    <w:p w14:paraId="06DF34A9">
      <w:pPr>
        <w:widowControl/>
        <w:adjustRightInd w:val="0"/>
        <w:snapToGrid w:val="0"/>
        <w:spacing w:line="560" w:lineRule="exact"/>
        <w:ind w:firstLine="640" w:firstLineChars="200"/>
        <w:contextualSpacing/>
        <w:jc w:val="left"/>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12783F9D">
      <w:pPr>
        <w:spacing w:line="360" w:lineRule="auto"/>
        <w:ind w:firstLine="643" w:firstLineChars="200"/>
        <w:rPr>
          <w:rFonts w:hint="eastAsia" w:ascii="楷体_GB2312" w:hAnsi="楷体_GB2312" w:eastAsia="楷体_GB2312" w:cs="楷体_GB2312"/>
          <w:b/>
          <w:bCs/>
          <w:kern w:val="0"/>
          <w:sz w:val="32"/>
          <w:szCs w:val="32"/>
          <w:highlight w:val="none"/>
          <w:shd w:val="clear" w:color="auto" w:fill="FFFFFF"/>
          <w:lang w:val="zh-CN" w:eastAsia="zh-CN" w:bidi="ar-SA"/>
        </w:rPr>
      </w:pPr>
      <w:r>
        <w:rPr>
          <w:rFonts w:hint="eastAsia" w:ascii="楷体_GB2312" w:hAnsi="楷体_GB2312" w:eastAsia="楷体_GB2312" w:cs="楷体_GB2312"/>
          <w:b/>
          <w:bCs/>
          <w:kern w:val="0"/>
          <w:sz w:val="32"/>
          <w:szCs w:val="32"/>
          <w:highlight w:val="none"/>
          <w:shd w:val="clear" w:color="auto" w:fill="FFFFFF"/>
          <w:lang w:val="zh-CN" w:eastAsia="zh-CN" w:bidi="ar-SA"/>
        </w:rPr>
        <w:t>（一）评价结论。</w:t>
      </w:r>
    </w:p>
    <w:p w14:paraId="7EEF7F22">
      <w:pPr>
        <w:spacing w:line="360" w:lineRule="auto"/>
        <w:ind w:firstLine="632" w:firstLineChars="200"/>
        <w:rPr>
          <w:rFonts w:hint="eastAsia" w:ascii="仿宋_GB2312" w:hAnsi="仿宋_GB2312" w:eastAsia="仿宋_GB2312" w:cs="仿宋_GB2312"/>
          <w:b w:val="0"/>
          <w:bCs w:val="0"/>
          <w:spacing w:val="-2"/>
          <w:kern w:val="2"/>
          <w:sz w:val="32"/>
          <w:szCs w:val="32"/>
          <w:lang w:val="en-US" w:eastAsia="zh-CN" w:bidi="ar-SA"/>
        </w:rPr>
      </w:pPr>
      <w:r>
        <w:rPr>
          <w:rFonts w:hint="eastAsia" w:ascii="仿宋_GB2312" w:hAnsi="仿宋_GB2312" w:eastAsia="仿宋_GB2312" w:cs="仿宋_GB2312"/>
          <w:b w:val="0"/>
          <w:bCs w:val="0"/>
          <w:spacing w:val="-2"/>
          <w:kern w:val="2"/>
          <w:sz w:val="32"/>
          <w:szCs w:val="32"/>
          <w:lang w:val="en-US" w:eastAsia="zh-CN" w:bidi="ar-SA"/>
        </w:rPr>
        <w:t>2022年县政府办各项工作顺利完成，实现了年度工作目标，部门总体运行正常，在预算执行、信息公开、整改反馈等方面工作开展良好。</w:t>
      </w:r>
    </w:p>
    <w:p w14:paraId="7A8AF44A">
      <w:pPr>
        <w:spacing w:line="360" w:lineRule="auto"/>
        <w:ind w:firstLine="643" w:firstLineChars="200"/>
        <w:rPr>
          <w:rFonts w:hint="eastAsia" w:ascii="楷体_GB2312" w:hAnsi="楷体_GB2312" w:eastAsia="楷体_GB2312" w:cs="楷体_GB2312"/>
          <w:b/>
          <w:bCs/>
          <w:kern w:val="0"/>
          <w:sz w:val="32"/>
          <w:szCs w:val="32"/>
          <w:highlight w:val="none"/>
          <w:shd w:val="clear" w:color="auto" w:fill="FFFFFF"/>
          <w:lang w:val="zh-CN" w:eastAsia="zh-CN" w:bidi="ar-SA"/>
        </w:rPr>
      </w:pPr>
      <w:r>
        <w:rPr>
          <w:rFonts w:hint="eastAsia" w:ascii="楷体_GB2312" w:hAnsi="楷体_GB2312" w:eastAsia="楷体_GB2312" w:cs="楷体_GB2312"/>
          <w:b/>
          <w:bCs/>
          <w:kern w:val="0"/>
          <w:sz w:val="32"/>
          <w:szCs w:val="32"/>
          <w:highlight w:val="none"/>
          <w:shd w:val="clear" w:color="auto" w:fill="FFFFFF"/>
          <w:lang w:val="zh-CN" w:eastAsia="zh-CN" w:bidi="ar-SA"/>
        </w:rPr>
        <w:t>（二）存在问题。</w:t>
      </w:r>
    </w:p>
    <w:p w14:paraId="4AEFEFE6">
      <w:pPr>
        <w:spacing w:line="360" w:lineRule="auto"/>
        <w:ind w:firstLine="632" w:firstLineChars="200"/>
        <w:rPr>
          <w:rFonts w:hint="eastAsia" w:ascii="仿宋_GB2312" w:hAnsi="仿宋_GB2312" w:eastAsia="仿宋_GB2312" w:cs="仿宋_GB2312"/>
          <w:b w:val="0"/>
          <w:bCs w:val="0"/>
          <w:spacing w:val="-2"/>
          <w:kern w:val="2"/>
          <w:sz w:val="32"/>
          <w:szCs w:val="32"/>
          <w:lang w:val="en-US" w:eastAsia="zh-CN" w:bidi="ar-SA"/>
        </w:rPr>
      </w:pPr>
      <w:r>
        <w:rPr>
          <w:rFonts w:hint="eastAsia" w:ascii="仿宋_GB2312" w:hAnsi="仿宋_GB2312" w:eastAsia="仿宋_GB2312" w:cs="仿宋_GB2312"/>
          <w:b w:val="0"/>
          <w:bCs w:val="0"/>
          <w:spacing w:val="-2"/>
          <w:kern w:val="2"/>
          <w:sz w:val="32"/>
          <w:szCs w:val="32"/>
          <w:lang w:val="en-US" w:eastAsia="zh-CN" w:bidi="ar-SA"/>
        </w:rPr>
        <w:t>预算预算编制不够完善，个别项目编制不科学。</w:t>
      </w:r>
    </w:p>
    <w:p w14:paraId="73EBA14E">
      <w:pPr>
        <w:spacing w:line="360" w:lineRule="auto"/>
        <w:ind w:firstLine="643" w:firstLineChars="200"/>
        <w:rPr>
          <w:rFonts w:hint="eastAsia" w:ascii="楷体_GB2312" w:hAnsi="楷体_GB2312" w:eastAsia="楷体_GB2312" w:cs="楷体_GB2312"/>
          <w:b/>
          <w:bCs/>
          <w:kern w:val="0"/>
          <w:sz w:val="32"/>
          <w:szCs w:val="32"/>
          <w:highlight w:val="none"/>
          <w:shd w:val="clear" w:color="auto" w:fill="FFFFFF"/>
          <w:lang w:val="zh-CN" w:eastAsia="zh-CN" w:bidi="ar-SA"/>
        </w:rPr>
      </w:pPr>
      <w:r>
        <w:rPr>
          <w:rFonts w:hint="eastAsia" w:ascii="楷体_GB2312" w:hAnsi="楷体_GB2312" w:eastAsia="楷体_GB2312" w:cs="楷体_GB2312"/>
          <w:b/>
          <w:bCs/>
          <w:kern w:val="0"/>
          <w:sz w:val="32"/>
          <w:szCs w:val="32"/>
          <w:highlight w:val="none"/>
          <w:shd w:val="clear" w:color="auto" w:fill="FFFFFF"/>
          <w:lang w:val="zh-CN" w:eastAsia="zh-CN" w:bidi="ar-SA"/>
        </w:rPr>
        <w:t>（三）改进建议。</w:t>
      </w:r>
    </w:p>
    <w:p w14:paraId="2072058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6" w:firstLineChars="200"/>
        <w:jc w:val="both"/>
        <w:textAlignment w:val="baseline"/>
        <w:rPr>
          <w:rFonts w:hint="eastAsia" w:ascii="仿宋_GB2312" w:hAnsi="仿宋_GB2312" w:eastAsia="仿宋_GB2312" w:cs="仿宋_GB2312"/>
          <w:b w:val="0"/>
          <w:bCs w:val="0"/>
          <w:spacing w:val="-6"/>
          <w:position w:val="12"/>
          <w:sz w:val="32"/>
          <w:szCs w:val="32"/>
        </w:rPr>
      </w:pPr>
      <w:r>
        <w:rPr>
          <w:rFonts w:hint="eastAsia" w:ascii="仿宋_GB2312" w:hAnsi="仿宋_GB2312" w:eastAsia="仿宋_GB2312" w:cs="仿宋_GB2312"/>
          <w:b w:val="0"/>
          <w:bCs w:val="0"/>
          <w:spacing w:val="-6"/>
          <w:position w:val="12"/>
          <w:sz w:val="32"/>
          <w:szCs w:val="32"/>
        </w:rPr>
        <w:t>严格按照新《预算法》的要求，加强预算编制的科学性、合理性，让预算编制更贴合实际，使项目预算与工作结合更加紧密。</w:t>
      </w:r>
    </w:p>
    <w:p w14:paraId="13F9C80A">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6" w:firstLineChars="200"/>
        <w:jc w:val="both"/>
        <w:textAlignment w:val="baseline"/>
        <w:rPr>
          <w:rFonts w:hint="eastAsia" w:ascii="仿宋_GB2312" w:hAnsi="仿宋_GB2312" w:eastAsia="仿宋_GB2312" w:cs="仿宋_GB2312"/>
          <w:b w:val="0"/>
          <w:bCs w:val="0"/>
          <w:spacing w:val="-6"/>
          <w:position w:val="12"/>
          <w:sz w:val="32"/>
          <w:szCs w:val="32"/>
        </w:rPr>
      </w:pPr>
      <w:r>
        <w:rPr>
          <w:rFonts w:hint="eastAsia" w:ascii="仿宋_GB2312" w:hAnsi="仿宋_GB2312" w:eastAsia="仿宋_GB2312" w:cs="仿宋_GB2312"/>
          <w:b w:val="0"/>
          <w:bCs w:val="0"/>
          <w:spacing w:val="-6"/>
          <w:position w:val="12"/>
          <w:sz w:val="32"/>
          <w:szCs w:val="32"/>
        </w:rPr>
        <w:t>2.加大绩效评价工作的宣传和培训力度，加强对相关人员的学习培训，切实推进绩效评价工作高质量开展。</w:t>
      </w:r>
    </w:p>
    <w:p w14:paraId="7985EB90">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yellow"/>
          <w:shd w:val="clear" w:color="auto" w:fill="FFFFFF"/>
          <w:lang w:val="zh-CN"/>
        </w:rPr>
      </w:pPr>
    </w:p>
    <w:bookmarkEnd w:id="60"/>
    <w:p w14:paraId="344689F5">
      <w:pPr>
        <w:pStyle w:val="15"/>
        <w:spacing w:line="560" w:lineRule="exact"/>
        <w:ind w:left="0" w:leftChars="0" w:firstLine="0" w:firstLineChars="0"/>
        <w:rPr>
          <w:sz w:val="32"/>
          <w:lang w:val="zh-CN"/>
        </w:rPr>
      </w:pPr>
    </w:p>
    <w:p w14:paraId="1C4F0309">
      <w:pPr>
        <w:pStyle w:val="15"/>
        <w:spacing w:line="560" w:lineRule="exact"/>
        <w:ind w:left="0" w:leftChars="0" w:firstLine="0" w:firstLineChars="0"/>
        <w:rPr>
          <w:sz w:val="32"/>
          <w:lang w:val="zh-CN"/>
        </w:rPr>
      </w:pPr>
    </w:p>
    <w:p w14:paraId="244B9829">
      <w:pPr>
        <w:pStyle w:val="15"/>
        <w:spacing w:line="560" w:lineRule="exact"/>
        <w:ind w:left="0" w:leftChars="0" w:firstLine="0" w:firstLineChars="0"/>
        <w:rPr>
          <w:sz w:val="32"/>
          <w:lang w:val="zh-CN"/>
        </w:rPr>
      </w:pPr>
    </w:p>
    <w:p w14:paraId="6912F73F">
      <w:pPr>
        <w:pStyle w:val="15"/>
        <w:spacing w:line="560" w:lineRule="exact"/>
        <w:ind w:left="0" w:leftChars="0" w:firstLine="0" w:firstLineChars="0"/>
        <w:rPr>
          <w:sz w:val="32"/>
          <w:lang w:val="zh-CN"/>
        </w:rPr>
      </w:pPr>
    </w:p>
    <w:p w14:paraId="3865C209">
      <w:pPr>
        <w:pStyle w:val="15"/>
        <w:spacing w:line="560" w:lineRule="exact"/>
        <w:ind w:left="0" w:leftChars="0" w:firstLine="0" w:firstLineChars="0"/>
        <w:rPr>
          <w:sz w:val="32"/>
          <w:lang w:val="zh-CN"/>
        </w:rPr>
      </w:pPr>
    </w:p>
    <w:p w14:paraId="04343E6A">
      <w:pPr>
        <w:pStyle w:val="15"/>
        <w:spacing w:line="560" w:lineRule="exact"/>
        <w:ind w:left="0" w:leftChars="0" w:firstLine="0" w:firstLineChars="0"/>
        <w:rPr>
          <w:sz w:val="32"/>
          <w:lang w:val="zh-CN"/>
        </w:rPr>
      </w:pPr>
    </w:p>
    <w:p w14:paraId="1A419B15">
      <w:pPr>
        <w:pStyle w:val="15"/>
        <w:spacing w:line="560" w:lineRule="exact"/>
        <w:ind w:left="0" w:leftChars="0" w:firstLine="0" w:firstLineChars="0"/>
        <w:rPr>
          <w:sz w:val="32"/>
          <w:lang w:val="zh-CN"/>
        </w:rPr>
      </w:pPr>
    </w:p>
    <w:p w14:paraId="456ADBB4">
      <w:pPr>
        <w:pStyle w:val="15"/>
        <w:spacing w:line="560" w:lineRule="exact"/>
        <w:ind w:left="0" w:leftChars="0" w:firstLine="0" w:firstLineChars="0"/>
        <w:rPr>
          <w:sz w:val="32"/>
          <w:lang w:val="zh-CN"/>
        </w:rPr>
      </w:pPr>
    </w:p>
    <w:p w14:paraId="6955B0D1">
      <w:pPr>
        <w:pStyle w:val="15"/>
        <w:spacing w:line="560" w:lineRule="exact"/>
        <w:ind w:left="0" w:leftChars="0" w:firstLine="0" w:firstLineChars="0"/>
        <w:rPr>
          <w:sz w:val="32"/>
          <w:lang w:val="zh-CN"/>
        </w:rPr>
      </w:pPr>
    </w:p>
    <w:p w14:paraId="4D259557">
      <w:pPr>
        <w:pStyle w:val="15"/>
        <w:spacing w:line="560" w:lineRule="exact"/>
        <w:ind w:left="0" w:leftChars="0" w:firstLine="0" w:firstLineChars="0"/>
        <w:rPr>
          <w:sz w:val="32"/>
          <w:lang w:val="zh-CN"/>
        </w:rPr>
      </w:pPr>
    </w:p>
    <w:p w14:paraId="037D4D26">
      <w:pPr>
        <w:pStyle w:val="15"/>
        <w:spacing w:line="560" w:lineRule="exact"/>
        <w:ind w:left="0" w:leftChars="0" w:firstLine="0" w:firstLineChars="0"/>
        <w:rPr>
          <w:sz w:val="32"/>
          <w:lang w:val="zh-CN"/>
        </w:rPr>
      </w:pPr>
    </w:p>
    <w:p w14:paraId="51954C81">
      <w:pPr>
        <w:pStyle w:val="15"/>
        <w:spacing w:line="560" w:lineRule="exact"/>
        <w:ind w:left="0" w:leftChars="0" w:firstLine="0" w:firstLineChars="0"/>
        <w:rPr>
          <w:sz w:val="32"/>
          <w:lang w:val="zh-CN"/>
        </w:rPr>
      </w:pPr>
    </w:p>
    <w:p w14:paraId="155770E5">
      <w:pPr>
        <w:pStyle w:val="15"/>
        <w:spacing w:line="560" w:lineRule="exact"/>
        <w:ind w:left="0" w:leftChars="0" w:firstLine="0" w:firstLineChars="0"/>
        <w:rPr>
          <w:sz w:val="32"/>
          <w:lang w:val="zh-CN"/>
        </w:rPr>
      </w:pPr>
    </w:p>
    <w:p w14:paraId="6F506E6B">
      <w:pPr>
        <w:pStyle w:val="15"/>
        <w:spacing w:line="560" w:lineRule="exact"/>
        <w:ind w:left="0" w:leftChars="0" w:firstLine="0" w:firstLineChars="0"/>
        <w:rPr>
          <w:sz w:val="32"/>
          <w:lang w:val="zh-CN"/>
        </w:rPr>
      </w:pPr>
    </w:p>
    <w:p w14:paraId="23D58290">
      <w:pPr>
        <w:pStyle w:val="15"/>
        <w:spacing w:line="560" w:lineRule="exact"/>
        <w:ind w:left="0" w:leftChars="0" w:firstLine="0" w:firstLineChars="0"/>
        <w:rPr>
          <w:sz w:val="32"/>
          <w:lang w:val="zh-CN"/>
        </w:rPr>
      </w:pPr>
    </w:p>
    <w:p w14:paraId="27D003E1">
      <w:pPr>
        <w:pStyle w:val="15"/>
        <w:spacing w:line="560" w:lineRule="exact"/>
        <w:ind w:left="0" w:leftChars="0" w:firstLine="0" w:firstLineChars="0"/>
        <w:rPr>
          <w:sz w:val="32"/>
          <w:lang w:val="zh-CN"/>
        </w:rPr>
      </w:pPr>
    </w:p>
    <w:p w14:paraId="136B66AB">
      <w:pPr>
        <w:pStyle w:val="15"/>
        <w:spacing w:line="560" w:lineRule="exact"/>
        <w:ind w:left="0" w:leftChars="0" w:firstLine="0" w:firstLineChars="0"/>
        <w:rPr>
          <w:sz w:val="32"/>
          <w:lang w:val="zh-CN"/>
        </w:rPr>
      </w:pPr>
    </w:p>
    <w:p w14:paraId="5C85B973">
      <w:pPr>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8"/>
          <w:sz w:val="40"/>
          <w:szCs w:val="40"/>
        </w:rPr>
        <w:t>剑阁县人民政府办公室</w:t>
      </w:r>
    </w:p>
    <w:p w14:paraId="3F89FE46">
      <w:pPr>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spacing w:val="-7"/>
          <w:sz w:val="40"/>
          <w:szCs w:val="40"/>
        </w:rPr>
      </w:pPr>
      <w:r>
        <w:rPr>
          <w:rFonts w:hint="eastAsia" w:ascii="方正小标宋简体" w:hAnsi="方正小标宋简体" w:eastAsia="方正小标宋简体" w:cs="方正小标宋简体"/>
          <w:b w:val="0"/>
          <w:bCs w:val="0"/>
          <w:spacing w:val="-7"/>
          <w:sz w:val="40"/>
          <w:szCs w:val="40"/>
        </w:rPr>
        <w:t>202</w:t>
      </w:r>
      <w:r>
        <w:rPr>
          <w:rFonts w:hint="eastAsia" w:ascii="方正小标宋简体" w:hAnsi="方正小标宋简体" w:eastAsia="方正小标宋简体" w:cs="方正小标宋简体"/>
          <w:b w:val="0"/>
          <w:bCs w:val="0"/>
          <w:spacing w:val="-7"/>
          <w:sz w:val="40"/>
          <w:szCs w:val="40"/>
          <w:lang w:val="en-US" w:eastAsia="zh-CN"/>
        </w:rPr>
        <w:t>2</w:t>
      </w:r>
      <w:r>
        <w:rPr>
          <w:rFonts w:hint="eastAsia" w:ascii="方正小标宋简体" w:hAnsi="方正小标宋简体" w:eastAsia="方正小标宋简体" w:cs="方正小标宋简体"/>
          <w:b w:val="0"/>
          <w:bCs w:val="0"/>
          <w:spacing w:val="-7"/>
          <w:sz w:val="40"/>
          <w:szCs w:val="40"/>
        </w:rPr>
        <w:t>年项目支出绩效自评报告</w:t>
      </w:r>
    </w:p>
    <w:p w14:paraId="407B4621">
      <w:pPr>
        <w:pStyle w:val="5"/>
        <w:rPr>
          <w:rFonts w:hint="eastAsia"/>
        </w:rPr>
      </w:pPr>
    </w:p>
    <w:p w14:paraId="2CFFC17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5" w:firstLineChars="200"/>
        <w:jc w:val="both"/>
        <w:textAlignment w:val="baseline"/>
        <w:outlineLvl w:val="1"/>
        <w:rPr>
          <w:rFonts w:hint="eastAsia" w:ascii="黑体" w:hAnsi="黑体" w:eastAsia="黑体" w:cs="黑体"/>
          <w:b/>
          <w:bCs/>
          <w:sz w:val="32"/>
          <w:szCs w:val="32"/>
        </w:rPr>
      </w:pPr>
      <w:bookmarkStart w:id="61" w:name="_Toc17493"/>
      <w:r>
        <w:rPr>
          <w:rFonts w:hint="eastAsia" w:ascii="黑体" w:hAnsi="黑体" w:eastAsia="黑体" w:cs="黑体"/>
          <w:b/>
          <w:bCs/>
          <w:spacing w:val="-7"/>
          <w:sz w:val="32"/>
          <w:szCs w:val="32"/>
        </w:rPr>
        <w:t>一、项目概况</w:t>
      </w:r>
      <w:bookmarkEnd w:id="61"/>
    </w:p>
    <w:p w14:paraId="3EADD17B">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9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(一)项目资金申报及批复情况。决策依据：根据年初预算编制</w:t>
      </w:r>
      <w:r>
        <w:rPr>
          <w:rFonts w:hint="eastAsia" w:ascii="仿宋_GB2312" w:hAnsi="仿宋_GB2312" w:eastAsia="仿宋_GB2312" w:cs="仿宋_GB2312"/>
          <w:b w:val="0"/>
          <w:bCs w:val="0"/>
          <w:spacing w:val="-14"/>
          <w:sz w:val="32"/>
          <w:szCs w:val="32"/>
        </w:rPr>
        <w:t>预算方案，县政府办申报</w:t>
      </w:r>
      <w:r>
        <w:rPr>
          <w:rFonts w:hint="default" w:ascii="仿宋_GB2312" w:hAnsi="仿宋_GB2312" w:eastAsia="仿宋_GB2312" w:cs="仿宋_GB2312"/>
          <w:b w:val="0"/>
          <w:bCs w:val="0"/>
          <w:spacing w:val="-14"/>
          <w:sz w:val="32"/>
          <w:szCs w:val="32"/>
          <w:lang w:val="en" w:eastAsia="zh-CN"/>
        </w:rPr>
        <w:t>招商引资</w:t>
      </w:r>
      <w:r>
        <w:rPr>
          <w:rFonts w:hint="eastAsia" w:ascii="仿宋_GB2312" w:hAnsi="仿宋_GB2312" w:eastAsia="仿宋_GB2312" w:cs="仿宋_GB2312"/>
          <w:b w:val="0"/>
          <w:bCs w:val="0"/>
          <w:spacing w:val="-14"/>
          <w:sz w:val="32"/>
          <w:szCs w:val="32"/>
        </w:rPr>
        <w:t>经费</w:t>
      </w:r>
      <w:r>
        <w:rPr>
          <w:rFonts w:hint="eastAsia" w:ascii="仿宋_GB2312" w:hAnsi="仿宋_GB2312" w:eastAsia="仿宋_GB2312" w:cs="仿宋_GB2312"/>
          <w:b w:val="0"/>
          <w:bCs w:val="0"/>
          <w:spacing w:val="-14"/>
          <w:sz w:val="32"/>
          <w:szCs w:val="32"/>
          <w:lang w:val="en-US" w:eastAsia="zh-CN"/>
        </w:rPr>
        <w:t>20</w:t>
      </w:r>
      <w:r>
        <w:rPr>
          <w:rFonts w:hint="eastAsia" w:ascii="仿宋_GB2312" w:hAnsi="仿宋_GB2312" w:eastAsia="仿宋_GB2312" w:cs="仿宋_GB2312"/>
          <w:b w:val="0"/>
          <w:bCs w:val="0"/>
          <w:spacing w:val="-14"/>
          <w:sz w:val="32"/>
          <w:szCs w:val="32"/>
        </w:rPr>
        <w:t>万元，县财政</w:t>
      </w:r>
      <w:r>
        <w:rPr>
          <w:rFonts w:hint="eastAsia" w:ascii="仿宋_GB2312" w:hAnsi="仿宋_GB2312" w:eastAsia="仿宋_GB2312" w:cs="仿宋_GB2312"/>
          <w:b w:val="0"/>
          <w:bCs w:val="0"/>
          <w:spacing w:val="-14"/>
          <w:sz w:val="32"/>
          <w:szCs w:val="32"/>
          <w:lang w:eastAsia="zh-CN"/>
        </w:rPr>
        <w:t>足额</w:t>
      </w:r>
      <w:r>
        <w:rPr>
          <w:rFonts w:hint="eastAsia" w:ascii="仿宋_GB2312" w:hAnsi="仿宋_GB2312" w:eastAsia="仿宋_GB2312" w:cs="仿宋_GB2312"/>
          <w:b w:val="0"/>
          <w:bCs w:val="0"/>
          <w:spacing w:val="-14"/>
          <w:sz w:val="32"/>
          <w:szCs w:val="32"/>
        </w:rPr>
        <w:t>预算到本</w:t>
      </w:r>
      <w:r>
        <w:rPr>
          <w:rFonts w:hint="eastAsia" w:ascii="仿宋_GB2312" w:hAnsi="仿宋_GB2312" w:eastAsia="仿宋_GB2312" w:cs="仿宋_GB2312"/>
          <w:b w:val="0"/>
          <w:bCs w:val="0"/>
          <w:spacing w:val="-15"/>
          <w:sz w:val="32"/>
          <w:szCs w:val="32"/>
        </w:rPr>
        <w:t>单位。</w:t>
      </w:r>
    </w:p>
    <w:p w14:paraId="4769D5FC">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outlineLvl w:val="2"/>
        <w:rPr>
          <w:rFonts w:hint="eastAsia" w:ascii="仿宋_GB2312" w:hAnsi="仿宋_GB2312" w:eastAsia="仿宋_GB2312" w:cs="仿宋_GB2312"/>
          <w:b w:val="0"/>
          <w:bCs w:val="0"/>
          <w:sz w:val="32"/>
          <w:szCs w:val="32"/>
        </w:rPr>
      </w:pPr>
      <w:bookmarkStart w:id="62" w:name="_Toc3875"/>
      <w:r>
        <w:rPr>
          <w:rFonts w:hint="eastAsia" w:ascii="仿宋_GB2312" w:hAnsi="仿宋_GB2312" w:eastAsia="仿宋_GB2312" w:cs="仿宋_GB2312"/>
          <w:b w:val="0"/>
          <w:bCs w:val="0"/>
          <w:spacing w:val="1"/>
          <w:sz w:val="32"/>
          <w:szCs w:val="32"/>
        </w:rPr>
        <w:t>(二)项目绩效目标。</w:t>
      </w:r>
      <w:bookmarkEnd w:id="62"/>
    </w:p>
    <w:p w14:paraId="143B1E0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92" w:firstLineChars="200"/>
        <w:jc w:val="both"/>
        <w:textAlignment w:val="baseline"/>
        <w:rPr>
          <w:rFonts w:hint="eastAsia" w:ascii="仿宋_GB2312" w:hAnsi="仿宋_GB2312" w:eastAsia="仿宋_GB2312" w:cs="仿宋_GB2312"/>
          <w:b w:val="0"/>
          <w:bCs w:val="0"/>
          <w:spacing w:val="-12"/>
          <w:sz w:val="32"/>
          <w:szCs w:val="32"/>
          <w:lang w:eastAsia="zh-CN"/>
        </w:rPr>
      </w:pPr>
      <w:bookmarkStart w:id="63" w:name="_Toc9123"/>
      <w:r>
        <w:rPr>
          <w:rFonts w:hint="eastAsia" w:ascii="仿宋_GB2312" w:hAnsi="仿宋_GB2312" w:eastAsia="仿宋_GB2312" w:cs="仿宋_GB2312"/>
          <w:b w:val="0"/>
          <w:bCs w:val="0"/>
          <w:spacing w:val="-12"/>
          <w:sz w:val="32"/>
          <w:szCs w:val="32"/>
          <w:lang w:val="en-US" w:eastAsia="zh-CN"/>
        </w:rPr>
        <w:t>县政府办公室始终坚持以习近平新时代中国特色社会主义思想为指导，深入学习贯彻党的二十大精神，围绕县委“1233”执政兴县战略，</w:t>
      </w:r>
      <w:r>
        <w:rPr>
          <w:rFonts w:hint="eastAsia" w:ascii="仿宋_GB2312" w:hAnsi="仿宋_GB2312" w:eastAsia="仿宋_GB2312" w:cs="仿宋_GB2312"/>
          <w:b w:val="0"/>
          <w:bCs w:val="0"/>
          <w:spacing w:val="-12"/>
          <w:sz w:val="32"/>
          <w:szCs w:val="32"/>
        </w:rPr>
        <w:t>加快建设社会主义现代化新剑阁“一个总体目标”，突出绿色发展、追赶跨越“两大发展取向”，坚持工业富县、文旅兴县、农业强县“三条工作路径”</w:t>
      </w:r>
      <w:r>
        <w:rPr>
          <w:rFonts w:hint="eastAsia" w:ascii="仿宋_GB2312" w:hAnsi="仿宋_GB2312" w:eastAsia="仿宋_GB2312" w:cs="仿宋_GB2312"/>
          <w:b w:val="0"/>
          <w:bCs w:val="0"/>
          <w:spacing w:val="-12"/>
          <w:sz w:val="32"/>
          <w:szCs w:val="32"/>
          <w:lang w:eastAsia="zh-CN"/>
        </w:rPr>
        <w:t>。</w:t>
      </w:r>
    </w:p>
    <w:p w14:paraId="6A8845CD">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92" w:firstLineChars="200"/>
        <w:jc w:val="both"/>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(三)项目资金申报相符性。项目申报内容与具体实施内容相符、</w:t>
      </w:r>
      <w:bookmarkEnd w:id="63"/>
      <w:r>
        <w:rPr>
          <w:rFonts w:hint="eastAsia" w:ascii="仿宋_GB2312" w:hAnsi="仿宋_GB2312" w:eastAsia="仿宋_GB2312" w:cs="仿宋_GB2312"/>
          <w:b w:val="0"/>
          <w:bCs w:val="0"/>
          <w:spacing w:val="-12"/>
          <w:sz w:val="32"/>
          <w:szCs w:val="32"/>
        </w:rPr>
        <w:t>申报目标合理可行。</w:t>
      </w:r>
    </w:p>
    <w:p w14:paraId="053C3628">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5" w:firstLineChars="200"/>
        <w:jc w:val="both"/>
        <w:textAlignment w:val="baseline"/>
        <w:outlineLvl w:val="1"/>
        <w:rPr>
          <w:rFonts w:hint="eastAsia" w:ascii="黑体" w:hAnsi="黑体" w:eastAsia="黑体" w:cs="黑体"/>
          <w:b/>
          <w:bCs/>
          <w:spacing w:val="-7"/>
          <w:sz w:val="32"/>
          <w:szCs w:val="32"/>
        </w:rPr>
      </w:pPr>
      <w:bookmarkStart w:id="64" w:name="_Toc6105"/>
      <w:r>
        <w:rPr>
          <w:rFonts w:hint="eastAsia" w:ascii="黑体" w:hAnsi="黑体" w:eastAsia="黑体" w:cs="黑体"/>
          <w:b/>
          <w:bCs/>
          <w:spacing w:val="-7"/>
          <w:sz w:val="32"/>
          <w:szCs w:val="32"/>
        </w:rPr>
        <w:t>二、项目实施及管理情况</w:t>
      </w:r>
      <w:bookmarkEnd w:id="64"/>
    </w:p>
    <w:p w14:paraId="1271BE42">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8" w:firstLineChars="200"/>
        <w:jc w:val="both"/>
        <w:textAlignment w:val="baseline"/>
        <w:outlineLvl w:val="2"/>
        <w:rPr>
          <w:rFonts w:hint="eastAsia" w:ascii="仿宋_GB2312" w:hAnsi="仿宋_GB2312" w:eastAsia="仿宋_GB2312" w:cs="仿宋_GB2312"/>
          <w:b w:val="0"/>
          <w:bCs w:val="0"/>
          <w:sz w:val="32"/>
          <w:szCs w:val="32"/>
        </w:rPr>
      </w:pPr>
      <w:bookmarkStart w:id="65" w:name="_Toc13514"/>
      <w:r>
        <w:rPr>
          <w:rFonts w:hint="eastAsia" w:ascii="仿宋_GB2312" w:hAnsi="仿宋_GB2312" w:eastAsia="仿宋_GB2312" w:cs="仿宋_GB2312"/>
          <w:b w:val="0"/>
          <w:bCs w:val="0"/>
          <w:spacing w:val="-3"/>
          <w:sz w:val="32"/>
          <w:szCs w:val="32"/>
        </w:rPr>
        <w:t>(一)资金计划、到位及使用情况。</w:t>
      </w:r>
      <w:bookmarkEnd w:id="65"/>
    </w:p>
    <w:p w14:paraId="3DCA6F9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9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1、资金计划及到位。</w:t>
      </w:r>
      <w:r>
        <w:rPr>
          <w:rFonts w:hint="eastAsia" w:ascii="仿宋_GB2312" w:hAnsi="仿宋_GB2312" w:eastAsia="仿宋_GB2312" w:cs="仿宋_GB2312"/>
          <w:b w:val="0"/>
          <w:bCs w:val="0"/>
          <w:spacing w:val="-11"/>
          <w:sz w:val="32"/>
          <w:szCs w:val="32"/>
          <w:lang w:eastAsia="zh-CN"/>
        </w:rPr>
        <w:t>招商引资</w:t>
      </w:r>
      <w:r>
        <w:rPr>
          <w:rFonts w:hint="eastAsia" w:ascii="仿宋_GB2312" w:hAnsi="仿宋_GB2312" w:eastAsia="仿宋_GB2312" w:cs="仿宋_GB2312"/>
          <w:b w:val="0"/>
          <w:bCs w:val="0"/>
          <w:spacing w:val="-11"/>
          <w:sz w:val="32"/>
          <w:szCs w:val="32"/>
        </w:rPr>
        <w:t>经费年初预算资金</w:t>
      </w:r>
      <w:r>
        <w:rPr>
          <w:rFonts w:hint="eastAsia" w:ascii="仿宋_GB2312" w:hAnsi="仿宋_GB2312" w:eastAsia="仿宋_GB2312" w:cs="仿宋_GB2312"/>
          <w:b w:val="0"/>
          <w:bCs w:val="0"/>
          <w:spacing w:val="-11"/>
          <w:sz w:val="32"/>
          <w:szCs w:val="32"/>
          <w:lang w:val="en-US" w:eastAsia="zh-CN"/>
        </w:rPr>
        <w:t>20</w:t>
      </w:r>
      <w:r>
        <w:rPr>
          <w:rFonts w:hint="eastAsia" w:ascii="仿宋_GB2312" w:hAnsi="仿宋_GB2312" w:eastAsia="仿宋_GB2312" w:cs="仿宋_GB2312"/>
          <w:b w:val="0"/>
          <w:bCs w:val="0"/>
          <w:spacing w:val="-11"/>
          <w:sz w:val="32"/>
          <w:szCs w:val="32"/>
        </w:rPr>
        <w:t>万元。</w:t>
      </w:r>
      <w:r>
        <w:rPr>
          <w:rFonts w:hint="eastAsia" w:ascii="仿宋_GB2312" w:hAnsi="仿宋_GB2312" w:eastAsia="仿宋_GB2312" w:cs="仿宋_GB2312"/>
          <w:b w:val="0"/>
          <w:bCs w:val="0"/>
          <w:spacing w:val="-9"/>
          <w:sz w:val="32"/>
          <w:szCs w:val="32"/>
        </w:rPr>
        <w:t>在实施过程中，申请并批复资金共计</w:t>
      </w:r>
      <w:r>
        <w:rPr>
          <w:rFonts w:hint="eastAsia" w:ascii="仿宋_GB2312" w:hAnsi="仿宋_GB2312" w:eastAsia="仿宋_GB2312" w:cs="仿宋_GB2312"/>
          <w:b w:val="0"/>
          <w:bCs w:val="0"/>
          <w:spacing w:val="-9"/>
          <w:sz w:val="32"/>
          <w:szCs w:val="32"/>
          <w:lang w:val="en-US" w:eastAsia="zh-CN"/>
        </w:rPr>
        <w:t>20</w:t>
      </w:r>
      <w:r>
        <w:rPr>
          <w:rFonts w:hint="eastAsia" w:ascii="仿宋_GB2312" w:hAnsi="仿宋_GB2312" w:eastAsia="仿宋_GB2312" w:cs="仿宋_GB2312"/>
          <w:b w:val="0"/>
          <w:bCs w:val="0"/>
          <w:spacing w:val="-9"/>
          <w:sz w:val="32"/>
          <w:szCs w:val="32"/>
        </w:rPr>
        <w:t>万元。</w:t>
      </w:r>
    </w:p>
    <w:p w14:paraId="4001638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8"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2、资金使用。截至202</w:t>
      </w:r>
      <w:r>
        <w:rPr>
          <w:rFonts w:hint="eastAsia" w:ascii="仿宋_GB2312" w:hAnsi="仿宋_GB2312" w:eastAsia="仿宋_GB2312" w:cs="仿宋_GB2312"/>
          <w:b w:val="0"/>
          <w:bCs w:val="0"/>
          <w:spacing w:val="-8"/>
          <w:sz w:val="32"/>
          <w:szCs w:val="32"/>
          <w:lang w:val="en-US" w:eastAsia="zh-CN"/>
        </w:rPr>
        <w:t>2</w:t>
      </w:r>
      <w:r>
        <w:rPr>
          <w:rFonts w:hint="eastAsia" w:ascii="仿宋_GB2312" w:hAnsi="仿宋_GB2312" w:eastAsia="仿宋_GB2312" w:cs="仿宋_GB2312"/>
          <w:b w:val="0"/>
          <w:bCs w:val="0"/>
          <w:spacing w:val="-8"/>
          <w:sz w:val="32"/>
          <w:szCs w:val="32"/>
        </w:rPr>
        <w:t>年12月底，</w:t>
      </w:r>
      <w:r>
        <w:rPr>
          <w:rFonts w:hint="eastAsia" w:ascii="仿宋_GB2312" w:hAnsi="仿宋_GB2312" w:eastAsia="仿宋_GB2312" w:cs="仿宋_GB2312"/>
          <w:b w:val="0"/>
          <w:bCs w:val="0"/>
          <w:spacing w:val="-8"/>
          <w:sz w:val="32"/>
          <w:szCs w:val="32"/>
          <w:lang w:eastAsia="zh-CN"/>
        </w:rPr>
        <w:t>招商引资</w:t>
      </w:r>
      <w:r>
        <w:rPr>
          <w:rFonts w:hint="eastAsia" w:ascii="仿宋_GB2312" w:hAnsi="仿宋_GB2312" w:eastAsia="仿宋_GB2312" w:cs="仿宋_GB2312"/>
          <w:b w:val="0"/>
          <w:bCs w:val="0"/>
          <w:spacing w:val="-8"/>
          <w:sz w:val="32"/>
          <w:szCs w:val="32"/>
        </w:rPr>
        <w:t>经费已全部</w:t>
      </w:r>
      <w:r>
        <w:rPr>
          <w:rFonts w:hint="eastAsia" w:ascii="仿宋_GB2312" w:hAnsi="仿宋_GB2312" w:eastAsia="仿宋_GB2312" w:cs="仿宋_GB2312"/>
          <w:b w:val="0"/>
          <w:bCs w:val="0"/>
          <w:spacing w:val="-9"/>
          <w:sz w:val="32"/>
          <w:szCs w:val="32"/>
        </w:rPr>
        <w:t>支</w:t>
      </w:r>
      <w:r>
        <w:rPr>
          <w:rFonts w:hint="eastAsia" w:ascii="仿宋_GB2312" w:hAnsi="仿宋_GB2312" w:eastAsia="仿宋_GB2312" w:cs="仿宋_GB2312"/>
          <w:b w:val="0"/>
          <w:bCs w:val="0"/>
          <w:spacing w:val="-10"/>
          <w:sz w:val="32"/>
          <w:szCs w:val="32"/>
        </w:rPr>
        <w:t>出，共计</w:t>
      </w:r>
      <w:r>
        <w:rPr>
          <w:rFonts w:hint="eastAsia" w:ascii="仿宋_GB2312" w:hAnsi="仿宋_GB2312" w:eastAsia="仿宋_GB2312" w:cs="仿宋_GB2312"/>
          <w:b w:val="0"/>
          <w:bCs w:val="0"/>
          <w:spacing w:val="-10"/>
          <w:sz w:val="32"/>
          <w:szCs w:val="32"/>
          <w:lang w:val="en-US" w:eastAsia="zh-CN"/>
        </w:rPr>
        <w:t>20</w:t>
      </w:r>
      <w:r>
        <w:rPr>
          <w:rFonts w:hint="eastAsia" w:ascii="仿宋_GB2312" w:hAnsi="仿宋_GB2312" w:eastAsia="仿宋_GB2312" w:cs="仿宋_GB2312"/>
          <w:b w:val="0"/>
          <w:bCs w:val="0"/>
          <w:spacing w:val="-10"/>
          <w:sz w:val="32"/>
          <w:szCs w:val="32"/>
        </w:rPr>
        <w:t>万元，主要用于：办公费、印刷费、差旅费</w:t>
      </w:r>
      <w:r>
        <w:rPr>
          <w:rFonts w:hint="eastAsia" w:ascii="仿宋_GB2312" w:hAnsi="仿宋_GB2312" w:eastAsia="仿宋_GB2312" w:cs="仿宋_GB2312"/>
          <w:b w:val="0"/>
          <w:bCs w:val="0"/>
          <w:spacing w:val="-10"/>
          <w:sz w:val="32"/>
          <w:szCs w:val="32"/>
          <w:lang w:eastAsia="zh-CN"/>
        </w:rPr>
        <w:t>、其他商品和服务支出</w:t>
      </w:r>
      <w:r>
        <w:rPr>
          <w:rFonts w:hint="eastAsia" w:ascii="仿宋_GB2312" w:hAnsi="仿宋_GB2312" w:eastAsia="仿宋_GB2312" w:cs="仿宋_GB2312"/>
          <w:b w:val="0"/>
          <w:bCs w:val="0"/>
          <w:spacing w:val="-10"/>
          <w:sz w:val="32"/>
          <w:szCs w:val="32"/>
        </w:rPr>
        <w:t>等。</w:t>
      </w:r>
    </w:p>
    <w:p w14:paraId="1925849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outlineLvl w:val="2"/>
        <w:rPr>
          <w:rFonts w:hint="eastAsia" w:ascii="仿宋_GB2312" w:hAnsi="仿宋_GB2312" w:eastAsia="仿宋_GB2312" w:cs="仿宋_GB2312"/>
          <w:b w:val="0"/>
          <w:bCs w:val="0"/>
          <w:sz w:val="32"/>
          <w:szCs w:val="32"/>
        </w:rPr>
      </w:pPr>
      <w:bookmarkStart w:id="66" w:name="_Toc1323"/>
      <w:r>
        <w:rPr>
          <w:rFonts w:hint="eastAsia" w:ascii="仿宋_GB2312" w:hAnsi="仿宋_GB2312" w:eastAsia="仿宋_GB2312" w:cs="仿宋_GB2312"/>
          <w:b w:val="0"/>
          <w:bCs w:val="0"/>
          <w:spacing w:val="-1"/>
          <w:sz w:val="32"/>
          <w:szCs w:val="32"/>
        </w:rPr>
        <w:t>(二)项目财务管理情况。</w:t>
      </w:r>
      <w:bookmarkEnd w:id="66"/>
    </w:p>
    <w:p w14:paraId="161E0B08">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84"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val="0"/>
          <w:bCs w:val="0"/>
          <w:spacing w:val="-14"/>
          <w:sz w:val="32"/>
          <w:szCs w:val="32"/>
        </w:rPr>
        <w:t>剑阁县政府办编制有经费报销制度、财务管理制度、项目经费管理制度、内控制度等。项目管理严格执行各项制度，财务处理及时、会计核算规范。</w:t>
      </w:r>
    </w:p>
    <w:p w14:paraId="3F6DD7C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(三)项目组织实施情况。</w:t>
      </w:r>
    </w:p>
    <w:p w14:paraId="763C277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72" w:firstLineChars="200"/>
        <w:jc w:val="both"/>
        <w:textAlignment w:val="baseline"/>
        <w:rPr>
          <w:rFonts w:hint="eastAsia" w:ascii="仿宋_GB2312" w:hAnsi="仿宋_GB2312" w:eastAsia="仿宋_GB2312" w:cs="仿宋_GB2312"/>
          <w:b w:val="0"/>
          <w:bCs w:val="0"/>
          <w:spacing w:val="-17"/>
          <w:sz w:val="32"/>
          <w:szCs w:val="32"/>
          <w:lang w:eastAsia="zh-CN"/>
        </w:rPr>
      </w:pPr>
      <w:r>
        <w:rPr>
          <w:rFonts w:hint="eastAsia" w:ascii="仿宋_GB2312" w:hAnsi="仿宋_GB2312" w:eastAsia="仿宋_GB2312" w:cs="仿宋_GB2312"/>
          <w:b w:val="0"/>
          <w:bCs w:val="0"/>
          <w:spacing w:val="-17"/>
          <w:sz w:val="32"/>
          <w:szCs w:val="32"/>
          <w:lang w:eastAsia="zh-CN"/>
        </w:rPr>
        <w:t>一是加强项目的推介工作，收集整理一批市场潜力大、发展前景好、能体现地区资源优势的特色产业，具有核心竞争力的招引资项目。二是要发挥招商引资项目库的时效性，通国多渠道与各类大型招商活动，或走出去的思想，使项目招商工作实现新的突破。三是提高签约项目的成功率，抓好签约项目的追踪实施工作，努力推进和实施一批新项目。四是完善重点项目跟踪制度，提高签约项目的履约率，认真实行”链式服务“，加强跟进服务，使目前在谈的重大项目落地、落实。</w:t>
      </w:r>
    </w:p>
    <w:p w14:paraId="7E67FC8C">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5" w:firstLineChars="200"/>
        <w:jc w:val="both"/>
        <w:textAlignment w:val="baseline"/>
        <w:outlineLvl w:val="1"/>
        <w:rPr>
          <w:rFonts w:hint="eastAsia" w:ascii="黑体" w:hAnsi="黑体" w:eastAsia="黑体" w:cs="黑体"/>
          <w:b/>
          <w:bCs/>
          <w:spacing w:val="-7"/>
          <w:sz w:val="32"/>
          <w:szCs w:val="32"/>
        </w:rPr>
      </w:pPr>
      <w:bookmarkStart w:id="67" w:name="_Toc8862"/>
      <w:r>
        <w:rPr>
          <w:rFonts w:hint="eastAsia" w:ascii="黑体" w:hAnsi="黑体" w:eastAsia="黑体" w:cs="黑体"/>
          <w:b/>
          <w:bCs/>
          <w:spacing w:val="-7"/>
          <w:sz w:val="32"/>
          <w:szCs w:val="32"/>
        </w:rPr>
        <w:t>三、目标完成情况</w:t>
      </w:r>
      <w:bookmarkEnd w:id="67"/>
    </w:p>
    <w:p w14:paraId="39059877">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outlineLvl w:val="2"/>
        <w:rPr>
          <w:rFonts w:hint="eastAsia" w:ascii="仿宋_GB2312" w:hAnsi="仿宋_GB2312" w:eastAsia="仿宋_GB2312" w:cs="仿宋_GB2312"/>
          <w:b w:val="0"/>
          <w:bCs w:val="0"/>
          <w:sz w:val="32"/>
          <w:szCs w:val="32"/>
        </w:rPr>
      </w:pPr>
      <w:bookmarkStart w:id="68" w:name="_Toc20979"/>
      <w:r>
        <w:rPr>
          <w:rFonts w:hint="eastAsia" w:ascii="仿宋_GB2312" w:hAnsi="仿宋_GB2312" w:eastAsia="仿宋_GB2312" w:cs="仿宋_GB2312"/>
          <w:b w:val="0"/>
          <w:bCs w:val="0"/>
          <w:spacing w:val="-2"/>
          <w:sz w:val="32"/>
          <w:szCs w:val="32"/>
        </w:rPr>
        <w:t>(一)目标任务量完成情况。</w:t>
      </w:r>
      <w:bookmarkEnd w:id="68"/>
    </w:p>
    <w:p w14:paraId="52C22CCC">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92" w:firstLineChars="200"/>
        <w:jc w:val="both"/>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开放型经济突破发展。扎实开展制造业招商引资“百日攻坚”行动，县领导带队外出招商170余次，成功签约项目51个，总投资226亿元，其中亿元以上项目26个，到位市外资金118.2亿元。积极搭建企业家联合会等政企交流平台，总投资100亿元的全省最大单体农业项目优质肉牛全产业链项目签约落地。引进外商直投企业2家，到位外资71.89万美元，外商直接投资实现零突破。积极融入“一带一路”建设，完成外贸自营出口2100万元。剑门关被确认为第九批“中国华侨国际文化交流基地”。</w:t>
      </w:r>
    </w:p>
    <w:p w14:paraId="4D1C7556">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outlineLvl w:val="2"/>
        <w:rPr>
          <w:rFonts w:hint="eastAsia" w:ascii="仿宋_GB2312" w:hAnsi="仿宋_GB2312" w:eastAsia="仿宋_GB2312" w:cs="仿宋_GB2312"/>
          <w:b w:val="0"/>
          <w:bCs w:val="0"/>
          <w:sz w:val="32"/>
          <w:szCs w:val="32"/>
        </w:rPr>
      </w:pPr>
      <w:bookmarkStart w:id="69" w:name="_Toc21146"/>
      <w:r>
        <w:rPr>
          <w:rFonts w:hint="eastAsia" w:ascii="仿宋_GB2312" w:hAnsi="仿宋_GB2312" w:eastAsia="仿宋_GB2312" w:cs="仿宋_GB2312"/>
          <w:b w:val="0"/>
          <w:bCs w:val="0"/>
          <w:spacing w:val="-1"/>
          <w:sz w:val="32"/>
          <w:szCs w:val="32"/>
        </w:rPr>
        <w:t>(二)目标质量完成情况。</w:t>
      </w:r>
      <w:bookmarkEnd w:id="69"/>
    </w:p>
    <w:p w14:paraId="6D87185D">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5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1"/>
          <w:sz w:val="32"/>
          <w:szCs w:val="32"/>
        </w:rPr>
        <w:t>全面完成目标任务，符合全县县情，能促推工作开展。</w:t>
      </w:r>
    </w:p>
    <w:p w14:paraId="47ADFAA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outlineLvl w:val="2"/>
        <w:rPr>
          <w:rFonts w:hint="eastAsia" w:ascii="仿宋_GB2312" w:hAnsi="仿宋_GB2312" w:eastAsia="仿宋_GB2312" w:cs="仿宋_GB2312"/>
          <w:b w:val="0"/>
          <w:bCs w:val="0"/>
          <w:sz w:val="32"/>
          <w:szCs w:val="32"/>
        </w:rPr>
      </w:pPr>
      <w:bookmarkStart w:id="70" w:name="_Toc29599"/>
      <w:r>
        <w:rPr>
          <w:rFonts w:hint="eastAsia" w:ascii="仿宋_GB2312" w:hAnsi="仿宋_GB2312" w:eastAsia="仿宋_GB2312" w:cs="仿宋_GB2312"/>
          <w:b w:val="0"/>
          <w:bCs w:val="0"/>
          <w:spacing w:val="-1"/>
          <w:sz w:val="32"/>
          <w:szCs w:val="32"/>
        </w:rPr>
        <w:t>(三)目标进度完成情况。</w:t>
      </w:r>
      <w:bookmarkEnd w:id="70"/>
    </w:p>
    <w:p w14:paraId="5253456F">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截至202</w:t>
      </w: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rPr>
        <w:t>年12月底，全面完成了目标任务。</w:t>
      </w:r>
    </w:p>
    <w:p w14:paraId="69EA221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5" w:firstLineChars="200"/>
        <w:jc w:val="both"/>
        <w:textAlignment w:val="baseline"/>
        <w:outlineLvl w:val="1"/>
        <w:rPr>
          <w:rFonts w:hint="eastAsia" w:ascii="黑体" w:hAnsi="黑体" w:eastAsia="黑体" w:cs="黑体"/>
          <w:b/>
          <w:bCs/>
          <w:spacing w:val="-7"/>
          <w:sz w:val="32"/>
          <w:szCs w:val="32"/>
        </w:rPr>
      </w:pPr>
      <w:bookmarkStart w:id="71" w:name="_Toc31440"/>
      <w:r>
        <w:rPr>
          <w:rFonts w:hint="eastAsia" w:ascii="黑体" w:hAnsi="黑体" w:eastAsia="黑体" w:cs="黑体"/>
          <w:b/>
          <w:bCs/>
          <w:spacing w:val="-7"/>
          <w:sz w:val="32"/>
          <w:szCs w:val="32"/>
        </w:rPr>
        <w:t>四、问题及建议</w:t>
      </w:r>
      <w:bookmarkEnd w:id="71"/>
    </w:p>
    <w:p w14:paraId="7EA9479A">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8" w:firstLineChars="200"/>
        <w:jc w:val="both"/>
        <w:textAlignment w:val="baseline"/>
        <w:outlineLvl w:val="2"/>
        <w:rPr>
          <w:rFonts w:hint="eastAsia" w:ascii="仿宋_GB2312" w:hAnsi="仿宋_GB2312" w:eastAsia="仿宋_GB2312" w:cs="仿宋_GB2312"/>
          <w:b w:val="0"/>
          <w:bCs w:val="0"/>
          <w:sz w:val="32"/>
          <w:szCs w:val="32"/>
        </w:rPr>
      </w:pPr>
      <w:bookmarkStart w:id="72" w:name="_Toc27887"/>
      <w:r>
        <w:rPr>
          <w:rFonts w:hint="eastAsia" w:ascii="仿宋_GB2312" w:hAnsi="仿宋_GB2312" w:eastAsia="仿宋_GB2312" w:cs="仿宋_GB2312"/>
          <w:b w:val="0"/>
          <w:bCs w:val="0"/>
          <w:spacing w:val="2"/>
          <w:sz w:val="32"/>
          <w:szCs w:val="32"/>
        </w:rPr>
        <w:t>(一)存在的问题。</w:t>
      </w:r>
      <w:bookmarkEnd w:id="72"/>
    </w:p>
    <w:p w14:paraId="3609502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8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5"/>
          <w:sz w:val="32"/>
          <w:szCs w:val="32"/>
        </w:rPr>
        <w:t>项目绩效评价编制质量较低。</w:t>
      </w:r>
    </w:p>
    <w:p w14:paraId="4C370D24">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outlineLvl w:val="2"/>
        <w:rPr>
          <w:rFonts w:hint="eastAsia" w:ascii="仿宋_GB2312" w:hAnsi="仿宋_GB2312" w:eastAsia="仿宋_GB2312" w:cs="仿宋_GB2312"/>
          <w:b w:val="0"/>
          <w:bCs w:val="0"/>
          <w:sz w:val="32"/>
          <w:szCs w:val="32"/>
        </w:rPr>
      </w:pPr>
      <w:bookmarkStart w:id="73" w:name="_Toc27689"/>
      <w:r>
        <w:rPr>
          <w:rFonts w:hint="eastAsia" w:ascii="仿宋_GB2312" w:hAnsi="仿宋_GB2312" w:eastAsia="仿宋_GB2312" w:cs="仿宋_GB2312"/>
          <w:b w:val="0"/>
          <w:bCs w:val="0"/>
          <w:spacing w:val="-1"/>
          <w:sz w:val="32"/>
          <w:szCs w:val="32"/>
        </w:rPr>
        <w:t>(三)相关建议。</w:t>
      </w:r>
      <w:bookmarkEnd w:id="73"/>
    </w:p>
    <w:p w14:paraId="127E1491">
      <w:pPr>
        <w:pStyle w:val="15"/>
        <w:spacing w:line="560" w:lineRule="exact"/>
        <w:ind w:left="0" w:leftChars="0" w:firstLine="870" w:firstLineChars="300"/>
        <w:rPr>
          <w:rFonts w:hint="eastAsia" w:eastAsia="宋体"/>
          <w:sz w:val="32"/>
          <w:lang w:val="zh-CN" w:eastAsia="zh-CN"/>
        </w:rPr>
      </w:pPr>
      <w:r>
        <w:rPr>
          <w:rFonts w:hint="eastAsia" w:hAnsi="仿宋_GB2312" w:eastAsia="仿宋_GB2312" w:cs="仿宋_GB2312"/>
          <w:b w:val="0"/>
          <w:bCs w:val="0"/>
          <w:spacing w:val="-15"/>
          <w:sz w:val="32"/>
          <w:szCs w:val="32"/>
          <w:lang w:eastAsia="zh-CN"/>
        </w:rPr>
        <w:t>无</w:t>
      </w:r>
    </w:p>
    <w:p w14:paraId="56FA4A8D">
      <w:pPr>
        <w:spacing w:line="576" w:lineRule="exact"/>
        <w:jc w:val="center"/>
        <w:rPr>
          <w:rFonts w:hint="eastAsia" w:ascii="黑体" w:hAnsi="黑体" w:eastAsia="黑体" w:cs="宋体"/>
          <w:color w:val="000000"/>
          <w:sz w:val="36"/>
          <w:szCs w:val="36"/>
        </w:rPr>
      </w:pPr>
    </w:p>
    <w:p w14:paraId="0C072E54">
      <w:pPr>
        <w:spacing w:line="576" w:lineRule="exact"/>
        <w:jc w:val="center"/>
        <w:rPr>
          <w:rFonts w:hint="eastAsia" w:ascii="黑体" w:hAnsi="黑体" w:eastAsia="黑体" w:cs="宋体"/>
          <w:color w:val="000000"/>
          <w:sz w:val="36"/>
          <w:szCs w:val="36"/>
        </w:rPr>
      </w:pPr>
    </w:p>
    <w:p w14:paraId="4A7CC04D">
      <w:pPr>
        <w:spacing w:line="576" w:lineRule="exact"/>
        <w:jc w:val="center"/>
        <w:rPr>
          <w:rFonts w:hint="eastAsia" w:ascii="黑体" w:hAnsi="黑体" w:eastAsia="黑体" w:cs="宋体"/>
          <w:color w:val="000000"/>
          <w:sz w:val="36"/>
          <w:szCs w:val="36"/>
        </w:rPr>
      </w:pPr>
    </w:p>
    <w:p w14:paraId="6DCC2C79">
      <w:pPr>
        <w:spacing w:line="576" w:lineRule="exact"/>
        <w:jc w:val="center"/>
        <w:rPr>
          <w:rFonts w:hint="eastAsia" w:ascii="黑体" w:hAnsi="黑体" w:eastAsia="黑体" w:cs="宋体"/>
          <w:color w:val="000000"/>
          <w:sz w:val="36"/>
          <w:szCs w:val="36"/>
        </w:rPr>
      </w:pPr>
    </w:p>
    <w:p w14:paraId="41493007">
      <w:pPr>
        <w:spacing w:line="576" w:lineRule="exact"/>
        <w:jc w:val="center"/>
        <w:rPr>
          <w:rFonts w:hint="eastAsia" w:ascii="黑体" w:hAnsi="黑体" w:eastAsia="黑体" w:cs="宋体"/>
          <w:color w:val="000000"/>
          <w:sz w:val="36"/>
          <w:szCs w:val="36"/>
        </w:rPr>
      </w:pPr>
    </w:p>
    <w:p w14:paraId="6204550D">
      <w:pPr>
        <w:spacing w:line="576" w:lineRule="exact"/>
        <w:jc w:val="center"/>
        <w:rPr>
          <w:rFonts w:hint="eastAsia" w:ascii="黑体" w:hAnsi="黑体" w:eastAsia="黑体" w:cs="宋体"/>
          <w:color w:val="000000"/>
          <w:sz w:val="36"/>
          <w:szCs w:val="36"/>
        </w:rPr>
      </w:pPr>
    </w:p>
    <w:p w14:paraId="0BE93006">
      <w:pPr>
        <w:spacing w:line="576" w:lineRule="exact"/>
        <w:jc w:val="center"/>
        <w:rPr>
          <w:rFonts w:hint="eastAsia" w:ascii="黑体" w:hAnsi="黑体" w:eastAsia="黑体" w:cs="宋体"/>
          <w:color w:val="000000"/>
          <w:sz w:val="36"/>
          <w:szCs w:val="36"/>
        </w:rPr>
      </w:pPr>
    </w:p>
    <w:p w14:paraId="277AEC42">
      <w:pPr>
        <w:spacing w:line="576" w:lineRule="exact"/>
        <w:jc w:val="center"/>
        <w:rPr>
          <w:rFonts w:hint="eastAsia" w:ascii="黑体" w:hAnsi="黑体" w:eastAsia="黑体" w:cs="宋体"/>
          <w:color w:val="000000"/>
          <w:sz w:val="36"/>
          <w:szCs w:val="36"/>
        </w:rPr>
      </w:pPr>
    </w:p>
    <w:p w14:paraId="5512A6CE">
      <w:pPr>
        <w:spacing w:line="576" w:lineRule="exact"/>
        <w:jc w:val="center"/>
        <w:rPr>
          <w:rFonts w:hint="eastAsia" w:ascii="黑体" w:hAnsi="黑体" w:eastAsia="黑体" w:cs="宋体"/>
          <w:color w:val="000000"/>
          <w:sz w:val="36"/>
          <w:szCs w:val="36"/>
        </w:rPr>
      </w:pPr>
    </w:p>
    <w:p w14:paraId="527CB7F8">
      <w:pPr>
        <w:spacing w:line="576" w:lineRule="exact"/>
        <w:jc w:val="center"/>
        <w:rPr>
          <w:rFonts w:hint="eastAsia" w:ascii="黑体" w:hAnsi="黑体" w:eastAsia="黑体" w:cs="宋体"/>
          <w:color w:val="000000"/>
          <w:sz w:val="36"/>
          <w:szCs w:val="36"/>
        </w:rPr>
      </w:pPr>
    </w:p>
    <w:p w14:paraId="232CBF0B">
      <w:pPr>
        <w:spacing w:line="576" w:lineRule="exact"/>
        <w:jc w:val="center"/>
        <w:rPr>
          <w:rFonts w:hint="eastAsia" w:ascii="黑体" w:hAnsi="黑体" w:eastAsia="黑体" w:cs="宋体"/>
          <w:color w:val="000000"/>
          <w:sz w:val="36"/>
          <w:szCs w:val="36"/>
        </w:rPr>
      </w:pPr>
    </w:p>
    <w:p w14:paraId="3C087F19">
      <w:pPr>
        <w:spacing w:line="576" w:lineRule="exact"/>
        <w:jc w:val="center"/>
        <w:rPr>
          <w:rFonts w:hint="eastAsia" w:ascii="黑体" w:hAnsi="黑体" w:eastAsia="黑体" w:cs="宋体"/>
          <w:color w:val="000000"/>
          <w:sz w:val="36"/>
          <w:szCs w:val="36"/>
        </w:rPr>
      </w:pPr>
    </w:p>
    <w:p w14:paraId="404D788B">
      <w:pPr>
        <w:spacing w:line="576" w:lineRule="exact"/>
        <w:jc w:val="center"/>
        <w:rPr>
          <w:rFonts w:hint="eastAsia" w:ascii="黑体" w:hAnsi="黑体" w:eastAsia="黑体" w:cs="宋体"/>
          <w:color w:val="000000"/>
          <w:sz w:val="36"/>
          <w:szCs w:val="36"/>
        </w:rPr>
      </w:pPr>
    </w:p>
    <w:p w14:paraId="36640604">
      <w:pPr>
        <w:spacing w:line="576" w:lineRule="exact"/>
        <w:jc w:val="center"/>
        <w:rPr>
          <w:rFonts w:hint="eastAsia" w:ascii="黑体" w:hAnsi="黑体" w:eastAsia="黑体" w:cs="宋体"/>
          <w:color w:val="000000"/>
          <w:sz w:val="36"/>
          <w:szCs w:val="36"/>
        </w:rPr>
      </w:pPr>
    </w:p>
    <w:p w14:paraId="6DA31539">
      <w:pPr>
        <w:spacing w:line="576" w:lineRule="exact"/>
        <w:jc w:val="center"/>
        <w:rPr>
          <w:rFonts w:hint="eastAsia" w:ascii="黑体" w:hAnsi="黑体" w:eastAsia="黑体" w:cs="宋体"/>
          <w:color w:val="000000"/>
          <w:sz w:val="36"/>
          <w:szCs w:val="36"/>
        </w:rPr>
      </w:pPr>
    </w:p>
    <w:p w14:paraId="0D39534E">
      <w:pPr>
        <w:spacing w:line="576" w:lineRule="exact"/>
        <w:jc w:val="center"/>
        <w:rPr>
          <w:rFonts w:hint="eastAsia" w:ascii="黑体" w:hAnsi="黑体" w:eastAsia="黑体" w:cs="宋体"/>
          <w:color w:val="000000"/>
          <w:sz w:val="36"/>
          <w:szCs w:val="36"/>
        </w:rPr>
      </w:pPr>
    </w:p>
    <w:p w14:paraId="45DDA7C8">
      <w:pPr>
        <w:spacing w:line="576" w:lineRule="exact"/>
        <w:jc w:val="center"/>
        <w:rPr>
          <w:rFonts w:hint="eastAsia" w:ascii="黑体" w:hAnsi="黑体" w:eastAsia="黑体" w:cs="宋体"/>
          <w:color w:val="000000"/>
          <w:sz w:val="36"/>
          <w:szCs w:val="36"/>
        </w:rPr>
      </w:pPr>
    </w:p>
    <w:p w14:paraId="0AF94156">
      <w:pPr>
        <w:spacing w:line="576" w:lineRule="exact"/>
        <w:jc w:val="center"/>
        <w:rPr>
          <w:rFonts w:hint="eastAsia" w:ascii="黑体" w:hAnsi="黑体" w:eastAsia="黑体" w:cs="宋体"/>
          <w:color w:val="000000"/>
          <w:sz w:val="36"/>
          <w:szCs w:val="36"/>
        </w:rPr>
      </w:pPr>
    </w:p>
    <w:p w14:paraId="1B44A7D3">
      <w:pPr>
        <w:spacing w:line="576" w:lineRule="exact"/>
        <w:jc w:val="center"/>
        <w:rPr>
          <w:rFonts w:hint="eastAsia" w:ascii="黑体" w:hAnsi="黑体" w:eastAsia="黑体" w:cs="宋体"/>
          <w:color w:val="000000"/>
          <w:sz w:val="36"/>
          <w:szCs w:val="36"/>
          <w:lang w:eastAsia="zh-CN"/>
        </w:rPr>
      </w:pPr>
      <w:r>
        <w:rPr>
          <w:rFonts w:hint="eastAsia" w:ascii="黑体" w:hAnsi="黑体" w:eastAsia="黑体" w:cs="宋体"/>
          <w:color w:val="000000"/>
          <w:sz w:val="36"/>
          <w:szCs w:val="36"/>
          <w:lang w:eastAsia="zh-CN"/>
        </w:rPr>
        <w:t>剑阁县人民政府办公室</w:t>
      </w:r>
    </w:p>
    <w:p w14:paraId="124FBD05">
      <w:pPr>
        <w:spacing w:line="576" w:lineRule="exact"/>
        <w:jc w:val="center"/>
        <w:rPr>
          <w:rFonts w:ascii="黑体" w:hAnsi="黑体" w:eastAsia="黑体"/>
          <w:sz w:val="36"/>
          <w:szCs w:val="36"/>
        </w:rPr>
      </w:pPr>
      <w:r>
        <w:rPr>
          <w:rFonts w:hint="eastAsia" w:ascii="黑体" w:hAnsi="黑体" w:eastAsia="黑体" w:cs="宋体"/>
          <w:color w:val="000000"/>
          <w:sz w:val="36"/>
          <w:szCs w:val="36"/>
        </w:rPr>
        <w:t>2022年</w:t>
      </w:r>
      <w:r>
        <w:rPr>
          <w:rFonts w:hint="eastAsia" w:ascii="黑体" w:hAnsi="黑体" w:eastAsia="黑体" w:cs="宋体"/>
          <w:color w:val="000000"/>
          <w:sz w:val="36"/>
          <w:szCs w:val="36"/>
          <w:lang w:eastAsia="zh-CN"/>
        </w:rPr>
        <w:t>招商引资</w:t>
      </w:r>
      <w:r>
        <w:rPr>
          <w:rFonts w:hint="eastAsia" w:ascii="黑体" w:hAnsi="黑体" w:eastAsia="黑体" w:cs="宋体"/>
          <w:color w:val="000000"/>
          <w:sz w:val="36"/>
          <w:szCs w:val="36"/>
        </w:rPr>
        <w:t>项目绩效自评表</w:t>
      </w:r>
    </w:p>
    <w:p w14:paraId="0643D3FC">
      <w:pPr>
        <w:pStyle w:val="5"/>
        <w:spacing w:before="93"/>
        <w:rPr>
          <w:rFonts w:hAnsi="宋体" w:cs="宋体"/>
          <w:sz w:val="32"/>
          <w:szCs w:val="32"/>
          <w:shd w:val="clear" w:color="auto" w:fill="FFFFFF"/>
          <w:lang w:val="zh-CN"/>
        </w:rPr>
      </w:pPr>
    </w:p>
    <w:tbl>
      <w:tblPr>
        <w:tblStyle w:val="37"/>
        <w:tblW w:w="92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008"/>
        <w:gridCol w:w="1010"/>
        <w:gridCol w:w="1349"/>
        <w:gridCol w:w="2359"/>
        <w:gridCol w:w="2486"/>
      </w:tblGrid>
      <w:tr w14:paraId="09398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16" w:type="dxa"/>
            <w:vAlign w:val="center"/>
          </w:tcPr>
          <w:p w14:paraId="5568F958">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主管部门</w:t>
            </w:r>
            <w:r>
              <w:rPr>
                <w:rFonts w:hint="eastAsia" w:ascii="宋体" w:hAnsi="宋体" w:eastAsia="宋体" w:cs="宋体"/>
                <w:b w:val="0"/>
                <w:bCs w:val="0"/>
                <w:spacing w:val="-2"/>
                <w:sz w:val="24"/>
                <w:szCs w:val="24"/>
              </w:rPr>
              <w:t>及代码</w:t>
            </w:r>
          </w:p>
        </w:tc>
        <w:tc>
          <w:tcPr>
            <w:tcW w:w="3367" w:type="dxa"/>
            <w:gridSpan w:val="3"/>
            <w:vAlign w:val="center"/>
          </w:tcPr>
          <w:p w14:paraId="2917A104">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剑阁县人民政府办公室-108</w:t>
            </w:r>
          </w:p>
        </w:tc>
        <w:tc>
          <w:tcPr>
            <w:tcW w:w="2359" w:type="dxa"/>
            <w:vAlign w:val="center"/>
          </w:tcPr>
          <w:p w14:paraId="519E029D">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实施单位</w:t>
            </w:r>
          </w:p>
        </w:tc>
        <w:tc>
          <w:tcPr>
            <w:tcW w:w="2486" w:type="dxa"/>
            <w:vAlign w:val="center"/>
          </w:tcPr>
          <w:p w14:paraId="42AB165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剑阁县人民政府办公室</w:t>
            </w:r>
          </w:p>
        </w:tc>
      </w:tr>
      <w:tr w14:paraId="4A30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restart"/>
            <w:tcBorders>
              <w:bottom w:val="nil"/>
            </w:tcBorders>
            <w:vAlign w:val="center"/>
          </w:tcPr>
          <w:p w14:paraId="12CAC5F9">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项目预算执行情况</w:t>
            </w:r>
            <w:r>
              <w:rPr>
                <w:rFonts w:hint="eastAsia" w:ascii="宋体" w:hAnsi="宋体" w:eastAsia="宋体" w:cs="宋体"/>
                <w:b w:val="0"/>
                <w:bCs w:val="0"/>
                <w:spacing w:val="7"/>
                <w:sz w:val="24"/>
                <w:szCs w:val="24"/>
              </w:rPr>
              <w:t>(万元)</w:t>
            </w:r>
          </w:p>
        </w:tc>
        <w:tc>
          <w:tcPr>
            <w:tcW w:w="2018" w:type="dxa"/>
            <w:gridSpan w:val="2"/>
            <w:vAlign w:val="center"/>
          </w:tcPr>
          <w:p w14:paraId="7E5D2F36">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6"/>
                <w:sz w:val="24"/>
                <w:szCs w:val="24"/>
              </w:rPr>
              <w:t>预算数：</w:t>
            </w:r>
          </w:p>
        </w:tc>
        <w:tc>
          <w:tcPr>
            <w:tcW w:w="1349" w:type="dxa"/>
            <w:vAlign w:val="center"/>
          </w:tcPr>
          <w:p w14:paraId="12DB0929">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cs="宋体"/>
                <w:b w:val="0"/>
                <w:bCs w:val="0"/>
                <w:spacing w:val="-3"/>
                <w:sz w:val="24"/>
                <w:szCs w:val="24"/>
                <w:lang w:val="en-US" w:eastAsia="zh-CN"/>
              </w:rPr>
              <w:t>20</w:t>
            </w:r>
          </w:p>
        </w:tc>
        <w:tc>
          <w:tcPr>
            <w:tcW w:w="2359" w:type="dxa"/>
            <w:vAlign w:val="center"/>
          </w:tcPr>
          <w:p w14:paraId="6F6E258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6"/>
                <w:sz w:val="24"/>
                <w:szCs w:val="24"/>
              </w:rPr>
              <w:t>执行数：</w:t>
            </w:r>
          </w:p>
        </w:tc>
        <w:tc>
          <w:tcPr>
            <w:tcW w:w="2486" w:type="dxa"/>
            <w:vAlign w:val="center"/>
          </w:tcPr>
          <w:p w14:paraId="5573473F">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cs="宋体"/>
                <w:b w:val="0"/>
                <w:bCs w:val="0"/>
                <w:spacing w:val="-3"/>
                <w:sz w:val="24"/>
                <w:szCs w:val="24"/>
                <w:lang w:val="en-US" w:eastAsia="zh-CN"/>
              </w:rPr>
              <w:t>20</w:t>
            </w:r>
          </w:p>
        </w:tc>
      </w:tr>
      <w:tr w14:paraId="00A9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14:paraId="7EBD5570">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2018" w:type="dxa"/>
            <w:gridSpan w:val="2"/>
            <w:vAlign w:val="center"/>
          </w:tcPr>
          <w:p w14:paraId="0D59450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其中：财政拨款</w:t>
            </w:r>
          </w:p>
        </w:tc>
        <w:tc>
          <w:tcPr>
            <w:tcW w:w="1349" w:type="dxa"/>
            <w:vAlign w:val="center"/>
          </w:tcPr>
          <w:p w14:paraId="0E34CBB6">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cs="宋体"/>
                <w:b w:val="0"/>
                <w:bCs w:val="0"/>
                <w:spacing w:val="-3"/>
                <w:sz w:val="24"/>
                <w:szCs w:val="24"/>
                <w:lang w:val="en-US" w:eastAsia="zh-CN"/>
              </w:rPr>
              <w:t>20</w:t>
            </w:r>
          </w:p>
        </w:tc>
        <w:tc>
          <w:tcPr>
            <w:tcW w:w="2359" w:type="dxa"/>
            <w:vAlign w:val="center"/>
          </w:tcPr>
          <w:p w14:paraId="50F7ECC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其中：财政拨款</w:t>
            </w:r>
          </w:p>
        </w:tc>
        <w:tc>
          <w:tcPr>
            <w:tcW w:w="2486" w:type="dxa"/>
            <w:vAlign w:val="center"/>
          </w:tcPr>
          <w:p w14:paraId="575B0BFB">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cs="宋体"/>
                <w:b w:val="0"/>
                <w:bCs w:val="0"/>
                <w:spacing w:val="-3"/>
                <w:sz w:val="24"/>
                <w:szCs w:val="24"/>
                <w:lang w:val="en-US" w:eastAsia="zh-CN"/>
              </w:rPr>
              <w:t>20</w:t>
            </w:r>
          </w:p>
        </w:tc>
      </w:tr>
      <w:tr w14:paraId="7BE4F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continue"/>
            <w:tcBorders>
              <w:top w:val="nil"/>
            </w:tcBorders>
            <w:vAlign w:val="center"/>
          </w:tcPr>
          <w:p w14:paraId="460BF189">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2018" w:type="dxa"/>
            <w:gridSpan w:val="2"/>
            <w:vAlign w:val="center"/>
          </w:tcPr>
          <w:p w14:paraId="4C7178F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其他资金</w:t>
            </w:r>
          </w:p>
        </w:tc>
        <w:tc>
          <w:tcPr>
            <w:tcW w:w="1349" w:type="dxa"/>
            <w:vAlign w:val="center"/>
          </w:tcPr>
          <w:p w14:paraId="4F1D6D44">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2359" w:type="dxa"/>
            <w:vAlign w:val="center"/>
          </w:tcPr>
          <w:p w14:paraId="5C2BC548">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其他资金</w:t>
            </w:r>
          </w:p>
        </w:tc>
        <w:tc>
          <w:tcPr>
            <w:tcW w:w="2486" w:type="dxa"/>
            <w:vAlign w:val="center"/>
          </w:tcPr>
          <w:p w14:paraId="222B2130">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r>
      <w:tr w14:paraId="6DA5D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restart"/>
            <w:tcBorders>
              <w:bottom w:val="nil"/>
            </w:tcBorders>
            <w:vAlign w:val="center"/>
          </w:tcPr>
          <w:p w14:paraId="379D8DD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年度总体</w:t>
            </w:r>
            <w:r>
              <w:rPr>
                <w:rFonts w:hint="eastAsia" w:ascii="宋体" w:hAnsi="宋体" w:eastAsia="宋体" w:cs="宋体"/>
                <w:b w:val="0"/>
                <w:bCs w:val="0"/>
                <w:spacing w:val="1"/>
                <w:sz w:val="24"/>
                <w:szCs w:val="24"/>
              </w:rPr>
              <w:t>目标完成</w:t>
            </w:r>
            <w:r>
              <w:rPr>
                <w:rFonts w:hint="eastAsia" w:ascii="宋体" w:hAnsi="宋体" w:eastAsia="宋体" w:cs="宋体"/>
                <w:b w:val="0"/>
                <w:bCs w:val="0"/>
                <w:spacing w:val="-2"/>
                <w:sz w:val="24"/>
                <w:szCs w:val="24"/>
              </w:rPr>
              <w:t>情况</w:t>
            </w:r>
          </w:p>
        </w:tc>
        <w:tc>
          <w:tcPr>
            <w:tcW w:w="3367" w:type="dxa"/>
            <w:gridSpan w:val="3"/>
            <w:vAlign w:val="center"/>
          </w:tcPr>
          <w:p w14:paraId="25033BF9">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预期目标</w:t>
            </w:r>
          </w:p>
        </w:tc>
        <w:tc>
          <w:tcPr>
            <w:tcW w:w="4845" w:type="dxa"/>
            <w:gridSpan w:val="2"/>
            <w:vAlign w:val="center"/>
          </w:tcPr>
          <w:p w14:paraId="0C7D8295">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目标实际完成情况</w:t>
            </w:r>
          </w:p>
        </w:tc>
      </w:tr>
      <w:tr w14:paraId="4F355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1016" w:type="dxa"/>
            <w:vMerge w:val="continue"/>
            <w:tcBorders>
              <w:top w:val="nil"/>
            </w:tcBorders>
            <w:vAlign w:val="center"/>
          </w:tcPr>
          <w:p w14:paraId="292CD4C9">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3367" w:type="dxa"/>
            <w:gridSpan w:val="3"/>
            <w:vAlign w:val="center"/>
          </w:tcPr>
          <w:p w14:paraId="62DF8A84">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rPr>
              <w:t>加快建设社会主义现代化新剑阁“一个总体目标”，突出绿色发展、追赶跨越“两大发展取向”，坚持工业富县、文旅兴县、农业强县“三条工作路径”</w:t>
            </w:r>
            <w:r>
              <w:rPr>
                <w:rFonts w:hint="eastAsia" w:ascii="宋体" w:hAnsi="宋体" w:eastAsia="宋体" w:cs="宋体"/>
                <w:b w:val="0"/>
                <w:bCs w:val="0"/>
                <w:spacing w:val="-1"/>
                <w:sz w:val="24"/>
                <w:szCs w:val="24"/>
                <w:lang w:eastAsia="zh-CN"/>
              </w:rPr>
              <w:t>。</w:t>
            </w:r>
          </w:p>
          <w:p w14:paraId="2A020EE1">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4845" w:type="dxa"/>
            <w:gridSpan w:val="2"/>
            <w:vAlign w:val="center"/>
          </w:tcPr>
          <w:p w14:paraId="0BDE9914">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全年</w:t>
            </w:r>
            <w:r>
              <w:rPr>
                <w:rFonts w:hint="eastAsia" w:ascii="宋体" w:hAnsi="宋体" w:cs="宋体"/>
                <w:b w:val="0"/>
                <w:bCs w:val="0"/>
                <w:spacing w:val="-1"/>
                <w:sz w:val="24"/>
                <w:szCs w:val="24"/>
                <w:lang w:eastAsia="zh-CN"/>
              </w:rPr>
              <w:t>招商引资</w:t>
            </w:r>
            <w:r>
              <w:rPr>
                <w:rFonts w:hint="eastAsia" w:ascii="宋体" w:hAnsi="宋体" w:eastAsia="宋体" w:cs="宋体"/>
                <w:b w:val="0"/>
                <w:bCs w:val="0"/>
                <w:spacing w:val="-1"/>
                <w:sz w:val="24"/>
                <w:szCs w:val="24"/>
              </w:rPr>
              <w:t>任务已完成</w:t>
            </w:r>
          </w:p>
        </w:tc>
      </w:tr>
      <w:tr w14:paraId="10E45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restart"/>
            <w:tcBorders>
              <w:bottom w:val="nil"/>
            </w:tcBorders>
            <w:vAlign w:val="center"/>
          </w:tcPr>
          <w:p w14:paraId="39FF7530">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10969EBF">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5DE28A7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41B0580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3866D6B9">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5F4CBE72">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37F37923">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年度绩效指标完成情况</w:t>
            </w:r>
          </w:p>
        </w:tc>
        <w:tc>
          <w:tcPr>
            <w:tcW w:w="1008" w:type="dxa"/>
            <w:vAlign w:val="center"/>
          </w:tcPr>
          <w:p w14:paraId="4779317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级指标</w:t>
            </w:r>
          </w:p>
        </w:tc>
        <w:tc>
          <w:tcPr>
            <w:tcW w:w="1010" w:type="dxa"/>
            <w:vAlign w:val="center"/>
          </w:tcPr>
          <w:p w14:paraId="4460CFA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二级指标</w:t>
            </w:r>
          </w:p>
        </w:tc>
        <w:tc>
          <w:tcPr>
            <w:tcW w:w="1349" w:type="dxa"/>
            <w:vAlign w:val="center"/>
          </w:tcPr>
          <w:p w14:paraId="3C7C829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三级指标</w:t>
            </w:r>
          </w:p>
        </w:tc>
        <w:tc>
          <w:tcPr>
            <w:tcW w:w="2359" w:type="dxa"/>
            <w:vAlign w:val="center"/>
          </w:tcPr>
          <w:p w14:paraId="34EBB4A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预期指标值</w:t>
            </w:r>
          </w:p>
        </w:tc>
        <w:tc>
          <w:tcPr>
            <w:tcW w:w="2486" w:type="dxa"/>
            <w:vAlign w:val="center"/>
          </w:tcPr>
          <w:p w14:paraId="352D3BF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实际完成指标值</w:t>
            </w:r>
          </w:p>
        </w:tc>
      </w:tr>
      <w:tr w14:paraId="7CA6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16" w:type="dxa"/>
            <w:vMerge w:val="continue"/>
            <w:tcBorders>
              <w:top w:val="nil"/>
              <w:bottom w:val="nil"/>
            </w:tcBorders>
            <w:vAlign w:val="center"/>
          </w:tcPr>
          <w:p w14:paraId="6594547F">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08" w:type="dxa"/>
            <w:vMerge w:val="restart"/>
            <w:tcBorders>
              <w:bottom w:val="nil"/>
            </w:tcBorders>
            <w:vAlign w:val="center"/>
          </w:tcPr>
          <w:p w14:paraId="61C5612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51FE463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2A3D149A">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4752751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67AC5C50">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62ED6A15">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完成指标</w:t>
            </w:r>
          </w:p>
        </w:tc>
        <w:tc>
          <w:tcPr>
            <w:tcW w:w="1010" w:type="dxa"/>
            <w:vMerge w:val="restart"/>
            <w:tcBorders>
              <w:bottom w:val="nil"/>
            </w:tcBorders>
            <w:vAlign w:val="center"/>
          </w:tcPr>
          <w:p w14:paraId="47C9153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p w14:paraId="015B4F5A">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数量指标</w:t>
            </w:r>
          </w:p>
        </w:tc>
        <w:tc>
          <w:tcPr>
            <w:tcW w:w="1349" w:type="dxa"/>
            <w:vAlign w:val="center"/>
          </w:tcPr>
          <w:p w14:paraId="51A0070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cs="宋体"/>
                <w:b w:val="0"/>
                <w:bCs w:val="0"/>
                <w:spacing w:val="2"/>
                <w:sz w:val="24"/>
                <w:szCs w:val="24"/>
                <w:lang w:val="en-US" w:eastAsia="zh-CN"/>
              </w:rPr>
              <w:t>170次</w:t>
            </w:r>
          </w:p>
        </w:tc>
        <w:tc>
          <w:tcPr>
            <w:tcW w:w="2359" w:type="dxa"/>
            <w:vAlign w:val="center"/>
          </w:tcPr>
          <w:p w14:paraId="7200C5E3">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lang w:eastAsia="zh-CN"/>
              </w:rPr>
            </w:pPr>
            <w:r>
              <w:rPr>
                <w:rFonts w:hint="eastAsia" w:ascii="宋体" w:hAnsi="宋体" w:cs="宋体"/>
                <w:b w:val="0"/>
                <w:bCs w:val="0"/>
                <w:spacing w:val="-1"/>
                <w:sz w:val="24"/>
                <w:szCs w:val="24"/>
                <w:lang w:eastAsia="zh-CN"/>
              </w:rPr>
              <w:t>外出招商次数</w:t>
            </w:r>
          </w:p>
        </w:tc>
        <w:tc>
          <w:tcPr>
            <w:tcW w:w="2486" w:type="dxa"/>
            <w:vAlign w:val="center"/>
          </w:tcPr>
          <w:p w14:paraId="6AE03E95">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rPr>
            </w:pPr>
            <w:r>
              <w:rPr>
                <w:rFonts w:hint="eastAsia" w:ascii="宋体" w:hAnsi="宋体" w:eastAsia="宋体" w:cs="宋体"/>
                <w:b w:val="0"/>
                <w:bCs w:val="0"/>
                <w:spacing w:val="-1"/>
                <w:sz w:val="24"/>
                <w:szCs w:val="24"/>
              </w:rPr>
              <w:t>完成了</w:t>
            </w:r>
            <w:r>
              <w:rPr>
                <w:rFonts w:hint="eastAsia" w:ascii="宋体" w:hAnsi="宋体" w:cs="宋体"/>
                <w:b w:val="0"/>
                <w:bCs w:val="0"/>
                <w:spacing w:val="-1"/>
                <w:sz w:val="24"/>
                <w:szCs w:val="24"/>
                <w:lang w:eastAsia="zh-CN"/>
              </w:rPr>
              <w:t>外出招商</w:t>
            </w:r>
            <w:r>
              <w:rPr>
                <w:rFonts w:hint="eastAsia" w:ascii="宋体" w:hAnsi="宋体" w:cs="宋体"/>
                <w:b w:val="0"/>
                <w:bCs w:val="0"/>
                <w:spacing w:val="-1"/>
                <w:sz w:val="24"/>
                <w:szCs w:val="24"/>
                <w:lang w:val="en-US" w:eastAsia="zh-CN"/>
              </w:rPr>
              <w:t>170余次</w:t>
            </w:r>
          </w:p>
        </w:tc>
      </w:tr>
      <w:tr w14:paraId="1F45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14:paraId="0A1B0C5D">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08" w:type="dxa"/>
            <w:vMerge w:val="continue"/>
            <w:tcBorders>
              <w:top w:val="nil"/>
              <w:bottom w:val="nil"/>
            </w:tcBorders>
            <w:vAlign w:val="center"/>
          </w:tcPr>
          <w:p w14:paraId="7CC11A9D">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10" w:type="dxa"/>
            <w:vMerge w:val="continue"/>
            <w:tcBorders>
              <w:top w:val="nil"/>
              <w:bottom w:val="nil"/>
            </w:tcBorders>
            <w:vAlign w:val="center"/>
          </w:tcPr>
          <w:p w14:paraId="5189ACCF">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349" w:type="dxa"/>
            <w:vAlign w:val="center"/>
          </w:tcPr>
          <w:p w14:paraId="707A144F">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cs="宋体"/>
                <w:b w:val="0"/>
                <w:bCs w:val="0"/>
                <w:spacing w:val="2"/>
                <w:sz w:val="24"/>
                <w:szCs w:val="24"/>
                <w:lang w:val="en-US" w:eastAsia="zh-CN"/>
              </w:rPr>
              <w:t>51个</w:t>
            </w:r>
          </w:p>
        </w:tc>
        <w:tc>
          <w:tcPr>
            <w:tcW w:w="2359" w:type="dxa"/>
            <w:vAlign w:val="center"/>
          </w:tcPr>
          <w:p w14:paraId="093F470A">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lang w:eastAsia="zh-CN"/>
              </w:rPr>
            </w:pPr>
            <w:r>
              <w:rPr>
                <w:rFonts w:hint="eastAsia" w:ascii="宋体" w:hAnsi="宋体" w:cs="宋体"/>
                <w:b w:val="0"/>
                <w:bCs w:val="0"/>
                <w:spacing w:val="-2"/>
                <w:sz w:val="24"/>
                <w:szCs w:val="24"/>
                <w:lang w:eastAsia="zh-CN"/>
              </w:rPr>
              <w:t>签约项目</w:t>
            </w:r>
          </w:p>
        </w:tc>
        <w:tc>
          <w:tcPr>
            <w:tcW w:w="2486" w:type="dxa"/>
            <w:vAlign w:val="center"/>
          </w:tcPr>
          <w:p w14:paraId="3746D01D">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cs="宋体"/>
                <w:b w:val="0"/>
                <w:bCs w:val="0"/>
                <w:spacing w:val="-1"/>
                <w:sz w:val="24"/>
                <w:szCs w:val="24"/>
                <w:lang w:eastAsia="zh-CN"/>
              </w:rPr>
              <w:t>成功</w:t>
            </w:r>
            <w:r>
              <w:rPr>
                <w:rFonts w:hint="eastAsia" w:ascii="宋体" w:hAnsi="宋体" w:cs="宋体"/>
                <w:b w:val="0"/>
                <w:bCs w:val="0"/>
                <w:spacing w:val="-1"/>
                <w:sz w:val="24"/>
                <w:szCs w:val="24"/>
                <w:lang w:val="en-US" w:eastAsia="zh-CN"/>
              </w:rPr>
              <w:t>51个</w:t>
            </w:r>
          </w:p>
        </w:tc>
      </w:tr>
      <w:tr w14:paraId="1DDA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14:paraId="18F78E5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08" w:type="dxa"/>
            <w:vMerge w:val="continue"/>
            <w:tcBorders>
              <w:top w:val="nil"/>
              <w:bottom w:val="nil"/>
            </w:tcBorders>
            <w:vAlign w:val="center"/>
          </w:tcPr>
          <w:p w14:paraId="240CD009">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10" w:type="dxa"/>
            <w:vMerge w:val="continue"/>
            <w:tcBorders>
              <w:top w:val="nil"/>
            </w:tcBorders>
            <w:vAlign w:val="center"/>
          </w:tcPr>
          <w:p w14:paraId="4B58F0D4">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349" w:type="dxa"/>
            <w:vAlign w:val="center"/>
          </w:tcPr>
          <w:p w14:paraId="13CFAB2A">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lang w:eastAsia="zh-CN"/>
              </w:rPr>
            </w:pPr>
            <w:r>
              <w:rPr>
                <w:rFonts w:hint="eastAsia" w:ascii="宋体" w:hAnsi="宋体" w:cs="宋体"/>
                <w:b w:val="0"/>
                <w:bCs w:val="0"/>
                <w:spacing w:val="-2"/>
                <w:sz w:val="24"/>
                <w:szCs w:val="24"/>
                <w:lang w:val="en-US" w:eastAsia="zh-CN"/>
              </w:rPr>
              <w:t>2个</w:t>
            </w:r>
          </w:p>
        </w:tc>
        <w:tc>
          <w:tcPr>
            <w:tcW w:w="2359" w:type="dxa"/>
            <w:vAlign w:val="center"/>
          </w:tcPr>
          <w:p w14:paraId="0C78D27B">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引进外商</w:t>
            </w:r>
          </w:p>
        </w:tc>
        <w:tc>
          <w:tcPr>
            <w:tcW w:w="2486" w:type="dxa"/>
            <w:vAlign w:val="center"/>
          </w:tcPr>
          <w:p w14:paraId="35AE271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b w:val="0"/>
                <w:bCs w:val="0"/>
                <w:sz w:val="24"/>
                <w:szCs w:val="24"/>
                <w:lang w:val="en-US" w:eastAsia="zh-CN"/>
              </w:rPr>
            </w:pPr>
            <w:r>
              <w:rPr>
                <w:rFonts w:hint="eastAsia" w:ascii="宋体" w:hAnsi="宋体" w:cs="宋体"/>
                <w:b w:val="0"/>
                <w:bCs w:val="0"/>
                <w:spacing w:val="-1"/>
                <w:sz w:val="24"/>
                <w:szCs w:val="24"/>
                <w:lang w:eastAsia="zh-CN"/>
              </w:rPr>
              <w:t>外商投资</w:t>
            </w:r>
            <w:r>
              <w:rPr>
                <w:rFonts w:hint="eastAsia" w:ascii="宋体" w:hAnsi="宋体" w:cs="宋体"/>
                <w:b w:val="0"/>
                <w:bCs w:val="0"/>
                <w:spacing w:val="-1"/>
                <w:sz w:val="24"/>
                <w:szCs w:val="24"/>
                <w:lang w:val="en-US" w:eastAsia="zh-CN"/>
              </w:rPr>
              <w:t>2个</w:t>
            </w:r>
          </w:p>
        </w:tc>
      </w:tr>
      <w:tr w14:paraId="3B96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14:paraId="25BABAEA">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08" w:type="dxa"/>
            <w:vMerge w:val="continue"/>
            <w:tcBorders>
              <w:top w:val="nil"/>
              <w:bottom w:val="nil"/>
            </w:tcBorders>
            <w:vAlign w:val="center"/>
          </w:tcPr>
          <w:p w14:paraId="3D80218B">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10" w:type="dxa"/>
            <w:vAlign w:val="center"/>
          </w:tcPr>
          <w:p w14:paraId="5353452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质量指标</w:t>
            </w:r>
          </w:p>
        </w:tc>
        <w:tc>
          <w:tcPr>
            <w:tcW w:w="1349" w:type="dxa"/>
            <w:vAlign w:val="center"/>
          </w:tcPr>
          <w:p w14:paraId="11242E3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cs="宋体"/>
                <w:b w:val="0"/>
                <w:bCs w:val="0"/>
                <w:spacing w:val="-2"/>
                <w:sz w:val="24"/>
                <w:szCs w:val="24"/>
                <w:lang w:eastAsia="zh-CN"/>
              </w:rPr>
              <w:t>完成</w:t>
            </w:r>
            <w:r>
              <w:rPr>
                <w:rFonts w:hint="eastAsia" w:ascii="宋体" w:hAnsi="宋体" w:eastAsia="宋体" w:cs="宋体"/>
                <w:b w:val="0"/>
                <w:bCs w:val="0"/>
                <w:spacing w:val="-2"/>
                <w:sz w:val="24"/>
                <w:szCs w:val="24"/>
              </w:rPr>
              <w:t>率</w:t>
            </w:r>
          </w:p>
        </w:tc>
        <w:tc>
          <w:tcPr>
            <w:tcW w:w="2359" w:type="dxa"/>
            <w:vAlign w:val="center"/>
          </w:tcPr>
          <w:p w14:paraId="1B4B2D1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100%</w:t>
            </w:r>
          </w:p>
        </w:tc>
        <w:tc>
          <w:tcPr>
            <w:tcW w:w="2486" w:type="dxa"/>
            <w:vAlign w:val="center"/>
          </w:tcPr>
          <w:p w14:paraId="754EDB54">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100%</w:t>
            </w:r>
          </w:p>
        </w:tc>
      </w:tr>
      <w:tr w14:paraId="7CFC8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14:paraId="1566AC93">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08" w:type="dxa"/>
            <w:vMerge w:val="continue"/>
            <w:tcBorders>
              <w:top w:val="nil"/>
              <w:bottom w:val="nil"/>
            </w:tcBorders>
            <w:vAlign w:val="center"/>
          </w:tcPr>
          <w:p w14:paraId="3AFEF14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10" w:type="dxa"/>
            <w:vAlign w:val="center"/>
          </w:tcPr>
          <w:p w14:paraId="132F754B">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时效指标</w:t>
            </w:r>
          </w:p>
        </w:tc>
        <w:tc>
          <w:tcPr>
            <w:tcW w:w="1349" w:type="dxa"/>
            <w:vAlign w:val="center"/>
          </w:tcPr>
          <w:p w14:paraId="7A5B3B84">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完成时间</w:t>
            </w:r>
          </w:p>
        </w:tc>
        <w:tc>
          <w:tcPr>
            <w:tcW w:w="2359" w:type="dxa"/>
            <w:vAlign w:val="center"/>
          </w:tcPr>
          <w:p w14:paraId="117A59AA">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202</w:t>
            </w:r>
            <w:r>
              <w:rPr>
                <w:rFonts w:hint="eastAsia" w:ascii="宋体" w:hAnsi="宋体" w:cs="宋体"/>
                <w:b w:val="0"/>
                <w:bCs w:val="0"/>
                <w:spacing w:val="-1"/>
                <w:sz w:val="24"/>
                <w:szCs w:val="24"/>
                <w:lang w:val="en-US" w:eastAsia="zh-CN"/>
              </w:rPr>
              <w:t>2</w:t>
            </w:r>
            <w:r>
              <w:rPr>
                <w:rFonts w:hint="eastAsia" w:ascii="宋体" w:hAnsi="宋体" w:eastAsia="宋体" w:cs="宋体"/>
                <w:b w:val="0"/>
                <w:bCs w:val="0"/>
                <w:spacing w:val="-1"/>
                <w:sz w:val="24"/>
                <w:szCs w:val="24"/>
              </w:rPr>
              <w:t>年12月底</w:t>
            </w:r>
          </w:p>
        </w:tc>
        <w:tc>
          <w:tcPr>
            <w:tcW w:w="2486" w:type="dxa"/>
            <w:vAlign w:val="center"/>
          </w:tcPr>
          <w:p w14:paraId="6B97604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202</w:t>
            </w:r>
            <w:r>
              <w:rPr>
                <w:rFonts w:hint="eastAsia" w:ascii="宋体" w:hAnsi="宋体" w:cs="宋体"/>
                <w:b w:val="0"/>
                <w:bCs w:val="0"/>
                <w:spacing w:val="5"/>
                <w:sz w:val="24"/>
                <w:szCs w:val="24"/>
                <w:lang w:val="en-US" w:eastAsia="zh-CN"/>
              </w:rPr>
              <w:t>2</w:t>
            </w:r>
            <w:r>
              <w:rPr>
                <w:rFonts w:hint="eastAsia" w:ascii="宋体" w:hAnsi="宋体" w:eastAsia="宋体" w:cs="宋体"/>
                <w:b w:val="0"/>
                <w:bCs w:val="0"/>
                <w:spacing w:val="5"/>
                <w:sz w:val="24"/>
                <w:szCs w:val="24"/>
              </w:rPr>
              <w:t>年12月底完成</w:t>
            </w:r>
          </w:p>
        </w:tc>
      </w:tr>
      <w:tr w14:paraId="34B6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16" w:type="dxa"/>
            <w:vMerge w:val="continue"/>
            <w:tcBorders>
              <w:top w:val="nil"/>
              <w:bottom w:val="nil"/>
            </w:tcBorders>
            <w:vAlign w:val="center"/>
          </w:tcPr>
          <w:p w14:paraId="6F2C369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08" w:type="dxa"/>
            <w:vMerge w:val="continue"/>
            <w:tcBorders>
              <w:top w:val="nil"/>
              <w:bottom w:val="nil"/>
            </w:tcBorders>
            <w:vAlign w:val="center"/>
          </w:tcPr>
          <w:p w14:paraId="6291AFD6">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10" w:type="dxa"/>
            <w:vAlign w:val="center"/>
          </w:tcPr>
          <w:p w14:paraId="31500401">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成本指标</w:t>
            </w:r>
          </w:p>
        </w:tc>
        <w:tc>
          <w:tcPr>
            <w:tcW w:w="1349" w:type="dxa"/>
            <w:vAlign w:val="center"/>
          </w:tcPr>
          <w:p w14:paraId="207AF677">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成本控制</w:t>
            </w:r>
          </w:p>
        </w:tc>
        <w:tc>
          <w:tcPr>
            <w:tcW w:w="2359" w:type="dxa"/>
            <w:vAlign w:val="center"/>
          </w:tcPr>
          <w:p w14:paraId="6BD249AB">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不超过</w:t>
            </w:r>
            <w:r>
              <w:rPr>
                <w:rFonts w:hint="eastAsia" w:ascii="宋体" w:hAnsi="宋体" w:cs="宋体"/>
                <w:b w:val="0"/>
                <w:bCs w:val="0"/>
                <w:spacing w:val="-1"/>
                <w:sz w:val="24"/>
                <w:szCs w:val="24"/>
                <w:lang w:val="en-US" w:eastAsia="zh-CN"/>
              </w:rPr>
              <w:t>20</w:t>
            </w:r>
            <w:r>
              <w:rPr>
                <w:rFonts w:hint="eastAsia" w:ascii="宋体" w:hAnsi="宋体" w:eastAsia="宋体" w:cs="宋体"/>
                <w:b w:val="0"/>
                <w:bCs w:val="0"/>
                <w:spacing w:val="-1"/>
                <w:sz w:val="24"/>
                <w:szCs w:val="24"/>
              </w:rPr>
              <w:t>万元</w:t>
            </w:r>
          </w:p>
        </w:tc>
        <w:tc>
          <w:tcPr>
            <w:tcW w:w="2486" w:type="dxa"/>
            <w:vAlign w:val="center"/>
          </w:tcPr>
          <w:p w14:paraId="6A7F9652">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未超过计划</w:t>
            </w:r>
            <w:r>
              <w:rPr>
                <w:rFonts w:hint="eastAsia" w:ascii="宋体" w:hAnsi="宋体" w:cs="宋体"/>
                <w:b w:val="0"/>
                <w:bCs w:val="0"/>
                <w:spacing w:val="6"/>
                <w:sz w:val="24"/>
                <w:szCs w:val="24"/>
                <w:lang w:val="en-US" w:eastAsia="zh-CN"/>
              </w:rPr>
              <w:t>20</w:t>
            </w:r>
            <w:r>
              <w:rPr>
                <w:rFonts w:hint="eastAsia" w:ascii="宋体" w:hAnsi="宋体" w:eastAsia="宋体" w:cs="宋体"/>
                <w:b w:val="0"/>
                <w:bCs w:val="0"/>
                <w:spacing w:val="6"/>
                <w:sz w:val="24"/>
                <w:szCs w:val="24"/>
              </w:rPr>
              <w:t>万元</w:t>
            </w:r>
          </w:p>
        </w:tc>
      </w:tr>
      <w:tr w14:paraId="3651D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16" w:type="dxa"/>
            <w:vMerge w:val="continue"/>
            <w:tcBorders>
              <w:top w:val="nil"/>
              <w:bottom w:val="nil"/>
            </w:tcBorders>
            <w:vAlign w:val="center"/>
          </w:tcPr>
          <w:p w14:paraId="067539A1">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08" w:type="dxa"/>
            <w:vMerge w:val="continue"/>
            <w:tcBorders>
              <w:top w:val="nil"/>
            </w:tcBorders>
            <w:vAlign w:val="center"/>
          </w:tcPr>
          <w:p w14:paraId="5759DB95">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10" w:type="dxa"/>
            <w:vAlign w:val="center"/>
          </w:tcPr>
          <w:p w14:paraId="10223BC8">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社会效益</w:t>
            </w:r>
          </w:p>
          <w:p w14:paraId="4D0408BA">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指标</w:t>
            </w:r>
          </w:p>
        </w:tc>
        <w:tc>
          <w:tcPr>
            <w:tcW w:w="1349" w:type="dxa"/>
            <w:vAlign w:val="center"/>
          </w:tcPr>
          <w:p w14:paraId="171E762F">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社会效益指标</w:t>
            </w:r>
          </w:p>
        </w:tc>
        <w:tc>
          <w:tcPr>
            <w:tcW w:w="2359" w:type="dxa"/>
            <w:vAlign w:val="center"/>
          </w:tcPr>
          <w:p w14:paraId="1CF13EC5">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符合全县县情，能促推工</w:t>
            </w:r>
            <w:r>
              <w:rPr>
                <w:rFonts w:hint="eastAsia" w:ascii="宋体" w:hAnsi="宋体" w:eastAsia="宋体" w:cs="宋体"/>
                <w:b w:val="0"/>
                <w:bCs w:val="0"/>
                <w:spacing w:val="-2"/>
                <w:sz w:val="24"/>
                <w:szCs w:val="24"/>
              </w:rPr>
              <w:t>作开展</w:t>
            </w:r>
          </w:p>
        </w:tc>
        <w:tc>
          <w:tcPr>
            <w:tcW w:w="2486" w:type="dxa"/>
            <w:vAlign w:val="center"/>
          </w:tcPr>
          <w:p w14:paraId="4C631FA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rPr>
              <w:t>符合全县县情，能促推工</w:t>
            </w:r>
            <w:r>
              <w:rPr>
                <w:rFonts w:hint="eastAsia" w:ascii="宋体" w:hAnsi="宋体" w:eastAsia="宋体" w:cs="宋体"/>
                <w:b w:val="0"/>
                <w:bCs w:val="0"/>
                <w:spacing w:val="13"/>
                <w:sz w:val="24"/>
                <w:szCs w:val="24"/>
              </w:rPr>
              <w:t>作开展</w:t>
            </w:r>
          </w:p>
        </w:tc>
      </w:tr>
      <w:tr w14:paraId="6C09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016" w:type="dxa"/>
            <w:vMerge w:val="continue"/>
            <w:tcBorders>
              <w:top w:val="nil"/>
            </w:tcBorders>
            <w:vAlign w:val="center"/>
          </w:tcPr>
          <w:p w14:paraId="26D49631">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p>
        </w:tc>
        <w:tc>
          <w:tcPr>
            <w:tcW w:w="1008" w:type="dxa"/>
            <w:vAlign w:val="center"/>
          </w:tcPr>
          <w:p w14:paraId="5B401A5E">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满意度指</w:t>
            </w:r>
            <w:r>
              <w:rPr>
                <w:rFonts w:hint="eastAsia" w:ascii="宋体" w:hAnsi="宋体" w:eastAsia="宋体" w:cs="宋体"/>
                <w:b w:val="0"/>
                <w:bCs w:val="0"/>
                <w:sz w:val="24"/>
                <w:szCs w:val="24"/>
              </w:rPr>
              <w:t>标</w:t>
            </w:r>
          </w:p>
        </w:tc>
        <w:tc>
          <w:tcPr>
            <w:tcW w:w="1010" w:type="dxa"/>
            <w:vAlign w:val="center"/>
          </w:tcPr>
          <w:p w14:paraId="7F05A509">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满意度指</w:t>
            </w:r>
            <w:r>
              <w:rPr>
                <w:rFonts w:hint="eastAsia" w:ascii="宋体" w:hAnsi="宋体" w:eastAsia="宋体" w:cs="宋体"/>
                <w:b w:val="0"/>
                <w:bCs w:val="0"/>
                <w:sz w:val="24"/>
                <w:szCs w:val="24"/>
              </w:rPr>
              <w:t>标</w:t>
            </w:r>
          </w:p>
        </w:tc>
        <w:tc>
          <w:tcPr>
            <w:tcW w:w="1349" w:type="dxa"/>
            <w:vAlign w:val="center"/>
          </w:tcPr>
          <w:p w14:paraId="45B61BBC">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1"/>
                <w:position w:val="5"/>
                <w:sz w:val="24"/>
                <w:szCs w:val="24"/>
              </w:rPr>
              <w:t>服务对象满</w:t>
            </w:r>
          </w:p>
          <w:p w14:paraId="1659D168">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意度</w:t>
            </w:r>
          </w:p>
        </w:tc>
        <w:tc>
          <w:tcPr>
            <w:tcW w:w="2359" w:type="dxa"/>
            <w:vAlign w:val="center"/>
          </w:tcPr>
          <w:p w14:paraId="7558A208">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≥98%</w:t>
            </w:r>
          </w:p>
        </w:tc>
        <w:tc>
          <w:tcPr>
            <w:tcW w:w="2486" w:type="dxa"/>
            <w:vAlign w:val="center"/>
          </w:tcPr>
          <w:p w14:paraId="112C3715">
            <w:pPr>
              <w:keepNext w:val="0"/>
              <w:keepLines w:val="0"/>
              <w:pageBreakBefore w:val="0"/>
              <w:widowControl w:val="0"/>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≥98%</w:t>
            </w:r>
          </w:p>
        </w:tc>
      </w:tr>
    </w:tbl>
    <w:p w14:paraId="2BA4E32E">
      <w:pPr>
        <w:pStyle w:val="5"/>
        <w:spacing w:before="93"/>
        <w:rPr>
          <w:rFonts w:hint="eastAsia" w:hAnsi="宋体" w:cs="宋体"/>
          <w:sz w:val="32"/>
          <w:szCs w:val="32"/>
          <w:shd w:val="clear" w:color="auto" w:fill="FFFFFF"/>
          <w:lang w:val="zh-CN"/>
        </w:rPr>
      </w:pPr>
    </w:p>
    <w:p w14:paraId="2CFB0223">
      <w:pPr>
        <w:pStyle w:val="5"/>
        <w:spacing w:before="93"/>
        <w:rPr>
          <w:rFonts w:hint="eastAsia" w:hAnsi="宋体" w:cs="宋体"/>
          <w:sz w:val="32"/>
          <w:szCs w:val="32"/>
          <w:shd w:val="clear" w:color="auto" w:fill="FFFFFF"/>
          <w:lang w:val="zh-CN"/>
        </w:rPr>
      </w:pPr>
    </w:p>
    <w:p w14:paraId="39BB1AB2">
      <w:pPr>
        <w:spacing w:line="600" w:lineRule="exact"/>
        <w:jc w:val="center"/>
        <w:outlineLvl w:val="0"/>
        <w:rPr>
          <w:rFonts w:ascii="仿宋" w:hAnsi="仿宋" w:eastAsia="仿宋"/>
        </w:rPr>
      </w:pPr>
      <w:bookmarkStart w:id="74" w:name="_Toc15396618"/>
      <w:r>
        <w:rPr>
          <w:rFonts w:hint="eastAsia" w:ascii="黑体" w:hAnsi="黑体" w:eastAsia="黑体"/>
          <w:sz w:val="44"/>
          <w:szCs w:val="44"/>
        </w:rPr>
        <w:t>第</w:t>
      </w:r>
      <w:r>
        <w:rPr>
          <w:rStyle w:val="29"/>
          <w:rFonts w:hint="eastAsia" w:ascii="黑体" w:hAnsi="黑体" w:eastAsia="黑体"/>
          <w:b w:val="0"/>
        </w:rPr>
        <w:t>五部分 附表</w:t>
      </w:r>
      <w:bookmarkEnd w:id="52"/>
      <w:bookmarkEnd w:id="74"/>
      <w:bookmarkStart w:id="75" w:name="_Toc15396619"/>
    </w:p>
    <w:p w14:paraId="16064A3C">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r>
        <w:rPr>
          <w:rFonts w:hint="eastAsia" w:ascii="仿宋_GB2312" w:hAnsi="仿宋_GB2312" w:eastAsia="仿宋_GB2312" w:cs="仿宋_GB2312"/>
          <w:b w:val="0"/>
          <w:bCs w:val="0"/>
          <w:spacing w:val="-12"/>
          <w:kern w:val="2"/>
          <w:sz w:val="32"/>
          <w:szCs w:val="32"/>
          <w:lang w:val="en-US" w:eastAsia="zh-CN" w:bidi="ar-SA"/>
        </w:rPr>
        <w:t>一、收入支出决算总表</w:t>
      </w:r>
      <w:bookmarkEnd w:id="75"/>
    </w:p>
    <w:p w14:paraId="3108250E">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76" w:name="_Toc15396620"/>
      <w:r>
        <w:rPr>
          <w:rFonts w:hint="eastAsia" w:ascii="仿宋_GB2312" w:hAnsi="仿宋_GB2312" w:eastAsia="仿宋_GB2312" w:cs="仿宋_GB2312"/>
          <w:b w:val="0"/>
          <w:bCs w:val="0"/>
          <w:spacing w:val="-12"/>
          <w:kern w:val="2"/>
          <w:sz w:val="32"/>
          <w:szCs w:val="32"/>
          <w:lang w:val="en-US" w:eastAsia="zh-CN" w:bidi="ar-SA"/>
        </w:rPr>
        <w:t>二、收入决算表</w:t>
      </w:r>
      <w:bookmarkEnd w:id="76"/>
    </w:p>
    <w:p w14:paraId="783BA25C">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77" w:name="_Toc15396621"/>
      <w:r>
        <w:rPr>
          <w:rFonts w:hint="eastAsia" w:ascii="仿宋_GB2312" w:hAnsi="仿宋_GB2312" w:eastAsia="仿宋_GB2312" w:cs="仿宋_GB2312"/>
          <w:b w:val="0"/>
          <w:bCs w:val="0"/>
          <w:spacing w:val="-12"/>
          <w:kern w:val="2"/>
          <w:sz w:val="32"/>
          <w:szCs w:val="32"/>
          <w:lang w:val="en-US" w:eastAsia="zh-CN" w:bidi="ar-SA"/>
        </w:rPr>
        <w:t>三、支出决算表</w:t>
      </w:r>
      <w:bookmarkEnd w:id="77"/>
    </w:p>
    <w:p w14:paraId="63F8B2B9">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78" w:name="_Toc15396622"/>
      <w:r>
        <w:rPr>
          <w:rFonts w:hint="eastAsia" w:ascii="仿宋_GB2312" w:hAnsi="仿宋_GB2312" w:eastAsia="仿宋_GB2312" w:cs="仿宋_GB2312"/>
          <w:b w:val="0"/>
          <w:bCs w:val="0"/>
          <w:spacing w:val="-12"/>
          <w:kern w:val="2"/>
          <w:sz w:val="32"/>
          <w:szCs w:val="32"/>
          <w:lang w:val="en-US" w:eastAsia="zh-CN" w:bidi="ar-SA"/>
        </w:rPr>
        <w:t>四、财政拨款收入支出决算总表</w:t>
      </w:r>
      <w:bookmarkEnd w:id="78"/>
    </w:p>
    <w:p w14:paraId="70CF6F64">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79" w:name="_Toc15396623"/>
      <w:r>
        <w:rPr>
          <w:rFonts w:hint="eastAsia" w:ascii="仿宋_GB2312" w:hAnsi="仿宋_GB2312" w:eastAsia="仿宋_GB2312" w:cs="仿宋_GB2312"/>
          <w:b w:val="0"/>
          <w:bCs w:val="0"/>
          <w:spacing w:val="-12"/>
          <w:kern w:val="2"/>
          <w:sz w:val="32"/>
          <w:szCs w:val="32"/>
          <w:lang w:val="en-US" w:eastAsia="zh-CN" w:bidi="ar-SA"/>
        </w:rPr>
        <w:t>五、财政拨款支出决算明细表</w:t>
      </w:r>
      <w:bookmarkEnd w:id="79"/>
      <w:bookmarkStart w:id="80" w:name="_Toc15396624"/>
    </w:p>
    <w:p w14:paraId="05BB38F4">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r>
        <w:rPr>
          <w:rFonts w:hint="eastAsia" w:ascii="仿宋_GB2312" w:hAnsi="仿宋_GB2312" w:eastAsia="仿宋_GB2312" w:cs="仿宋_GB2312"/>
          <w:b w:val="0"/>
          <w:bCs w:val="0"/>
          <w:spacing w:val="-12"/>
          <w:kern w:val="2"/>
          <w:sz w:val="32"/>
          <w:szCs w:val="32"/>
          <w:lang w:val="en-US" w:eastAsia="zh-CN" w:bidi="ar-SA"/>
        </w:rPr>
        <w:t>六、一般公共预算财政拨款支出决算表</w:t>
      </w:r>
      <w:bookmarkEnd w:id="80"/>
    </w:p>
    <w:p w14:paraId="550C3451">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81" w:name="_Toc15396625"/>
      <w:r>
        <w:rPr>
          <w:rFonts w:hint="eastAsia" w:ascii="仿宋_GB2312" w:hAnsi="仿宋_GB2312" w:eastAsia="仿宋_GB2312" w:cs="仿宋_GB2312"/>
          <w:b w:val="0"/>
          <w:bCs w:val="0"/>
          <w:spacing w:val="-12"/>
          <w:kern w:val="2"/>
          <w:sz w:val="32"/>
          <w:szCs w:val="32"/>
          <w:lang w:val="en-US" w:eastAsia="zh-CN" w:bidi="ar-SA"/>
        </w:rPr>
        <w:t>七、一般公共预算财政拨款支出决算明细表</w:t>
      </w:r>
      <w:bookmarkEnd w:id="81"/>
    </w:p>
    <w:p w14:paraId="666B4881">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82" w:name="_Toc15396626"/>
      <w:r>
        <w:rPr>
          <w:rFonts w:hint="eastAsia" w:ascii="仿宋_GB2312" w:hAnsi="仿宋_GB2312" w:eastAsia="仿宋_GB2312" w:cs="仿宋_GB2312"/>
          <w:b w:val="0"/>
          <w:bCs w:val="0"/>
          <w:spacing w:val="-12"/>
          <w:kern w:val="2"/>
          <w:sz w:val="32"/>
          <w:szCs w:val="32"/>
          <w:lang w:val="en-US" w:eastAsia="zh-CN" w:bidi="ar-SA"/>
        </w:rPr>
        <w:t>八、一般公共预算财政拨款基本支出决算表</w:t>
      </w:r>
      <w:bookmarkEnd w:id="82"/>
    </w:p>
    <w:p w14:paraId="2988B247">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83" w:name="_Toc15396627"/>
      <w:r>
        <w:rPr>
          <w:rFonts w:hint="eastAsia" w:ascii="仿宋_GB2312" w:hAnsi="仿宋_GB2312" w:eastAsia="仿宋_GB2312" w:cs="仿宋_GB2312"/>
          <w:b w:val="0"/>
          <w:bCs w:val="0"/>
          <w:spacing w:val="-12"/>
          <w:kern w:val="2"/>
          <w:sz w:val="32"/>
          <w:szCs w:val="32"/>
          <w:lang w:val="en-US" w:eastAsia="zh-CN" w:bidi="ar-SA"/>
        </w:rPr>
        <w:t>九、一般公共预算财政拨款项目支出决算表</w:t>
      </w:r>
      <w:bookmarkEnd w:id="83"/>
    </w:p>
    <w:p w14:paraId="5B0771AF">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84" w:name="_Toc15396628"/>
      <w:r>
        <w:rPr>
          <w:rFonts w:hint="eastAsia" w:ascii="仿宋_GB2312" w:hAnsi="仿宋_GB2312" w:eastAsia="仿宋_GB2312" w:cs="仿宋_GB2312"/>
          <w:b w:val="0"/>
          <w:bCs w:val="0"/>
          <w:spacing w:val="-12"/>
          <w:kern w:val="2"/>
          <w:sz w:val="32"/>
          <w:szCs w:val="32"/>
          <w:lang w:val="en-US" w:eastAsia="zh-CN" w:bidi="ar-SA"/>
        </w:rPr>
        <w:t>十、</w:t>
      </w:r>
      <w:bookmarkEnd w:id="84"/>
      <w:r>
        <w:rPr>
          <w:rFonts w:hint="eastAsia" w:ascii="仿宋_GB2312" w:hAnsi="仿宋_GB2312" w:eastAsia="仿宋_GB2312" w:cs="仿宋_GB2312"/>
          <w:b w:val="0"/>
          <w:bCs w:val="0"/>
          <w:spacing w:val="-12"/>
          <w:kern w:val="2"/>
          <w:sz w:val="32"/>
          <w:szCs w:val="32"/>
          <w:lang w:val="en-US" w:eastAsia="zh-CN" w:bidi="ar-SA"/>
        </w:rPr>
        <w:t>政府性基金预算财政拨款收入支出决算表</w:t>
      </w:r>
    </w:p>
    <w:p w14:paraId="0F86E6B9">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85" w:name="_Toc15396629"/>
      <w:r>
        <w:rPr>
          <w:rFonts w:hint="eastAsia" w:ascii="仿宋_GB2312" w:hAnsi="仿宋_GB2312" w:eastAsia="仿宋_GB2312" w:cs="仿宋_GB2312"/>
          <w:b w:val="0"/>
          <w:bCs w:val="0"/>
          <w:spacing w:val="-12"/>
          <w:kern w:val="2"/>
          <w:sz w:val="32"/>
          <w:szCs w:val="32"/>
          <w:lang w:val="en-US" w:eastAsia="zh-CN" w:bidi="ar-SA"/>
        </w:rPr>
        <w:t>十一、</w:t>
      </w:r>
      <w:bookmarkEnd w:id="85"/>
      <w:r>
        <w:rPr>
          <w:rFonts w:hint="eastAsia" w:ascii="仿宋_GB2312" w:hAnsi="仿宋_GB2312" w:eastAsia="仿宋_GB2312" w:cs="仿宋_GB2312"/>
          <w:b w:val="0"/>
          <w:bCs w:val="0"/>
          <w:spacing w:val="-12"/>
          <w:kern w:val="2"/>
          <w:sz w:val="32"/>
          <w:szCs w:val="32"/>
          <w:lang w:val="en-US" w:eastAsia="zh-CN" w:bidi="ar-SA"/>
        </w:rPr>
        <w:t>国有资本经营预算财政拨款收入支出决算表</w:t>
      </w:r>
    </w:p>
    <w:p w14:paraId="2BA403CF">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86" w:name="_Toc15396630"/>
      <w:r>
        <w:rPr>
          <w:rFonts w:hint="eastAsia" w:ascii="仿宋_GB2312" w:hAnsi="仿宋_GB2312" w:eastAsia="仿宋_GB2312" w:cs="仿宋_GB2312"/>
          <w:b w:val="0"/>
          <w:bCs w:val="0"/>
          <w:spacing w:val="-12"/>
          <w:kern w:val="2"/>
          <w:sz w:val="32"/>
          <w:szCs w:val="32"/>
          <w:lang w:val="en-US" w:eastAsia="zh-CN" w:bidi="ar-SA"/>
        </w:rPr>
        <w:t>十二、</w:t>
      </w:r>
      <w:bookmarkEnd w:id="86"/>
      <w:r>
        <w:rPr>
          <w:rFonts w:hint="eastAsia" w:ascii="仿宋_GB2312" w:hAnsi="仿宋_GB2312" w:eastAsia="仿宋_GB2312" w:cs="仿宋_GB2312"/>
          <w:b w:val="0"/>
          <w:bCs w:val="0"/>
          <w:spacing w:val="-12"/>
          <w:kern w:val="2"/>
          <w:sz w:val="32"/>
          <w:szCs w:val="32"/>
          <w:lang w:val="en-US" w:eastAsia="zh-CN" w:bidi="ar-SA"/>
        </w:rPr>
        <w:t>国有资本经营预算财政拨款支出决算表</w:t>
      </w:r>
    </w:p>
    <w:p w14:paraId="1CFBCBD7">
      <w:pPr>
        <w:pStyle w:val="3"/>
        <w:keepNext/>
        <w:keepLines/>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pacing w:val="-12"/>
          <w:kern w:val="2"/>
          <w:sz w:val="32"/>
          <w:szCs w:val="32"/>
          <w:lang w:val="en-US" w:eastAsia="zh-CN" w:bidi="ar-SA"/>
        </w:rPr>
      </w:pPr>
      <w:bookmarkStart w:id="87" w:name="_Toc15396631"/>
      <w:r>
        <w:rPr>
          <w:rFonts w:hint="eastAsia" w:ascii="仿宋_GB2312" w:hAnsi="仿宋_GB2312" w:eastAsia="仿宋_GB2312" w:cs="仿宋_GB2312"/>
          <w:b w:val="0"/>
          <w:bCs w:val="0"/>
          <w:spacing w:val="-12"/>
          <w:kern w:val="2"/>
          <w:sz w:val="32"/>
          <w:szCs w:val="32"/>
          <w:lang w:val="en-US" w:eastAsia="zh-CN" w:bidi="ar-SA"/>
        </w:rPr>
        <w:t>十三、</w:t>
      </w:r>
      <w:bookmarkEnd w:id="87"/>
      <w:r>
        <w:rPr>
          <w:rFonts w:hint="eastAsia" w:ascii="仿宋_GB2312" w:hAnsi="仿宋_GB2312" w:eastAsia="仿宋_GB2312" w:cs="仿宋_GB2312"/>
          <w:b w:val="0"/>
          <w:bCs w:val="0"/>
          <w:spacing w:val="-12"/>
          <w:kern w:val="2"/>
          <w:sz w:val="32"/>
          <w:szCs w:val="32"/>
          <w:lang w:val="en-US" w:eastAsia="zh-CN" w:bidi="ar-SA"/>
        </w:rPr>
        <w:t>财政拨款“三公”经费支出决算表</w:t>
      </w:r>
    </w:p>
    <w:sectPr>
      <w:footerReference r:id="rId7" w:type="default"/>
      <w:pgSz w:w="11906" w:h="16838"/>
      <w:pgMar w:top="1440" w:right="1689"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683C">
    <w:pPr>
      <w:pStyle w:val="10"/>
      <w:jc w:val="center"/>
    </w:pPr>
  </w:p>
  <w:p w14:paraId="25BABBB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F7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BDDB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F1BDDB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ADBA6">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921ED">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2921ED">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F79051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1206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21D7">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FC9EB"/>
    <w:multiLevelType w:val="singleLevel"/>
    <w:tmpl w:val="BB2FC9EB"/>
    <w:lvl w:ilvl="0" w:tentative="0">
      <w:start w:val="4"/>
      <w:numFmt w:val="chineseCounting"/>
      <w:suff w:val="nothing"/>
      <w:lvlText w:val="（%1）"/>
      <w:lvlJc w:val="left"/>
      <w:rPr>
        <w:rFonts w:hint="eastAsia"/>
      </w:rPr>
    </w:lvl>
  </w:abstractNum>
  <w:abstractNum w:abstractNumId="1">
    <w:nsid w:val="C5F67307"/>
    <w:multiLevelType w:val="singleLevel"/>
    <w:tmpl w:val="C5F67307"/>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1875899"/>
    <w:rsid w:val="02143E91"/>
    <w:rsid w:val="066E0107"/>
    <w:rsid w:val="07996F6E"/>
    <w:rsid w:val="0A2032A3"/>
    <w:rsid w:val="0A360D22"/>
    <w:rsid w:val="0BB10633"/>
    <w:rsid w:val="0F98263C"/>
    <w:rsid w:val="101860EC"/>
    <w:rsid w:val="10C055FF"/>
    <w:rsid w:val="118107EC"/>
    <w:rsid w:val="13D50BC4"/>
    <w:rsid w:val="15581DAD"/>
    <w:rsid w:val="16BB723D"/>
    <w:rsid w:val="1A736693"/>
    <w:rsid w:val="1BE8440E"/>
    <w:rsid w:val="1C4407B2"/>
    <w:rsid w:val="1D155CEE"/>
    <w:rsid w:val="1FF35744"/>
    <w:rsid w:val="23860B96"/>
    <w:rsid w:val="240371BF"/>
    <w:rsid w:val="29FD04D3"/>
    <w:rsid w:val="2B345DDC"/>
    <w:rsid w:val="2C6628F8"/>
    <w:rsid w:val="2C8A61B5"/>
    <w:rsid w:val="2DF04E50"/>
    <w:rsid w:val="2DF06932"/>
    <w:rsid w:val="2F040D46"/>
    <w:rsid w:val="3131084E"/>
    <w:rsid w:val="319F7F4E"/>
    <w:rsid w:val="32DE1E3B"/>
    <w:rsid w:val="3304709D"/>
    <w:rsid w:val="342A4220"/>
    <w:rsid w:val="356D4E7A"/>
    <w:rsid w:val="36AA5135"/>
    <w:rsid w:val="376D39B2"/>
    <w:rsid w:val="37E16F03"/>
    <w:rsid w:val="38455ACD"/>
    <w:rsid w:val="38D469F0"/>
    <w:rsid w:val="3D98207C"/>
    <w:rsid w:val="3E78745D"/>
    <w:rsid w:val="3FF84B7E"/>
    <w:rsid w:val="3FFF29EA"/>
    <w:rsid w:val="416903E2"/>
    <w:rsid w:val="42C3DC7E"/>
    <w:rsid w:val="44E268DA"/>
    <w:rsid w:val="45CD3363"/>
    <w:rsid w:val="47507FEA"/>
    <w:rsid w:val="4A627F82"/>
    <w:rsid w:val="4A9C641A"/>
    <w:rsid w:val="4ACF380F"/>
    <w:rsid w:val="4B0E749A"/>
    <w:rsid w:val="4B344263"/>
    <w:rsid w:val="4B4F25DA"/>
    <w:rsid w:val="4BE068DB"/>
    <w:rsid w:val="4D577224"/>
    <w:rsid w:val="4E6525CD"/>
    <w:rsid w:val="4EAB630A"/>
    <w:rsid w:val="4ECE2238"/>
    <w:rsid w:val="513955E1"/>
    <w:rsid w:val="537E6D0A"/>
    <w:rsid w:val="58F845EC"/>
    <w:rsid w:val="5AF92295"/>
    <w:rsid w:val="5C7D5F8B"/>
    <w:rsid w:val="5CD71FC4"/>
    <w:rsid w:val="607B45AB"/>
    <w:rsid w:val="61847BFA"/>
    <w:rsid w:val="62D548EE"/>
    <w:rsid w:val="664A412A"/>
    <w:rsid w:val="66B71094"/>
    <w:rsid w:val="67A84228"/>
    <w:rsid w:val="6B780B60"/>
    <w:rsid w:val="6BED2377"/>
    <w:rsid w:val="6C4A05C8"/>
    <w:rsid w:val="6C814479"/>
    <w:rsid w:val="6E7E3605"/>
    <w:rsid w:val="6FF5CC65"/>
    <w:rsid w:val="70932B72"/>
    <w:rsid w:val="715C0E4B"/>
    <w:rsid w:val="72734D90"/>
    <w:rsid w:val="729609C1"/>
    <w:rsid w:val="73AD73D5"/>
    <w:rsid w:val="73B6EB34"/>
    <w:rsid w:val="744731E5"/>
    <w:rsid w:val="76E3355F"/>
    <w:rsid w:val="771D4F43"/>
    <w:rsid w:val="778769C8"/>
    <w:rsid w:val="79EE5BA4"/>
    <w:rsid w:val="7A894339"/>
    <w:rsid w:val="7EE6704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link w:val="26"/>
    <w:qFormat/>
    <w:uiPriority w:val="99"/>
    <w:pPr>
      <w:spacing w:beforeLines="30"/>
    </w:pPr>
    <w:rPr>
      <w:rFonts w:ascii="仿宋_GB2312" w:eastAsia="仿宋_GB2312"/>
      <w:kern w:val="0"/>
      <w:sz w:val="30"/>
    </w:rPr>
  </w:style>
  <w:style w:type="paragraph" w:customStyle="1" w:styleId="6">
    <w:name w:val="引用1"/>
    <w:basedOn w:val="1"/>
    <w:next w:val="1"/>
    <w:qFormat/>
    <w:uiPriority w:val="29"/>
    <w:pPr>
      <w:spacing w:line="500" w:lineRule="exact"/>
      <w:ind w:firstLine="200" w:firstLineChars="200"/>
    </w:pPr>
    <w:rPr>
      <w:rFonts w:ascii="Times New Roman" w:hAnsi="Times New Roman"/>
      <w:i/>
      <w:sz w:val="28"/>
      <w:szCs w:val="24"/>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NormalCharacter"/>
    <w:qFormat/>
    <w:uiPriority w:val="0"/>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930.98</c:v>
                </c:pt>
                <c:pt idx="1">
                  <c:v>651.04</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09a85f7-1751-4a68-bf96-1f3ca3b3d3a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formatCode="0%">
                  <c:v>0</c:v>
                </c:pt>
                <c:pt idx="2" c:formatCode="0%">
                  <c:v>0</c:v>
                </c:pt>
                <c:pt idx="3" c:formatCode="0%">
                  <c:v>0</c:v>
                </c:pt>
                <c:pt idx="4">
                  <c:v>0</c:v>
                </c:pt>
                <c:pt idx="5"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6c20d4-a57b-491a-b621-682a549523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0.9693</c:v>
                </c:pt>
                <c:pt idx="1">
                  <c:v>0.0307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e57d538-fc0c-4b7e-bd92-11faaa74a22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930.98</c:v>
                </c:pt>
                <c:pt idx="1">
                  <c:v>651.04</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05c90b4-9795-492b-9d3c-b0ea993ecee1}"/>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930.98</c:v>
                </c:pt>
                <c:pt idx="1">
                  <c:v>651.04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37508ba-b719-491b-b3c3-746bfbfd8557}"/>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557.78</c:v>
                </c:pt>
                <c:pt idx="1">
                  <c:v>41.45</c:v>
                </c:pt>
                <c:pt idx="2">
                  <c:v>20.72</c:v>
                </c:pt>
                <c:pt idx="3">
                  <c:v>31.09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68228cb-2afc-4e9c-bbb0-9e6ff94f85be}"/>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12472160356"/>
          <c:y val="0.112477987421384"/>
          <c:w val="0.433017817371938"/>
          <c:h val="0.782591194968553"/>
        </c:manualLayout>
      </c:layout>
      <c:pieChart>
        <c:varyColors val="1"/>
        <c:ser>
          <c:idx val="0"/>
          <c:order val="0"/>
          <c:explosion val="0"/>
          <c:dPt>
            <c:idx val="0"/>
            <c:bubble3D val="0"/>
          </c:dPt>
          <c:dPt>
            <c:idx val="1"/>
            <c:bubble3D val="0"/>
          </c:dPt>
          <c:dPt>
            <c:idx val="2"/>
            <c:bubble3D val="0"/>
          </c:dPt>
          <c:dLbls>
            <c:dLbl>
              <c:idx val="0"/>
              <c:layout>
                <c:manualLayout>
                  <c:x val="-0.0303979871097459"/>
                  <c:y val="-0.02128229664085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18.07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908eef1-fbd8-42c5-961a-7858bf42e605}"/>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1228</Words>
  <Characters>7002</Characters>
  <Lines>58</Lines>
  <Paragraphs>16</Paragraphs>
  <TotalTime>26</TotalTime>
  <ScaleCrop>false</ScaleCrop>
  <LinksUpToDate>false</LinksUpToDate>
  <CharactersWithSpaces>8214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user</cp:lastModifiedBy>
  <cp:lastPrinted>2023-08-01T02:35:00Z</cp:lastPrinted>
  <dcterms:modified xsi:type="dcterms:W3CDTF">2025-07-17T10:40:11Z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FFB73795BF804F30B80BFF46FFAEA667_12</vt:lpwstr>
  </property>
</Properties>
</file>