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CAAB2">
      <w:pPr>
        <w:spacing w:line="600" w:lineRule="exact"/>
        <w:jc w:val="left"/>
        <w:outlineLvl w:val="0"/>
        <w:rPr>
          <w:rFonts w:ascii="方正小标宋简体" w:hAnsi="宋体" w:eastAsia="方正小标宋简体"/>
          <w:szCs w:val="21"/>
        </w:rPr>
      </w:pPr>
      <w:bookmarkStart w:id="67" w:name="_GoBack"/>
      <w:bookmarkEnd w:id="67"/>
      <w:bookmarkStart w:id="0" w:name="_Toc15306267"/>
    </w:p>
    <w:p w14:paraId="7919ABBE">
      <w:pPr>
        <w:spacing w:line="600" w:lineRule="exact"/>
        <w:jc w:val="center"/>
        <w:outlineLvl w:val="0"/>
        <w:rPr>
          <w:rFonts w:ascii="方正小标宋简体" w:hAnsi="宋体" w:eastAsia="方正小标宋简体"/>
          <w:sz w:val="72"/>
          <w:szCs w:val="72"/>
        </w:rPr>
      </w:pPr>
    </w:p>
    <w:p w14:paraId="35F6078E">
      <w:pPr>
        <w:spacing w:line="600" w:lineRule="exact"/>
        <w:jc w:val="center"/>
        <w:outlineLvl w:val="0"/>
        <w:rPr>
          <w:rFonts w:ascii="方正小标宋简体" w:hAnsi="宋体" w:eastAsia="方正小标宋简体"/>
          <w:sz w:val="72"/>
          <w:szCs w:val="72"/>
        </w:rPr>
      </w:pPr>
    </w:p>
    <w:p w14:paraId="76857462">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96597"/>
      <w:bookmarkStart w:id="3" w:name="_Toc15377193"/>
      <w:bookmarkStart w:id="4" w:name="_Toc15378441"/>
      <w:bookmarkStart w:id="5" w:name="_Toc1539647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bookmarkEnd w:id="0"/>
    <w:p w14:paraId="32E99E53">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06268"/>
      <w:bookmarkStart w:id="7" w:name="_Toc15377426"/>
      <w:bookmarkStart w:id="8" w:name="_Toc15378442"/>
      <w:bookmarkStart w:id="9" w:name="_Toc15396476"/>
      <w:bookmarkStart w:id="10" w:name="_Toc15396598"/>
      <w:bookmarkStart w:id="11" w:name="_Toc15377194"/>
      <w:r>
        <w:rPr>
          <w:rFonts w:hint="eastAsia" w:ascii="方正小标宋简体" w:hAnsi="方正小标宋简体" w:eastAsia="方正小标宋简体" w:cs="方正小标宋简体"/>
          <w:sz w:val="72"/>
          <w:szCs w:val="72"/>
        </w:rPr>
        <w:t>剑阁县</w:t>
      </w:r>
      <w:r>
        <w:rPr>
          <w:rFonts w:hint="eastAsia" w:ascii="方正小标宋简体" w:hAnsi="方正小标宋简体" w:eastAsia="方正小标宋简体" w:cs="方正小标宋简体"/>
          <w:sz w:val="72"/>
          <w:szCs w:val="72"/>
          <w:lang w:eastAsia="zh-CN"/>
        </w:rPr>
        <w:t>综合行政执法局</w:t>
      </w:r>
    </w:p>
    <w:p w14:paraId="0E0C5829">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14:paraId="5F090855">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C6800AF">
      <w:pPr>
        <w:widowControl/>
        <w:jc w:val="center"/>
        <w:rPr>
          <w:rFonts w:ascii="黑体" w:hAnsi="黑体" w:eastAsia="黑体" w:cstheme="minorBidi"/>
          <w:sz w:val="28"/>
          <w:szCs w:val="28"/>
        </w:rPr>
      </w:pPr>
    </w:p>
    <w:p w14:paraId="1ADE4475">
      <w:pPr>
        <w:pStyle w:val="12"/>
      </w:pPr>
      <w:r>
        <w:rPr>
          <w:rFonts w:hint="eastAsia"/>
        </w:rPr>
        <w:t>公开时间：2023年</w:t>
      </w:r>
      <w:r>
        <w:rPr>
          <w:rFonts w:hint="eastAsia"/>
          <w:lang w:val="en-US" w:eastAsia="zh-CN"/>
        </w:rPr>
        <w:t>10</w:t>
      </w:r>
      <w:r>
        <w:rPr>
          <w:rFonts w:hint="eastAsia"/>
        </w:rPr>
        <w:t>月</w:t>
      </w:r>
      <w:r>
        <w:rPr>
          <w:rFonts w:hint="eastAsia"/>
          <w:lang w:val="en-US" w:eastAsia="zh-CN"/>
        </w:rPr>
        <w:t>17</w:t>
      </w:r>
      <w:r>
        <w:rPr>
          <w:rFonts w:hint="eastAsia"/>
        </w:rPr>
        <w:t xml:space="preserve"> 日</w:t>
      </w:r>
    </w:p>
    <w:p w14:paraId="32C52FC5"/>
    <w:p w14:paraId="0A0048BF">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14:paraId="34C7C729">
      <w:pPr>
        <w:pStyle w:val="13"/>
        <w:adjustRightInd w:val="0"/>
        <w:snapToGrid w:val="0"/>
        <w:spacing w:line="440" w:lineRule="exact"/>
        <w:jc w:val="left"/>
        <w:rPr>
          <w:sz w:val="24"/>
        </w:rPr>
      </w:pPr>
      <w:r>
        <w:rPr>
          <w:rFonts w:hint="eastAsia"/>
          <w:sz w:val="24"/>
        </w:rPr>
        <w:t>一、主要职责及重点</w:t>
      </w:r>
      <w:r>
        <w:rPr>
          <w:sz w:val="24"/>
        </w:rPr>
        <w:t>工作</w:t>
      </w:r>
    </w:p>
    <w:p w14:paraId="51BF78F1">
      <w:pPr>
        <w:pStyle w:val="13"/>
        <w:adjustRightInd w:val="0"/>
        <w:snapToGrid w:val="0"/>
        <w:spacing w:line="440" w:lineRule="exact"/>
        <w:jc w:val="left"/>
        <w:rPr>
          <w:rFonts w:hint="eastAsia"/>
          <w:sz w:val="24"/>
        </w:rPr>
      </w:pPr>
      <w:r>
        <w:rPr>
          <w:rFonts w:hint="eastAsia"/>
          <w:sz w:val="24"/>
        </w:rPr>
        <w:t>（一）单位</w:t>
      </w:r>
      <w:r>
        <w:rPr>
          <w:sz w:val="24"/>
        </w:rPr>
        <w:t>职责</w:t>
      </w:r>
    </w:p>
    <w:p w14:paraId="42AC47CE">
      <w:pPr>
        <w:pStyle w:val="13"/>
        <w:adjustRightInd w:val="0"/>
        <w:snapToGrid w:val="0"/>
        <w:spacing w:line="440" w:lineRule="exact"/>
        <w:jc w:val="left"/>
        <w:rPr>
          <w:rFonts w:hint="eastAsia"/>
          <w:b/>
          <w:bCs/>
          <w:sz w:val="24"/>
        </w:rPr>
      </w:pPr>
      <w:r>
        <w:rPr>
          <w:rFonts w:hint="eastAsia"/>
          <w:sz w:val="24"/>
        </w:rPr>
        <w:t>（二）2022年重点工作完成情况</w:t>
      </w:r>
    </w:p>
    <w:p w14:paraId="4677CCCA">
      <w:pPr>
        <w:pStyle w:val="13"/>
        <w:adjustRightInd w:val="0"/>
        <w:snapToGrid w:val="0"/>
        <w:spacing w:line="440" w:lineRule="exact"/>
        <w:jc w:val="left"/>
        <w:rPr>
          <w:rFonts w:hint="eastAsia"/>
          <w:sz w:val="24"/>
        </w:rPr>
      </w:pPr>
      <w:r>
        <w:rPr>
          <w:rFonts w:hint="eastAsia"/>
          <w:sz w:val="24"/>
        </w:rPr>
        <w:t>二、机构设置</w:t>
      </w:r>
    </w:p>
    <w:p w14:paraId="208D0D14">
      <w:pPr>
        <w:pStyle w:val="12"/>
        <w:adjustRightInd w:val="0"/>
        <w:snapToGrid w:val="0"/>
        <w:spacing w:before="0" w:line="440" w:lineRule="exact"/>
        <w:jc w:val="left"/>
        <w:rPr>
          <w:sz w:val="24"/>
          <w:szCs w:val="24"/>
        </w:rPr>
      </w:pPr>
      <w:r>
        <w:rPr>
          <w:rFonts w:hint="eastAsia"/>
          <w:sz w:val="24"/>
        </w:rPr>
        <w:t>第二部分 2022年度单位决算情况说明</w:t>
      </w:r>
    </w:p>
    <w:p w14:paraId="50DD8F8A">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7BF9C191">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14:paraId="7C25200E">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14:paraId="09B57DB4">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0842B2A0">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3E735525">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1E112B3A">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14:paraId="00B9B5ED">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6985597A">
      <w:pPr>
        <w:pStyle w:val="13"/>
        <w:adjustRightInd w:val="0"/>
        <w:snapToGrid w:val="0"/>
        <w:spacing w:line="440" w:lineRule="exact"/>
        <w:jc w:val="left"/>
        <w:rPr>
          <w:sz w:val="24"/>
        </w:rPr>
      </w:pPr>
      <w:r>
        <w:rPr>
          <w:rFonts w:hint="eastAsia"/>
          <w:sz w:val="24"/>
        </w:rPr>
        <w:t>九、国有资本经营预算支出决算情况说明</w:t>
      </w:r>
    </w:p>
    <w:p w14:paraId="2C26AA86">
      <w:pPr>
        <w:pStyle w:val="13"/>
        <w:adjustRightInd w:val="0"/>
        <w:snapToGrid w:val="0"/>
        <w:spacing w:line="440" w:lineRule="exact"/>
        <w:jc w:val="left"/>
        <w:rPr>
          <w:sz w:val="24"/>
        </w:rPr>
      </w:pPr>
      <w:r>
        <w:rPr>
          <w:rFonts w:hint="eastAsia"/>
          <w:sz w:val="24"/>
        </w:rPr>
        <w:t>十、其他重要事项的情况说明</w:t>
      </w:r>
    </w:p>
    <w:p w14:paraId="6EF33F13">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5F0776E6">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60BE7890">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7B3F7A16">
      <w:pPr>
        <w:pStyle w:val="13"/>
        <w:adjustRightInd w:val="0"/>
        <w:snapToGrid w:val="0"/>
        <w:spacing w:line="440" w:lineRule="exact"/>
        <w:jc w:val="left"/>
        <w:rPr>
          <w:sz w:val="24"/>
        </w:rPr>
      </w:pPr>
      <w:r>
        <w:rPr>
          <w:rFonts w:hint="eastAsia"/>
          <w:sz w:val="24"/>
        </w:rPr>
        <w:t>一、收入支出决算总表</w:t>
      </w:r>
    </w:p>
    <w:p w14:paraId="745F9764">
      <w:pPr>
        <w:pStyle w:val="13"/>
        <w:adjustRightInd w:val="0"/>
        <w:snapToGrid w:val="0"/>
        <w:spacing w:line="440" w:lineRule="exact"/>
        <w:jc w:val="left"/>
        <w:rPr>
          <w:sz w:val="24"/>
        </w:rPr>
      </w:pPr>
      <w:r>
        <w:rPr>
          <w:rFonts w:hint="eastAsia"/>
          <w:sz w:val="24"/>
        </w:rPr>
        <w:t>二、收入决算表</w:t>
      </w:r>
    </w:p>
    <w:p w14:paraId="6DD614A5">
      <w:pPr>
        <w:pStyle w:val="13"/>
        <w:adjustRightInd w:val="0"/>
        <w:snapToGrid w:val="0"/>
        <w:spacing w:line="440" w:lineRule="exact"/>
        <w:jc w:val="left"/>
        <w:rPr>
          <w:sz w:val="24"/>
        </w:rPr>
      </w:pPr>
      <w:r>
        <w:rPr>
          <w:rFonts w:hint="eastAsia"/>
          <w:sz w:val="24"/>
        </w:rPr>
        <w:t>三、支出决算表</w:t>
      </w:r>
    </w:p>
    <w:p w14:paraId="43EB3160">
      <w:pPr>
        <w:pStyle w:val="13"/>
        <w:adjustRightInd w:val="0"/>
        <w:snapToGrid w:val="0"/>
        <w:spacing w:line="440" w:lineRule="exact"/>
        <w:jc w:val="left"/>
        <w:rPr>
          <w:sz w:val="24"/>
        </w:rPr>
      </w:pPr>
      <w:r>
        <w:rPr>
          <w:rFonts w:hint="eastAsia"/>
          <w:sz w:val="24"/>
        </w:rPr>
        <w:t>四、财政拨款收入支出决算总表</w:t>
      </w:r>
    </w:p>
    <w:p w14:paraId="3D0519E3">
      <w:pPr>
        <w:pStyle w:val="13"/>
        <w:adjustRightInd w:val="0"/>
        <w:snapToGrid w:val="0"/>
        <w:spacing w:line="440" w:lineRule="exact"/>
        <w:jc w:val="left"/>
        <w:rPr>
          <w:sz w:val="24"/>
        </w:rPr>
      </w:pPr>
      <w:r>
        <w:rPr>
          <w:rFonts w:hint="eastAsia"/>
          <w:sz w:val="24"/>
        </w:rPr>
        <w:t>五、财政拨款支出决算明细表</w:t>
      </w:r>
    </w:p>
    <w:p w14:paraId="25BF514F">
      <w:pPr>
        <w:pStyle w:val="13"/>
        <w:adjustRightInd w:val="0"/>
        <w:snapToGrid w:val="0"/>
        <w:spacing w:line="440" w:lineRule="exact"/>
        <w:jc w:val="left"/>
        <w:rPr>
          <w:sz w:val="24"/>
        </w:rPr>
      </w:pPr>
      <w:r>
        <w:rPr>
          <w:rFonts w:hint="eastAsia"/>
          <w:sz w:val="24"/>
        </w:rPr>
        <w:t>六、一般公共预算财政拨款支出决算表</w:t>
      </w:r>
    </w:p>
    <w:p w14:paraId="70AC9ED9">
      <w:pPr>
        <w:pStyle w:val="13"/>
        <w:adjustRightInd w:val="0"/>
        <w:snapToGrid w:val="0"/>
        <w:spacing w:line="440" w:lineRule="exact"/>
        <w:jc w:val="left"/>
        <w:rPr>
          <w:sz w:val="24"/>
        </w:rPr>
      </w:pPr>
      <w:r>
        <w:rPr>
          <w:rFonts w:hint="eastAsia"/>
          <w:sz w:val="24"/>
        </w:rPr>
        <w:t>七、一般公共预算财政拨款支出决算明细表</w:t>
      </w:r>
    </w:p>
    <w:p w14:paraId="06E9D837">
      <w:pPr>
        <w:pStyle w:val="13"/>
        <w:adjustRightInd w:val="0"/>
        <w:snapToGrid w:val="0"/>
        <w:spacing w:line="440" w:lineRule="exact"/>
        <w:jc w:val="left"/>
        <w:rPr>
          <w:sz w:val="24"/>
        </w:rPr>
      </w:pPr>
      <w:r>
        <w:rPr>
          <w:rFonts w:hint="eastAsia"/>
          <w:sz w:val="24"/>
        </w:rPr>
        <w:t>八、一般公共预算财政拨款基本支出决算明细表</w:t>
      </w:r>
    </w:p>
    <w:p w14:paraId="6E8724D8">
      <w:pPr>
        <w:pStyle w:val="13"/>
        <w:adjustRightInd w:val="0"/>
        <w:snapToGrid w:val="0"/>
        <w:spacing w:line="440" w:lineRule="exact"/>
        <w:jc w:val="left"/>
        <w:rPr>
          <w:sz w:val="24"/>
        </w:rPr>
      </w:pPr>
      <w:r>
        <w:rPr>
          <w:rFonts w:hint="eastAsia"/>
          <w:sz w:val="24"/>
        </w:rPr>
        <w:t>九、一般公共预算财政拨款项目支出决算表</w:t>
      </w:r>
    </w:p>
    <w:p w14:paraId="74C281DC">
      <w:pPr>
        <w:pStyle w:val="13"/>
        <w:adjustRightInd w:val="0"/>
        <w:snapToGrid w:val="0"/>
        <w:spacing w:line="440" w:lineRule="exact"/>
        <w:jc w:val="left"/>
        <w:rPr>
          <w:sz w:val="24"/>
        </w:rPr>
      </w:pPr>
      <w:r>
        <w:rPr>
          <w:rFonts w:hint="eastAsia"/>
          <w:sz w:val="24"/>
        </w:rPr>
        <w:t>十、政府性基金预算财政拨款收入支出决算表</w:t>
      </w:r>
    </w:p>
    <w:p w14:paraId="54A8897E">
      <w:pPr>
        <w:pStyle w:val="13"/>
        <w:adjustRightInd w:val="0"/>
        <w:snapToGrid w:val="0"/>
        <w:spacing w:line="440" w:lineRule="exact"/>
        <w:jc w:val="left"/>
        <w:rPr>
          <w:sz w:val="24"/>
        </w:rPr>
      </w:pPr>
      <w:r>
        <w:rPr>
          <w:rFonts w:hint="eastAsia"/>
          <w:sz w:val="24"/>
        </w:rPr>
        <w:t>十一、国有资本经营预算财政拨款收入支出决算表</w:t>
      </w:r>
    </w:p>
    <w:p w14:paraId="1CCDC6CD">
      <w:pPr>
        <w:pStyle w:val="13"/>
        <w:adjustRightInd w:val="0"/>
        <w:snapToGrid w:val="0"/>
        <w:spacing w:line="440" w:lineRule="exact"/>
        <w:jc w:val="left"/>
        <w:rPr>
          <w:sz w:val="24"/>
        </w:rPr>
      </w:pPr>
      <w:r>
        <w:rPr>
          <w:rFonts w:hint="eastAsia"/>
          <w:sz w:val="24"/>
        </w:rPr>
        <w:t>十二、国有资本经营预算财政拨款支出决算表</w:t>
      </w:r>
    </w:p>
    <w:p w14:paraId="69AF79EF">
      <w:pPr>
        <w:pStyle w:val="13"/>
        <w:adjustRightInd w:val="0"/>
        <w:snapToGrid w:val="0"/>
        <w:spacing w:line="440" w:lineRule="exact"/>
        <w:jc w:val="left"/>
        <w:rPr>
          <w:sz w:val="24"/>
        </w:rPr>
      </w:pPr>
      <w:r>
        <w:rPr>
          <w:rFonts w:hint="eastAsia"/>
          <w:sz w:val="24"/>
        </w:rPr>
        <w:t>十三、财政拨款“三公”经费支出决算表</w:t>
      </w:r>
    </w:p>
    <w:p w14:paraId="0C44F16F">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078E7F33">
      <w:pPr>
        <w:pStyle w:val="4"/>
        <w:jc w:val="center"/>
        <w:rPr>
          <w:rStyle w:val="26"/>
          <w:rFonts w:ascii="黑体" w:hAnsi="黑体" w:eastAsia="黑体"/>
          <w:b/>
          <w:bCs w:val="0"/>
        </w:rPr>
      </w:pPr>
      <w:r>
        <w:rPr>
          <w:rFonts w:hint="eastAsia" w:ascii="黑体" w:hAnsi="黑体" w:eastAsia="黑体"/>
          <w:b w:val="0"/>
        </w:rPr>
        <w:t>第一部分 单位</w:t>
      </w:r>
      <w:r>
        <w:rPr>
          <w:rStyle w:val="26"/>
          <w:rFonts w:hint="eastAsia" w:ascii="黑体" w:hAnsi="黑体" w:eastAsia="黑体"/>
          <w:b w:val="0"/>
          <w:bCs w:val="0"/>
        </w:rPr>
        <w:t>概况</w:t>
      </w:r>
      <w:bookmarkEnd w:id="12"/>
      <w:bookmarkEnd w:id="13"/>
    </w:p>
    <w:p w14:paraId="6FCEFAE6">
      <w:pPr>
        <w:widowControl/>
        <w:jc w:val="left"/>
        <w:rPr>
          <w:rFonts w:ascii="黑体" w:eastAsia="黑体"/>
          <w:sz w:val="32"/>
          <w:szCs w:val="32"/>
        </w:rPr>
      </w:pPr>
    </w:p>
    <w:p w14:paraId="0F733001">
      <w:pPr>
        <w:pStyle w:val="5"/>
        <w:numPr>
          <w:ilvl w:val="0"/>
          <w:numId w:val="1"/>
        </w:numPr>
        <w:rPr>
          <w:rStyle w:val="27"/>
          <w:rFonts w:ascii="黑体" w:hAnsi="黑体" w:eastAsia="黑体"/>
          <w:b w:val="0"/>
          <w:bCs w:val="0"/>
        </w:rPr>
      </w:pPr>
      <w:bookmarkStart w:id="14" w:name="_Toc15377197"/>
      <w:bookmarkStart w:id="15" w:name="_Toc15396600"/>
      <w:r>
        <w:rPr>
          <w:rStyle w:val="27"/>
          <w:rFonts w:hint="eastAsia" w:ascii="黑体" w:hAnsi="黑体" w:eastAsia="黑体"/>
          <w:b w:val="0"/>
          <w:bCs w:val="0"/>
        </w:rPr>
        <w:t>主要职责</w:t>
      </w:r>
    </w:p>
    <w:p w14:paraId="7D553EDF">
      <w:pPr>
        <w:pStyle w:val="13"/>
        <w:adjustRightInd w:val="0"/>
        <w:snapToGrid w:val="0"/>
        <w:spacing w:line="440" w:lineRule="exact"/>
        <w:jc w:val="left"/>
        <w:rPr>
          <w:sz w:val="32"/>
          <w:szCs w:val="32"/>
        </w:rPr>
      </w:pPr>
      <w:r>
        <w:rPr>
          <w:rFonts w:hint="eastAsia"/>
          <w:sz w:val="32"/>
          <w:szCs w:val="32"/>
        </w:rPr>
        <w:t>（一）单位</w:t>
      </w:r>
      <w:r>
        <w:rPr>
          <w:sz w:val="32"/>
          <w:szCs w:val="32"/>
        </w:rPr>
        <w:t>职责</w:t>
      </w:r>
    </w:p>
    <w:p w14:paraId="4523D2FC">
      <w:pPr>
        <w:spacing w:after="0" w:line="540" w:lineRule="exact"/>
        <w:ind w:firstLine="616" w:firstLineChars="200"/>
        <w:jc w:val="both"/>
        <w:rPr>
          <w:rFonts w:hint="eastAsia" w:ascii="仿宋" w:hAnsi="仿宋" w:eastAsia="仿宋" w:cs="仿宋"/>
          <w:spacing w:val="-6"/>
          <w:sz w:val="32"/>
          <w:szCs w:val="32"/>
        </w:rPr>
      </w:pPr>
      <w:r>
        <w:rPr>
          <w:rFonts w:hint="eastAsia" w:ascii="仿宋" w:hAnsi="仿宋" w:eastAsia="仿宋" w:cs="仿宋"/>
          <w:spacing w:val="-6"/>
          <w:sz w:val="32"/>
          <w:szCs w:val="32"/>
          <w:lang w:val="en-US" w:eastAsia="zh-CN"/>
        </w:rPr>
        <w:t>1.</w:t>
      </w:r>
      <w:r>
        <w:rPr>
          <w:rFonts w:hint="default" w:ascii="仿宋" w:hAnsi="仿宋" w:eastAsia="仿宋" w:cs="仿宋"/>
          <w:spacing w:val="-6"/>
          <w:sz w:val="32"/>
          <w:szCs w:val="32"/>
          <w:lang w:val="en-US" w:eastAsia="zh-CN"/>
        </w:rPr>
        <w:t>贯彻执行国家、省、市有关综合行政执法工作的方针政策和法律、法规、规章，起草有关规范性文件草案;拟订全县综合行政执法工作规划并组织实施。</w:t>
      </w:r>
    </w:p>
    <w:p w14:paraId="107A4F87">
      <w:pPr>
        <w:spacing w:after="0" w:line="540" w:lineRule="exact"/>
        <w:ind w:firstLine="616" w:firstLineChars="200"/>
        <w:jc w:val="both"/>
        <w:rPr>
          <w:rFonts w:hint="default" w:ascii="仿宋" w:hAnsi="仿宋" w:eastAsia="仿宋" w:cs="仿宋"/>
          <w:spacing w:val="-6"/>
          <w:sz w:val="32"/>
          <w:szCs w:val="32"/>
        </w:rPr>
      </w:pPr>
      <w:r>
        <w:rPr>
          <w:rFonts w:hint="eastAsia" w:ascii="仿宋" w:hAnsi="仿宋" w:eastAsia="仿宋" w:cs="仿宋"/>
          <w:spacing w:val="-6"/>
          <w:sz w:val="32"/>
          <w:szCs w:val="32"/>
          <w:lang w:val="en-US" w:eastAsia="zh-CN"/>
        </w:rPr>
        <w:t>2.</w:t>
      </w:r>
      <w:r>
        <w:rPr>
          <w:rFonts w:hint="default" w:ascii="仿宋" w:hAnsi="仿宋" w:eastAsia="仿宋" w:cs="仿宋"/>
          <w:spacing w:val="-6"/>
          <w:sz w:val="32"/>
          <w:szCs w:val="32"/>
          <w:lang w:val="en-US" w:eastAsia="zh-CN"/>
        </w:rPr>
        <w:t>拟订城市管理工作发展战略、中长期发展规划、年度计划并组织实施;制定城市管理制度和规范并组织实施;会同有关部门监督管理城市行政事业性收费:负责推进数字化城市管理和信息化建设。</w:t>
      </w:r>
    </w:p>
    <w:p w14:paraId="303ED213">
      <w:pPr>
        <w:spacing w:after="0" w:line="540" w:lineRule="exact"/>
        <w:ind w:firstLine="616" w:firstLineChars="200"/>
        <w:jc w:val="both"/>
        <w:rPr>
          <w:rFonts w:hint="default" w:ascii="仿宋" w:hAnsi="仿宋" w:eastAsia="仿宋" w:cs="仿宋"/>
          <w:spacing w:val="-6"/>
          <w:sz w:val="32"/>
          <w:szCs w:val="32"/>
        </w:rPr>
      </w:pPr>
      <w:r>
        <w:rPr>
          <w:rFonts w:hint="eastAsia" w:ascii="仿宋" w:hAnsi="仿宋" w:eastAsia="仿宋" w:cs="仿宋"/>
          <w:spacing w:val="-6"/>
          <w:sz w:val="32"/>
          <w:szCs w:val="32"/>
          <w:lang w:val="en-US" w:eastAsia="zh-CN"/>
        </w:rPr>
        <w:t>3.</w:t>
      </w:r>
      <w:r>
        <w:rPr>
          <w:rFonts w:hint="default" w:ascii="仿宋" w:hAnsi="仿宋" w:eastAsia="仿宋" w:cs="仿宋"/>
          <w:spacing w:val="-6"/>
          <w:sz w:val="32"/>
          <w:szCs w:val="32"/>
          <w:lang w:val="en-US" w:eastAsia="zh-CN"/>
        </w:rPr>
        <w:t>负责行使原由县经济信息化和科学技术局、县财政局(县金融工作局、县国有资产监督管理局)、县商务和经济合作局等部门行使的行政处罚权:负责行使原由县发展和改革局(县粮食和物资储备局)、县住房和城乡建设局、县公安局、县市场监督管理局、县水利局、剑阁生态环境局、县人力资源和社会保障局等部门行使的部分行政处罚权</w:t>
      </w:r>
      <w:r>
        <w:rPr>
          <w:rFonts w:hint="eastAsia" w:ascii="仿宋" w:hAnsi="仿宋" w:eastAsia="仿宋" w:cs="仿宋"/>
          <w:spacing w:val="-6"/>
          <w:sz w:val="32"/>
          <w:szCs w:val="32"/>
          <w:lang w:val="en-US" w:eastAsia="zh-CN"/>
        </w:rPr>
        <w:t>。</w:t>
      </w:r>
    </w:p>
    <w:p w14:paraId="0962DEA1">
      <w:pPr>
        <w:spacing w:after="0" w:line="540" w:lineRule="exact"/>
        <w:ind w:firstLine="616" w:firstLineChars="200"/>
        <w:jc w:val="both"/>
        <w:rPr>
          <w:rFonts w:hint="default" w:ascii="仿宋" w:hAnsi="仿宋" w:eastAsia="仿宋" w:cs="仿宋"/>
          <w:spacing w:val="-6"/>
          <w:sz w:val="32"/>
          <w:szCs w:val="32"/>
        </w:rPr>
      </w:pPr>
      <w:r>
        <w:rPr>
          <w:rFonts w:hint="eastAsia" w:ascii="仿宋" w:hAnsi="仿宋" w:eastAsia="仿宋" w:cs="仿宋"/>
          <w:spacing w:val="-6"/>
          <w:sz w:val="32"/>
          <w:szCs w:val="32"/>
          <w:lang w:val="en-US" w:eastAsia="zh-CN"/>
        </w:rPr>
        <w:t>4.</w:t>
      </w:r>
      <w:r>
        <w:rPr>
          <w:rFonts w:hint="default" w:ascii="仿宋" w:hAnsi="仿宋" w:eastAsia="仿宋" w:cs="仿宋"/>
          <w:spacing w:val="-6"/>
          <w:sz w:val="32"/>
          <w:szCs w:val="32"/>
          <w:lang w:val="en-US" w:eastAsia="zh-CN"/>
        </w:rPr>
        <w:t>负责剑阁经济开发区范围内上述(第三条第三款)行政处罚权及相关的行政强制权。</w:t>
      </w:r>
    </w:p>
    <w:p w14:paraId="7F63B2B6">
      <w:pPr>
        <w:spacing w:after="0" w:line="540" w:lineRule="exact"/>
        <w:ind w:firstLine="616" w:firstLineChars="200"/>
        <w:jc w:val="both"/>
        <w:rPr>
          <w:rFonts w:hint="default" w:ascii="仿宋" w:hAnsi="仿宋" w:eastAsia="仿宋" w:cs="仿宋"/>
          <w:spacing w:val="-6"/>
          <w:sz w:val="32"/>
          <w:szCs w:val="32"/>
        </w:rPr>
      </w:pPr>
      <w:r>
        <w:rPr>
          <w:rFonts w:hint="eastAsia" w:ascii="仿宋" w:hAnsi="仿宋" w:eastAsia="仿宋" w:cs="仿宋"/>
          <w:spacing w:val="-6"/>
          <w:sz w:val="32"/>
          <w:szCs w:val="32"/>
          <w:lang w:val="en-US" w:eastAsia="zh-CN"/>
        </w:rPr>
        <w:t>5.</w:t>
      </w:r>
      <w:r>
        <w:rPr>
          <w:rFonts w:hint="default" w:ascii="仿宋" w:hAnsi="仿宋" w:eastAsia="仿宋" w:cs="仿宋"/>
          <w:spacing w:val="-6"/>
          <w:sz w:val="32"/>
          <w:szCs w:val="32"/>
          <w:lang w:val="en-US" w:eastAsia="zh-CN"/>
        </w:rPr>
        <w:t>统筹协调、监督管理全县城市管理工作;负责县城区临时摊点的综合管理;负责路标路牌、报刊电话亭、公交站牌、非机动车停放点等市政设施设置的许可管理;负责户外广告和店招店牌的设置、宣传品张贴悬挂、城市道路挖掘、废品收购、临时占用城市道路的许可管理;负责机动车辆清洗保洁(含修车、汽车美容)活动的监督管理。</w:t>
      </w:r>
    </w:p>
    <w:p w14:paraId="3D3D7BFF">
      <w:pPr>
        <w:spacing w:after="0" w:line="540" w:lineRule="exact"/>
        <w:ind w:firstLine="616" w:firstLineChars="200"/>
        <w:jc w:val="both"/>
        <w:rPr>
          <w:rFonts w:hint="default" w:ascii="仿宋" w:hAnsi="仿宋" w:eastAsia="仿宋" w:cs="仿宋"/>
          <w:spacing w:val="-6"/>
          <w:sz w:val="32"/>
          <w:szCs w:val="32"/>
        </w:rPr>
      </w:pPr>
      <w:r>
        <w:rPr>
          <w:rFonts w:hint="eastAsia" w:ascii="仿宋" w:hAnsi="仿宋" w:eastAsia="仿宋" w:cs="仿宋"/>
          <w:spacing w:val="-6"/>
          <w:sz w:val="32"/>
          <w:szCs w:val="32"/>
          <w:lang w:val="en-US" w:eastAsia="zh-CN"/>
        </w:rPr>
        <w:t>6.</w:t>
      </w:r>
      <w:r>
        <w:rPr>
          <w:rFonts w:hint="default" w:ascii="仿宋" w:hAnsi="仿宋" w:eastAsia="仿宋" w:cs="仿宋"/>
          <w:spacing w:val="-6"/>
          <w:sz w:val="32"/>
          <w:szCs w:val="32"/>
          <w:lang w:val="en-US" w:eastAsia="zh-CN"/>
        </w:rPr>
        <w:t>负责综合行政执法信息平台建设、管理、指挥、调度和协调工作:负责建立综合行政执法信息共享投诉举报平台和联合协调办案指挥机制;负责受理综合行政执法方面的投诉和举报;负责综合行政执法领域“双随机一公开”。</w:t>
      </w:r>
    </w:p>
    <w:p w14:paraId="79358123">
      <w:pPr>
        <w:spacing w:after="0" w:line="540" w:lineRule="exact"/>
        <w:ind w:firstLine="616" w:firstLineChars="200"/>
        <w:jc w:val="both"/>
        <w:rPr>
          <w:rFonts w:hint="default" w:ascii="仿宋" w:hAnsi="仿宋" w:eastAsia="仿宋" w:cs="仿宋"/>
          <w:spacing w:val="-6"/>
          <w:sz w:val="32"/>
          <w:szCs w:val="32"/>
        </w:rPr>
      </w:pPr>
      <w:r>
        <w:rPr>
          <w:rFonts w:hint="eastAsia" w:ascii="仿宋" w:hAnsi="仿宋" w:eastAsia="仿宋" w:cs="仿宋"/>
          <w:spacing w:val="-6"/>
          <w:sz w:val="32"/>
          <w:szCs w:val="32"/>
          <w:lang w:val="en-US" w:eastAsia="zh-CN"/>
        </w:rPr>
        <w:t>7.</w:t>
      </w:r>
      <w:r>
        <w:rPr>
          <w:rFonts w:hint="default" w:ascii="仿宋" w:hAnsi="仿宋" w:eastAsia="仿宋" w:cs="仿宋"/>
          <w:spacing w:val="-6"/>
          <w:sz w:val="32"/>
          <w:szCs w:val="32"/>
          <w:lang w:val="en-US" w:eastAsia="zh-CN"/>
        </w:rPr>
        <w:t>负责综合行政执法案件有关行政复议、 行政应诉、组织听证等工作。</w:t>
      </w:r>
    </w:p>
    <w:p w14:paraId="51036107">
      <w:pPr>
        <w:spacing w:after="0" w:line="540" w:lineRule="exact"/>
        <w:ind w:firstLine="616" w:firstLineChars="200"/>
        <w:jc w:val="both"/>
        <w:rPr>
          <w:rFonts w:hint="default" w:ascii="仿宋" w:hAnsi="仿宋" w:eastAsia="仿宋" w:cs="仿宋"/>
          <w:spacing w:val="-6"/>
          <w:sz w:val="32"/>
          <w:szCs w:val="32"/>
        </w:rPr>
      </w:pPr>
      <w:r>
        <w:rPr>
          <w:rFonts w:hint="eastAsia" w:ascii="仿宋" w:hAnsi="仿宋" w:eastAsia="仿宋" w:cs="仿宋"/>
          <w:spacing w:val="-6"/>
          <w:sz w:val="32"/>
          <w:szCs w:val="32"/>
          <w:lang w:val="en-US" w:eastAsia="zh-CN"/>
        </w:rPr>
        <w:t>8.</w:t>
      </w:r>
      <w:r>
        <w:rPr>
          <w:rFonts w:hint="default" w:ascii="仿宋" w:hAnsi="仿宋" w:eastAsia="仿宋" w:cs="仿宋"/>
          <w:spacing w:val="-6"/>
          <w:sz w:val="32"/>
          <w:szCs w:val="32"/>
          <w:lang w:val="en-US" w:eastAsia="zh-CN"/>
        </w:rPr>
        <w:t>负责“行政执法与刑事司法”衔接工作，按相关规定和程序向司法机关移送涉嫌犯罪的案件线索;建立行政执法与刑事司法衔接机制，健全完善执法预警体系推进综合行政执法规范化建设。</w:t>
      </w:r>
    </w:p>
    <w:p w14:paraId="27750E41">
      <w:pPr>
        <w:spacing w:after="0" w:line="540" w:lineRule="exact"/>
        <w:ind w:firstLine="616" w:firstLineChars="200"/>
        <w:jc w:val="both"/>
        <w:rPr>
          <w:rFonts w:hint="default" w:ascii="仿宋" w:hAnsi="仿宋" w:eastAsia="仿宋" w:cs="仿宋"/>
          <w:spacing w:val="-6"/>
          <w:sz w:val="32"/>
          <w:szCs w:val="32"/>
        </w:rPr>
      </w:pPr>
      <w:r>
        <w:rPr>
          <w:rFonts w:hint="eastAsia" w:ascii="仿宋" w:hAnsi="仿宋" w:eastAsia="仿宋" w:cs="仿宋"/>
          <w:spacing w:val="-6"/>
          <w:sz w:val="32"/>
          <w:szCs w:val="32"/>
          <w:lang w:val="en-US" w:eastAsia="zh-CN"/>
        </w:rPr>
        <w:t>9.</w:t>
      </w:r>
      <w:r>
        <w:rPr>
          <w:rFonts w:hint="default" w:ascii="仿宋" w:hAnsi="仿宋" w:eastAsia="仿宋" w:cs="仿宋"/>
          <w:spacing w:val="-6"/>
          <w:sz w:val="32"/>
          <w:szCs w:val="32"/>
          <w:lang w:val="en-US" w:eastAsia="zh-CN"/>
        </w:rPr>
        <w:t>负责牵头由县政府组织的专项整治和重大执法活动，查处违法行为，承担城市管理应急突发事件的处置工作。</w:t>
      </w:r>
    </w:p>
    <w:p w14:paraId="2AF8BDD1">
      <w:pPr>
        <w:spacing w:after="0" w:line="540" w:lineRule="exact"/>
        <w:ind w:firstLine="616" w:firstLineChars="200"/>
        <w:jc w:val="both"/>
        <w:rPr>
          <w:rFonts w:hint="default" w:ascii="仿宋" w:hAnsi="仿宋" w:eastAsia="仿宋" w:cs="仿宋"/>
          <w:spacing w:val="-6"/>
          <w:sz w:val="32"/>
          <w:szCs w:val="32"/>
        </w:rPr>
      </w:pPr>
      <w:r>
        <w:rPr>
          <w:rFonts w:hint="eastAsia" w:ascii="仿宋" w:hAnsi="仿宋" w:eastAsia="仿宋" w:cs="仿宋"/>
          <w:spacing w:val="-6"/>
          <w:sz w:val="32"/>
          <w:szCs w:val="32"/>
          <w:lang w:val="en-US" w:eastAsia="zh-CN"/>
        </w:rPr>
        <w:t>10.</w:t>
      </w:r>
      <w:r>
        <w:rPr>
          <w:rFonts w:hint="default" w:ascii="仿宋" w:hAnsi="仿宋" w:eastAsia="仿宋" w:cs="仿宋"/>
          <w:spacing w:val="-6"/>
          <w:sz w:val="32"/>
          <w:szCs w:val="32"/>
          <w:lang w:val="en-US" w:eastAsia="zh-CN"/>
        </w:rPr>
        <w:t>负责全县综合行政执法的组织、协调、监督和检查工作;负责对综合行政执法队伍建设、管理和培训;负责建立行政执法责任制和执法过错责任追究制度;负责对综合行政执法人员行使职权情况实施督察。</w:t>
      </w:r>
    </w:p>
    <w:p w14:paraId="21F432A6">
      <w:pPr>
        <w:spacing w:after="0" w:line="540" w:lineRule="exact"/>
        <w:ind w:firstLine="616" w:firstLineChars="200"/>
        <w:jc w:val="both"/>
        <w:rPr>
          <w:rFonts w:hint="default" w:ascii="仿宋" w:hAnsi="仿宋" w:eastAsia="仿宋" w:cs="仿宋"/>
          <w:spacing w:val="-6"/>
          <w:sz w:val="32"/>
          <w:szCs w:val="32"/>
        </w:rPr>
      </w:pPr>
      <w:r>
        <w:rPr>
          <w:rFonts w:hint="eastAsia" w:ascii="仿宋" w:hAnsi="仿宋" w:eastAsia="仿宋" w:cs="仿宋"/>
          <w:spacing w:val="-6"/>
          <w:sz w:val="32"/>
          <w:szCs w:val="32"/>
          <w:lang w:val="en-US" w:eastAsia="zh-CN"/>
        </w:rPr>
        <w:t>11.</w:t>
      </w:r>
      <w:r>
        <w:rPr>
          <w:rFonts w:hint="default" w:ascii="仿宋" w:hAnsi="仿宋" w:eastAsia="仿宋" w:cs="仿宋"/>
          <w:spacing w:val="-6"/>
          <w:sz w:val="32"/>
          <w:szCs w:val="32"/>
          <w:lang w:val="en-US" w:eastAsia="zh-CN"/>
        </w:rPr>
        <w:t>负责城市管理的对外交流工作:负责城市管理的科学研究和社会宣传教育工作。</w:t>
      </w:r>
    </w:p>
    <w:p w14:paraId="652ACD07">
      <w:pPr>
        <w:spacing w:after="0" w:line="540" w:lineRule="exact"/>
        <w:ind w:firstLine="616" w:firstLineChars="200"/>
        <w:jc w:val="both"/>
        <w:rPr>
          <w:rFonts w:hint="default" w:ascii="仿宋" w:hAnsi="仿宋" w:eastAsia="仿宋" w:cs="仿宋"/>
          <w:spacing w:val="-6"/>
          <w:sz w:val="32"/>
          <w:szCs w:val="32"/>
        </w:rPr>
      </w:pPr>
      <w:r>
        <w:rPr>
          <w:rFonts w:hint="eastAsia" w:ascii="仿宋" w:hAnsi="仿宋" w:eastAsia="仿宋" w:cs="仿宋"/>
          <w:spacing w:val="-6"/>
          <w:sz w:val="32"/>
          <w:szCs w:val="32"/>
          <w:lang w:val="en-US" w:eastAsia="zh-CN"/>
        </w:rPr>
        <w:t>12.</w:t>
      </w:r>
      <w:r>
        <w:rPr>
          <w:rFonts w:hint="default" w:ascii="仿宋" w:hAnsi="仿宋" w:eastAsia="仿宋" w:cs="仿宋"/>
          <w:spacing w:val="-6"/>
          <w:sz w:val="32"/>
          <w:szCs w:val="32"/>
          <w:lang w:val="en-US" w:eastAsia="zh-CN"/>
        </w:rPr>
        <w:t>负责职责范围内的安全生产和职业健康、生态环境保护、审批服务便民化等工作。</w:t>
      </w:r>
    </w:p>
    <w:p w14:paraId="1BBB5064">
      <w:pPr>
        <w:snapToGrid w:val="0"/>
        <w:spacing w:line="520" w:lineRule="exact"/>
        <w:ind w:firstLine="616" w:firstLineChars="200"/>
        <w:rPr>
          <w:rFonts w:hint="eastAsia" w:ascii="仿宋_GB2312" w:hAnsi="仿宋" w:eastAsia="仿宋_GB2312"/>
          <w:sz w:val="32"/>
          <w:szCs w:val="32"/>
        </w:rPr>
      </w:pPr>
      <w:r>
        <w:rPr>
          <w:rFonts w:hint="eastAsia" w:ascii="仿宋" w:hAnsi="仿宋" w:eastAsia="仿宋" w:cs="仿宋"/>
          <w:spacing w:val="-6"/>
          <w:sz w:val="32"/>
          <w:szCs w:val="32"/>
          <w:lang w:val="en-US" w:eastAsia="zh-CN"/>
        </w:rPr>
        <w:t>13.</w:t>
      </w:r>
      <w:r>
        <w:rPr>
          <w:rFonts w:hint="default" w:ascii="仿宋" w:hAnsi="仿宋" w:eastAsia="仿宋" w:cs="仿宋"/>
          <w:spacing w:val="-6"/>
          <w:sz w:val="32"/>
          <w:szCs w:val="32"/>
          <w:lang w:val="en-US" w:eastAsia="zh-CN"/>
        </w:rPr>
        <w:t>承办县委、县政府交办的其他事项</w:t>
      </w:r>
      <w:r>
        <w:rPr>
          <w:rFonts w:hint="eastAsia" w:ascii="仿宋" w:hAnsi="仿宋" w:eastAsia="仿宋" w:cs="仿宋"/>
          <w:spacing w:val="-6"/>
          <w:sz w:val="32"/>
          <w:szCs w:val="32"/>
          <w:lang w:val="en-US" w:eastAsia="zh-CN"/>
        </w:rPr>
        <w:t>。</w:t>
      </w:r>
    </w:p>
    <w:p w14:paraId="7C1FB8E8">
      <w:pPr>
        <w:pStyle w:val="13"/>
        <w:adjustRightInd w:val="0"/>
        <w:snapToGrid w:val="0"/>
        <w:spacing w:line="440" w:lineRule="exact"/>
        <w:jc w:val="left"/>
        <w:rPr>
          <w:rFonts w:hint="eastAsia"/>
          <w:sz w:val="32"/>
          <w:szCs w:val="32"/>
        </w:rPr>
      </w:pPr>
      <w:r>
        <w:rPr>
          <w:rFonts w:hint="eastAsia"/>
          <w:sz w:val="32"/>
          <w:szCs w:val="32"/>
        </w:rPr>
        <w:t>（二）2022年重点工作完成情况</w:t>
      </w:r>
    </w:p>
    <w:p w14:paraId="398E7042">
      <w:pPr>
        <w:spacing w:line="576" w:lineRule="exact"/>
        <w:ind w:firstLine="645"/>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党建引领，加强队伍规范管理。坚持以贯彻落实党的二十大精神为引领，锻造“爱岗敬业、崇法善治、忍辱负重、吃苦耐劳、培塑形象、争创一流”剑阁综合行政执法队伍职业精神，提升整体形象。一是坚持能力建设为先。始终坚持</w:t>
      </w:r>
      <w:r>
        <w:rPr>
          <w:rFonts w:hint="default" w:ascii="仿宋" w:hAnsi="仿宋" w:eastAsia="仿宋"/>
          <w:sz w:val="32"/>
          <w:szCs w:val="32"/>
          <w:lang w:val="en"/>
        </w:rPr>
        <w:t>“第一议题”制度</w:t>
      </w:r>
      <w:r>
        <w:rPr>
          <w:rFonts w:hint="eastAsia" w:ascii="仿宋" w:hAnsi="仿宋" w:eastAsia="仿宋"/>
          <w:sz w:val="32"/>
          <w:szCs w:val="32"/>
        </w:rPr>
        <w:t>，开展党组</w:t>
      </w:r>
      <w:r>
        <w:rPr>
          <w:rFonts w:hint="eastAsia" w:ascii="仿宋" w:hAnsi="仿宋" w:eastAsia="仿宋"/>
          <w:sz w:val="32"/>
          <w:szCs w:val="32"/>
          <w:lang w:eastAsia="zh-CN"/>
        </w:rPr>
        <w:t>理论学习中心组</w:t>
      </w:r>
      <w:r>
        <w:rPr>
          <w:rFonts w:hint="eastAsia" w:ascii="仿宋" w:hAnsi="仿宋" w:eastAsia="仿宋"/>
          <w:sz w:val="32"/>
          <w:szCs w:val="32"/>
        </w:rPr>
        <w:t>学习7次，“学习强国”全县同级学习组排名靠前。开展“周三夜学”46次，组织执法业务培训12次。二是坚持纪检建设为重。加强党风廉政主体责任建设，紧紧围绕“干部纪律作风整顿深化年”，着力整治“12个突出问题”和“五个看不惯问题”，查摆、整改问题12个。开展“股长经济”专项治理，调整中层干部7名，轮岗2名。三是坚持宣传教育为本。围绕锻造职业精神组织“庆七一”演讲比赛，激发干部职工的匠心精神。“剑阁综合执法”微信公众号运维良好，省、市、县级媒体采用信息、视频60余条，其中获市委书记签批1条。筑牢意识形态安全防线，意识形态领域舆情“零发生”。四是突出队伍建设成效。2名科级领导干部通过全省拟任县处级党政领导职务、6名干部通过全市拟任乡科级领导干部政治理论水平任职资格考试。12名同志通过行政执法人员法律通用知识考试。在上级领导来剑视察、疫情防控、文明城市创建等工作中，冲锋一线、坚守一线，圆满完成了各项急难险重任务，被县委授予“10.11”疫情防控先进集体。</w:t>
      </w:r>
    </w:p>
    <w:p w14:paraId="34CD550E">
      <w:pPr>
        <w:spacing w:line="576" w:lineRule="exact"/>
        <w:ind w:firstLine="645"/>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深化改革，提升综合执法效能。一是加大跨领域执法力度，有效打击各类违法行为。在住建、环保、城市管理等领域探索综合执法，推进“双随机、一公开”，开展联合执法检查5次，单部门执法检查3次。查办各类行政处罚案件132件，同比增长528.57%。二是提升执法办案质量，执法规范不断增强。开展5次执法业务能力培训，指导乡镇综合行政执法业务3次，严格落实“三项制度”，132件行政处罚案件“零复议”“零诉讼”，综合执法社会满意度不断提升。三是坚持“零容忍”执法态度，重拳整治各类违建。按照“减存量，控增量”的工作要求，严格落实网格化巡查，即查即拆违建12处，拆除规模595㎡，违建举报率同比下降41%，有效遏制各类违建行为。四是推行执法服务并重，打造最优营商环境。结合新施行的法律法规，动态调整权力清单，厘清监管和执法边界，推进执法精细化精准化。以深化“放管服”改革为切入口，持续优化行政审批流程，行政许可事项办理全面提速100%，截</w:t>
      </w:r>
      <w:r>
        <w:rPr>
          <w:rFonts w:hint="eastAsia" w:ascii="仿宋" w:hAnsi="仿宋" w:eastAsia="仿宋"/>
          <w:sz w:val="32"/>
          <w:szCs w:val="32"/>
          <w:lang w:eastAsia="zh-CN"/>
        </w:rPr>
        <w:t>至</w:t>
      </w:r>
      <w:r>
        <w:rPr>
          <w:rFonts w:hint="eastAsia" w:ascii="仿宋" w:hAnsi="仿宋" w:eastAsia="仿宋"/>
          <w:sz w:val="32"/>
          <w:szCs w:val="32"/>
        </w:rPr>
        <w:t>当前，今年受理行政许可申请170起，无一起投诉差评，受理率100%，行政相对人满意度100%。严格落实行政执法“双公示”，执法过程和结果透明、公开，营商环境持续向好。</w:t>
      </w:r>
    </w:p>
    <w:p w14:paraId="79F511A7">
      <w:pPr>
        <w:spacing w:line="576" w:lineRule="exact"/>
        <w:ind w:firstLine="645"/>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提质增效，推进城乡环境综合治理。一是加大创建示范带动力度。按照省市城乡环境治理工作目标创建最干净乡镇3个、最干净村庄4个。按照省市农村生活垃圾分类建设目标任务，开展示范乡镇5个、示范村19个、示范小区1个、示范单位6个创建工作。在巩固拓展脱贫攻坚成果同乡村振兴有效衔接考核评估中发挥了积极带动作用。二是推进铁路沿线环境综合整治。严格落实“双段长”责任制，按照隐患排查到底到边、隐患整改落地清零的要求，加强统筹协调，“路地”联动，构建强大工作合力。今年3月被评为市2021年度工作先进集体。三是垃圾分类有序推进。23座智慧家居馆全部投入运营，共有5388户居民参与垃圾分类，完成比例为164.87%，全年回收垃圾782吨，完成比例200.51%。结合世界地球日、世界环境日等主题，开展垃圾分类活动3次，垃圾分类积分兑换122.28万元，巩固了垃圾分类的知晓率、参与率、投放准确率。四是加快实施“三推”项目”建设。生活垃圾分类转运设施建设项目总投资2150万元，规划建设垃圾压缩转运站23个，采购垃圾收转运车60辆、垃圾分类收集桶4800个。招引餐厨垃圾处理项目签约资金1.5亿元，完成率750%，投资总额4200万元，该项目的建成填补了我县厨余垃圾终端处理设施的空白。生活垃圾无害化处理设施建设项目，计划总投资8900万元，已启动招商工作，计划2023年12月完工并投入使用。以上项目完工后我县将全面建成“户分类、村收集、乡（镇）转运、县（市）处理”的生活垃圾收转运处置体系，生活垃圾收集率、无害化处理率达到100%。五是常态化督查检查。划定环境卫生责任区域，县城乡环境综合治理督查专班与县城市管理督查专班围绕上级领导来剑视察、重要节假日节点，对乡镇及相关单位开展督查检查48次，及时发现问题、反馈意见，把狠抓督促检查作为推动环境卫生治理工作的有力手段。</w:t>
      </w:r>
    </w:p>
    <w:p w14:paraId="16DC842D">
      <w:pPr>
        <w:spacing w:line="576" w:lineRule="exact"/>
        <w:ind w:firstLine="645"/>
      </w:pPr>
      <w:r>
        <w:rPr>
          <w:rFonts w:hint="eastAsia" w:ascii="仿宋" w:hAnsi="仿宋" w:eastAsia="仿宋"/>
          <w:sz w:val="32"/>
          <w:szCs w:val="32"/>
          <w:lang w:val="en-US" w:eastAsia="zh-CN"/>
        </w:rPr>
        <w:t>4.</w:t>
      </w:r>
      <w:r>
        <w:rPr>
          <w:rFonts w:hint="eastAsia" w:ascii="仿宋" w:hAnsi="仿宋" w:eastAsia="仿宋"/>
          <w:sz w:val="32"/>
          <w:szCs w:val="32"/>
        </w:rPr>
        <w:t>攻坚克难，规范城市环境秩序。以长效管理机制逐步替代频繁的临时突击性整治，加强城区经营秩序管理。一是扎实做好文明创建。把创建四川省第六届文明城市作为城市管理头等大事，牵头做好环境秩序整治工作，挂账点位全部如期销账，为创文工作提供坚实的保障。二是提升环卫服务水平。聚焦“安全、清洁、有序、便民”管理目标，加强环卫精细化管理，提升环卫机械化作业水平，不断刷新国家卫生县城的城市名片。强化重点路段清扫保洁力度，加强车行道、人行道机械化清扫作业，提升路面冲洗和洒水降尘作业质量。三是强化城市秩序管理。按照“疏堵结合、疏导优先”的原则，坚持“服务融入管理、管理突出服务”的方针，实行网格化管理。实行“定人、定岗、定责、定目标”的管理规定，使城市管理工作实现无缝隙。重点针对出店占道经营、乱设摊点、乱停乱放、乱堆乱挂、户外广告等城市乱象进行强力整治。签订“门前五包”责任书300份，持续开展城市顽疾整治，有效改善市容环境面貌。规范各类流动摊点5436个，整改破损户外广告697处，清理顽疾3684处，整治跨门经营869处，劝导违规停放非机动车辆1983台。四是加强大气污染防治。持续加强施工扬尘、抛洒滴漏、露天烧烤、露天焚烧等违法行为整治，开展专项整治行动12次，对13辆违规运输车辆立案处罚。推进祭祀活动管理规范化、制度化，在春节、清明、中元等祭祀重点时段，合理规范县城区集中祭祀场（点）5处10点位，改善空气质量。五是开展餐饮油烟、噪音专项整治。规范油烟净化设施安装89处，责令存在噪音扰民的52家餐饮店、5家KTV进行整改，大大减少了噪音投诉。六是加强城市路灯管理。全面落实路灯巡查制度，排查线路故障、设备故障65处15公里，新换职业中学至新能新材路灯专用变压器1台，更换宝龙山等路段电缆线500米，维修路灯600余盏，全面提升亮灯率，城市形象提档升级。</w:t>
      </w:r>
    </w:p>
    <w:p w14:paraId="449D28BF">
      <w:pPr>
        <w:pStyle w:val="5"/>
        <w:rPr>
          <w:rFonts w:ascii="黑体" w:hAnsi="黑体" w:eastAsia="黑体"/>
          <w:b w:val="0"/>
        </w:rPr>
      </w:pPr>
      <w:r>
        <w:rPr>
          <w:rFonts w:hint="eastAsia" w:ascii="黑体" w:hAnsi="黑体" w:eastAsia="黑体"/>
          <w:b w:val="0"/>
        </w:rPr>
        <w:t>二、机构设置</w:t>
      </w:r>
    </w:p>
    <w:bookmarkEnd w:id="14"/>
    <w:bookmarkEnd w:id="15"/>
    <w:p w14:paraId="6C39666A">
      <w:pPr>
        <w:widowControl/>
        <w:ind w:firstLine="640" w:firstLineChars="200"/>
        <w:jc w:val="left"/>
        <w:rPr>
          <w:rFonts w:ascii="仿宋" w:hAnsi="仿宋" w:eastAsia="仿宋"/>
          <w:kern w:val="0"/>
          <w:sz w:val="32"/>
          <w:szCs w:val="32"/>
        </w:rPr>
      </w:pPr>
      <w:r>
        <w:rPr>
          <w:rFonts w:hint="eastAsia" w:ascii="仿宋" w:hAnsi="仿宋" w:eastAsia="仿宋"/>
          <w:sz w:val="32"/>
          <w:szCs w:val="32"/>
          <w:lang w:eastAsia="zh-CN"/>
        </w:rPr>
        <w:t>剑阁县综合行政执法局</w:t>
      </w:r>
      <w:r>
        <w:rPr>
          <w:rFonts w:hint="eastAsia" w:ascii="仿宋" w:hAnsi="仿宋" w:eastAsia="仿宋"/>
          <w:sz w:val="32"/>
          <w:szCs w:val="32"/>
        </w:rPr>
        <w:t>下属二级单位</w:t>
      </w:r>
      <w:r>
        <w:rPr>
          <w:rFonts w:hint="eastAsia" w:ascii="仿宋" w:hAnsi="仿宋" w:eastAsia="仿宋"/>
          <w:sz w:val="32"/>
          <w:szCs w:val="32"/>
          <w:lang w:val="en-US" w:eastAsia="zh-CN"/>
        </w:rPr>
        <w:t>1</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1</w:t>
      </w:r>
      <w:r>
        <w:rPr>
          <w:rFonts w:hint="eastAsia" w:ascii="仿宋" w:hAnsi="仿宋" w:eastAsia="仿宋"/>
          <w:sz w:val="32"/>
          <w:szCs w:val="32"/>
        </w:rPr>
        <w:t>个</w:t>
      </w:r>
      <w:r>
        <w:rPr>
          <w:rFonts w:hint="eastAsia" w:ascii="仿宋" w:hAnsi="仿宋" w:eastAsia="仿宋"/>
          <w:sz w:val="32"/>
          <w:szCs w:val="32"/>
          <w:lang w:eastAsia="zh-CN"/>
        </w:rPr>
        <w:t>，为剑阁县环境卫生事务中心，属一级预算单位</w:t>
      </w:r>
      <w:r>
        <w:rPr>
          <w:rFonts w:hint="eastAsia" w:ascii="仿宋" w:hAnsi="仿宋" w:eastAsia="仿宋"/>
          <w:sz w:val="32"/>
          <w:szCs w:val="32"/>
        </w:rPr>
        <w:t>。</w:t>
      </w:r>
      <w:r>
        <w:rPr>
          <w:rFonts w:ascii="仿宋" w:hAnsi="仿宋" w:eastAsia="仿宋"/>
          <w:sz w:val="32"/>
          <w:szCs w:val="32"/>
        </w:rPr>
        <w:br w:type="page"/>
      </w:r>
    </w:p>
    <w:p w14:paraId="38D4F625">
      <w:pPr>
        <w:pStyle w:val="4"/>
        <w:ind w:right="440"/>
        <w:jc w:val="center"/>
        <w:rPr>
          <w:rStyle w:val="26"/>
          <w:rFonts w:ascii="黑体" w:hAnsi="黑体" w:eastAsia="黑体"/>
          <w:b w:val="0"/>
          <w:bCs/>
        </w:rPr>
      </w:pPr>
      <w:bookmarkStart w:id="16" w:name="_Toc15377204"/>
      <w:bookmarkStart w:id="17" w:name="_Toc15396602"/>
      <w:r>
        <w:rPr>
          <w:rFonts w:hint="eastAsia" w:ascii="黑体" w:hAnsi="黑体" w:eastAsia="黑体"/>
          <w:b w:val="0"/>
        </w:rPr>
        <w:t>第二部分 2022年度</w:t>
      </w:r>
      <w:r>
        <w:rPr>
          <w:rStyle w:val="26"/>
          <w:rFonts w:hint="eastAsia" w:ascii="黑体" w:hAnsi="黑体" w:eastAsia="黑体"/>
          <w:b w:val="0"/>
          <w:bCs/>
        </w:rPr>
        <w:t>单位决算情况说明</w:t>
      </w:r>
      <w:bookmarkEnd w:id="16"/>
      <w:bookmarkEnd w:id="17"/>
    </w:p>
    <w:p w14:paraId="723FDEB1"/>
    <w:p w14:paraId="3661E8C5">
      <w:pPr>
        <w:pStyle w:val="25"/>
        <w:numPr>
          <w:ilvl w:val="0"/>
          <w:numId w:val="2"/>
        </w:numPr>
        <w:spacing w:line="600" w:lineRule="exact"/>
        <w:ind w:firstLineChars="0"/>
        <w:outlineLvl w:val="1"/>
        <w:rPr>
          <w:rStyle w:val="27"/>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7"/>
          <w:rFonts w:hint="eastAsia" w:ascii="黑体" w:hAnsi="黑体" w:eastAsia="黑体"/>
          <w:b w:val="0"/>
        </w:rPr>
        <w:t>入支出决算总体情况说明</w:t>
      </w:r>
      <w:bookmarkEnd w:id="18"/>
      <w:bookmarkEnd w:id="19"/>
    </w:p>
    <w:p w14:paraId="50D32FF1">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color w:val="000000"/>
          <w:sz w:val="32"/>
          <w:szCs w:val="32"/>
          <w:lang w:val="en-US" w:eastAsia="zh-CN"/>
        </w:rPr>
        <w:t>725.64</w:t>
      </w:r>
      <w:r>
        <w:rPr>
          <w:rFonts w:hint="eastAsia" w:ascii="仿宋" w:hAnsi="仿宋" w:eastAsia="仿宋"/>
          <w:sz w:val="32"/>
          <w:szCs w:val="32"/>
        </w:rPr>
        <w:t>万元。与2021年相比，收、支总计各增加</w:t>
      </w:r>
      <w:r>
        <w:rPr>
          <w:rFonts w:hint="eastAsia" w:ascii="仿宋" w:hAnsi="仿宋" w:eastAsia="仿宋"/>
          <w:color w:val="000000"/>
          <w:sz w:val="32"/>
          <w:szCs w:val="32"/>
          <w:lang w:val="en-US" w:eastAsia="zh-CN"/>
        </w:rPr>
        <w:t>143.01</w:t>
      </w:r>
      <w:r>
        <w:rPr>
          <w:rFonts w:hint="eastAsia" w:ascii="仿宋" w:hAnsi="仿宋" w:eastAsia="仿宋"/>
          <w:sz w:val="32"/>
          <w:szCs w:val="32"/>
        </w:rPr>
        <w:t>万元，增长</w:t>
      </w:r>
      <w:r>
        <w:rPr>
          <w:rFonts w:hint="eastAsia" w:ascii="仿宋" w:hAnsi="仿宋" w:eastAsia="仿宋"/>
          <w:color w:val="000000"/>
          <w:sz w:val="32"/>
          <w:szCs w:val="32"/>
          <w:lang w:val="en-US" w:eastAsia="zh-CN"/>
        </w:rPr>
        <w:t>24.55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000000"/>
          <w:sz w:val="32"/>
          <w:szCs w:val="32"/>
          <w:lang w:val="en-US" w:eastAsia="zh-CN"/>
        </w:rPr>
        <w:t>新增“城市生活垃圾分类服务费”83.52万元项目经费</w:t>
      </w:r>
      <w:r>
        <w:rPr>
          <w:rFonts w:hint="eastAsia" w:ascii="仿宋" w:hAnsi="仿宋" w:eastAsia="仿宋"/>
          <w:sz w:val="32"/>
          <w:szCs w:val="32"/>
        </w:rPr>
        <w:t>。</w:t>
      </w:r>
    </w:p>
    <w:p w14:paraId="617A28A0">
      <w:pPr>
        <w:pStyle w:val="7"/>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A69DEE7">
      <w:pPr>
        <w:pStyle w:val="7"/>
        <w:ind w:firstLine="960" w:firstLineChars="300"/>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0EFA1688">
      <w:pPr>
        <w:pStyle w:val="25"/>
        <w:numPr>
          <w:ilvl w:val="0"/>
          <w:numId w:val="2"/>
        </w:numPr>
        <w:spacing w:line="600" w:lineRule="exact"/>
        <w:ind w:firstLineChars="0"/>
        <w:outlineLvl w:val="1"/>
        <w:rPr>
          <w:rStyle w:val="27"/>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7"/>
          <w:rFonts w:hint="eastAsia" w:ascii="黑体" w:hAnsi="黑体" w:eastAsia="黑体"/>
          <w:b w:val="0"/>
        </w:rPr>
        <w:t>入决算情况说明</w:t>
      </w:r>
      <w:bookmarkEnd w:id="20"/>
      <w:bookmarkEnd w:id="21"/>
    </w:p>
    <w:p w14:paraId="5F988C87">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color w:val="000000"/>
          <w:sz w:val="32"/>
          <w:szCs w:val="32"/>
          <w:lang w:val="en-US" w:eastAsia="zh-CN"/>
        </w:rPr>
        <w:t>725.64</w:t>
      </w:r>
      <w:r>
        <w:rPr>
          <w:rFonts w:hint="eastAsia" w:ascii="仿宋" w:hAnsi="仿宋" w:eastAsia="仿宋"/>
          <w:sz w:val="32"/>
          <w:szCs w:val="32"/>
        </w:rPr>
        <w:t>万元，其中：一般公共预算财政拨款收入725.64万元，占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14:paraId="47602EAA">
      <w:pPr>
        <w:spacing w:line="600" w:lineRule="exact"/>
        <w:ind w:firstLine="640" w:firstLineChars="200"/>
        <w:outlineLvl w:val="1"/>
        <w:rPr>
          <w:rFonts w:ascii="仿宋" w:hAnsi="仿宋" w:eastAsia="仿宋"/>
          <w:sz w:val="32"/>
          <w:szCs w:val="32"/>
        </w:rPr>
      </w:pPr>
    </w:p>
    <w:p w14:paraId="119E420E">
      <w:pPr>
        <w:pStyle w:val="7"/>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02335B8">
      <w:pPr>
        <w:pStyle w:val="7"/>
        <w:ind w:firstLine="1600" w:firstLineChars="500"/>
        <w:rPr>
          <w:rFonts w:hint="eastAsia"/>
          <w:lang w:eastAsia="zh-CN"/>
        </w:rPr>
      </w:pPr>
      <w:r>
        <w:rPr>
          <w:rFonts w:hint="eastAsia" w:ascii="仿宋" w:hAnsi="仿宋" w:eastAsia="仿宋"/>
          <w:sz w:val="32"/>
          <w:szCs w:val="32"/>
        </w:rPr>
        <w:t>（图2：收入决算结构图）</w:t>
      </w:r>
    </w:p>
    <w:p w14:paraId="1B9D86F6">
      <w:pPr>
        <w:pStyle w:val="25"/>
        <w:numPr>
          <w:ilvl w:val="0"/>
          <w:numId w:val="2"/>
        </w:numPr>
        <w:spacing w:line="600" w:lineRule="exact"/>
        <w:ind w:firstLineChars="0"/>
        <w:outlineLvl w:val="1"/>
        <w:rPr>
          <w:rStyle w:val="27"/>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7"/>
          <w:rFonts w:hint="eastAsia" w:ascii="黑体" w:hAnsi="黑体" w:eastAsia="黑体"/>
          <w:b w:val="0"/>
        </w:rPr>
        <w:t>出决算情况说明</w:t>
      </w:r>
      <w:bookmarkEnd w:id="22"/>
      <w:bookmarkEnd w:id="23"/>
    </w:p>
    <w:p w14:paraId="0CBFEDFC">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color w:val="000000"/>
          <w:sz w:val="32"/>
          <w:szCs w:val="32"/>
          <w:lang w:val="en-US" w:eastAsia="zh-CN"/>
        </w:rPr>
        <w:t>725.64</w:t>
      </w:r>
      <w:r>
        <w:rPr>
          <w:rFonts w:hint="eastAsia" w:ascii="仿宋" w:hAnsi="仿宋" w:eastAsia="仿宋"/>
          <w:sz w:val="32"/>
          <w:szCs w:val="32"/>
        </w:rPr>
        <w:t>万元，其中：基本支出600.13万元，占</w:t>
      </w:r>
      <w:r>
        <w:rPr>
          <w:rFonts w:hint="eastAsia" w:ascii="仿宋" w:hAnsi="仿宋" w:eastAsia="仿宋"/>
          <w:sz w:val="32"/>
          <w:szCs w:val="32"/>
          <w:lang w:val="en-US" w:eastAsia="zh-CN"/>
        </w:rPr>
        <w:t>82.70</w:t>
      </w:r>
      <w:r>
        <w:rPr>
          <w:rFonts w:ascii="仿宋" w:hAnsi="仿宋" w:eastAsia="仿宋"/>
          <w:sz w:val="32"/>
          <w:szCs w:val="32"/>
        </w:rPr>
        <w:t>%</w:t>
      </w:r>
      <w:r>
        <w:rPr>
          <w:rFonts w:hint="eastAsia" w:ascii="仿宋" w:hAnsi="仿宋" w:eastAsia="仿宋"/>
          <w:sz w:val="32"/>
          <w:szCs w:val="32"/>
        </w:rPr>
        <w:t>；项目支出125.51万元，占</w:t>
      </w:r>
      <w:r>
        <w:rPr>
          <w:rFonts w:hint="eastAsia" w:ascii="仿宋" w:hAnsi="仿宋" w:eastAsia="仿宋"/>
          <w:sz w:val="32"/>
          <w:szCs w:val="32"/>
          <w:lang w:val="en-US" w:eastAsia="zh-CN"/>
        </w:rPr>
        <w:t>17.30</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14:paraId="76E21819">
      <w:pPr>
        <w:pStyle w:val="7"/>
        <w:rPr>
          <w:rFonts w:hint="eastAsia"/>
          <w:lang w:eastAsia="zh-CN"/>
        </w:rPr>
      </w:pPr>
      <w: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0BD707">
      <w:pPr>
        <w:spacing w:line="600" w:lineRule="exact"/>
        <w:ind w:firstLine="1920" w:firstLineChars="600"/>
        <w:rPr>
          <w:rFonts w:ascii="仿宋_GB2312" w:eastAsia="仿宋_GB2312"/>
          <w:sz w:val="32"/>
          <w:szCs w:val="32"/>
        </w:rPr>
      </w:pPr>
      <w:r>
        <w:rPr>
          <w:rFonts w:hint="eastAsia" w:ascii="仿宋" w:hAnsi="仿宋" w:eastAsia="仿宋"/>
          <w:sz w:val="32"/>
          <w:szCs w:val="32"/>
        </w:rPr>
        <w:t>（图3：支出决算结构图）</w:t>
      </w:r>
    </w:p>
    <w:p w14:paraId="0CEB602A">
      <w:pPr>
        <w:spacing w:line="600" w:lineRule="exact"/>
        <w:ind w:firstLine="640" w:firstLineChars="200"/>
        <w:outlineLvl w:val="1"/>
        <w:rPr>
          <w:rStyle w:val="27"/>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24"/>
      <w:bookmarkEnd w:id="25"/>
    </w:p>
    <w:p w14:paraId="0D202339">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22年财政拨款收、支总计725.64万元。与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hint="eastAsia" w:ascii="仿宋" w:hAnsi="仿宋" w:eastAsia="仿宋"/>
          <w:color w:val="000000"/>
          <w:sz w:val="32"/>
          <w:szCs w:val="32"/>
          <w:lang w:val="en-US" w:eastAsia="zh-CN"/>
        </w:rPr>
        <w:t>143.0</w:t>
      </w:r>
      <w:r>
        <w:rPr>
          <w:rFonts w:hint="eastAsia" w:ascii="仿宋" w:hAnsi="仿宋" w:eastAsia="仿宋"/>
          <w:sz w:val="32"/>
          <w:szCs w:val="32"/>
        </w:rPr>
        <w:t>万元，增长</w:t>
      </w:r>
      <w:r>
        <w:rPr>
          <w:rFonts w:hint="eastAsia" w:ascii="仿宋" w:hAnsi="仿宋" w:eastAsia="仿宋"/>
          <w:color w:val="000000"/>
          <w:sz w:val="32"/>
          <w:szCs w:val="32"/>
          <w:lang w:val="en-US" w:eastAsia="zh-CN"/>
        </w:rPr>
        <w:t>24.55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000000"/>
          <w:sz w:val="32"/>
          <w:szCs w:val="32"/>
          <w:lang w:val="en-US" w:eastAsia="zh-CN"/>
        </w:rPr>
        <w:t>新增“城市生活垃圾分类服务费”83.52万元项目经费。</w:t>
      </w:r>
    </w:p>
    <w:p w14:paraId="01140BBB">
      <w:pPr>
        <w:pStyle w:val="7"/>
      </w:pPr>
      <w:r>
        <w:drawing>
          <wp:inline distT="0" distB="0" distL="114300" distR="114300">
            <wp:extent cx="4572000" cy="2743200"/>
            <wp:effectExtent l="4445" t="4445" r="1460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70425C">
      <w:pPr>
        <w:spacing w:line="600" w:lineRule="exact"/>
        <w:ind w:firstLine="640"/>
        <w:rPr>
          <w:rFonts w:ascii="仿宋" w:hAnsi="仿宋" w:eastAsia="仿宋"/>
          <w:b/>
          <w:sz w:val="32"/>
          <w:szCs w:val="32"/>
        </w:rPr>
      </w:pPr>
      <w:r>
        <w:rPr>
          <w:rFonts w:hint="eastAsia" w:ascii="仿宋" w:hAnsi="仿宋" w:eastAsia="仿宋"/>
          <w:sz w:val="32"/>
          <w:szCs w:val="32"/>
        </w:rPr>
        <w:t>（图4：财政拨款收、支决算总计变动情况）</w:t>
      </w:r>
    </w:p>
    <w:p w14:paraId="0132C091">
      <w:pPr>
        <w:spacing w:line="600" w:lineRule="exact"/>
        <w:ind w:firstLine="640" w:firstLineChars="200"/>
        <w:outlineLvl w:val="1"/>
        <w:rPr>
          <w:rStyle w:val="27"/>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26"/>
      <w:bookmarkEnd w:id="27"/>
    </w:p>
    <w:p w14:paraId="1A27F970">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5FD3DB85">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725.64</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color w:val="000000"/>
          <w:sz w:val="32"/>
          <w:szCs w:val="32"/>
          <w:lang w:val="en-US" w:eastAsia="zh-CN"/>
        </w:rPr>
        <w:t>143.0</w:t>
      </w:r>
      <w:r>
        <w:rPr>
          <w:rFonts w:hint="eastAsia" w:ascii="仿宋" w:hAnsi="仿宋" w:eastAsia="仿宋"/>
          <w:sz w:val="32"/>
          <w:szCs w:val="32"/>
        </w:rPr>
        <w:t>万元，增长</w:t>
      </w:r>
      <w:r>
        <w:rPr>
          <w:rFonts w:hint="eastAsia" w:ascii="仿宋" w:hAnsi="仿宋" w:eastAsia="仿宋"/>
          <w:color w:val="000000"/>
          <w:sz w:val="32"/>
          <w:szCs w:val="32"/>
          <w:lang w:val="en-US" w:eastAsia="zh-CN"/>
        </w:rPr>
        <w:t>24.55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000000"/>
          <w:sz w:val="32"/>
          <w:szCs w:val="32"/>
          <w:lang w:val="en-US" w:eastAsia="zh-CN"/>
        </w:rPr>
        <w:t>新增“城市生活垃圾分类服务费”83.52万元项目经费。</w:t>
      </w:r>
    </w:p>
    <w:p w14:paraId="52F8266C">
      <w:pPr>
        <w:spacing w:line="600" w:lineRule="exact"/>
        <w:ind w:firstLine="640" w:firstLineChars="200"/>
        <w:rPr>
          <w:rFonts w:hint="eastAsia" w:ascii="仿宋" w:hAnsi="仿宋" w:eastAsia="仿宋"/>
          <w:sz w:val="32"/>
          <w:szCs w:val="32"/>
        </w:rPr>
      </w:pPr>
    </w:p>
    <w:p w14:paraId="4495B6CE">
      <w:pPr>
        <w:pStyle w:val="7"/>
      </w:pPr>
      <w:r>
        <w:drawing>
          <wp:inline distT="0" distB="0" distL="114300" distR="114300">
            <wp:extent cx="4572000" cy="2743200"/>
            <wp:effectExtent l="4445" t="4445" r="14605" b="14605"/>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A7CBB1">
      <w:pPr>
        <w:spacing w:line="600" w:lineRule="exact"/>
        <w:outlineLvl w:val="2"/>
        <w:rPr>
          <w:rFonts w:hint="eastAsia" w:ascii="仿宋" w:hAnsi="仿宋" w:eastAsia="仿宋"/>
          <w:sz w:val="32"/>
          <w:szCs w:val="32"/>
        </w:rPr>
      </w:pPr>
      <w:bookmarkStart w:id="29" w:name="_Toc15377211"/>
      <w:r>
        <w:rPr>
          <w:rFonts w:hint="eastAsia" w:ascii="仿宋" w:hAnsi="仿宋" w:eastAsia="仿宋"/>
          <w:sz w:val="32"/>
          <w:szCs w:val="32"/>
        </w:rPr>
        <w:t>（图5：一般公共预算财政拨款支出决算变动情况）</w:t>
      </w:r>
    </w:p>
    <w:p w14:paraId="6A67A7D9">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29"/>
    </w:p>
    <w:p w14:paraId="3CB7CD1A">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725.64</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color w:val="000000"/>
          <w:sz w:val="32"/>
          <w:szCs w:val="32"/>
        </w:rPr>
        <w:t>（类）</w:t>
      </w:r>
      <w:r>
        <w:rPr>
          <w:rFonts w:hint="eastAsia" w:ascii="仿宋" w:hAnsi="仿宋" w:eastAsia="仿宋"/>
          <w:b/>
          <w:bCs/>
          <w:sz w:val="32"/>
          <w:szCs w:val="32"/>
        </w:rPr>
        <w:t>33.84</w:t>
      </w:r>
      <w:r>
        <w:rPr>
          <w:rFonts w:hint="eastAsia" w:ascii="仿宋" w:hAnsi="仿宋" w:eastAsia="仿宋"/>
          <w:sz w:val="32"/>
          <w:szCs w:val="32"/>
        </w:rPr>
        <w:t>万元，占</w:t>
      </w:r>
      <w:r>
        <w:rPr>
          <w:rFonts w:hint="eastAsia" w:ascii="仿宋" w:hAnsi="仿宋" w:eastAsia="仿宋"/>
          <w:color w:val="000000"/>
          <w:sz w:val="32"/>
          <w:szCs w:val="32"/>
          <w:lang w:val="en-US" w:eastAsia="zh-CN"/>
        </w:rPr>
        <w:t>4.66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color w:val="000000"/>
          <w:sz w:val="32"/>
          <w:szCs w:val="32"/>
        </w:rPr>
        <w:t>（类）</w:t>
      </w:r>
      <w:r>
        <w:rPr>
          <w:rFonts w:hint="eastAsia" w:ascii="仿宋" w:hAnsi="仿宋" w:eastAsia="仿宋"/>
          <w:b/>
          <w:bCs/>
          <w:sz w:val="32"/>
          <w:szCs w:val="32"/>
        </w:rPr>
        <w:t>16.92</w:t>
      </w:r>
      <w:r>
        <w:rPr>
          <w:rFonts w:hint="eastAsia" w:ascii="仿宋" w:hAnsi="仿宋" w:eastAsia="仿宋"/>
          <w:sz w:val="32"/>
          <w:szCs w:val="32"/>
        </w:rPr>
        <w:t>万元，占</w:t>
      </w:r>
      <w:r>
        <w:rPr>
          <w:rFonts w:hint="eastAsia" w:ascii="仿宋" w:hAnsi="仿宋" w:eastAsia="仿宋"/>
          <w:color w:val="000000"/>
          <w:sz w:val="32"/>
          <w:szCs w:val="32"/>
          <w:lang w:val="en-US" w:eastAsia="zh-CN"/>
        </w:rPr>
        <w:t>2.33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color w:val="000000"/>
          <w:sz w:val="32"/>
          <w:szCs w:val="32"/>
          <w:lang w:eastAsia="zh-CN"/>
        </w:rPr>
        <w:t>城乡社区支出</w:t>
      </w:r>
      <w:r>
        <w:rPr>
          <w:rFonts w:hint="eastAsia" w:ascii="仿宋" w:hAnsi="仿宋" w:eastAsia="仿宋"/>
          <w:b/>
          <w:color w:val="000000"/>
          <w:sz w:val="32"/>
          <w:szCs w:val="32"/>
        </w:rPr>
        <w:t>（类）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649.49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88.95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sz w:val="32"/>
          <w:szCs w:val="32"/>
        </w:rPr>
        <w:t>住房保障支出</w:t>
      </w:r>
      <w:r>
        <w:rPr>
          <w:rFonts w:hint="eastAsia" w:ascii="仿宋" w:hAnsi="仿宋" w:eastAsia="仿宋"/>
          <w:b/>
          <w:color w:val="000000"/>
          <w:sz w:val="32"/>
          <w:szCs w:val="32"/>
        </w:rPr>
        <w:t>（类）</w:t>
      </w:r>
      <w:r>
        <w:rPr>
          <w:rFonts w:hint="eastAsia" w:ascii="仿宋" w:hAnsi="仿宋" w:eastAsia="仿宋"/>
          <w:b/>
          <w:bCs/>
          <w:sz w:val="32"/>
          <w:szCs w:val="32"/>
        </w:rPr>
        <w:t>25.38</w:t>
      </w:r>
      <w:r>
        <w:rPr>
          <w:rFonts w:hint="eastAsia" w:ascii="仿宋" w:hAnsi="仿宋" w:eastAsia="仿宋"/>
          <w:sz w:val="32"/>
          <w:szCs w:val="32"/>
        </w:rPr>
        <w:t>万元，占</w:t>
      </w:r>
      <w:r>
        <w:rPr>
          <w:rFonts w:hint="eastAsia" w:ascii="仿宋" w:hAnsi="仿宋" w:eastAsia="仿宋"/>
          <w:color w:val="000000"/>
          <w:sz w:val="32"/>
          <w:szCs w:val="32"/>
          <w:lang w:val="en-US" w:eastAsia="zh-CN"/>
        </w:rPr>
        <w:t>4.06</w:t>
      </w:r>
      <w:r>
        <w:rPr>
          <w:rFonts w:ascii="仿宋" w:hAnsi="仿宋" w:eastAsia="仿宋"/>
          <w:sz w:val="32"/>
          <w:szCs w:val="32"/>
        </w:rPr>
        <w:t>%</w:t>
      </w:r>
      <w:r>
        <w:rPr>
          <w:rFonts w:hint="eastAsia" w:ascii="仿宋" w:hAnsi="仿宋" w:eastAsia="仿宋"/>
          <w:sz w:val="32"/>
          <w:szCs w:val="32"/>
        </w:rPr>
        <w:t>。</w:t>
      </w:r>
    </w:p>
    <w:p w14:paraId="009E8663">
      <w:pPr>
        <w:spacing w:line="600" w:lineRule="exact"/>
        <w:ind w:firstLine="640" w:firstLineChars="200"/>
        <w:rPr>
          <w:rFonts w:ascii="仿宋" w:hAnsi="仿宋" w:eastAsia="仿宋"/>
          <w:sz w:val="32"/>
          <w:szCs w:val="32"/>
        </w:rPr>
      </w:pPr>
    </w:p>
    <w:p w14:paraId="50C8C4EC">
      <w:pPr>
        <w:pStyle w:val="7"/>
      </w:pPr>
      <w:r>
        <w:drawing>
          <wp:inline distT="0" distB="0" distL="114300" distR="114300">
            <wp:extent cx="4572000" cy="2743200"/>
            <wp:effectExtent l="4445" t="4445" r="14605" b="1460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DE083D">
      <w:pPr>
        <w:pStyle w:val="7"/>
        <w:ind w:firstLine="320" w:firstLineChars="100"/>
      </w:pPr>
      <w:r>
        <w:rPr>
          <w:rFonts w:hint="eastAsia" w:ascii="仿宋" w:hAnsi="仿宋" w:eastAsia="仿宋"/>
          <w:sz w:val="32"/>
          <w:szCs w:val="32"/>
        </w:rPr>
        <w:t>（图6：一般公共预算财政拨款支出决算结构）</w:t>
      </w:r>
    </w:p>
    <w:p w14:paraId="18D7D1E4">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45B98581">
      <w:pPr>
        <w:spacing w:line="600" w:lineRule="exact"/>
        <w:ind w:firstLine="643" w:firstLineChars="200"/>
        <w:outlineLvl w:val="2"/>
        <w:rPr>
          <w:rFonts w:ascii="仿宋" w:hAnsi="仿宋" w:eastAsia="仿宋"/>
          <w:sz w:val="32"/>
          <w:szCs w:val="32"/>
        </w:rPr>
      </w:pPr>
      <w:bookmarkStart w:id="31" w:name="_Toc15378460"/>
      <w:bookmarkStart w:id="32" w:name="_Toc15377444"/>
      <w:bookmarkStart w:id="33" w:name="_Toc15377213"/>
      <w:r>
        <w:rPr>
          <w:rFonts w:hint="eastAsia" w:ascii="仿宋" w:hAnsi="仿宋" w:eastAsia="仿宋"/>
          <w:b/>
          <w:sz w:val="32"/>
          <w:szCs w:val="32"/>
        </w:rPr>
        <w:t>2022年一般公共预算支出决算数为</w:t>
      </w:r>
      <w:r>
        <w:rPr>
          <w:rFonts w:hint="eastAsia" w:ascii="仿宋" w:hAnsi="仿宋" w:eastAsia="仿宋"/>
          <w:sz w:val="32"/>
          <w:szCs w:val="32"/>
          <w:lang w:val="en-US" w:eastAsia="zh-CN"/>
        </w:rPr>
        <w:t>725.64万元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14:paraId="120460C8">
      <w:pPr>
        <w:spacing w:line="600" w:lineRule="exact"/>
        <w:ind w:firstLine="643" w:firstLineChars="200"/>
        <w:rPr>
          <w:rFonts w:ascii="仿宋" w:hAnsi="仿宋" w:eastAsia="仿宋"/>
          <w:b/>
          <w:sz w:val="32"/>
          <w:szCs w:val="32"/>
        </w:rPr>
      </w:pPr>
      <w:r>
        <w:rPr>
          <w:rStyle w:val="16"/>
          <w:rFonts w:ascii="仿宋" w:hAnsi="仿宋" w:eastAsia="仿宋"/>
          <w:bCs/>
          <w:sz w:val="32"/>
          <w:szCs w:val="32"/>
        </w:rPr>
        <w:t>1.</w:t>
      </w:r>
      <w:r>
        <w:rPr>
          <w:rFonts w:hint="eastAsia" w:ascii="仿宋" w:hAnsi="仿宋" w:eastAsia="仿宋"/>
          <w:b/>
          <w:sz w:val="32"/>
          <w:szCs w:val="32"/>
        </w:rPr>
        <w:t>社会保障和就业（类）</w:t>
      </w:r>
      <w:r>
        <w:rPr>
          <w:rFonts w:hint="eastAsia" w:ascii="仿宋" w:hAnsi="仿宋" w:eastAsia="仿宋"/>
          <w:b/>
          <w:sz w:val="32"/>
          <w:szCs w:val="32"/>
          <w:lang w:eastAsia="zh-CN"/>
        </w:rPr>
        <w:t>行政事业单位养老支出</w:t>
      </w:r>
      <w:r>
        <w:rPr>
          <w:rFonts w:hint="eastAsia" w:ascii="仿宋" w:hAnsi="仿宋" w:eastAsia="仿宋"/>
          <w:b/>
          <w:sz w:val="32"/>
          <w:szCs w:val="32"/>
        </w:rPr>
        <w:t>（款）</w:t>
      </w:r>
      <w:r>
        <w:rPr>
          <w:rFonts w:hint="eastAsia" w:ascii="仿宋" w:hAnsi="仿宋" w:eastAsia="仿宋"/>
          <w:b/>
          <w:sz w:val="32"/>
          <w:szCs w:val="32"/>
          <w:lang w:eastAsia="zh-CN"/>
        </w:rPr>
        <w:t>机关事业单位基本养老保险缴费支出</w:t>
      </w:r>
      <w:r>
        <w:rPr>
          <w:rFonts w:hint="eastAsia" w:ascii="仿宋" w:hAnsi="仿宋" w:eastAsia="仿宋"/>
          <w:b/>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Fonts w:hint="eastAsia" w:ascii="仿宋" w:hAnsi="仿宋" w:eastAsia="仿宋"/>
          <w:b/>
          <w:bCs/>
          <w:sz w:val="32"/>
          <w:szCs w:val="32"/>
        </w:rPr>
        <w:t>33.84</w:t>
      </w:r>
      <w:r>
        <w:rPr>
          <w:rStyle w:val="16"/>
          <w:rFonts w:hint="eastAsia" w:ascii="仿宋" w:hAnsi="仿宋" w:eastAsia="仿宋"/>
          <w:b w:val="0"/>
          <w:bCs/>
          <w:sz w:val="32"/>
          <w:szCs w:val="32"/>
        </w:rPr>
        <w:t>万元，完成预算</w:t>
      </w:r>
      <w:r>
        <w:rPr>
          <w:rStyle w:val="16"/>
          <w:rFonts w:hint="eastAsia" w:ascii="仿宋" w:hAnsi="仿宋" w:eastAsia="仿宋" w:cs="Times New Roman"/>
          <w:b w:val="0"/>
          <w:bCs/>
          <w:sz w:val="32"/>
          <w:szCs w:val="32"/>
          <w:lang w:val="en-US" w:eastAsia="zh-CN"/>
        </w:rPr>
        <w:t>100%，</w:t>
      </w:r>
      <w:r>
        <w:rPr>
          <w:rStyle w:val="16"/>
          <w:rFonts w:hint="eastAsia" w:ascii="仿宋" w:hAnsi="仿宋" w:eastAsia="仿宋"/>
          <w:b w:val="0"/>
          <w:bCs/>
          <w:color w:val="000000"/>
          <w:sz w:val="32"/>
          <w:szCs w:val="32"/>
        </w:rPr>
        <w:t>决算数</w:t>
      </w:r>
      <w:r>
        <w:rPr>
          <w:rStyle w:val="16"/>
          <w:rFonts w:hint="eastAsia" w:ascii="仿宋" w:hAnsi="仿宋" w:eastAsia="仿宋"/>
          <w:b w:val="0"/>
          <w:bCs/>
          <w:color w:val="000000"/>
          <w:sz w:val="32"/>
          <w:szCs w:val="32"/>
          <w:lang w:eastAsia="zh-CN"/>
        </w:rPr>
        <w:t>与</w:t>
      </w:r>
      <w:r>
        <w:rPr>
          <w:rStyle w:val="16"/>
          <w:rFonts w:hint="eastAsia" w:ascii="仿宋" w:hAnsi="仿宋" w:eastAsia="仿宋"/>
          <w:b w:val="0"/>
          <w:bCs/>
          <w:color w:val="000000"/>
          <w:sz w:val="32"/>
          <w:szCs w:val="32"/>
        </w:rPr>
        <w:t>预算数</w:t>
      </w:r>
      <w:r>
        <w:rPr>
          <w:rStyle w:val="16"/>
          <w:rFonts w:hint="eastAsia" w:ascii="仿宋" w:hAnsi="仿宋" w:eastAsia="仿宋"/>
          <w:b w:val="0"/>
          <w:bCs/>
          <w:color w:val="000000"/>
          <w:sz w:val="32"/>
          <w:szCs w:val="32"/>
          <w:lang w:eastAsia="zh-CN"/>
        </w:rPr>
        <w:t>持平。</w:t>
      </w:r>
    </w:p>
    <w:p w14:paraId="11B4E969">
      <w:pPr>
        <w:spacing w:line="600" w:lineRule="exact"/>
        <w:ind w:firstLine="643" w:firstLineChars="200"/>
        <w:rPr>
          <w:rFonts w:ascii="仿宋" w:hAnsi="仿宋" w:eastAsia="仿宋"/>
          <w:b/>
          <w:sz w:val="32"/>
          <w:szCs w:val="32"/>
        </w:rPr>
      </w:pPr>
      <w:r>
        <w:rPr>
          <w:rStyle w:val="16"/>
          <w:rFonts w:ascii="仿宋" w:hAnsi="仿宋" w:eastAsia="仿宋"/>
          <w:bCs/>
          <w:sz w:val="32"/>
          <w:szCs w:val="32"/>
        </w:rPr>
        <w:t>2.</w:t>
      </w:r>
      <w:r>
        <w:rPr>
          <w:rFonts w:hint="eastAsia" w:ascii="仿宋" w:hAnsi="仿宋" w:eastAsia="仿宋"/>
          <w:b/>
          <w:sz w:val="32"/>
          <w:szCs w:val="32"/>
        </w:rPr>
        <w:t>卫生健康（类）</w:t>
      </w:r>
      <w:r>
        <w:rPr>
          <w:rFonts w:hint="eastAsia" w:ascii="仿宋" w:hAnsi="仿宋" w:eastAsia="仿宋"/>
          <w:b/>
          <w:sz w:val="32"/>
          <w:szCs w:val="32"/>
          <w:lang w:eastAsia="zh-CN"/>
        </w:rPr>
        <w:t>行政事业单位医疗</w:t>
      </w:r>
      <w:r>
        <w:rPr>
          <w:rFonts w:hint="eastAsia" w:ascii="仿宋" w:hAnsi="仿宋" w:eastAsia="仿宋"/>
          <w:b/>
          <w:sz w:val="32"/>
          <w:szCs w:val="32"/>
        </w:rPr>
        <w:t>（款）</w:t>
      </w:r>
      <w:r>
        <w:rPr>
          <w:rFonts w:hint="eastAsia" w:ascii="仿宋" w:hAnsi="仿宋" w:eastAsia="仿宋"/>
          <w:b/>
          <w:sz w:val="32"/>
          <w:szCs w:val="32"/>
          <w:lang w:eastAsia="zh-CN"/>
        </w:rPr>
        <w:t>行政单位</w:t>
      </w:r>
      <w:r>
        <w:rPr>
          <w:rFonts w:hint="eastAsia" w:ascii="仿宋" w:hAnsi="仿宋" w:eastAsia="仿宋"/>
          <w:b/>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Fonts w:hint="eastAsia" w:ascii="仿宋" w:hAnsi="仿宋" w:eastAsia="仿宋"/>
          <w:b/>
          <w:bCs/>
          <w:sz w:val="32"/>
          <w:szCs w:val="32"/>
        </w:rPr>
        <w:t>16.92</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 w:val="0"/>
          <w:bCs/>
          <w:color w:val="000000"/>
          <w:sz w:val="32"/>
          <w:szCs w:val="32"/>
        </w:rPr>
        <w:t>决算数</w:t>
      </w:r>
      <w:r>
        <w:rPr>
          <w:rStyle w:val="16"/>
          <w:rFonts w:hint="eastAsia" w:ascii="仿宋" w:hAnsi="仿宋" w:eastAsia="仿宋"/>
          <w:b w:val="0"/>
          <w:bCs/>
          <w:color w:val="000000"/>
          <w:sz w:val="32"/>
          <w:szCs w:val="32"/>
          <w:lang w:eastAsia="zh-CN"/>
        </w:rPr>
        <w:t>与</w:t>
      </w:r>
      <w:r>
        <w:rPr>
          <w:rStyle w:val="16"/>
          <w:rFonts w:hint="eastAsia" w:ascii="仿宋" w:hAnsi="仿宋" w:eastAsia="仿宋"/>
          <w:b w:val="0"/>
          <w:bCs/>
          <w:color w:val="000000"/>
          <w:sz w:val="32"/>
          <w:szCs w:val="32"/>
        </w:rPr>
        <w:t>预算数</w:t>
      </w:r>
      <w:r>
        <w:rPr>
          <w:rStyle w:val="16"/>
          <w:rFonts w:hint="eastAsia" w:ascii="仿宋" w:hAnsi="仿宋" w:eastAsia="仿宋"/>
          <w:b w:val="0"/>
          <w:bCs/>
          <w:color w:val="000000"/>
          <w:sz w:val="32"/>
          <w:szCs w:val="32"/>
          <w:lang w:eastAsia="zh-CN"/>
        </w:rPr>
        <w:t>持平。</w:t>
      </w:r>
    </w:p>
    <w:p w14:paraId="672EEB2F">
      <w:pPr>
        <w:spacing w:line="600" w:lineRule="exact"/>
        <w:ind w:firstLine="643" w:firstLineChars="200"/>
        <w:rPr>
          <w:rFonts w:ascii="仿宋" w:hAnsi="仿宋" w:eastAsia="仿宋"/>
          <w:b/>
          <w:sz w:val="32"/>
          <w:szCs w:val="32"/>
        </w:rPr>
      </w:pPr>
      <w:r>
        <w:rPr>
          <w:rStyle w:val="16"/>
          <w:rFonts w:ascii="仿宋" w:hAnsi="仿宋" w:eastAsia="仿宋"/>
          <w:bCs/>
          <w:sz w:val="32"/>
          <w:szCs w:val="32"/>
        </w:rPr>
        <w:t>3.</w:t>
      </w:r>
      <w:r>
        <w:rPr>
          <w:rFonts w:hint="eastAsia" w:ascii="仿宋" w:hAnsi="仿宋" w:eastAsia="仿宋"/>
          <w:b/>
          <w:bCs/>
          <w:sz w:val="32"/>
          <w:szCs w:val="32"/>
          <w:lang w:eastAsia="zh-CN"/>
        </w:rPr>
        <w:t>城乡社区支出</w:t>
      </w:r>
      <w:r>
        <w:rPr>
          <w:rFonts w:hint="eastAsia" w:ascii="仿宋" w:hAnsi="仿宋" w:eastAsia="仿宋"/>
          <w:b/>
          <w:bCs/>
          <w:sz w:val="32"/>
          <w:szCs w:val="32"/>
        </w:rPr>
        <w:t>（类）</w:t>
      </w:r>
      <w:r>
        <w:rPr>
          <w:rFonts w:hint="eastAsia" w:ascii="仿宋" w:hAnsi="仿宋" w:eastAsia="仿宋"/>
          <w:b/>
          <w:bCs/>
          <w:sz w:val="32"/>
          <w:szCs w:val="32"/>
          <w:lang w:eastAsia="zh-CN"/>
        </w:rPr>
        <w:t>城乡社区管理事务</w:t>
      </w:r>
      <w:r>
        <w:rPr>
          <w:rFonts w:hint="eastAsia" w:ascii="仿宋" w:hAnsi="仿宋" w:eastAsia="仿宋"/>
          <w:b/>
          <w:bCs/>
          <w:sz w:val="32"/>
          <w:szCs w:val="32"/>
        </w:rPr>
        <w:t>（款）</w:t>
      </w:r>
      <w:r>
        <w:rPr>
          <w:rFonts w:hint="eastAsia" w:ascii="仿宋" w:hAnsi="仿宋" w:eastAsia="仿宋"/>
          <w:b/>
          <w:bCs/>
          <w:sz w:val="32"/>
          <w:szCs w:val="32"/>
          <w:lang w:eastAsia="zh-CN"/>
        </w:rPr>
        <w:t>城管执法</w:t>
      </w:r>
      <w:r>
        <w:rPr>
          <w:rFonts w:hint="eastAsia" w:ascii="仿宋" w:hAnsi="仿宋" w:eastAsia="仿宋"/>
          <w:b/>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Fonts w:hint="eastAsia" w:ascii="仿宋" w:hAnsi="仿宋" w:eastAsia="仿宋"/>
          <w:color w:val="000000"/>
          <w:sz w:val="32"/>
          <w:szCs w:val="32"/>
          <w:lang w:val="en-US" w:eastAsia="zh-CN"/>
        </w:rPr>
        <w:t>649.49</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 w:val="0"/>
          <w:bCs/>
          <w:color w:val="000000"/>
          <w:sz w:val="32"/>
          <w:szCs w:val="32"/>
        </w:rPr>
        <w:t>决算数</w:t>
      </w:r>
      <w:r>
        <w:rPr>
          <w:rStyle w:val="16"/>
          <w:rFonts w:hint="eastAsia" w:ascii="仿宋" w:hAnsi="仿宋" w:eastAsia="仿宋"/>
          <w:b w:val="0"/>
          <w:bCs/>
          <w:color w:val="000000"/>
          <w:sz w:val="32"/>
          <w:szCs w:val="32"/>
          <w:lang w:eastAsia="zh-CN"/>
        </w:rPr>
        <w:t>与</w:t>
      </w:r>
      <w:r>
        <w:rPr>
          <w:rStyle w:val="16"/>
          <w:rFonts w:hint="eastAsia" w:ascii="仿宋" w:hAnsi="仿宋" w:eastAsia="仿宋"/>
          <w:b w:val="0"/>
          <w:bCs/>
          <w:color w:val="000000"/>
          <w:sz w:val="32"/>
          <w:szCs w:val="32"/>
        </w:rPr>
        <w:t>预算数</w:t>
      </w:r>
      <w:r>
        <w:rPr>
          <w:rStyle w:val="16"/>
          <w:rFonts w:hint="eastAsia" w:ascii="仿宋" w:hAnsi="仿宋" w:eastAsia="仿宋"/>
          <w:b w:val="0"/>
          <w:bCs/>
          <w:color w:val="000000"/>
          <w:sz w:val="32"/>
          <w:szCs w:val="32"/>
          <w:lang w:eastAsia="zh-CN"/>
        </w:rPr>
        <w:t>持平。</w:t>
      </w:r>
    </w:p>
    <w:p w14:paraId="0381D5E7">
      <w:pPr>
        <w:spacing w:line="600" w:lineRule="exact"/>
        <w:ind w:firstLine="643" w:firstLineChars="200"/>
        <w:rPr>
          <w:rFonts w:ascii="仿宋" w:hAnsi="仿宋" w:eastAsia="仿宋"/>
          <w:b/>
          <w:sz w:val="32"/>
          <w:szCs w:val="32"/>
        </w:rPr>
      </w:pPr>
      <w:r>
        <w:rPr>
          <w:rStyle w:val="16"/>
          <w:rFonts w:ascii="仿宋" w:hAnsi="仿宋" w:eastAsia="仿宋"/>
          <w:bCs/>
          <w:sz w:val="32"/>
          <w:szCs w:val="32"/>
        </w:rPr>
        <w:t>4.</w:t>
      </w:r>
      <w:r>
        <w:rPr>
          <w:rFonts w:hint="eastAsia" w:ascii="仿宋" w:hAnsi="仿宋" w:eastAsia="仿宋"/>
          <w:b/>
          <w:sz w:val="32"/>
          <w:szCs w:val="32"/>
          <w:lang w:eastAsia="zh-CN"/>
        </w:rPr>
        <w:t>住房保障支出</w:t>
      </w:r>
      <w:r>
        <w:rPr>
          <w:rFonts w:hint="eastAsia" w:ascii="仿宋" w:hAnsi="仿宋" w:eastAsia="仿宋"/>
          <w:b/>
          <w:sz w:val="32"/>
          <w:szCs w:val="32"/>
        </w:rPr>
        <w:t>（类）</w:t>
      </w:r>
      <w:r>
        <w:rPr>
          <w:rFonts w:hint="eastAsia" w:ascii="仿宋" w:hAnsi="仿宋" w:eastAsia="仿宋"/>
          <w:b/>
          <w:sz w:val="32"/>
          <w:szCs w:val="32"/>
          <w:lang w:eastAsia="zh-CN"/>
        </w:rPr>
        <w:t>住房改革支出（款）住房公积金（项）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Fonts w:hint="eastAsia" w:ascii="仿宋" w:hAnsi="仿宋" w:eastAsia="仿宋"/>
          <w:b/>
          <w:bCs/>
          <w:sz w:val="32"/>
          <w:szCs w:val="32"/>
        </w:rPr>
        <w:t>25.38</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 w:val="0"/>
          <w:bCs/>
          <w:color w:val="000000"/>
          <w:sz w:val="32"/>
          <w:szCs w:val="32"/>
        </w:rPr>
        <w:t>决算数</w:t>
      </w:r>
      <w:r>
        <w:rPr>
          <w:rStyle w:val="16"/>
          <w:rFonts w:hint="eastAsia" w:ascii="仿宋" w:hAnsi="仿宋" w:eastAsia="仿宋"/>
          <w:b w:val="0"/>
          <w:bCs/>
          <w:color w:val="000000"/>
          <w:sz w:val="32"/>
          <w:szCs w:val="32"/>
          <w:lang w:eastAsia="zh-CN"/>
        </w:rPr>
        <w:t>与</w:t>
      </w:r>
      <w:r>
        <w:rPr>
          <w:rStyle w:val="16"/>
          <w:rFonts w:hint="eastAsia" w:ascii="仿宋" w:hAnsi="仿宋" w:eastAsia="仿宋"/>
          <w:b w:val="0"/>
          <w:bCs/>
          <w:color w:val="000000"/>
          <w:sz w:val="32"/>
          <w:szCs w:val="32"/>
        </w:rPr>
        <w:t>预算数</w:t>
      </w:r>
      <w:r>
        <w:rPr>
          <w:rStyle w:val="16"/>
          <w:rFonts w:hint="eastAsia" w:ascii="仿宋" w:hAnsi="仿宋" w:eastAsia="仿宋"/>
          <w:b w:val="0"/>
          <w:bCs/>
          <w:color w:val="000000"/>
          <w:sz w:val="32"/>
          <w:szCs w:val="32"/>
          <w:lang w:eastAsia="zh-CN"/>
        </w:rPr>
        <w:t>持平。</w:t>
      </w:r>
    </w:p>
    <w:p w14:paraId="14157F7D">
      <w:pPr>
        <w:tabs>
          <w:tab w:val="right" w:pos="8306"/>
        </w:tabs>
        <w:spacing w:line="600" w:lineRule="exact"/>
        <w:ind w:firstLine="640"/>
        <w:outlineLvl w:val="1"/>
        <w:rPr>
          <w:rStyle w:val="27"/>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34"/>
      <w:bookmarkEnd w:id="35"/>
      <w:r>
        <w:rPr>
          <w:rStyle w:val="27"/>
          <w:rFonts w:ascii="黑体" w:hAnsi="黑体" w:eastAsia="黑体"/>
          <w:b w:val="0"/>
        </w:rPr>
        <w:tab/>
      </w:r>
    </w:p>
    <w:p w14:paraId="3961C590">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22年一般公共预算财政拨款基本支出600.13万元，其中：</w:t>
      </w:r>
    </w:p>
    <w:p w14:paraId="3D28A9A7">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542.77</w:t>
      </w:r>
      <w:r>
        <w:rPr>
          <w:rFonts w:hint="eastAsia" w:ascii="仿宋" w:hAnsi="仿宋" w:eastAsia="仿宋"/>
          <w:sz w:val="32"/>
          <w:szCs w:val="32"/>
        </w:rPr>
        <w:t>万元，主要包括：基本工资、津贴补贴、奖金、绩效工资、机关事业单位基本养老保险缴费、其他社会保障缴费、其他工资福利支出、住房公积金等。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57.36</w:t>
      </w:r>
      <w:r>
        <w:rPr>
          <w:rFonts w:hint="eastAsia" w:ascii="仿宋" w:hAnsi="仿宋" w:eastAsia="仿宋"/>
          <w:sz w:val="32"/>
          <w:szCs w:val="32"/>
        </w:rPr>
        <w:t>万元，主要包括：办公费、印刷费、水费、电费、邮电费、物业管理费、差旅费、维修（护）费、公务接待费、劳务费、福利费、公务用车运行维护费、其他交通费等。</w:t>
      </w:r>
    </w:p>
    <w:p w14:paraId="4561017A">
      <w:pPr>
        <w:spacing w:line="600" w:lineRule="exact"/>
        <w:ind w:firstLine="640"/>
        <w:outlineLvl w:val="1"/>
        <w:rPr>
          <w:rStyle w:val="27"/>
          <w:rFonts w:ascii="黑体" w:hAnsi="黑体" w:eastAsia="黑体"/>
          <w:b w:val="0"/>
        </w:rPr>
      </w:pPr>
      <w:bookmarkStart w:id="36" w:name="_Toc15377215"/>
      <w:bookmarkStart w:id="37" w:name="_Toc15396609"/>
      <w:r>
        <w:rPr>
          <w:rFonts w:hint="eastAsia" w:ascii="黑体" w:eastAsia="黑体"/>
          <w:sz w:val="32"/>
          <w:szCs w:val="32"/>
        </w:rPr>
        <w:t>七、</w:t>
      </w:r>
      <w:r>
        <w:rPr>
          <w:rStyle w:val="27"/>
          <w:rFonts w:hint="eastAsia" w:ascii="黑体" w:hAnsi="黑体" w:eastAsia="黑体"/>
          <w:b w:val="0"/>
        </w:rPr>
        <w:t>财政拨款</w:t>
      </w:r>
      <w:r>
        <w:rPr>
          <w:rStyle w:val="27"/>
          <w:rFonts w:hint="eastAsia" w:ascii="黑体" w:hAnsi="黑体" w:eastAsia="黑体"/>
        </w:rPr>
        <w:t>“</w:t>
      </w:r>
      <w:r>
        <w:rPr>
          <w:rStyle w:val="27"/>
          <w:rFonts w:hint="eastAsia" w:ascii="黑体" w:hAnsi="黑体" w:eastAsia="黑体"/>
          <w:b w:val="0"/>
        </w:rPr>
        <w:t>三公”经费支出决算情况说明</w:t>
      </w:r>
      <w:bookmarkEnd w:id="36"/>
      <w:bookmarkEnd w:id="37"/>
    </w:p>
    <w:p w14:paraId="4ECFC6EE">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596A6380">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color w:val="000000"/>
          <w:sz w:val="32"/>
          <w:szCs w:val="32"/>
          <w:lang w:val="en-US" w:eastAsia="zh-CN"/>
        </w:rPr>
        <w:t>13.10</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1.73</w:t>
      </w:r>
      <w:r>
        <w:rPr>
          <w:rFonts w:hint="eastAsia" w:ascii="仿宋" w:hAnsi="仿宋" w:eastAsia="仿宋"/>
          <w:sz w:val="32"/>
          <w:szCs w:val="32"/>
        </w:rPr>
        <w:t>万元，下降</w:t>
      </w:r>
      <w:r>
        <w:rPr>
          <w:rFonts w:hint="eastAsia" w:ascii="仿宋" w:hAnsi="仿宋" w:eastAsia="仿宋"/>
          <w:sz w:val="32"/>
          <w:szCs w:val="32"/>
          <w:lang w:val="en-US" w:eastAsia="zh-CN"/>
        </w:rPr>
        <w:t>11.68</w:t>
      </w:r>
      <w:r>
        <w:rPr>
          <w:rFonts w:hint="eastAsia" w:ascii="仿宋" w:hAnsi="仿宋" w:eastAsia="仿宋"/>
          <w:sz w:val="32"/>
          <w:szCs w:val="32"/>
        </w:rPr>
        <w:t>%。决算数小于预算数（或与预算数持平）的主要原因是压缩公务接待费。</w:t>
      </w:r>
    </w:p>
    <w:p w14:paraId="18052D16">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61F5A67B">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12</w:t>
      </w:r>
      <w:r>
        <w:rPr>
          <w:rFonts w:hint="eastAsia" w:ascii="仿宋" w:hAnsi="仿宋" w:eastAsia="仿宋"/>
          <w:sz w:val="32"/>
          <w:szCs w:val="32"/>
        </w:rPr>
        <w:t>万元，占</w:t>
      </w:r>
      <w:r>
        <w:rPr>
          <w:rFonts w:hint="eastAsia" w:ascii="仿宋" w:hAnsi="仿宋" w:eastAsia="仿宋"/>
          <w:sz w:val="32"/>
          <w:szCs w:val="32"/>
          <w:lang w:val="en-US" w:eastAsia="zh-CN"/>
        </w:rPr>
        <w:t>91.60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1.1</w:t>
      </w:r>
      <w:r>
        <w:rPr>
          <w:rFonts w:hint="eastAsia" w:ascii="仿宋" w:hAnsi="仿宋" w:eastAsia="仿宋"/>
          <w:sz w:val="32"/>
          <w:szCs w:val="32"/>
        </w:rPr>
        <w:t>万元，占</w:t>
      </w:r>
      <w:r>
        <w:rPr>
          <w:rFonts w:hint="eastAsia" w:ascii="仿宋" w:hAnsi="仿宋" w:eastAsia="仿宋"/>
          <w:sz w:val="32"/>
          <w:szCs w:val="32"/>
          <w:lang w:val="en-US" w:eastAsia="zh-CN"/>
        </w:rPr>
        <w:t>8.4</w:t>
      </w:r>
      <w:r>
        <w:rPr>
          <w:rFonts w:ascii="仿宋" w:hAnsi="仿宋" w:eastAsia="仿宋"/>
          <w:sz w:val="32"/>
          <w:szCs w:val="32"/>
        </w:rPr>
        <w:t>%</w:t>
      </w:r>
      <w:r>
        <w:rPr>
          <w:rFonts w:hint="eastAsia" w:ascii="仿宋" w:hAnsi="仿宋" w:eastAsia="仿宋"/>
          <w:sz w:val="32"/>
          <w:szCs w:val="32"/>
        </w:rPr>
        <w:t>。具体情况如下：</w:t>
      </w:r>
    </w:p>
    <w:p w14:paraId="7B56B91B">
      <w:pPr>
        <w:pStyle w:val="7"/>
      </w:pPr>
      <w:r>
        <w:drawing>
          <wp:inline distT="0" distB="0" distL="114300" distR="114300">
            <wp:extent cx="4847590" cy="2695575"/>
            <wp:effectExtent l="4445" t="5080" r="5715" b="444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424E3F">
      <w:pPr>
        <w:pStyle w:val="7"/>
        <w:ind w:firstLine="1280" w:firstLineChars="400"/>
      </w:pPr>
      <w:r>
        <w:rPr>
          <w:rFonts w:hint="eastAsia" w:ascii="仿宋" w:hAnsi="仿宋" w:eastAsia="仿宋"/>
          <w:sz w:val="32"/>
          <w:szCs w:val="32"/>
        </w:rPr>
        <w:t>（图7：“三公”经费财政拨款支出结构）</w:t>
      </w:r>
    </w:p>
    <w:p w14:paraId="10E83588">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7C07DDF1">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12</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0BC6F246">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4</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hAnsi="仿宋" w:eastAsia="仿宋_GB2312"/>
          <w:sz w:val="32"/>
          <w:szCs w:val="32"/>
          <w:lang w:eastAsia="zh-CN"/>
        </w:rPr>
        <w:t>执法执勤用车</w:t>
      </w:r>
      <w:r>
        <w:rPr>
          <w:rFonts w:hint="eastAsia" w:ascii="仿宋_GB2312" w:hAnsi="仿宋" w:eastAsia="仿宋_GB2312"/>
          <w:sz w:val="32"/>
          <w:szCs w:val="32"/>
          <w:lang w:val="en-US" w:eastAsia="zh-CN"/>
        </w:rPr>
        <w:t>3辆</w:t>
      </w:r>
      <w:r>
        <w:rPr>
          <w:rFonts w:hint="eastAsia" w:ascii="仿宋_GB2312" w:eastAsia="仿宋_GB2312"/>
          <w:sz w:val="32"/>
          <w:szCs w:val="32"/>
        </w:rPr>
        <w:t>。</w:t>
      </w:r>
    </w:p>
    <w:p w14:paraId="5C7FCD1E">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12</w:t>
      </w:r>
      <w:r>
        <w:rPr>
          <w:rFonts w:hint="eastAsia" w:ascii="仿宋_GB2312" w:eastAsia="仿宋_GB2312"/>
          <w:sz w:val="32"/>
          <w:szCs w:val="32"/>
        </w:rPr>
        <w:t>万元。主要用于</w:t>
      </w:r>
      <w:r>
        <w:rPr>
          <w:rFonts w:hint="eastAsia" w:ascii="仿宋_GB2312" w:hAnsi="仿宋" w:eastAsia="仿宋_GB2312"/>
          <w:sz w:val="32"/>
          <w:szCs w:val="32"/>
          <w:lang w:eastAsia="zh-CN"/>
        </w:rPr>
        <w:t>执法执勤用车</w:t>
      </w:r>
      <w:r>
        <w:rPr>
          <w:rFonts w:hint="eastAsia" w:ascii="仿宋_GB2312" w:hAnsi="仿宋" w:eastAsia="仿宋_GB2312"/>
          <w:sz w:val="32"/>
          <w:szCs w:val="32"/>
          <w:lang w:val="en-US" w:eastAsia="zh-CN"/>
        </w:rPr>
        <w:t>3辆，其他用车1辆</w:t>
      </w:r>
      <w:r>
        <w:rPr>
          <w:rFonts w:hint="eastAsia" w:ascii="仿宋_GB2312" w:eastAsia="仿宋_GB2312"/>
          <w:sz w:val="32"/>
          <w:szCs w:val="32"/>
        </w:rPr>
        <w:t>所需的公务用车燃料费、维修费、过路过桥费、保险费等支出。</w:t>
      </w:r>
    </w:p>
    <w:p w14:paraId="43FA7A05">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1.1</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 w:hAnsi="仿宋" w:eastAsia="仿宋"/>
          <w:sz w:val="32"/>
          <w:szCs w:val="32"/>
          <w:lang w:val="en-US" w:eastAsia="zh-CN"/>
        </w:rPr>
        <w:t>1.73</w:t>
      </w:r>
      <w:r>
        <w:rPr>
          <w:rFonts w:hint="eastAsia" w:ascii="仿宋_GB2312" w:eastAsia="仿宋_GB2312"/>
          <w:sz w:val="32"/>
          <w:szCs w:val="32"/>
        </w:rPr>
        <w:t>万元，下降</w:t>
      </w:r>
      <w:r>
        <w:rPr>
          <w:rFonts w:hint="eastAsia" w:ascii="仿宋_GB2312" w:eastAsia="仿宋_GB2312"/>
          <w:sz w:val="32"/>
          <w:szCs w:val="32"/>
          <w:lang w:val="en-US" w:eastAsia="zh-CN"/>
        </w:rPr>
        <w:t>11.68</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rPr>
        <w:t>压缩公务接待费</w:t>
      </w:r>
      <w:r>
        <w:rPr>
          <w:rFonts w:hint="eastAsia" w:ascii="仿宋_GB2312" w:eastAsia="仿宋_GB2312"/>
          <w:sz w:val="32"/>
          <w:szCs w:val="32"/>
        </w:rPr>
        <w:t>。其中：</w:t>
      </w:r>
    </w:p>
    <w:p w14:paraId="7C2A8FBE">
      <w:pPr>
        <w:spacing w:line="600" w:lineRule="exact"/>
        <w:ind w:firstLine="640"/>
        <w:rPr>
          <w:rFonts w:hint="default" w:ascii="仿宋_GB2312" w:eastAsia="仿宋_GB2312"/>
          <w:sz w:val="32"/>
          <w:szCs w:val="32"/>
          <w:lang w:val="en-US" w:eastAsia="zh-CN"/>
        </w:rPr>
      </w:pPr>
      <w:r>
        <w:rPr>
          <w:rFonts w:hint="eastAsia" w:ascii="仿宋" w:hAnsi="仿宋" w:eastAsia="仿宋"/>
          <w:b/>
          <w:sz w:val="32"/>
          <w:szCs w:val="32"/>
        </w:rPr>
        <w:t>国内公务接待支出</w:t>
      </w:r>
      <w:r>
        <w:rPr>
          <w:rFonts w:hint="eastAsia" w:ascii="仿宋" w:hAnsi="仿宋" w:eastAsia="仿宋"/>
          <w:sz w:val="32"/>
          <w:szCs w:val="32"/>
          <w:lang w:val="en-US" w:eastAsia="zh-CN"/>
        </w:rPr>
        <w:t>1.1</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15</w:t>
      </w:r>
      <w:r>
        <w:rPr>
          <w:rFonts w:hint="eastAsia" w:ascii="仿宋_GB2312" w:eastAsia="仿宋_GB2312"/>
          <w:sz w:val="32"/>
          <w:szCs w:val="32"/>
        </w:rPr>
        <w:t>批次，</w:t>
      </w:r>
      <w:r>
        <w:rPr>
          <w:rFonts w:hint="eastAsia" w:ascii="仿宋_GB2312" w:eastAsia="仿宋_GB2312"/>
          <w:sz w:val="32"/>
          <w:szCs w:val="32"/>
          <w:lang w:val="en-US" w:eastAsia="zh-CN"/>
        </w:rPr>
        <w:t>145</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1.1</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具体内容包括</w:t>
      </w:r>
      <w:r>
        <w:rPr>
          <w:rFonts w:hint="eastAsia" w:ascii="仿宋_GB2312" w:eastAsia="仿宋_GB2312"/>
          <w:sz w:val="32"/>
          <w:szCs w:val="32"/>
          <w:lang w:eastAsia="zh-CN"/>
        </w:rPr>
        <w:t>市治理办调研农村垃圾中转站建设选址发生接待费</w:t>
      </w:r>
      <w:r>
        <w:rPr>
          <w:rFonts w:hint="eastAsia" w:ascii="仿宋_GB2312" w:eastAsia="仿宋_GB2312"/>
          <w:sz w:val="32"/>
          <w:szCs w:val="32"/>
          <w:lang w:val="en-US" w:eastAsia="zh-CN"/>
        </w:rPr>
        <w:t>401元，省城市管理执法监督局下沉调研</w:t>
      </w:r>
      <w:r>
        <w:rPr>
          <w:rFonts w:hint="eastAsia" w:ascii="仿宋_GB2312" w:eastAsia="仿宋_GB2312"/>
          <w:sz w:val="32"/>
          <w:szCs w:val="32"/>
          <w:lang w:eastAsia="zh-CN"/>
        </w:rPr>
        <w:t>发生接待费</w:t>
      </w:r>
      <w:r>
        <w:rPr>
          <w:rFonts w:hint="eastAsia" w:ascii="仿宋_GB2312" w:eastAsia="仿宋_GB2312"/>
          <w:sz w:val="32"/>
          <w:szCs w:val="32"/>
          <w:lang w:val="en-US" w:eastAsia="zh-CN"/>
        </w:rPr>
        <w:t>950元等。</w:t>
      </w:r>
    </w:p>
    <w:p w14:paraId="1AB88F7C">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万元，主要用于接待（具体项目）。外事接待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0" w:name="_Toc15396610"/>
      <w:bookmarkStart w:id="41" w:name="_Toc15377218"/>
    </w:p>
    <w:p w14:paraId="270CBBD3">
      <w:pPr>
        <w:spacing w:line="600" w:lineRule="exact"/>
        <w:ind w:firstLine="640"/>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40"/>
      <w:bookmarkEnd w:id="41"/>
    </w:p>
    <w:p w14:paraId="2BD6AC5A">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05F08572">
      <w:pPr>
        <w:numPr>
          <w:ilvl w:val="0"/>
          <w:numId w:val="3"/>
        </w:numPr>
        <w:spacing w:line="600" w:lineRule="exact"/>
        <w:ind w:firstLine="640"/>
        <w:outlineLvl w:val="1"/>
        <w:rPr>
          <w:rStyle w:val="27"/>
          <w:rFonts w:ascii="黑体" w:hAnsi="黑体" w:eastAsia="黑体"/>
          <w:b w:val="0"/>
        </w:rPr>
      </w:pPr>
      <w:bookmarkStart w:id="42" w:name="_Toc15396611"/>
      <w:bookmarkStart w:id="43" w:name="_Toc15377219"/>
      <w:r>
        <w:rPr>
          <w:rStyle w:val="27"/>
          <w:rFonts w:hint="eastAsia" w:ascii="黑体" w:hAnsi="黑体" w:eastAsia="黑体"/>
          <w:b w:val="0"/>
        </w:rPr>
        <w:t>国有资本经营预算支出决算情况说明</w:t>
      </w:r>
      <w:bookmarkEnd w:id="42"/>
      <w:bookmarkEnd w:id="43"/>
    </w:p>
    <w:p w14:paraId="4623EE56">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733E4BE5">
      <w:pPr>
        <w:numPr>
          <w:ilvl w:val="0"/>
          <w:numId w:val="3"/>
        </w:numPr>
        <w:spacing w:line="600" w:lineRule="exact"/>
        <w:ind w:firstLine="640"/>
        <w:outlineLvl w:val="1"/>
        <w:rPr>
          <w:rStyle w:val="27"/>
          <w:rFonts w:ascii="黑体" w:hAnsi="黑体" w:eastAsia="黑体"/>
          <w:b w:val="0"/>
        </w:rPr>
      </w:pPr>
      <w:bookmarkStart w:id="44" w:name="_Toc15396612"/>
      <w:bookmarkStart w:id="45" w:name="_Toc15377221"/>
      <w:r>
        <w:rPr>
          <w:rStyle w:val="27"/>
          <w:rFonts w:hint="eastAsia" w:ascii="黑体" w:hAnsi="黑体" w:eastAsia="黑体"/>
          <w:b w:val="0"/>
        </w:rPr>
        <w:t>其他重要事项的情况说明</w:t>
      </w:r>
      <w:bookmarkEnd w:id="44"/>
      <w:bookmarkEnd w:id="45"/>
    </w:p>
    <w:p w14:paraId="58CF185A">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077ACBBF">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剑阁县综合行政执法局</w:t>
      </w:r>
      <w:r>
        <w:rPr>
          <w:rFonts w:hint="eastAsia" w:ascii="仿宋_GB2312" w:eastAsia="仿宋_GB2312"/>
          <w:sz w:val="32"/>
          <w:szCs w:val="32"/>
        </w:rPr>
        <w:t>机关运行经费支出</w:t>
      </w:r>
      <w:r>
        <w:rPr>
          <w:rFonts w:hint="eastAsia" w:ascii="仿宋" w:hAnsi="仿宋" w:eastAsia="仿宋"/>
          <w:sz w:val="32"/>
          <w:szCs w:val="32"/>
          <w:lang w:val="en-US" w:eastAsia="zh-CN"/>
        </w:rPr>
        <w:t>57.36</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21.03</w:t>
      </w:r>
      <w:r>
        <w:rPr>
          <w:rFonts w:hint="eastAsia" w:ascii="仿宋_GB2312" w:eastAsia="仿宋_GB2312"/>
          <w:sz w:val="32"/>
          <w:szCs w:val="32"/>
        </w:rPr>
        <w:t>万元，下降</w:t>
      </w:r>
      <w:r>
        <w:rPr>
          <w:rFonts w:hint="eastAsia" w:ascii="仿宋_GB2312" w:eastAsia="仿宋_GB2312"/>
          <w:sz w:val="32"/>
          <w:szCs w:val="32"/>
          <w:lang w:val="en-US" w:eastAsia="zh-CN"/>
        </w:rPr>
        <w:t>26.83</w:t>
      </w:r>
      <w:r>
        <w:rPr>
          <w:rFonts w:ascii="仿宋_GB2312" w:eastAsia="仿宋_GB2312"/>
          <w:sz w:val="32"/>
          <w:szCs w:val="32"/>
        </w:rPr>
        <w:t>%</w:t>
      </w:r>
      <w:r>
        <w:rPr>
          <w:rFonts w:hint="eastAsia" w:ascii="仿宋_GB2312" w:eastAsia="仿宋_GB2312"/>
          <w:sz w:val="32"/>
          <w:szCs w:val="32"/>
        </w:rPr>
        <w:t>。主要原因是人员减少</w:t>
      </w:r>
      <w:r>
        <w:rPr>
          <w:rFonts w:hint="eastAsia" w:ascii="仿宋_GB2312" w:eastAsia="仿宋_GB2312"/>
          <w:sz w:val="32"/>
          <w:szCs w:val="32"/>
          <w:lang w:eastAsia="zh-CN"/>
        </w:rPr>
        <w:t>。</w:t>
      </w:r>
    </w:p>
    <w:p w14:paraId="2DECD672">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37FABF8E">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剑阁县综合行政执法局</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014B1DDD">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50698FC2">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剑阁县综合行政执法局</w:t>
      </w:r>
      <w:r>
        <w:rPr>
          <w:rFonts w:hint="eastAsia" w:ascii="仿宋_GB2312" w:eastAsia="仿宋_GB2312"/>
          <w:sz w:val="32"/>
          <w:szCs w:val="32"/>
        </w:rPr>
        <w:t>共有车辆</w:t>
      </w:r>
      <w:r>
        <w:rPr>
          <w:rFonts w:hint="eastAsia" w:ascii="仿宋_GB2312" w:eastAsia="仿宋_GB2312"/>
          <w:sz w:val="32"/>
          <w:szCs w:val="32"/>
          <w:lang w:val="en-US" w:eastAsia="zh-CN"/>
        </w:rPr>
        <w:t>4</w:t>
      </w:r>
      <w:r>
        <w:rPr>
          <w:rFonts w:hint="eastAsia" w:ascii="仿宋_GB2312" w:eastAsia="仿宋_GB2312"/>
          <w:sz w:val="32"/>
          <w:szCs w:val="32"/>
        </w:rPr>
        <w:t>辆，其中：主要</w:t>
      </w:r>
      <w:r>
        <w:rPr>
          <w:rFonts w:hint="eastAsia" w:ascii="仿宋_GB2312" w:hAnsi="仿宋" w:eastAsia="仿宋_GB2312"/>
          <w:sz w:val="32"/>
          <w:szCs w:val="32"/>
          <w:lang w:eastAsia="zh-CN"/>
        </w:rPr>
        <w:t>执法执勤</w:t>
      </w:r>
      <w:r>
        <w:rPr>
          <w:rFonts w:hint="eastAsia" w:ascii="仿宋_GB2312" w:hAnsi="仿宋" w:eastAsia="仿宋_GB2312"/>
          <w:sz w:val="32"/>
          <w:szCs w:val="32"/>
          <w:lang w:val="en-US" w:eastAsia="zh-CN"/>
        </w:rPr>
        <w:t>3</w:t>
      </w:r>
      <w:r>
        <w:rPr>
          <w:rFonts w:hint="eastAsia" w:ascii="仿宋_GB2312" w:eastAsia="仿宋_GB2312"/>
          <w:sz w:val="32"/>
          <w:szCs w:val="32"/>
        </w:rPr>
        <w:t>辆、其他用车</w:t>
      </w:r>
      <w:r>
        <w:rPr>
          <w:rFonts w:hint="eastAsia" w:ascii="仿宋_GB2312" w:eastAsia="仿宋_GB2312"/>
          <w:sz w:val="32"/>
          <w:szCs w:val="32"/>
          <w:lang w:val="en-US" w:eastAsia="zh-CN"/>
        </w:rPr>
        <w:t>1</w:t>
      </w:r>
      <w:r>
        <w:rPr>
          <w:rFonts w:hint="eastAsia" w:ascii="仿宋_GB2312" w:eastAsia="仿宋_GB2312"/>
          <w:sz w:val="32"/>
          <w:szCs w:val="32"/>
        </w:rPr>
        <w:t>辆，其他用车主要是用于综合行政执法保障。单价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14:paraId="7944444D">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2F84CFB0">
      <w:pPr>
        <w:pStyle w:val="7"/>
        <w:spacing w:before="93"/>
        <w:ind w:firstLine="640" w:firstLineChars="200"/>
        <w:rPr>
          <w:rFonts w:hint="eastAsia" w:hAnsi="仿宋_GB2312" w:cs="仿宋_GB2312"/>
          <w:sz w:val="32"/>
          <w:szCs w:val="32"/>
        </w:rPr>
      </w:pPr>
      <w:r>
        <w:rPr>
          <w:rFonts w:hint="eastAsia" w:hAnsi="仿宋_GB2312" w:cs="仿宋_GB2312"/>
          <w:sz w:val="32"/>
          <w:szCs w:val="32"/>
        </w:rPr>
        <w:t>根据预算绩效管理要求，本单位在2022年度预算编制阶段，组织对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设置送点祭祀场及工作经费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综合行政执法工作经费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“违法建设查处及环境专项整治工作经费”</w:t>
      </w:r>
      <w:r>
        <w:rPr>
          <w:rFonts w:hint="eastAsia" w:hAnsi="仿宋_GB2312" w:cs="仿宋_GB2312"/>
          <w:sz w:val="32"/>
          <w:szCs w:val="32"/>
        </w:rPr>
        <w:t>等</w:t>
      </w:r>
      <w:r>
        <w:rPr>
          <w:rFonts w:hint="eastAsia" w:hAnsi="仿宋_GB2312" w:cs="仿宋_GB2312"/>
          <w:sz w:val="32"/>
          <w:szCs w:val="32"/>
          <w:lang w:val="en-US" w:eastAsia="zh-CN"/>
        </w:rPr>
        <w:t>3</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3</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3</w:t>
      </w:r>
      <w:r>
        <w:rPr>
          <w:rFonts w:hint="eastAsia" w:hAnsi="仿宋_GB2312" w:cs="仿宋_GB2312"/>
          <w:sz w:val="32"/>
          <w:szCs w:val="32"/>
        </w:rPr>
        <w:t>个项目开展绩效监控，组织对</w:t>
      </w:r>
      <w:r>
        <w:rPr>
          <w:rFonts w:hint="eastAsia" w:hAnsi="仿宋_GB2312" w:cs="仿宋_GB2312"/>
          <w:sz w:val="32"/>
          <w:szCs w:val="32"/>
          <w:lang w:val="en-US" w:eastAsia="zh-CN"/>
        </w:rPr>
        <w:t>3</w:t>
      </w:r>
      <w:r>
        <w:rPr>
          <w:rFonts w:hint="eastAsia" w:hAnsi="仿宋_GB2312" w:cs="仿宋_GB2312"/>
          <w:sz w:val="32"/>
          <w:szCs w:val="32"/>
        </w:rPr>
        <w:t>个项目开展绩效自评，绩效自评表详见第四部分附件。</w:t>
      </w:r>
    </w:p>
    <w:p w14:paraId="7F7AE699">
      <w:pPr>
        <w:pStyle w:val="7"/>
        <w:spacing w:before="93"/>
        <w:ind w:firstLine="640" w:firstLineChars="200"/>
        <w:rPr>
          <w:rFonts w:hint="eastAsia" w:hAnsi="仿宋_GB2312" w:cs="仿宋_GB2312"/>
          <w:sz w:val="32"/>
          <w:szCs w:val="32"/>
        </w:rPr>
      </w:pPr>
    </w:p>
    <w:p w14:paraId="52CB0BC5">
      <w:pPr>
        <w:widowControl/>
        <w:jc w:val="left"/>
        <w:rPr>
          <w:rFonts w:ascii="仿宋_GB2312" w:eastAsia="仿宋_GB2312"/>
          <w:b/>
          <w:sz w:val="32"/>
          <w:szCs w:val="32"/>
        </w:rPr>
      </w:pPr>
      <w:r>
        <w:rPr>
          <w:rFonts w:ascii="仿宋_GB2312" w:eastAsia="仿宋_GB2312"/>
          <w:b/>
          <w:sz w:val="32"/>
          <w:szCs w:val="32"/>
        </w:rPr>
        <w:br w:type="page"/>
      </w:r>
    </w:p>
    <w:p w14:paraId="530895D8">
      <w:pPr>
        <w:numPr>
          <w:ilvl w:val="0"/>
          <w:numId w:val="4"/>
        </w:numPr>
        <w:spacing w:line="600" w:lineRule="exact"/>
        <w:ind w:firstLine="660" w:firstLineChars="150"/>
        <w:jc w:val="center"/>
        <w:outlineLvl w:val="0"/>
        <w:rPr>
          <w:rStyle w:val="26"/>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6"/>
          <w:rFonts w:hint="eastAsia" w:ascii="黑体" w:hAnsi="黑体" w:eastAsia="黑体"/>
          <w:b w:val="0"/>
        </w:rPr>
        <w:t>词解释</w:t>
      </w:r>
      <w:bookmarkEnd w:id="49"/>
      <w:bookmarkEnd w:id="50"/>
    </w:p>
    <w:p w14:paraId="31CC7CAD">
      <w:pPr>
        <w:spacing w:line="600" w:lineRule="exact"/>
        <w:jc w:val="left"/>
        <w:rPr>
          <w:rFonts w:ascii="宋体"/>
          <w:b/>
          <w:sz w:val="44"/>
          <w:szCs w:val="44"/>
        </w:rPr>
      </w:pPr>
    </w:p>
    <w:p w14:paraId="32EC2DAF">
      <w:pPr>
        <w:pStyle w:val="24"/>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eastAsia="仿宋_GB2312"/>
          <w:i w:val="0"/>
          <w:iCs w:val="0"/>
          <w:color w:val="auto"/>
          <w:sz w:val="32"/>
          <w:szCs w:val="32"/>
          <w:highlight w:val="none"/>
        </w:rPr>
      </w:pPr>
      <w:r>
        <w:rPr>
          <w:rFonts w:ascii="仿宋_GB2312" w:eastAsia="仿宋_GB2312"/>
          <w:i w:val="0"/>
          <w:iCs w:val="0"/>
          <w:color w:val="auto"/>
          <w:sz w:val="32"/>
          <w:szCs w:val="32"/>
          <w:highlight w:val="none"/>
        </w:rPr>
        <w:t>1.</w:t>
      </w:r>
      <w:r>
        <w:rPr>
          <w:rFonts w:hint="eastAsia" w:ascii="仿宋_GB2312" w:eastAsia="仿宋_GB2312"/>
          <w:i w:val="0"/>
          <w:iCs w:val="0"/>
          <w:color w:val="auto"/>
          <w:sz w:val="32"/>
          <w:szCs w:val="32"/>
          <w:highlight w:val="none"/>
        </w:rPr>
        <w:t>财政拨款收入：指单位从同级财政部门取得的财政预算资金。</w:t>
      </w:r>
    </w:p>
    <w:p w14:paraId="62F373FB">
      <w:pPr>
        <w:pStyle w:val="24"/>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i w:val="0"/>
          <w:iCs w:val="0"/>
          <w:color w:val="auto"/>
          <w:sz w:val="32"/>
          <w:szCs w:val="32"/>
          <w:highlight w:val="none"/>
        </w:rPr>
      </w:pPr>
      <w:r>
        <w:rPr>
          <w:rFonts w:hint="eastAsia" w:ascii="仿宋_GB2312" w:eastAsia="仿宋_GB2312"/>
          <w:i w:val="0"/>
          <w:iCs w:val="0"/>
          <w:color w:val="auto"/>
          <w:sz w:val="32"/>
          <w:szCs w:val="32"/>
          <w:highlight w:val="none"/>
          <w:lang w:val="en-US" w:eastAsia="zh-CN"/>
        </w:rPr>
        <w:t>2</w:t>
      </w:r>
      <w:r>
        <w:rPr>
          <w:rFonts w:ascii="仿宋_GB2312" w:eastAsia="仿宋_GB2312"/>
          <w:i w:val="0"/>
          <w:iCs w:val="0"/>
          <w:color w:val="auto"/>
          <w:sz w:val="32"/>
          <w:szCs w:val="32"/>
          <w:highlight w:val="none"/>
        </w:rPr>
        <w:t>.</w:t>
      </w:r>
      <w:r>
        <w:rPr>
          <w:rFonts w:hint="eastAsia" w:ascii="仿宋_GB2312" w:eastAsia="仿宋_GB2312"/>
          <w:i w:val="0"/>
          <w:iCs w:val="0"/>
          <w:color w:val="auto"/>
          <w:sz w:val="32"/>
          <w:szCs w:val="32"/>
          <w:highlight w:val="none"/>
        </w:rPr>
        <w:t>其他收入：指单位取得的除上述收入以外的各项收入。主要是</w:t>
      </w:r>
      <w:r>
        <w:rPr>
          <w:rFonts w:hint="eastAsia" w:ascii="仿宋_GB2312" w:eastAsia="仿宋_GB2312"/>
          <w:i w:val="0"/>
          <w:iCs w:val="0"/>
          <w:color w:val="auto"/>
          <w:sz w:val="32"/>
          <w:szCs w:val="32"/>
          <w:highlight w:val="none"/>
          <w:lang w:eastAsia="zh-CN"/>
        </w:rPr>
        <w:t>利息收入等</w:t>
      </w:r>
      <w:r>
        <w:rPr>
          <w:rFonts w:hint="eastAsia" w:ascii="仿宋_GB2312" w:eastAsia="仿宋_GB2312"/>
          <w:i w:val="0"/>
          <w:iCs w:val="0"/>
          <w:color w:val="auto"/>
          <w:sz w:val="32"/>
          <w:szCs w:val="32"/>
          <w:highlight w:val="none"/>
        </w:rPr>
        <w:t>。</w:t>
      </w:r>
      <w:r>
        <w:rPr>
          <w:rFonts w:ascii="仿宋_GB2312" w:eastAsia="仿宋_GB2312"/>
          <w:i w:val="0"/>
          <w:iCs w:val="0"/>
          <w:color w:val="auto"/>
          <w:sz w:val="32"/>
          <w:szCs w:val="32"/>
          <w:highlight w:val="none"/>
        </w:rPr>
        <w:t xml:space="preserve"> </w:t>
      </w:r>
    </w:p>
    <w:p w14:paraId="762BDBB6">
      <w:pPr>
        <w:pStyle w:val="24"/>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i w:val="0"/>
          <w:iCs w:val="0"/>
          <w:color w:val="auto"/>
          <w:sz w:val="32"/>
          <w:szCs w:val="32"/>
          <w:highlight w:val="none"/>
        </w:rPr>
      </w:pPr>
      <w:r>
        <w:rPr>
          <w:rFonts w:hint="eastAsia" w:ascii="仿宋_GB2312" w:eastAsia="仿宋_GB2312"/>
          <w:i w:val="0"/>
          <w:iCs w:val="0"/>
          <w:color w:val="auto"/>
          <w:sz w:val="32"/>
          <w:szCs w:val="32"/>
          <w:highlight w:val="none"/>
          <w:lang w:val="en-US" w:eastAsia="zh-CN"/>
        </w:rPr>
        <w:t>3</w:t>
      </w:r>
      <w:r>
        <w:rPr>
          <w:rFonts w:ascii="仿宋_GB2312" w:eastAsia="仿宋_GB2312"/>
          <w:i w:val="0"/>
          <w:iCs w:val="0"/>
          <w:color w:val="auto"/>
          <w:sz w:val="32"/>
          <w:szCs w:val="32"/>
          <w:highlight w:val="none"/>
        </w:rPr>
        <w:t>.</w:t>
      </w:r>
      <w:r>
        <w:rPr>
          <w:rFonts w:hint="eastAsia" w:ascii="仿宋_GB2312" w:eastAsia="仿宋_GB2312"/>
          <w:i w:val="0"/>
          <w:iCs w:val="0"/>
          <w:color w:val="auto"/>
          <w:sz w:val="32"/>
          <w:szCs w:val="32"/>
          <w:highlight w:val="none"/>
        </w:rPr>
        <w:t>使用非财政拨款结余：指事业单位使用以前年度积累的非财政拨款结余弥补当年收支差额的金额。</w:t>
      </w:r>
      <w:r>
        <w:rPr>
          <w:rFonts w:ascii="仿宋_GB2312" w:eastAsia="仿宋_GB2312"/>
          <w:i w:val="0"/>
          <w:iCs w:val="0"/>
          <w:color w:val="auto"/>
          <w:sz w:val="32"/>
          <w:szCs w:val="32"/>
          <w:highlight w:val="none"/>
        </w:rPr>
        <w:t xml:space="preserve"> </w:t>
      </w:r>
    </w:p>
    <w:p w14:paraId="000BC3BF">
      <w:pPr>
        <w:pStyle w:val="24"/>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i w:val="0"/>
          <w:iCs w:val="0"/>
          <w:color w:val="auto"/>
          <w:sz w:val="32"/>
          <w:szCs w:val="32"/>
          <w:highlight w:val="none"/>
        </w:rPr>
      </w:pPr>
      <w:r>
        <w:rPr>
          <w:rFonts w:hint="eastAsia" w:ascii="仿宋_GB2312" w:eastAsia="仿宋_GB2312"/>
          <w:i w:val="0"/>
          <w:iCs w:val="0"/>
          <w:color w:val="auto"/>
          <w:sz w:val="32"/>
          <w:szCs w:val="32"/>
          <w:highlight w:val="none"/>
          <w:lang w:val="en-US" w:eastAsia="zh-CN"/>
        </w:rPr>
        <w:t>4</w:t>
      </w:r>
      <w:r>
        <w:rPr>
          <w:rFonts w:ascii="仿宋_GB2312" w:eastAsia="仿宋_GB2312"/>
          <w:i w:val="0"/>
          <w:iCs w:val="0"/>
          <w:color w:val="auto"/>
          <w:sz w:val="32"/>
          <w:szCs w:val="32"/>
          <w:highlight w:val="none"/>
        </w:rPr>
        <w:t>.</w:t>
      </w:r>
      <w:r>
        <w:rPr>
          <w:rFonts w:hint="eastAsia" w:ascii="仿宋_GB2312" w:eastAsia="仿宋_GB2312"/>
          <w:i w:val="0"/>
          <w:iCs w:val="0"/>
          <w:color w:val="auto"/>
          <w:sz w:val="32"/>
          <w:szCs w:val="32"/>
          <w:highlight w:val="none"/>
        </w:rPr>
        <w:t>年初结转和结余：指以前年度尚未完成、结转到本年按有关规定继续使用的资金。</w:t>
      </w:r>
      <w:r>
        <w:rPr>
          <w:rFonts w:ascii="仿宋_GB2312" w:eastAsia="仿宋_GB2312"/>
          <w:i w:val="0"/>
          <w:iCs w:val="0"/>
          <w:color w:val="auto"/>
          <w:sz w:val="32"/>
          <w:szCs w:val="32"/>
          <w:highlight w:val="none"/>
        </w:rPr>
        <w:t xml:space="preserve"> </w:t>
      </w:r>
    </w:p>
    <w:p w14:paraId="44988091">
      <w:pPr>
        <w:pStyle w:val="24"/>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i w:val="0"/>
          <w:iCs w:val="0"/>
          <w:color w:val="auto"/>
          <w:sz w:val="32"/>
          <w:szCs w:val="32"/>
          <w:highlight w:val="none"/>
        </w:rPr>
      </w:pPr>
      <w:r>
        <w:rPr>
          <w:rFonts w:hint="eastAsia" w:ascii="仿宋_GB2312" w:eastAsia="仿宋_GB2312"/>
          <w:i w:val="0"/>
          <w:iCs w:val="0"/>
          <w:color w:val="auto"/>
          <w:sz w:val="32"/>
          <w:szCs w:val="32"/>
          <w:highlight w:val="none"/>
          <w:lang w:val="en-US" w:eastAsia="zh-CN"/>
        </w:rPr>
        <w:t>5</w:t>
      </w:r>
      <w:r>
        <w:rPr>
          <w:rFonts w:ascii="仿宋_GB2312" w:eastAsia="仿宋_GB2312"/>
          <w:i w:val="0"/>
          <w:iCs w:val="0"/>
          <w:color w:val="auto"/>
          <w:sz w:val="32"/>
          <w:szCs w:val="32"/>
          <w:highlight w:val="none"/>
        </w:rPr>
        <w:t>.</w:t>
      </w:r>
      <w:r>
        <w:rPr>
          <w:rFonts w:hint="eastAsia" w:ascii="仿宋_GB2312" w:eastAsia="仿宋_GB2312"/>
          <w:i w:val="0"/>
          <w:iCs w:val="0"/>
          <w:color w:val="auto"/>
          <w:sz w:val="32"/>
          <w:szCs w:val="32"/>
          <w:highlight w:val="none"/>
        </w:rPr>
        <w:t>结余分配：指事业单位按照会计制度规定缴纳的所得税、提取的专用结余以及转入非财政拨款结余的金额等。</w:t>
      </w:r>
    </w:p>
    <w:p w14:paraId="473F45A8">
      <w:pPr>
        <w:pStyle w:val="24"/>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i w:val="0"/>
          <w:iCs w:val="0"/>
          <w:color w:val="auto"/>
          <w:sz w:val="32"/>
          <w:szCs w:val="32"/>
          <w:highlight w:val="none"/>
        </w:rPr>
      </w:pPr>
      <w:r>
        <w:rPr>
          <w:rFonts w:hint="eastAsia" w:ascii="仿宋_GB2312" w:eastAsia="仿宋_GB2312"/>
          <w:i w:val="0"/>
          <w:iCs w:val="0"/>
          <w:color w:val="auto"/>
          <w:sz w:val="32"/>
          <w:szCs w:val="32"/>
          <w:highlight w:val="none"/>
          <w:lang w:val="en-US" w:eastAsia="zh-CN"/>
        </w:rPr>
        <w:t>6.</w:t>
      </w:r>
      <w:r>
        <w:rPr>
          <w:rFonts w:hint="eastAsia" w:ascii="仿宋_GB2312" w:eastAsia="仿宋_GB2312"/>
          <w:i w:val="0"/>
          <w:iCs w:val="0"/>
          <w:color w:val="auto"/>
          <w:sz w:val="32"/>
          <w:szCs w:val="32"/>
          <w:highlight w:val="none"/>
        </w:rPr>
        <w:t>年末结转和结余：指单位按有关规定结转到下年或以后年度继续使用的资金。</w:t>
      </w:r>
    </w:p>
    <w:p w14:paraId="4B6C3E93">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eastAsia="仿宋_GB2312"/>
          <w:i w:val="0"/>
          <w:iCs w:val="0"/>
          <w:sz w:val="32"/>
          <w:szCs w:val="32"/>
          <w:highlight w:val="none"/>
          <w:lang w:eastAsia="zh-CN"/>
        </w:rPr>
      </w:pPr>
      <w:r>
        <w:rPr>
          <w:rFonts w:hint="eastAsia" w:ascii="仿宋_GB2312" w:eastAsia="仿宋_GB2312"/>
          <w:i w:val="0"/>
          <w:iCs w:val="0"/>
          <w:sz w:val="32"/>
          <w:szCs w:val="32"/>
          <w:highlight w:val="none"/>
          <w:lang w:val="en-US" w:eastAsia="zh-CN"/>
        </w:rPr>
        <w:t>7.</w:t>
      </w:r>
      <w:r>
        <w:rPr>
          <w:rFonts w:hint="eastAsia" w:ascii="仿宋_GB2312" w:eastAsia="仿宋_GB2312"/>
          <w:i w:val="0"/>
          <w:iCs w:val="0"/>
          <w:sz w:val="32"/>
          <w:szCs w:val="32"/>
          <w:highlight w:val="none"/>
          <w:lang w:eastAsia="zh-CN"/>
        </w:rPr>
        <w:t>城乡社区支出</w:t>
      </w:r>
      <w:r>
        <w:rPr>
          <w:rFonts w:hint="eastAsia" w:ascii="仿宋_GB2312" w:eastAsia="仿宋_GB2312"/>
          <w:i w:val="0"/>
          <w:iCs w:val="0"/>
          <w:sz w:val="32"/>
          <w:szCs w:val="32"/>
          <w:highlight w:val="none"/>
        </w:rPr>
        <w:t>（类）</w:t>
      </w:r>
      <w:r>
        <w:rPr>
          <w:rFonts w:hint="eastAsia" w:ascii="仿宋_GB2312" w:eastAsia="仿宋_GB2312"/>
          <w:i w:val="0"/>
          <w:iCs w:val="0"/>
          <w:sz w:val="32"/>
          <w:szCs w:val="32"/>
          <w:highlight w:val="none"/>
          <w:lang w:eastAsia="zh-CN"/>
        </w:rPr>
        <w:t>城乡社区管理事务</w:t>
      </w:r>
      <w:r>
        <w:rPr>
          <w:rFonts w:hint="eastAsia" w:ascii="仿宋_GB2312" w:eastAsia="仿宋_GB2312"/>
          <w:i w:val="0"/>
          <w:iCs w:val="0"/>
          <w:sz w:val="32"/>
          <w:szCs w:val="32"/>
          <w:highlight w:val="none"/>
        </w:rPr>
        <w:t>（款）</w:t>
      </w:r>
      <w:r>
        <w:rPr>
          <w:rFonts w:hint="eastAsia" w:ascii="仿宋_GB2312" w:eastAsia="仿宋_GB2312"/>
          <w:i w:val="0"/>
          <w:iCs w:val="0"/>
          <w:sz w:val="32"/>
          <w:szCs w:val="32"/>
          <w:highlight w:val="none"/>
          <w:lang w:eastAsia="zh-CN"/>
        </w:rPr>
        <w:t>城管执法</w:t>
      </w:r>
      <w:r>
        <w:rPr>
          <w:rFonts w:hint="eastAsia" w:ascii="仿宋_GB2312" w:eastAsia="仿宋_GB2312"/>
          <w:i w:val="0"/>
          <w:iCs w:val="0"/>
          <w:sz w:val="32"/>
          <w:szCs w:val="32"/>
          <w:highlight w:val="none"/>
        </w:rPr>
        <w:t>（项）</w:t>
      </w:r>
      <w:r>
        <w:rPr>
          <w:rFonts w:hint="eastAsia" w:ascii="仿宋_GB2312" w:eastAsia="仿宋_GB2312"/>
          <w:i w:val="0"/>
          <w:iCs w:val="0"/>
          <w:sz w:val="32"/>
          <w:szCs w:val="32"/>
          <w:highlight w:val="none"/>
          <w:lang w:eastAsia="zh-CN"/>
        </w:rPr>
        <w:t>指用于综合行政执法工作相关支出费用。</w:t>
      </w:r>
    </w:p>
    <w:p w14:paraId="6FB368F9">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eastAsia="仿宋_GB2312"/>
          <w:i w:val="0"/>
          <w:iCs w:val="0"/>
          <w:sz w:val="32"/>
          <w:szCs w:val="32"/>
          <w:highlight w:val="none"/>
        </w:rPr>
      </w:pPr>
      <w:r>
        <w:rPr>
          <w:rFonts w:hint="eastAsia" w:ascii="仿宋_GB2312" w:eastAsia="仿宋_GB2312"/>
          <w:i w:val="0"/>
          <w:iCs w:val="0"/>
          <w:sz w:val="32"/>
          <w:szCs w:val="32"/>
          <w:highlight w:val="none"/>
          <w:lang w:val="en-US" w:eastAsia="zh-CN"/>
        </w:rPr>
        <w:t>8.</w:t>
      </w:r>
      <w:r>
        <w:rPr>
          <w:rFonts w:hint="eastAsia" w:ascii="仿宋_GB2312" w:eastAsia="仿宋_GB2312"/>
          <w:i w:val="0"/>
          <w:iCs w:val="0"/>
          <w:sz w:val="32"/>
          <w:szCs w:val="32"/>
          <w:highlight w:val="none"/>
        </w:rPr>
        <w:t>社会保障和就业（类）</w:t>
      </w:r>
      <w:r>
        <w:rPr>
          <w:rFonts w:hint="eastAsia" w:ascii="仿宋_GB2312" w:eastAsia="仿宋_GB2312"/>
          <w:i w:val="0"/>
          <w:iCs w:val="0"/>
          <w:sz w:val="32"/>
          <w:szCs w:val="32"/>
          <w:highlight w:val="none"/>
          <w:lang w:eastAsia="zh-CN"/>
        </w:rPr>
        <w:t>行政事业单位养老支出</w:t>
      </w:r>
      <w:r>
        <w:rPr>
          <w:rFonts w:hint="eastAsia" w:ascii="仿宋_GB2312" w:eastAsia="仿宋_GB2312"/>
          <w:i w:val="0"/>
          <w:iCs w:val="0"/>
          <w:sz w:val="32"/>
          <w:szCs w:val="32"/>
          <w:highlight w:val="none"/>
        </w:rPr>
        <w:t>（款）</w:t>
      </w:r>
      <w:r>
        <w:rPr>
          <w:rFonts w:hint="eastAsia" w:ascii="仿宋_GB2312" w:eastAsia="仿宋_GB2312"/>
          <w:i w:val="0"/>
          <w:iCs w:val="0"/>
          <w:sz w:val="32"/>
          <w:szCs w:val="32"/>
          <w:highlight w:val="none"/>
          <w:lang w:eastAsia="zh-CN"/>
        </w:rPr>
        <w:t>机关事业单位基本养老保险缴费支出</w:t>
      </w:r>
      <w:r>
        <w:rPr>
          <w:rFonts w:hint="eastAsia" w:ascii="仿宋_GB2312" w:eastAsia="仿宋_GB2312"/>
          <w:i w:val="0"/>
          <w:iCs w:val="0"/>
          <w:sz w:val="32"/>
          <w:szCs w:val="32"/>
          <w:highlight w:val="none"/>
        </w:rPr>
        <w:t>（项）</w:t>
      </w:r>
      <w:r>
        <w:rPr>
          <w:rFonts w:hint="eastAsia" w:ascii="仿宋_GB2312" w:eastAsia="仿宋_GB2312"/>
          <w:i w:val="0"/>
          <w:iCs w:val="0"/>
          <w:sz w:val="32"/>
          <w:szCs w:val="32"/>
          <w:highlight w:val="none"/>
          <w:lang w:eastAsia="zh-CN"/>
        </w:rPr>
        <w:t>指行政机关人员保险支出。</w:t>
      </w:r>
    </w:p>
    <w:p w14:paraId="3389080A">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eastAsia="仿宋_GB2312"/>
          <w:i w:val="0"/>
          <w:iCs w:val="0"/>
          <w:sz w:val="32"/>
          <w:szCs w:val="32"/>
          <w:highlight w:val="none"/>
          <w:lang w:eastAsia="zh-CN"/>
        </w:rPr>
      </w:pPr>
      <w:r>
        <w:rPr>
          <w:rFonts w:hint="eastAsia" w:ascii="仿宋_GB2312" w:eastAsia="仿宋_GB2312"/>
          <w:i w:val="0"/>
          <w:iCs w:val="0"/>
          <w:sz w:val="32"/>
          <w:szCs w:val="32"/>
          <w:highlight w:val="none"/>
          <w:lang w:val="en-US" w:eastAsia="zh-CN"/>
        </w:rPr>
        <w:t>9.</w:t>
      </w:r>
      <w:r>
        <w:rPr>
          <w:rFonts w:hint="eastAsia" w:ascii="仿宋_GB2312" w:eastAsia="仿宋_GB2312"/>
          <w:i w:val="0"/>
          <w:iCs w:val="0"/>
          <w:sz w:val="32"/>
          <w:szCs w:val="32"/>
          <w:highlight w:val="none"/>
        </w:rPr>
        <w:t>卫生健康（类）</w:t>
      </w:r>
      <w:r>
        <w:rPr>
          <w:rFonts w:hint="eastAsia" w:ascii="仿宋_GB2312" w:eastAsia="仿宋_GB2312"/>
          <w:i w:val="0"/>
          <w:iCs w:val="0"/>
          <w:sz w:val="32"/>
          <w:szCs w:val="32"/>
          <w:highlight w:val="none"/>
          <w:lang w:eastAsia="zh-CN"/>
        </w:rPr>
        <w:t>行政事业单位医疗</w:t>
      </w:r>
      <w:r>
        <w:rPr>
          <w:rFonts w:hint="eastAsia" w:ascii="仿宋_GB2312" w:eastAsia="仿宋_GB2312"/>
          <w:i w:val="0"/>
          <w:iCs w:val="0"/>
          <w:sz w:val="32"/>
          <w:szCs w:val="32"/>
          <w:highlight w:val="none"/>
        </w:rPr>
        <w:t>（款）</w:t>
      </w:r>
      <w:r>
        <w:rPr>
          <w:rFonts w:hint="eastAsia" w:ascii="仿宋_GB2312" w:eastAsia="仿宋_GB2312"/>
          <w:i w:val="0"/>
          <w:iCs w:val="0"/>
          <w:sz w:val="32"/>
          <w:szCs w:val="32"/>
          <w:highlight w:val="none"/>
          <w:lang w:eastAsia="zh-CN"/>
        </w:rPr>
        <w:t>行政单位</w:t>
      </w:r>
      <w:r>
        <w:rPr>
          <w:rFonts w:hint="eastAsia" w:ascii="仿宋_GB2312" w:eastAsia="仿宋_GB2312"/>
          <w:i w:val="0"/>
          <w:iCs w:val="0"/>
          <w:sz w:val="32"/>
          <w:szCs w:val="32"/>
          <w:highlight w:val="none"/>
        </w:rPr>
        <w:t>（项）</w:t>
      </w:r>
      <w:r>
        <w:rPr>
          <w:rFonts w:hint="eastAsia" w:ascii="仿宋_GB2312" w:eastAsia="仿宋_GB2312"/>
          <w:i w:val="0"/>
          <w:iCs w:val="0"/>
          <w:sz w:val="32"/>
          <w:szCs w:val="32"/>
          <w:highlight w:val="none"/>
          <w:lang w:eastAsia="zh-CN"/>
        </w:rPr>
        <w:t>指行政机关人员医疗保险支出。</w:t>
      </w:r>
    </w:p>
    <w:p w14:paraId="1E36D868">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eastAsia="仿宋_GB2312"/>
          <w:i w:val="0"/>
          <w:iCs w:val="0"/>
          <w:sz w:val="32"/>
          <w:szCs w:val="32"/>
          <w:highlight w:val="none"/>
        </w:rPr>
      </w:pPr>
      <w:r>
        <w:rPr>
          <w:rFonts w:hint="eastAsia" w:ascii="仿宋_GB2312" w:eastAsia="仿宋_GB2312"/>
          <w:i w:val="0"/>
          <w:iCs w:val="0"/>
          <w:sz w:val="32"/>
          <w:szCs w:val="32"/>
          <w:highlight w:val="none"/>
          <w:lang w:val="en-US" w:eastAsia="zh-CN"/>
        </w:rPr>
        <w:t>10.</w:t>
      </w:r>
      <w:r>
        <w:rPr>
          <w:rFonts w:hint="eastAsia" w:ascii="仿宋_GB2312" w:eastAsia="仿宋_GB2312"/>
          <w:i w:val="0"/>
          <w:iCs w:val="0"/>
          <w:sz w:val="32"/>
          <w:szCs w:val="32"/>
          <w:highlight w:val="none"/>
          <w:lang w:eastAsia="zh-CN"/>
        </w:rPr>
        <w:t>住房保障支出</w:t>
      </w:r>
      <w:r>
        <w:rPr>
          <w:rFonts w:hint="eastAsia" w:ascii="仿宋_GB2312" w:eastAsia="仿宋_GB2312"/>
          <w:i w:val="0"/>
          <w:iCs w:val="0"/>
          <w:sz w:val="32"/>
          <w:szCs w:val="32"/>
          <w:highlight w:val="none"/>
        </w:rPr>
        <w:t>（类）</w:t>
      </w:r>
      <w:r>
        <w:rPr>
          <w:rFonts w:hint="eastAsia" w:ascii="仿宋_GB2312" w:eastAsia="仿宋_GB2312"/>
          <w:i w:val="0"/>
          <w:iCs w:val="0"/>
          <w:sz w:val="32"/>
          <w:szCs w:val="32"/>
          <w:highlight w:val="none"/>
          <w:lang w:eastAsia="zh-CN"/>
        </w:rPr>
        <w:t>住房改革支出（款）住房公积金（项）指行政机关人员住房公积金支出。</w:t>
      </w:r>
    </w:p>
    <w:p w14:paraId="453936CE">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i w:val="0"/>
          <w:iCs w:val="0"/>
          <w:sz w:val="32"/>
          <w:szCs w:val="32"/>
          <w:highlight w:val="none"/>
        </w:rPr>
      </w:pPr>
      <w:r>
        <w:rPr>
          <w:rFonts w:hint="eastAsia" w:ascii="仿宋_GB2312" w:eastAsia="仿宋_GB2312"/>
          <w:i w:val="0"/>
          <w:iCs w:val="0"/>
          <w:sz w:val="32"/>
          <w:szCs w:val="32"/>
          <w:highlight w:val="none"/>
          <w:lang w:val="en-US" w:eastAsia="zh-CN"/>
        </w:rPr>
        <w:t>11.</w:t>
      </w:r>
      <w:r>
        <w:rPr>
          <w:rFonts w:hint="eastAsia" w:ascii="仿宋_GB2312" w:eastAsia="仿宋_GB2312"/>
          <w:i w:val="0"/>
          <w:iCs w:val="0"/>
          <w:sz w:val="32"/>
          <w:szCs w:val="32"/>
          <w:highlight w:val="none"/>
        </w:rPr>
        <w:t>基本支出：指为保障机构正常运转、完成日常工作任务而发生的人员支出和公用支出。</w:t>
      </w:r>
    </w:p>
    <w:p w14:paraId="23C05EBB">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i w:val="0"/>
          <w:iCs w:val="0"/>
          <w:sz w:val="32"/>
          <w:szCs w:val="32"/>
          <w:highlight w:val="none"/>
        </w:rPr>
      </w:pPr>
      <w:r>
        <w:rPr>
          <w:rFonts w:hint="eastAsia" w:ascii="仿宋_GB2312" w:eastAsia="仿宋_GB2312"/>
          <w:i w:val="0"/>
          <w:iCs w:val="0"/>
          <w:sz w:val="32"/>
          <w:szCs w:val="32"/>
          <w:highlight w:val="none"/>
          <w:lang w:val="en-US" w:eastAsia="zh-CN"/>
        </w:rPr>
        <w:t>12.</w:t>
      </w:r>
      <w:r>
        <w:rPr>
          <w:rFonts w:hint="eastAsia" w:ascii="仿宋_GB2312" w:eastAsia="仿宋_GB2312"/>
          <w:i w:val="0"/>
          <w:iCs w:val="0"/>
          <w:sz w:val="32"/>
          <w:szCs w:val="32"/>
          <w:highlight w:val="none"/>
        </w:rPr>
        <w:t>项目支出：指在基本支出之外为完成特定行政任务和事业发展目标所发生的支出。</w:t>
      </w:r>
      <w:r>
        <w:rPr>
          <w:rFonts w:ascii="仿宋_GB2312" w:eastAsia="仿宋_GB2312"/>
          <w:i w:val="0"/>
          <w:iCs w:val="0"/>
          <w:sz w:val="32"/>
          <w:szCs w:val="32"/>
          <w:highlight w:val="none"/>
        </w:rPr>
        <w:t xml:space="preserve"> </w:t>
      </w:r>
    </w:p>
    <w:p w14:paraId="3F5D0AFA">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i w:val="0"/>
          <w:iCs w:val="0"/>
          <w:sz w:val="32"/>
          <w:szCs w:val="32"/>
          <w:highlight w:val="none"/>
        </w:rPr>
      </w:pPr>
      <w:r>
        <w:rPr>
          <w:rFonts w:hint="eastAsia" w:ascii="仿宋_GB2312" w:eastAsia="仿宋_GB2312"/>
          <w:i w:val="0"/>
          <w:iCs w:val="0"/>
          <w:sz w:val="32"/>
          <w:szCs w:val="32"/>
          <w:highlight w:val="none"/>
          <w:lang w:val="en-US" w:eastAsia="zh-CN"/>
        </w:rPr>
        <w:t>13.</w:t>
      </w:r>
      <w:r>
        <w:rPr>
          <w:rFonts w:hint="eastAsia" w:ascii="仿宋_GB2312" w:eastAsia="仿宋_GB2312"/>
          <w:i w:val="0"/>
          <w:iCs w:val="0"/>
          <w:sz w:val="32"/>
          <w:szCs w:val="32"/>
          <w:highlight w:val="none"/>
        </w:rPr>
        <w:t>经营支出：指事业单位在专业业务活动及其辅助活动之外开展非独立核算经营活动发生的支出。</w:t>
      </w:r>
    </w:p>
    <w:p w14:paraId="4CA65372">
      <w:pPr>
        <w:pStyle w:val="24"/>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i w:val="0"/>
          <w:iCs w:val="0"/>
          <w:color w:val="auto"/>
          <w:sz w:val="32"/>
          <w:szCs w:val="32"/>
          <w:highlight w:val="none"/>
        </w:rPr>
      </w:pPr>
      <w:r>
        <w:rPr>
          <w:rFonts w:hint="eastAsia" w:ascii="仿宋_GB2312" w:eastAsia="仿宋_GB2312"/>
          <w:i w:val="0"/>
          <w:iCs w:val="0"/>
          <w:color w:val="auto"/>
          <w:sz w:val="32"/>
          <w:szCs w:val="32"/>
          <w:highlight w:val="none"/>
          <w:lang w:val="en-US" w:eastAsia="zh-CN"/>
        </w:rPr>
        <w:t>14.</w:t>
      </w:r>
      <w:r>
        <w:rPr>
          <w:rFonts w:hint="eastAsia" w:ascii="仿宋_GB2312" w:eastAsia="仿宋_GB2312"/>
          <w:i w:val="0"/>
          <w:iCs w:val="0"/>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D39DFF6">
      <w:pPr>
        <w:pStyle w:val="24"/>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i w:val="0"/>
          <w:iCs w:val="0"/>
          <w:color w:val="auto"/>
          <w:sz w:val="32"/>
          <w:szCs w:val="32"/>
          <w:highlight w:val="none"/>
        </w:rPr>
      </w:pPr>
      <w:r>
        <w:rPr>
          <w:rFonts w:hint="eastAsia" w:ascii="仿宋_GB2312" w:eastAsia="仿宋_GB2312"/>
          <w:i w:val="0"/>
          <w:iCs w:val="0"/>
          <w:color w:val="auto"/>
          <w:sz w:val="32"/>
          <w:szCs w:val="32"/>
          <w:highlight w:val="none"/>
          <w:lang w:val="en-US" w:eastAsia="zh-CN"/>
        </w:rPr>
        <w:t>15.</w:t>
      </w:r>
      <w:r>
        <w:rPr>
          <w:rFonts w:hint="eastAsia" w:ascii="仿宋_GB2312" w:eastAsia="仿宋_GB2312"/>
          <w:i w:val="0"/>
          <w:iCs w:val="0"/>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0A6A2B5">
      <w:pPr>
        <w:pStyle w:val="24"/>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s="黑体"/>
          <w:i/>
          <w:iCs/>
          <w:color w:val="auto"/>
          <w:sz w:val="32"/>
          <w:szCs w:val="32"/>
          <w:highlight w:val="none"/>
        </w:rPr>
      </w:pPr>
    </w:p>
    <w:p w14:paraId="16D968EC">
      <w:pPr>
        <w:numPr>
          <w:ilvl w:val="0"/>
          <w:numId w:val="4"/>
        </w:numPr>
        <w:spacing w:line="600" w:lineRule="exact"/>
        <w:ind w:left="0" w:leftChars="0" w:firstLine="663" w:firstLineChars="150"/>
        <w:jc w:val="center"/>
        <w:outlineLvl w:val="0"/>
        <w:rPr>
          <w:rStyle w:val="26"/>
          <w:rFonts w:hint="eastAsia" w:ascii="黑体" w:hAnsi="黑体" w:eastAsia="黑体"/>
          <w:b w:val="0"/>
        </w:rPr>
      </w:pPr>
      <w:bookmarkStart w:id="51" w:name="_Toc15377226"/>
      <w:r>
        <w:rPr>
          <w:rFonts w:ascii="宋体"/>
          <w:b/>
          <w:sz w:val="44"/>
          <w:szCs w:val="44"/>
        </w:rPr>
        <w:br w:type="page"/>
      </w:r>
      <w:bookmarkStart w:id="52" w:name="_Toc15396614"/>
      <w:r>
        <w:rPr>
          <w:rStyle w:val="26"/>
          <w:rFonts w:hint="eastAsia" w:ascii="黑体" w:hAnsi="黑体" w:eastAsia="黑体"/>
          <w:b w:val="0"/>
        </w:rPr>
        <w:t>附件</w:t>
      </w:r>
      <w:bookmarkEnd w:id="52"/>
    </w:p>
    <w:p w14:paraId="2B36D747">
      <w:pPr>
        <w:spacing w:line="600" w:lineRule="exact"/>
        <w:jc w:val="center"/>
        <w:outlineLvl w:val="0"/>
        <w:rPr>
          <w:rFonts w:hAnsi="Calibri" w:cs="仿宋"/>
          <w:sz w:val="32"/>
          <w:szCs w:val="32"/>
        </w:rPr>
      </w:pPr>
      <w:r>
        <w:rPr>
          <w:rFonts w:hint="eastAsia" w:ascii="宋体" w:hAnsi="宋体" w:cs="宋体"/>
          <w:kern w:val="0"/>
          <w:sz w:val="32"/>
          <w:szCs w:val="32"/>
        </w:rPr>
        <w:t>部门预算项目支出绩效自评表（2022年度）</w:t>
      </w:r>
      <w:bookmarkStart w:id="53" w:name="_Toc15396618"/>
    </w:p>
    <w:p w14:paraId="25AF77B2">
      <w:pPr>
        <w:spacing w:line="600" w:lineRule="exact"/>
        <w:jc w:val="center"/>
        <w:outlineLvl w:val="0"/>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bookmarkEnd w:id="51"/>
      <w:bookmarkEnd w:id="53"/>
      <w:bookmarkStart w:id="54" w:name="_Toc15396619"/>
    </w:p>
    <w:p w14:paraId="1BC942C6">
      <w:pPr>
        <w:pStyle w:val="5"/>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54"/>
    </w:p>
    <w:p w14:paraId="35D188FB">
      <w:pPr>
        <w:pStyle w:val="5"/>
        <w:rPr>
          <w:rFonts w:ascii="仿宋" w:hAnsi="仿宋" w:eastAsia="仿宋"/>
        </w:rPr>
      </w:pPr>
      <w:bookmarkStart w:id="55" w:name="_Toc15396620"/>
      <w:r>
        <w:rPr>
          <w:rFonts w:hint="eastAsia" w:ascii="仿宋" w:hAnsi="仿宋" w:eastAsia="仿宋"/>
          <w:b w:val="0"/>
        </w:rPr>
        <w:t>二、收</w:t>
      </w:r>
      <w:r>
        <w:rPr>
          <w:rStyle w:val="27"/>
          <w:rFonts w:hint="eastAsia" w:ascii="仿宋" w:hAnsi="仿宋" w:eastAsia="仿宋"/>
          <w:b w:val="0"/>
          <w:bCs w:val="0"/>
        </w:rPr>
        <w:t>入决算表</w:t>
      </w:r>
      <w:bookmarkEnd w:id="55"/>
    </w:p>
    <w:p w14:paraId="15E1A3BC">
      <w:pPr>
        <w:pStyle w:val="5"/>
        <w:rPr>
          <w:rFonts w:ascii="仿宋" w:hAnsi="仿宋" w:eastAsia="仿宋"/>
        </w:rPr>
      </w:pPr>
      <w:bookmarkStart w:id="56"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56"/>
    </w:p>
    <w:p w14:paraId="1D94F5CB">
      <w:pPr>
        <w:pStyle w:val="5"/>
        <w:rPr>
          <w:rFonts w:ascii="仿宋" w:hAnsi="仿宋" w:eastAsia="仿宋"/>
          <w:b w:val="0"/>
        </w:rPr>
      </w:pPr>
      <w:bookmarkStart w:id="57"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57"/>
    </w:p>
    <w:p w14:paraId="1195291A">
      <w:pPr>
        <w:pStyle w:val="5"/>
        <w:rPr>
          <w:rStyle w:val="27"/>
          <w:rFonts w:ascii="仿宋" w:hAnsi="仿宋" w:eastAsia="仿宋"/>
          <w:b w:val="0"/>
          <w:bCs w:val="0"/>
        </w:rPr>
      </w:pPr>
      <w:bookmarkStart w:id="58"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58"/>
      <w:bookmarkStart w:id="59" w:name="_Toc15396624"/>
    </w:p>
    <w:p w14:paraId="3FDD29F3">
      <w:pPr>
        <w:pStyle w:val="5"/>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59"/>
    </w:p>
    <w:p w14:paraId="18658032">
      <w:pPr>
        <w:pStyle w:val="5"/>
        <w:rPr>
          <w:rFonts w:ascii="仿宋" w:hAnsi="仿宋" w:eastAsia="仿宋"/>
        </w:rPr>
      </w:pPr>
      <w:bookmarkStart w:id="60"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60"/>
    </w:p>
    <w:p w14:paraId="671FF97E">
      <w:pPr>
        <w:pStyle w:val="5"/>
        <w:rPr>
          <w:rFonts w:ascii="仿宋" w:hAnsi="仿宋" w:eastAsia="仿宋"/>
        </w:rPr>
      </w:pPr>
      <w:bookmarkStart w:id="61"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61"/>
    </w:p>
    <w:p w14:paraId="49F8E858">
      <w:pPr>
        <w:pStyle w:val="5"/>
        <w:rPr>
          <w:rFonts w:ascii="仿宋" w:hAnsi="仿宋" w:eastAsia="仿宋"/>
        </w:rPr>
      </w:pPr>
      <w:bookmarkStart w:id="62"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62"/>
    </w:p>
    <w:p w14:paraId="5D01A738">
      <w:pPr>
        <w:pStyle w:val="5"/>
        <w:rPr>
          <w:rFonts w:ascii="仿宋" w:hAnsi="仿宋" w:eastAsia="仿宋"/>
        </w:rPr>
      </w:pPr>
      <w:bookmarkStart w:id="63" w:name="_Toc15396628"/>
      <w:r>
        <w:rPr>
          <w:rStyle w:val="27"/>
          <w:rFonts w:hint="eastAsia" w:ascii="仿宋" w:hAnsi="仿宋" w:eastAsia="仿宋"/>
          <w:b w:val="0"/>
          <w:bCs w:val="0"/>
        </w:rPr>
        <w:t>十、</w:t>
      </w:r>
      <w:bookmarkEnd w:id="63"/>
      <w:r>
        <w:rPr>
          <w:rFonts w:hint="eastAsia" w:ascii="仿宋" w:hAnsi="仿宋" w:eastAsia="仿宋"/>
          <w:b w:val="0"/>
        </w:rPr>
        <w:t>政</w:t>
      </w:r>
      <w:r>
        <w:rPr>
          <w:rStyle w:val="27"/>
          <w:rFonts w:hint="eastAsia" w:ascii="仿宋" w:hAnsi="仿宋" w:eastAsia="仿宋"/>
          <w:b w:val="0"/>
          <w:bCs w:val="0"/>
        </w:rPr>
        <w:t>府性基金预算财政拨款收入支出决算表</w:t>
      </w:r>
    </w:p>
    <w:p w14:paraId="19A452E6">
      <w:pPr>
        <w:pStyle w:val="5"/>
        <w:rPr>
          <w:rFonts w:ascii="仿宋" w:hAnsi="仿宋" w:eastAsia="仿宋"/>
        </w:rPr>
      </w:pPr>
      <w:bookmarkStart w:id="64" w:name="_Toc15396629"/>
      <w:r>
        <w:rPr>
          <w:rStyle w:val="27"/>
          <w:rFonts w:hint="eastAsia" w:ascii="仿宋" w:hAnsi="仿宋" w:eastAsia="仿宋"/>
          <w:b w:val="0"/>
          <w:bCs w:val="0"/>
        </w:rPr>
        <w:t>十一、</w:t>
      </w:r>
      <w:bookmarkEnd w:id="64"/>
      <w:r>
        <w:rPr>
          <w:rFonts w:hint="eastAsia" w:ascii="仿宋" w:hAnsi="仿宋" w:eastAsia="仿宋"/>
          <w:b w:val="0"/>
        </w:rPr>
        <w:t>国</w:t>
      </w:r>
      <w:r>
        <w:rPr>
          <w:rStyle w:val="27"/>
          <w:rFonts w:hint="eastAsia" w:ascii="仿宋" w:hAnsi="仿宋" w:eastAsia="仿宋"/>
          <w:b w:val="0"/>
          <w:bCs w:val="0"/>
        </w:rPr>
        <w:t>有资本经营预算财政拨款收入支出决算表</w:t>
      </w:r>
    </w:p>
    <w:p w14:paraId="789319E1">
      <w:pPr>
        <w:pStyle w:val="5"/>
        <w:rPr>
          <w:rFonts w:ascii="仿宋" w:hAnsi="仿宋" w:eastAsia="仿宋"/>
        </w:rPr>
      </w:pPr>
      <w:bookmarkStart w:id="65" w:name="_Toc15396630"/>
      <w:r>
        <w:rPr>
          <w:rStyle w:val="27"/>
          <w:rFonts w:hint="eastAsia" w:ascii="仿宋" w:hAnsi="仿宋" w:eastAsia="仿宋"/>
          <w:b w:val="0"/>
          <w:bCs w:val="0"/>
        </w:rPr>
        <w:t>十二、</w:t>
      </w:r>
      <w:bookmarkEnd w:id="65"/>
      <w:r>
        <w:rPr>
          <w:rStyle w:val="27"/>
          <w:rFonts w:hint="eastAsia" w:ascii="仿宋" w:hAnsi="仿宋" w:eastAsia="仿宋"/>
          <w:b w:val="0"/>
          <w:bCs w:val="0"/>
        </w:rPr>
        <w:t>国有资本经营预算财政拨款支出决算表</w:t>
      </w:r>
    </w:p>
    <w:p w14:paraId="3EE55724">
      <w:pPr>
        <w:pStyle w:val="5"/>
        <w:rPr>
          <w:rFonts w:eastAsia="仿宋"/>
        </w:rPr>
      </w:pPr>
      <w:bookmarkStart w:id="66" w:name="_Toc15396631"/>
      <w:r>
        <w:rPr>
          <w:rStyle w:val="27"/>
          <w:rFonts w:hint="eastAsia" w:ascii="仿宋" w:hAnsi="仿宋" w:eastAsia="仿宋"/>
          <w:b w:val="0"/>
          <w:bCs w:val="0"/>
        </w:rPr>
        <w:t>十三、</w:t>
      </w:r>
      <w:bookmarkEnd w:id="66"/>
      <w:r>
        <w:rPr>
          <w:rStyle w:val="27"/>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Cambria">
    <w:altName w:val="Noto Sans Syriac Eastern"/>
    <w:panose1 w:val="02040503050406030204"/>
    <w:charset w:val="00"/>
    <w:family w:val="roman"/>
    <w:pitch w:val="default"/>
    <w:sig w:usb0="00000000"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199CAEF5">
        <w:pPr>
          <w:pStyle w:val="10"/>
          <w:jc w:val="center"/>
        </w:pPr>
        <w:r>
          <w:fldChar w:fldCharType="begin"/>
        </w:r>
        <w:r>
          <w:instrText xml:space="preserve">PAGE   \* MERGEFORMAT</w:instrText>
        </w:r>
        <w:r>
          <w:fldChar w:fldCharType="separate"/>
        </w:r>
        <w:r>
          <w:rPr>
            <w:lang w:val="zh-CN"/>
          </w:rPr>
          <w:t>2</w:t>
        </w:r>
        <w:r>
          <w:fldChar w:fldCharType="end"/>
        </w:r>
      </w:p>
    </w:sdtContent>
  </w:sdt>
  <w:p w14:paraId="6455209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21390">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ZWMzZjBmODU5ODJhNjE4YzAwZmJmOTIxMjcxOTU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24E22"/>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92652E"/>
    <w:rsid w:val="0348159A"/>
    <w:rsid w:val="03692931"/>
    <w:rsid w:val="03B95FF4"/>
    <w:rsid w:val="03D06D20"/>
    <w:rsid w:val="04427E6B"/>
    <w:rsid w:val="04510922"/>
    <w:rsid w:val="045D6A08"/>
    <w:rsid w:val="04F35535"/>
    <w:rsid w:val="053A62B5"/>
    <w:rsid w:val="064F49ED"/>
    <w:rsid w:val="0748600C"/>
    <w:rsid w:val="07B54D24"/>
    <w:rsid w:val="08430582"/>
    <w:rsid w:val="088A61B1"/>
    <w:rsid w:val="09111C85"/>
    <w:rsid w:val="09EF09C1"/>
    <w:rsid w:val="0A2032A3"/>
    <w:rsid w:val="0AEF054D"/>
    <w:rsid w:val="0B8A37D8"/>
    <w:rsid w:val="0BB772BD"/>
    <w:rsid w:val="0BE3000C"/>
    <w:rsid w:val="0C6C454B"/>
    <w:rsid w:val="0CC57E71"/>
    <w:rsid w:val="0E62693A"/>
    <w:rsid w:val="0FD3139E"/>
    <w:rsid w:val="10C055FF"/>
    <w:rsid w:val="118107EC"/>
    <w:rsid w:val="11DD6519"/>
    <w:rsid w:val="12A32349"/>
    <w:rsid w:val="15B42ABF"/>
    <w:rsid w:val="16BB723D"/>
    <w:rsid w:val="17173305"/>
    <w:rsid w:val="18015F3F"/>
    <w:rsid w:val="1A604FC3"/>
    <w:rsid w:val="1BE8440E"/>
    <w:rsid w:val="1C250273"/>
    <w:rsid w:val="1CC530FF"/>
    <w:rsid w:val="1D155CEE"/>
    <w:rsid w:val="1E311151"/>
    <w:rsid w:val="208F56BE"/>
    <w:rsid w:val="20C847C5"/>
    <w:rsid w:val="20F57F95"/>
    <w:rsid w:val="21696E53"/>
    <w:rsid w:val="21C40A86"/>
    <w:rsid w:val="21DF0EC4"/>
    <w:rsid w:val="227C4964"/>
    <w:rsid w:val="240371BF"/>
    <w:rsid w:val="25675458"/>
    <w:rsid w:val="25711CC6"/>
    <w:rsid w:val="25BC1581"/>
    <w:rsid w:val="25C741E6"/>
    <w:rsid w:val="265A6D6B"/>
    <w:rsid w:val="267B565F"/>
    <w:rsid w:val="26ED5E31"/>
    <w:rsid w:val="27842671"/>
    <w:rsid w:val="29D11A3A"/>
    <w:rsid w:val="29FD04D3"/>
    <w:rsid w:val="2ABE7A3E"/>
    <w:rsid w:val="2C5801F0"/>
    <w:rsid w:val="2C614474"/>
    <w:rsid w:val="2C8903AA"/>
    <w:rsid w:val="2CA234A8"/>
    <w:rsid w:val="2E8F7DEB"/>
    <w:rsid w:val="2E9C43C4"/>
    <w:rsid w:val="2EFA178C"/>
    <w:rsid w:val="30B46D73"/>
    <w:rsid w:val="3106021B"/>
    <w:rsid w:val="312468F3"/>
    <w:rsid w:val="319F7F4E"/>
    <w:rsid w:val="338E2C31"/>
    <w:rsid w:val="344A62F7"/>
    <w:rsid w:val="35366BF5"/>
    <w:rsid w:val="383D272C"/>
    <w:rsid w:val="39AE70AB"/>
    <w:rsid w:val="3C0C0783"/>
    <w:rsid w:val="3C563F2F"/>
    <w:rsid w:val="3E6E11AD"/>
    <w:rsid w:val="3F9F3A96"/>
    <w:rsid w:val="3FE45BCB"/>
    <w:rsid w:val="408D6263"/>
    <w:rsid w:val="40FE2CBD"/>
    <w:rsid w:val="41FA6155"/>
    <w:rsid w:val="42DF08CC"/>
    <w:rsid w:val="43486471"/>
    <w:rsid w:val="434A459E"/>
    <w:rsid w:val="453F0F59"/>
    <w:rsid w:val="47BA5463"/>
    <w:rsid w:val="48BF60AB"/>
    <w:rsid w:val="493C27E9"/>
    <w:rsid w:val="496F39ED"/>
    <w:rsid w:val="49FF41D3"/>
    <w:rsid w:val="4A162E25"/>
    <w:rsid w:val="4BE068DB"/>
    <w:rsid w:val="4BE52CFA"/>
    <w:rsid w:val="4BF6002B"/>
    <w:rsid w:val="4C3E6663"/>
    <w:rsid w:val="4D4C4DB0"/>
    <w:rsid w:val="4ECE2238"/>
    <w:rsid w:val="4FAFAD73"/>
    <w:rsid w:val="50D92DFE"/>
    <w:rsid w:val="51DB4B86"/>
    <w:rsid w:val="51DF61F2"/>
    <w:rsid w:val="53202F66"/>
    <w:rsid w:val="55333C3E"/>
    <w:rsid w:val="55B948A4"/>
    <w:rsid w:val="56A416CE"/>
    <w:rsid w:val="5748004A"/>
    <w:rsid w:val="57F86260"/>
    <w:rsid w:val="5B2703BF"/>
    <w:rsid w:val="5D221689"/>
    <w:rsid w:val="5FE315A4"/>
    <w:rsid w:val="60025188"/>
    <w:rsid w:val="6042451C"/>
    <w:rsid w:val="607F442B"/>
    <w:rsid w:val="61BE6D19"/>
    <w:rsid w:val="623B7475"/>
    <w:rsid w:val="634420E7"/>
    <w:rsid w:val="64CA39A1"/>
    <w:rsid w:val="64F6176B"/>
    <w:rsid w:val="6618187B"/>
    <w:rsid w:val="66B01A27"/>
    <w:rsid w:val="679D556E"/>
    <w:rsid w:val="67EC1211"/>
    <w:rsid w:val="67FA392E"/>
    <w:rsid w:val="68D221B5"/>
    <w:rsid w:val="69630ADE"/>
    <w:rsid w:val="6A9164AF"/>
    <w:rsid w:val="6B3B6738"/>
    <w:rsid w:val="6C4A05C8"/>
    <w:rsid w:val="6C663340"/>
    <w:rsid w:val="6D142D9C"/>
    <w:rsid w:val="6D3B1A89"/>
    <w:rsid w:val="6D5E2269"/>
    <w:rsid w:val="6E6412AE"/>
    <w:rsid w:val="6E906D9A"/>
    <w:rsid w:val="6FD9207B"/>
    <w:rsid w:val="71BF4EC2"/>
    <w:rsid w:val="72444124"/>
    <w:rsid w:val="725E2D0C"/>
    <w:rsid w:val="726E11A1"/>
    <w:rsid w:val="72734D90"/>
    <w:rsid w:val="72987FCC"/>
    <w:rsid w:val="72E27499"/>
    <w:rsid w:val="7412278C"/>
    <w:rsid w:val="763E70DC"/>
    <w:rsid w:val="799C2A97"/>
    <w:rsid w:val="79E7B28D"/>
    <w:rsid w:val="7A170370"/>
    <w:rsid w:val="7A3E3B4E"/>
    <w:rsid w:val="7B1B787B"/>
    <w:rsid w:val="7BB0282A"/>
    <w:rsid w:val="7C3F770A"/>
    <w:rsid w:val="7CAB7C4F"/>
    <w:rsid w:val="7D7D673C"/>
    <w:rsid w:val="7DE70059"/>
    <w:rsid w:val="7E9A331D"/>
    <w:rsid w:val="7EF742CC"/>
    <w:rsid w:val="7F82628B"/>
    <w:rsid w:val="7F9F20EE"/>
    <w:rsid w:val="7FD55677"/>
    <w:rsid w:val="9E3A10E2"/>
    <w:rsid w:val="F2E1F9D4"/>
    <w:rsid w:val="F7880819"/>
    <w:rsid w:val="FFFF80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spacing w:line="560" w:lineRule="exact"/>
      <w:ind w:firstLine="640" w:firstLineChars="200"/>
      <w:jc w:val="left"/>
    </w:pPr>
    <w:rPr>
      <w:rFonts w:ascii="仿宋_GB2312" w:eastAsia="仿宋_GB2312"/>
      <w:sz w:val="32"/>
    </w:r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4"/>
    <w:qFormat/>
    <w:uiPriority w:val="9"/>
    <w:rPr>
      <w:rFonts w:ascii="Times New Roman" w:hAnsi="Times New Roman"/>
      <w:b/>
      <w:bCs/>
      <w:kern w:val="44"/>
      <w:sz w:val="44"/>
      <w:szCs w:val="44"/>
    </w:rPr>
  </w:style>
  <w:style w:type="character" w:customStyle="1" w:styleId="27">
    <w:name w:val="标题 2 字符"/>
    <w:basedOn w:val="15"/>
    <w:link w:val="5"/>
    <w:qFormat/>
    <w:uiPriority w:val="9"/>
    <w:rPr>
      <w:rFonts w:asciiTheme="majorHAnsi" w:hAnsiTheme="majorHAnsi" w:eastAsiaTheme="majorEastAsia" w:cstheme="majorBidi"/>
      <w:b/>
      <w:bCs/>
      <w:kern w:val="2"/>
      <w:sz w:val="32"/>
      <w:szCs w:val="32"/>
    </w:rPr>
  </w:style>
  <w:style w:type="paragraph" w:customStyle="1" w:styleId="2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9"/>
    <w:semiHidden/>
    <w:qFormat/>
    <w:uiPriority w:val="99"/>
    <w:rPr>
      <w:rFonts w:ascii="Times New Roman" w:hAnsi="Times New Roman"/>
      <w:kern w:val="2"/>
      <w:sz w:val="18"/>
      <w:szCs w:val="18"/>
    </w:rPr>
  </w:style>
  <w:style w:type="character" w:customStyle="1" w:styleId="30">
    <w:name w:val="标题 3 字符"/>
    <w:basedOn w:val="15"/>
    <w:link w:val="6"/>
    <w:qFormat/>
    <w:uiPriority w:val="9"/>
    <w:rPr>
      <w:rFonts w:ascii="Times New Roman" w:hAnsi="Times New Roman"/>
      <w:b/>
      <w:bCs/>
      <w:kern w:val="2"/>
      <w:sz w:val="32"/>
      <w:szCs w:val="32"/>
    </w:rPr>
  </w:style>
  <w:style w:type="paragraph" w:customStyle="1" w:styleId="31">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AppData\Local\Temp\360zip$Temp\360$0\&#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AppData\Local\Temp\360zip$Temp\360$0\&#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AppData\Local\Temp\360zip$Temp\360$0\&#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AppData\Local\Temp\360zip$Temp\360$0\&#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AppData\Local\Temp\360zip$Temp\360$0\&#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AppData\Local\Temp\360zip$Temp\360$0\&#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AppData\Local\Temp\360zip$Temp\360$0\&#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0.00_ </c:formatCode>
                <c:ptCount val="2"/>
                <c:pt idx="0">
                  <c:v>582.627367</c:v>
                </c:pt>
                <c:pt idx="1" c:formatCode="General">
                  <c:v>725.64</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f43ef4c-e494-4a13-be64-c8e14ef7e953}"/>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Cache>
                <c:formatCode>#,##0.00</c:formatCode>
                <c:ptCount val="6"/>
                <c:pt idx="0">
                  <c:v>725.64</c:v>
                </c:pt>
                <c:pt idx="1" c:formatCode="General">
                  <c:v>0</c:v>
                </c:pt>
                <c:pt idx="2" c:formatCode="General">
                  <c:v>0</c:v>
                </c:pt>
                <c:pt idx="3" c:formatCode="General">
                  <c:v>0</c:v>
                </c:pt>
                <c:pt idx="4" c:formatCode="General">
                  <c:v>0</c:v>
                </c:pt>
                <c:pt idx="5" c:formatCode="General">
                  <c:v>0</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1</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8c7bf3e-c5fa-496c-b088-1f3cd061445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0.827</c:v>
                </c:pt>
                <c:pt idx="1">
                  <c:v>0.173</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87416dbc-ee6a-4ec4-8c3d-193399e1c64d}"/>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582.63</c:v>
                </c:pt>
                <c:pt idx="1">
                  <c:v>725.64</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ee5100a-b81a-47c8-b045-fb9d3b66af0c}"/>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582.63</c:v>
                </c:pt>
                <c:pt idx="1">
                  <c:v>725.64</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0dcc2fa-6bdc-4dc8-9d8a-cde980958881}"/>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城乡社区支出（类）支出</c:v>
                </c:pt>
                <c:pt idx="1">
                  <c:v>社会保障和就业（类）支出</c:v>
                </c:pt>
                <c:pt idx="2">
                  <c:v>卫生健康(类)支出</c:v>
                </c:pt>
                <c:pt idx="3">
                  <c:v>住房保障（类）支出</c:v>
                </c:pt>
              </c:strCache>
            </c:strRef>
          </c:cat>
          <c:val>
            <c:numRef>
              <c:f>[决算公开插图制作示例.xlsx]图6!$B$2:$B$5</c:f>
              <c:numCache>
                <c:formatCode>#,##0.00</c:formatCode>
                <c:ptCount val="4"/>
                <c:pt idx="0">
                  <c:v>649.49</c:v>
                </c:pt>
                <c:pt idx="1">
                  <c:v>33.84</c:v>
                </c:pt>
                <c:pt idx="2">
                  <c:v>16.92</c:v>
                </c:pt>
                <c:pt idx="3">
                  <c:v>25.38</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8145a61-313b-4cd0-93ba-9c7765cc1532}"/>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12</c:v>
                </c:pt>
                <c:pt idx="2">
                  <c:v>1.1</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7e6060f-08cf-4c7e-8dbc-0b3f01dddad7}"/>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5274</Words>
  <Characters>626</Characters>
  <Lines>5</Lines>
  <Paragraphs>11</Paragraphs>
  <TotalTime>16</TotalTime>
  <ScaleCrop>false</ScaleCrop>
  <LinksUpToDate>false</LinksUpToDate>
  <CharactersWithSpaces>5889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user</cp:lastModifiedBy>
  <cp:lastPrinted>2023-07-31T18:35:00Z</cp:lastPrinted>
  <dcterms:modified xsi:type="dcterms:W3CDTF">2025-07-17T10:41:15Z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64C21F7C5D8F46DE8E6E2D47C677A5C5_12</vt:lpwstr>
  </property>
</Properties>
</file>