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1B46F">
      <w:pPr>
        <w:spacing w:line="600" w:lineRule="exact"/>
        <w:jc w:val="center"/>
        <w:outlineLvl w:val="0"/>
        <w:rPr>
          <w:rFonts w:ascii="方正小标宋简体" w:hAnsi="宋体" w:eastAsia="方正小标宋简体"/>
          <w:sz w:val="72"/>
          <w:szCs w:val="72"/>
        </w:rPr>
      </w:pPr>
      <w:bookmarkStart w:id="61" w:name="_GoBack"/>
      <w:bookmarkEnd w:id="61"/>
      <w:bookmarkStart w:id="0" w:name="_Toc15396597"/>
      <w:bookmarkStart w:id="1" w:name="_Toc15378441"/>
      <w:bookmarkStart w:id="2" w:name="_Toc15377425"/>
      <w:bookmarkStart w:id="3" w:name="_Toc15396475"/>
      <w:bookmarkStart w:id="4" w:name="_Toc15377193"/>
      <w:bookmarkStart w:id="5" w:name="_Toc15306267"/>
    </w:p>
    <w:p w14:paraId="3C8F37EA">
      <w:pPr>
        <w:spacing w:line="600" w:lineRule="exact"/>
        <w:jc w:val="center"/>
        <w:outlineLvl w:val="0"/>
        <w:rPr>
          <w:rFonts w:ascii="方正小标宋简体" w:hAnsi="宋体" w:eastAsia="方正小标宋简体"/>
          <w:sz w:val="72"/>
          <w:szCs w:val="72"/>
        </w:rPr>
      </w:pPr>
    </w:p>
    <w:p w14:paraId="6EE24568">
      <w:pPr>
        <w:spacing w:line="600" w:lineRule="exact"/>
        <w:jc w:val="center"/>
        <w:outlineLvl w:val="0"/>
        <w:rPr>
          <w:rFonts w:ascii="方正小标宋简体" w:hAnsi="宋体" w:eastAsia="方正小标宋简体"/>
          <w:sz w:val="72"/>
          <w:szCs w:val="72"/>
        </w:rPr>
      </w:pPr>
    </w:p>
    <w:p w14:paraId="54237B0D">
      <w:pPr>
        <w:adjustRightInd w:val="0"/>
        <w:snapToGrid w:val="0"/>
        <w:spacing w:line="360" w:lineRule="auto"/>
        <w:jc w:val="center"/>
        <w:outlineLvl w:val="0"/>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2022年度</w:t>
      </w:r>
      <w:bookmarkEnd w:id="0"/>
      <w:bookmarkEnd w:id="1"/>
      <w:bookmarkEnd w:id="2"/>
      <w:bookmarkEnd w:id="3"/>
      <w:bookmarkEnd w:id="4"/>
    </w:p>
    <w:bookmarkEnd w:id="5"/>
    <w:p w14:paraId="45E70A60">
      <w:pPr>
        <w:adjustRightInd w:val="0"/>
        <w:snapToGrid w:val="0"/>
        <w:spacing w:line="360" w:lineRule="auto"/>
        <w:jc w:val="center"/>
        <w:outlineLvl w:val="0"/>
        <w:rPr>
          <w:rFonts w:hint="eastAsia"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lang w:val="en-US" w:eastAsia="zh-CN"/>
        </w:rPr>
        <w:t>剑阁县人民代表大会常务委员会办公室</w:t>
      </w:r>
    </w:p>
    <w:p w14:paraId="60D3B942">
      <w:pPr>
        <w:adjustRightInd w:val="0"/>
        <w:snapToGrid w:val="0"/>
        <w:spacing w:line="360" w:lineRule="auto"/>
        <w:jc w:val="center"/>
        <w:outlineLvl w:val="0"/>
        <w:rPr>
          <w:rFonts w:hint="eastAsia"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lang w:val="en-US" w:eastAsia="zh-CN"/>
        </w:rPr>
        <w:t>部门决算</w:t>
      </w:r>
    </w:p>
    <w:p w14:paraId="27945ACC">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397F9408">
      <w:pPr>
        <w:spacing w:line="600" w:lineRule="exact"/>
        <w:ind w:firstLine="640"/>
        <w:rPr>
          <w:rFonts w:ascii="仿宋" w:hAnsi="仿宋" w:eastAsia="仿宋" w:cs="Times New Roman"/>
          <w:sz w:val="32"/>
          <w:szCs w:val="32"/>
        </w:rPr>
      </w:pPr>
    </w:p>
    <w:p w14:paraId="642B6C5F">
      <w:pPr>
        <w:spacing w:line="600" w:lineRule="exact"/>
        <w:ind w:firstLine="640"/>
        <w:rPr>
          <w:rFonts w:ascii="仿宋" w:hAnsi="仿宋" w:eastAsia="仿宋" w:cs="Times New Roman"/>
          <w:sz w:val="32"/>
          <w:szCs w:val="32"/>
        </w:rPr>
      </w:pPr>
      <w:r>
        <w:rPr>
          <w:rFonts w:hint="eastAsia" w:ascii="仿宋" w:hAnsi="仿宋" w:eastAsia="仿宋" w:cs="Times New Roman"/>
          <w:sz w:val="32"/>
          <w:szCs w:val="32"/>
        </w:rPr>
        <w:t>公开时间：2023年</w:t>
      </w:r>
      <w:r>
        <w:rPr>
          <w:rFonts w:hint="eastAsia" w:ascii="仿宋" w:hAnsi="仿宋" w:eastAsia="仿宋" w:cs="Times New Roman"/>
          <w:sz w:val="32"/>
          <w:szCs w:val="32"/>
          <w:lang w:val="en-US" w:eastAsia="zh-CN"/>
        </w:rPr>
        <w:t>10</w:t>
      </w:r>
      <w:r>
        <w:rPr>
          <w:rFonts w:hint="eastAsia" w:ascii="仿宋" w:hAnsi="仿宋" w:eastAsia="仿宋" w:cs="Times New Roman"/>
          <w:sz w:val="32"/>
          <w:szCs w:val="32"/>
        </w:rPr>
        <w:t>月</w:t>
      </w:r>
      <w:r>
        <w:rPr>
          <w:rFonts w:hint="eastAsia" w:ascii="仿宋" w:hAnsi="仿宋" w:eastAsia="仿宋" w:cs="Times New Roman"/>
          <w:sz w:val="32"/>
          <w:szCs w:val="32"/>
          <w:lang w:val="en-US" w:eastAsia="zh-CN"/>
        </w:rPr>
        <w:t>16</w:t>
      </w:r>
      <w:r>
        <w:rPr>
          <w:rFonts w:hint="eastAsia" w:ascii="仿宋" w:hAnsi="仿宋" w:eastAsia="仿宋" w:cs="Times New Roman"/>
          <w:sz w:val="32"/>
          <w:szCs w:val="32"/>
        </w:rPr>
        <w:t>日</w:t>
      </w:r>
    </w:p>
    <w:p w14:paraId="24682709">
      <w:pPr>
        <w:spacing w:line="600" w:lineRule="exact"/>
        <w:ind w:firstLine="640"/>
        <w:rPr>
          <w:rFonts w:ascii="仿宋" w:hAnsi="仿宋" w:eastAsia="仿宋" w:cs="Times New Roman"/>
          <w:sz w:val="32"/>
          <w:szCs w:val="32"/>
        </w:rPr>
      </w:pPr>
    </w:p>
    <w:p w14:paraId="5CC481D6">
      <w:pPr>
        <w:spacing w:line="60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第一部分 部门概况</w:t>
      </w:r>
    </w:p>
    <w:p w14:paraId="527E8B50">
      <w:pPr>
        <w:spacing w:line="600" w:lineRule="exact"/>
        <w:ind w:firstLine="1292" w:firstLineChars="404"/>
        <w:rPr>
          <w:rFonts w:hint="eastAsia" w:ascii="仿宋" w:hAnsi="仿宋" w:eastAsia="仿宋" w:cs="Times New Roman"/>
          <w:sz w:val="32"/>
          <w:szCs w:val="32"/>
        </w:rPr>
      </w:pPr>
      <w:r>
        <w:rPr>
          <w:rFonts w:hint="eastAsia" w:ascii="仿宋" w:hAnsi="仿宋" w:eastAsia="仿宋" w:cs="Times New Roman"/>
          <w:sz w:val="32"/>
          <w:szCs w:val="32"/>
        </w:rPr>
        <w:t>一、部门职责及重点工作</w:t>
      </w:r>
    </w:p>
    <w:p w14:paraId="612A54B9">
      <w:pPr>
        <w:spacing w:line="600" w:lineRule="exact"/>
        <w:ind w:firstLine="1292" w:firstLineChars="404"/>
        <w:rPr>
          <w:rFonts w:hint="eastAsia" w:ascii="仿宋" w:hAnsi="仿宋" w:eastAsia="仿宋" w:cs="Times New Roman"/>
          <w:sz w:val="32"/>
          <w:szCs w:val="32"/>
        </w:rPr>
      </w:pPr>
      <w:r>
        <w:rPr>
          <w:rFonts w:hint="eastAsia" w:ascii="仿宋" w:hAnsi="仿宋" w:eastAsia="仿宋" w:cs="Times New Roman"/>
          <w:sz w:val="32"/>
          <w:szCs w:val="32"/>
        </w:rPr>
        <w:t>二、机构设置</w:t>
      </w:r>
    </w:p>
    <w:p w14:paraId="01FA1590">
      <w:pPr>
        <w:spacing w:line="60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第二部分 2022年度部门决算情况说明</w:t>
      </w:r>
    </w:p>
    <w:p w14:paraId="4AC2826E">
      <w:pPr>
        <w:spacing w:line="600" w:lineRule="exact"/>
        <w:ind w:firstLine="1292" w:firstLineChars="404"/>
        <w:rPr>
          <w:rFonts w:hint="eastAsia" w:ascii="仿宋" w:hAnsi="仿宋" w:eastAsia="仿宋" w:cs="Times New Roman"/>
          <w:sz w:val="32"/>
          <w:szCs w:val="32"/>
        </w:rPr>
      </w:pPr>
      <w:r>
        <w:rPr>
          <w:rFonts w:hint="eastAsia" w:ascii="仿宋" w:hAnsi="仿宋" w:eastAsia="仿宋" w:cs="Times New Roman"/>
          <w:sz w:val="32"/>
          <w:szCs w:val="32"/>
        </w:rPr>
        <w:t>一、收入支出决算总体情况说明</w:t>
      </w:r>
    </w:p>
    <w:p w14:paraId="18A69A19">
      <w:pPr>
        <w:spacing w:line="600" w:lineRule="exact"/>
        <w:ind w:firstLine="1292" w:firstLineChars="404"/>
        <w:rPr>
          <w:rFonts w:hint="eastAsia" w:ascii="仿宋" w:hAnsi="仿宋" w:eastAsia="仿宋" w:cs="Times New Roman"/>
          <w:sz w:val="32"/>
          <w:szCs w:val="32"/>
        </w:rPr>
      </w:pPr>
      <w:r>
        <w:rPr>
          <w:rFonts w:hint="eastAsia" w:ascii="仿宋" w:hAnsi="仿宋" w:eastAsia="仿宋" w:cs="Times New Roman"/>
          <w:sz w:val="32"/>
          <w:szCs w:val="32"/>
        </w:rPr>
        <w:t>二、收入决算情况说明</w:t>
      </w:r>
    </w:p>
    <w:p w14:paraId="128FF8EB">
      <w:pPr>
        <w:spacing w:line="600" w:lineRule="exact"/>
        <w:ind w:firstLine="1292" w:firstLineChars="404"/>
        <w:rPr>
          <w:rFonts w:hint="eastAsia" w:ascii="仿宋" w:hAnsi="仿宋" w:eastAsia="仿宋" w:cs="Times New Roman"/>
          <w:sz w:val="32"/>
          <w:szCs w:val="32"/>
        </w:rPr>
      </w:pPr>
      <w:r>
        <w:rPr>
          <w:rFonts w:hint="eastAsia" w:ascii="仿宋" w:hAnsi="仿宋" w:eastAsia="仿宋" w:cs="Times New Roman"/>
          <w:sz w:val="32"/>
          <w:szCs w:val="32"/>
        </w:rPr>
        <w:t>三、支出决算情况说明</w:t>
      </w:r>
    </w:p>
    <w:p w14:paraId="290A99AB">
      <w:pPr>
        <w:spacing w:line="600" w:lineRule="exact"/>
        <w:ind w:firstLine="1292" w:firstLineChars="404"/>
        <w:rPr>
          <w:rFonts w:hint="eastAsia" w:ascii="仿宋" w:hAnsi="仿宋" w:eastAsia="仿宋" w:cs="Times New Roman"/>
          <w:sz w:val="32"/>
          <w:szCs w:val="32"/>
        </w:rPr>
      </w:pPr>
      <w:r>
        <w:rPr>
          <w:rFonts w:hint="eastAsia" w:ascii="仿宋" w:hAnsi="仿宋" w:eastAsia="仿宋" w:cs="Times New Roman"/>
          <w:sz w:val="32"/>
          <w:szCs w:val="32"/>
        </w:rPr>
        <w:t>四、财政拨款收入支出决算总体情况说明</w:t>
      </w:r>
    </w:p>
    <w:p w14:paraId="4882EBFF">
      <w:pPr>
        <w:spacing w:line="600" w:lineRule="exact"/>
        <w:ind w:firstLine="1292" w:firstLineChars="404"/>
        <w:rPr>
          <w:rFonts w:hint="eastAsia" w:ascii="仿宋" w:hAnsi="仿宋" w:eastAsia="仿宋" w:cs="Times New Roman"/>
          <w:sz w:val="32"/>
          <w:szCs w:val="32"/>
        </w:rPr>
      </w:pPr>
      <w:r>
        <w:rPr>
          <w:rFonts w:hint="eastAsia" w:ascii="仿宋" w:hAnsi="仿宋" w:eastAsia="仿宋" w:cs="Times New Roman"/>
          <w:sz w:val="32"/>
          <w:szCs w:val="32"/>
        </w:rPr>
        <w:t>五、一般公共预算财政拨款支出决算情况说明</w:t>
      </w:r>
    </w:p>
    <w:p w14:paraId="231FD397">
      <w:pPr>
        <w:spacing w:line="600" w:lineRule="exact"/>
        <w:ind w:firstLine="1292" w:firstLineChars="404"/>
        <w:rPr>
          <w:rFonts w:hint="eastAsia" w:ascii="仿宋" w:hAnsi="仿宋" w:eastAsia="仿宋" w:cs="Times New Roman"/>
          <w:sz w:val="32"/>
          <w:szCs w:val="32"/>
        </w:rPr>
      </w:pPr>
      <w:r>
        <w:rPr>
          <w:rFonts w:hint="eastAsia" w:ascii="仿宋" w:hAnsi="仿宋" w:eastAsia="仿宋" w:cs="Times New Roman"/>
          <w:sz w:val="32"/>
          <w:szCs w:val="32"/>
        </w:rPr>
        <w:t>六、一般公共预算财政拨款基本支出决算情况说明</w:t>
      </w:r>
    </w:p>
    <w:p w14:paraId="498FF206">
      <w:pPr>
        <w:spacing w:line="600" w:lineRule="exact"/>
        <w:ind w:firstLine="1292" w:firstLineChars="404"/>
        <w:rPr>
          <w:rFonts w:hint="eastAsia" w:ascii="仿宋" w:hAnsi="仿宋" w:eastAsia="仿宋" w:cs="Times New Roman"/>
          <w:sz w:val="32"/>
          <w:szCs w:val="32"/>
        </w:rPr>
      </w:pPr>
      <w:r>
        <w:rPr>
          <w:rFonts w:hint="eastAsia" w:ascii="仿宋" w:hAnsi="仿宋" w:eastAsia="仿宋" w:cs="Times New Roman"/>
          <w:sz w:val="32"/>
          <w:szCs w:val="32"/>
        </w:rPr>
        <w:t>七、财政拨款“三公”经费支出决算情况说明</w:t>
      </w:r>
    </w:p>
    <w:p w14:paraId="1B4AC8D9">
      <w:pPr>
        <w:spacing w:line="600" w:lineRule="exact"/>
        <w:ind w:firstLine="1292" w:firstLineChars="404"/>
        <w:rPr>
          <w:rFonts w:hint="eastAsia" w:ascii="仿宋" w:hAnsi="仿宋" w:eastAsia="仿宋" w:cs="Times New Roman"/>
          <w:sz w:val="32"/>
          <w:szCs w:val="32"/>
        </w:rPr>
      </w:pPr>
      <w:r>
        <w:rPr>
          <w:rFonts w:hint="eastAsia" w:ascii="仿宋" w:hAnsi="仿宋" w:eastAsia="仿宋" w:cs="Times New Roman"/>
          <w:sz w:val="32"/>
          <w:szCs w:val="32"/>
        </w:rPr>
        <w:t>八、政府性基金预算支出决算情况说明</w:t>
      </w:r>
    </w:p>
    <w:p w14:paraId="2E0160FD">
      <w:pPr>
        <w:spacing w:line="600" w:lineRule="exact"/>
        <w:ind w:firstLine="1292" w:firstLineChars="404"/>
        <w:rPr>
          <w:rFonts w:hint="eastAsia" w:ascii="仿宋" w:hAnsi="仿宋" w:eastAsia="仿宋" w:cs="Times New Roman"/>
          <w:sz w:val="32"/>
          <w:szCs w:val="32"/>
        </w:rPr>
      </w:pPr>
      <w:r>
        <w:rPr>
          <w:rFonts w:hint="eastAsia" w:ascii="仿宋" w:hAnsi="仿宋" w:eastAsia="仿宋" w:cs="Times New Roman"/>
          <w:sz w:val="32"/>
          <w:szCs w:val="32"/>
        </w:rPr>
        <w:t>九、国有资本经营预算支出决算情况说明</w:t>
      </w:r>
    </w:p>
    <w:p w14:paraId="7B340BF4">
      <w:pPr>
        <w:spacing w:line="600" w:lineRule="exact"/>
        <w:ind w:firstLine="1292" w:firstLineChars="404"/>
        <w:rPr>
          <w:rFonts w:hint="eastAsia" w:ascii="仿宋" w:hAnsi="仿宋" w:eastAsia="仿宋" w:cs="Times New Roman"/>
          <w:sz w:val="32"/>
          <w:szCs w:val="32"/>
        </w:rPr>
      </w:pPr>
      <w:r>
        <w:rPr>
          <w:rFonts w:hint="eastAsia" w:ascii="仿宋" w:hAnsi="仿宋" w:eastAsia="仿宋" w:cs="Times New Roman"/>
          <w:sz w:val="32"/>
          <w:szCs w:val="32"/>
          <w:lang w:eastAsia="zh-CN"/>
        </w:rPr>
        <w:t>十</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rPr>
        <w:t>、其他重要事项的情况说明</w:t>
      </w:r>
    </w:p>
    <w:p w14:paraId="121DA445">
      <w:pPr>
        <w:spacing w:line="60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第三部分 名词解释</w:t>
      </w:r>
    </w:p>
    <w:p w14:paraId="3DAA242A">
      <w:pPr>
        <w:spacing w:line="60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第四部分 附件</w:t>
      </w:r>
    </w:p>
    <w:p w14:paraId="61488623">
      <w:pPr>
        <w:spacing w:line="60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第五部分 附表</w:t>
      </w:r>
    </w:p>
    <w:p w14:paraId="0833DBF4">
      <w:pPr>
        <w:spacing w:line="600" w:lineRule="exact"/>
        <w:ind w:firstLine="1292" w:firstLineChars="404"/>
        <w:rPr>
          <w:rFonts w:hint="eastAsia" w:ascii="仿宋" w:hAnsi="仿宋" w:eastAsia="仿宋" w:cs="Times New Roman"/>
          <w:sz w:val="32"/>
          <w:szCs w:val="32"/>
        </w:rPr>
      </w:pPr>
      <w:r>
        <w:rPr>
          <w:rFonts w:hint="eastAsia" w:ascii="仿宋" w:hAnsi="仿宋" w:eastAsia="仿宋" w:cs="Times New Roman"/>
          <w:sz w:val="32"/>
          <w:szCs w:val="32"/>
        </w:rPr>
        <w:t>一、收入支出决算总表</w:t>
      </w:r>
    </w:p>
    <w:p w14:paraId="6B86D838">
      <w:pPr>
        <w:spacing w:line="600" w:lineRule="exact"/>
        <w:ind w:firstLine="1292" w:firstLineChars="404"/>
        <w:rPr>
          <w:rFonts w:hint="eastAsia" w:ascii="仿宋" w:hAnsi="仿宋" w:eastAsia="仿宋" w:cs="Times New Roman"/>
          <w:sz w:val="32"/>
          <w:szCs w:val="32"/>
        </w:rPr>
      </w:pPr>
      <w:r>
        <w:rPr>
          <w:rFonts w:hint="eastAsia" w:ascii="仿宋" w:hAnsi="仿宋" w:eastAsia="仿宋" w:cs="Times New Roman"/>
          <w:sz w:val="32"/>
          <w:szCs w:val="32"/>
        </w:rPr>
        <w:t>二、收入决算表</w:t>
      </w:r>
    </w:p>
    <w:p w14:paraId="285F573D">
      <w:pPr>
        <w:spacing w:line="600" w:lineRule="exact"/>
        <w:ind w:firstLine="1292" w:firstLineChars="404"/>
        <w:rPr>
          <w:rFonts w:hint="eastAsia" w:ascii="仿宋" w:hAnsi="仿宋" w:eastAsia="仿宋" w:cs="Times New Roman"/>
          <w:sz w:val="32"/>
          <w:szCs w:val="32"/>
        </w:rPr>
      </w:pPr>
      <w:r>
        <w:rPr>
          <w:rFonts w:hint="eastAsia" w:ascii="仿宋" w:hAnsi="仿宋" w:eastAsia="仿宋" w:cs="Times New Roman"/>
          <w:sz w:val="32"/>
          <w:szCs w:val="32"/>
        </w:rPr>
        <w:t>三、支出决算表</w:t>
      </w:r>
    </w:p>
    <w:p w14:paraId="16C70105">
      <w:pPr>
        <w:spacing w:line="600" w:lineRule="exact"/>
        <w:ind w:firstLine="1292" w:firstLineChars="404"/>
        <w:rPr>
          <w:rFonts w:hint="eastAsia" w:ascii="仿宋" w:hAnsi="仿宋" w:eastAsia="仿宋" w:cs="Times New Roman"/>
          <w:sz w:val="32"/>
          <w:szCs w:val="32"/>
        </w:rPr>
      </w:pPr>
      <w:r>
        <w:rPr>
          <w:rFonts w:hint="eastAsia" w:ascii="仿宋" w:hAnsi="仿宋" w:eastAsia="仿宋" w:cs="Times New Roman"/>
          <w:sz w:val="32"/>
          <w:szCs w:val="32"/>
        </w:rPr>
        <w:t>四、财政拨款收入支出决算总表</w:t>
      </w:r>
    </w:p>
    <w:p w14:paraId="74E9D497">
      <w:pPr>
        <w:spacing w:line="600" w:lineRule="exact"/>
        <w:ind w:firstLine="1292" w:firstLineChars="404"/>
        <w:rPr>
          <w:rFonts w:hint="eastAsia" w:ascii="仿宋" w:hAnsi="仿宋" w:eastAsia="仿宋" w:cs="Times New Roman"/>
          <w:sz w:val="32"/>
          <w:szCs w:val="32"/>
        </w:rPr>
      </w:pPr>
      <w:r>
        <w:rPr>
          <w:rFonts w:hint="eastAsia" w:ascii="仿宋" w:hAnsi="仿宋" w:eastAsia="仿宋" w:cs="Times New Roman"/>
          <w:sz w:val="32"/>
          <w:szCs w:val="32"/>
        </w:rPr>
        <w:t>五、财政拨款支出决算明细表</w:t>
      </w:r>
    </w:p>
    <w:p w14:paraId="4B8E5AF5">
      <w:pPr>
        <w:spacing w:line="600" w:lineRule="exact"/>
        <w:ind w:firstLine="1292" w:firstLineChars="404"/>
        <w:rPr>
          <w:rFonts w:hint="eastAsia" w:ascii="仿宋" w:hAnsi="仿宋" w:eastAsia="仿宋" w:cs="Times New Roman"/>
          <w:sz w:val="32"/>
          <w:szCs w:val="32"/>
        </w:rPr>
      </w:pPr>
      <w:r>
        <w:rPr>
          <w:rFonts w:hint="eastAsia" w:ascii="仿宋" w:hAnsi="仿宋" w:eastAsia="仿宋" w:cs="Times New Roman"/>
          <w:sz w:val="32"/>
          <w:szCs w:val="32"/>
        </w:rPr>
        <w:t>六、一般公共预算财政拨款支出决算表</w:t>
      </w:r>
    </w:p>
    <w:p w14:paraId="579CD9BC">
      <w:pPr>
        <w:spacing w:line="600" w:lineRule="exact"/>
        <w:ind w:firstLine="1292" w:firstLineChars="404"/>
        <w:rPr>
          <w:rFonts w:hint="eastAsia" w:ascii="仿宋" w:hAnsi="仿宋" w:eastAsia="仿宋" w:cs="Times New Roman"/>
          <w:sz w:val="32"/>
          <w:szCs w:val="32"/>
        </w:rPr>
      </w:pPr>
      <w:r>
        <w:rPr>
          <w:rFonts w:hint="eastAsia" w:ascii="仿宋" w:hAnsi="仿宋" w:eastAsia="仿宋" w:cs="Times New Roman"/>
          <w:sz w:val="32"/>
          <w:szCs w:val="32"/>
        </w:rPr>
        <w:t>七、一般公共预算财政拨款支出决算明细表</w:t>
      </w:r>
    </w:p>
    <w:p w14:paraId="26189DB5">
      <w:pPr>
        <w:spacing w:line="600" w:lineRule="exact"/>
        <w:ind w:firstLine="1292" w:firstLineChars="404"/>
        <w:rPr>
          <w:rFonts w:hint="eastAsia" w:ascii="仿宋" w:hAnsi="仿宋" w:eastAsia="仿宋" w:cs="Times New Roman"/>
          <w:sz w:val="32"/>
          <w:szCs w:val="32"/>
        </w:rPr>
      </w:pPr>
      <w:r>
        <w:rPr>
          <w:rFonts w:hint="eastAsia" w:ascii="仿宋" w:hAnsi="仿宋" w:eastAsia="仿宋" w:cs="Times New Roman"/>
          <w:sz w:val="32"/>
          <w:szCs w:val="32"/>
        </w:rPr>
        <w:t>八、一般公共预算财政拨款基本支出决算明细表</w:t>
      </w:r>
    </w:p>
    <w:p w14:paraId="32F72369">
      <w:pPr>
        <w:spacing w:line="600" w:lineRule="exact"/>
        <w:ind w:firstLine="1292" w:firstLineChars="404"/>
        <w:rPr>
          <w:rFonts w:hint="eastAsia" w:ascii="仿宋" w:hAnsi="仿宋" w:eastAsia="仿宋" w:cs="Times New Roman"/>
          <w:sz w:val="32"/>
          <w:szCs w:val="32"/>
        </w:rPr>
      </w:pPr>
      <w:r>
        <w:rPr>
          <w:rFonts w:hint="eastAsia" w:ascii="仿宋" w:hAnsi="仿宋" w:eastAsia="仿宋" w:cs="Times New Roman"/>
          <w:sz w:val="32"/>
          <w:szCs w:val="32"/>
        </w:rPr>
        <w:t>九、一般公共预算财政拨款项目支出决算表</w:t>
      </w:r>
    </w:p>
    <w:p w14:paraId="7D45E8FA">
      <w:pPr>
        <w:spacing w:line="600" w:lineRule="exact"/>
        <w:ind w:firstLine="1292" w:firstLineChars="404"/>
        <w:rPr>
          <w:rFonts w:hint="eastAsia" w:ascii="仿宋" w:hAnsi="仿宋" w:eastAsia="仿宋" w:cs="Times New Roman"/>
          <w:sz w:val="32"/>
          <w:szCs w:val="32"/>
        </w:rPr>
      </w:pPr>
      <w:r>
        <w:rPr>
          <w:rFonts w:hint="eastAsia" w:ascii="仿宋" w:hAnsi="仿宋" w:eastAsia="仿宋" w:cs="Times New Roman"/>
          <w:sz w:val="32"/>
          <w:szCs w:val="32"/>
        </w:rPr>
        <w:t>十、政府性基金预算财政拨款收入支出决算表</w:t>
      </w:r>
    </w:p>
    <w:p w14:paraId="70EE76C6">
      <w:pPr>
        <w:spacing w:line="600" w:lineRule="exact"/>
        <w:ind w:firstLine="1292" w:firstLineChars="404"/>
        <w:rPr>
          <w:rFonts w:hint="eastAsia" w:ascii="仿宋" w:hAnsi="仿宋" w:eastAsia="仿宋" w:cs="Times New Roman"/>
          <w:sz w:val="32"/>
          <w:szCs w:val="32"/>
        </w:rPr>
      </w:pPr>
      <w:r>
        <w:rPr>
          <w:rFonts w:hint="eastAsia" w:ascii="仿宋" w:hAnsi="仿宋" w:eastAsia="仿宋" w:cs="Times New Roman"/>
          <w:sz w:val="32"/>
          <w:szCs w:val="32"/>
        </w:rPr>
        <w:t>十一、国有资本经营预算财政拨款收入支出决算表</w:t>
      </w:r>
    </w:p>
    <w:p w14:paraId="4E7B8803">
      <w:pPr>
        <w:spacing w:line="600" w:lineRule="exact"/>
        <w:ind w:firstLine="1292" w:firstLineChars="404"/>
        <w:rPr>
          <w:rFonts w:hint="eastAsia" w:ascii="仿宋" w:hAnsi="仿宋" w:eastAsia="仿宋" w:cs="Times New Roman"/>
          <w:sz w:val="32"/>
          <w:szCs w:val="32"/>
        </w:rPr>
      </w:pPr>
      <w:r>
        <w:rPr>
          <w:rFonts w:hint="eastAsia" w:ascii="仿宋" w:hAnsi="仿宋" w:eastAsia="仿宋" w:cs="Times New Roman"/>
          <w:sz w:val="32"/>
          <w:szCs w:val="32"/>
        </w:rPr>
        <w:t>十二、国有资本经营预算财政拨款支出决算表</w:t>
      </w:r>
    </w:p>
    <w:p w14:paraId="0813A1CC">
      <w:pPr>
        <w:spacing w:line="600" w:lineRule="exact"/>
        <w:ind w:firstLine="1292" w:firstLineChars="404"/>
        <w:rPr>
          <w:rFonts w:hint="eastAsia" w:ascii="仿宋" w:hAnsi="仿宋" w:eastAsia="仿宋" w:cs="Times New Roman"/>
          <w:sz w:val="32"/>
          <w:szCs w:val="32"/>
        </w:rPr>
      </w:pPr>
      <w:r>
        <w:rPr>
          <w:rFonts w:hint="eastAsia" w:ascii="仿宋" w:hAnsi="仿宋" w:eastAsia="仿宋" w:cs="Times New Roman"/>
          <w:sz w:val="32"/>
          <w:szCs w:val="32"/>
        </w:rPr>
        <w:t>十三、财政拨款“三公”经费支出决算表</w:t>
      </w:r>
    </w:p>
    <w:p w14:paraId="62C56F40">
      <w:pPr>
        <w:spacing w:line="600" w:lineRule="exact"/>
        <w:ind w:firstLine="640"/>
        <w:rPr>
          <w:rFonts w:hint="eastAsia" w:ascii="仿宋" w:hAnsi="仿宋" w:eastAsia="仿宋" w:cs="Times New Roman"/>
          <w:sz w:val="32"/>
          <w:szCs w:val="32"/>
        </w:rPr>
      </w:pPr>
      <w:bookmarkStart w:id="6" w:name="_Toc15396599"/>
      <w:bookmarkStart w:id="7" w:name="_Toc15377196"/>
      <w:r>
        <w:rPr>
          <w:rFonts w:hint="eastAsia" w:ascii="仿宋" w:hAnsi="仿宋" w:eastAsia="仿宋" w:cs="Times New Roman"/>
          <w:sz w:val="32"/>
          <w:szCs w:val="32"/>
        </w:rPr>
        <w:br w:type="page"/>
      </w:r>
    </w:p>
    <w:p w14:paraId="7932B9D2">
      <w:pPr>
        <w:pStyle w:val="3"/>
        <w:jc w:val="center"/>
        <w:rPr>
          <w:rStyle w:val="28"/>
          <w:rFonts w:ascii="黑体" w:hAnsi="黑体" w:eastAsia="黑体"/>
          <w:b/>
          <w:bCs w:val="0"/>
        </w:rPr>
      </w:pPr>
      <w:r>
        <w:rPr>
          <w:rFonts w:hint="eastAsia" w:ascii="黑体" w:hAnsi="黑体" w:eastAsia="黑体"/>
          <w:b w:val="0"/>
        </w:rPr>
        <w:t xml:space="preserve">第一部分 </w:t>
      </w:r>
      <w:r>
        <w:rPr>
          <w:rStyle w:val="28"/>
          <w:rFonts w:hint="eastAsia" w:ascii="黑体" w:hAnsi="黑体" w:eastAsia="黑体"/>
          <w:b w:val="0"/>
          <w:bCs w:val="0"/>
        </w:rPr>
        <w:t>部门概况</w:t>
      </w:r>
      <w:bookmarkEnd w:id="6"/>
      <w:bookmarkEnd w:id="7"/>
    </w:p>
    <w:p w14:paraId="53C65FAD">
      <w:pPr>
        <w:widowControl/>
        <w:jc w:val="left"/>
        <w:rPr>
          <w:rFonts w:ascii="黑体" w:eastAsia="黑体"/>
          <w:sz w:val="32"/>
          <w:szCs w:val="32"/>
        </w:rPr>
      </w:pPr>
    </w:p>
    <w:p w14:paraId="531FAA08">
      <w:pPr>
        <w:pStyle w:val="4"/>
        <w:numPr>
          <w:ilvl w:val="0"/>
          <w:numId w:val="1"/>
        </w:numPr>
        <w:rPr>
          <w:rStyle w:val="35"/>
          <w:rFonts w:ascii="仿宋" w:hAnsi="仿宋" w:eastAsia="仿宋"/>
          <w:b w:val="0"/>
          <w:i w:val="0"/>
          <w:iCs w:val="0"/>
          <w:caps w:val="0"/>
          <w:color w:val="000000"/>
          <w:spacing w:val="0"/>
          <w:w w:val="100"/>
          <w:kern w:val="2"/>
          <w:sz w:val="32"/>
          <w:szCs w:val="32"/>
          <w:lang w:val="en-US" w:eastAsia="zh-CN" w:bidi="ar-SA"/>
        </w:rPr>
      </w:pPr>
      <w:r>
        <w:rPr>
          <w:rFonts w:hint="eastAsia" w:ascii="黑体" w:hAnsi="黑体" w:eastAsia="黑体"/>
          <w:b w:val="0"/>
        </w:rPr>
        <w:t>部门职责</w:t>
      </w:r>
    </w:p>
    <w:p w14:paraId="365FBE2D">
      <w:pPr>
        <w:pStyle w:val="4"/>
        <w:numPr>
          <w:ilvl w:val="0"/>
          <w:numId w:val="0"/>
        </w:numPr>
        <w:ind w:firstLine="320" w:firstLineChars="100"/>
        <w:rPr>
          <w:rStyle w:val="35"/>
          <w:rFonts w:hint="eastAsia" w:ascii="仿宋" w:hAnsi="仿宋" w:eastAsia="仿宋"/>
          <w:b w:val="0"/>
          <w:i w:val="0"/>
          <w:iCs w:val="0"/>
          <w:caps w:val="0"/>
          <w:color w:val="000000"/>
          <w:spacing w:val="0"/>
          <w:w w:val="100"/>
          <w:kern w:val="0"/>
          <w:sz w:val="32"/>
          <w:szCs w:val="32"/>
          <w:lang w:val="en-US" w:eastAsia="zh-CN"/>
        </w:rPr>
      </w:pPr>
      <w:r>
        <w:rPr>
          <w:rStyle w:val="35"/>
          <w:rFonts w:hint="eastAsia" w:ascii="仿宋" w:hAnsi="仿宋" w:eastAsia="仿宋"/>
          <w:b w:val="0"/>
          <w:i w:val="0"/>
          <w:iCs w:val="0"/>
          <w:caps w:val="0"/>
          <w:color w:val="000000"/>
          <w:spacing w:val="0"/>
          <w:w w:val="100"/>
          <w:kern w:val="0"/>
          <w:sz w:val="32"/>
          <w:szCs w:val="32"/>
          <w:lang w:val="en-US" w:eastAsia="zh-CN"/>
        </w:rPr>
        <w:t>(一)</w:t>
      </w:r>
      <w:r>
        <w:rPr>
          <w:rStyle w:val="35"/>
          <w:rFonts w:ascii="仿宋" w:hAnsi="仿宋" w:eastAsia="仿宋"/>
          <w:b w:val="0"/>
          <w:i w:val="0"/>
          <w:iCs w:val="0"/>
          <w:caps w:val="0"/>
          <w:color w:val="000000"/>
          <w:spacing w:val="0"/>
          <w:w w:val="100"/>
          <w:kern w:val="0"/>
          <w:sz w:val="32"/>
          <w:szCs w:val="32"/>
          <w:lang w:val="en-US" w:eastAsia="zh-CN"/>
        </w:rPr>
        <w:t>县人大机关是承担县人大及其常委会日常工作的办事机构。其主要职</w:t>
      </w:r>
      <w:r>
        <w:rPr>
          <w:rStyle w:val="35"/>
          <w:rFonts w:hint="eastAsia" w:ascii="仿宋" w:hAnsi="仿宋" w:eastAsia="仿宋"/>
          <w:b w:val="0"/>
          <w:i w:val="0"/>
          <w:iCs w:val="0"/>
          <w:caps w:val="0"/>
          <w:color w:val="000000"/>
          <w:spacing w:val="0"/>
          <w:w w:val="100"/>
          <w:kern w:val="0"/>
          <w:sz w:val="32"/>
          <w:szCs w:val="32"/>
          <w:lang w:val="en-US" w:eastAsia="zh-CN"/>
        </w:rPr>
        <w:t>责</w:t>
      </w:r>
      <w:r>
        <w:rPr>
          <w:rStyle w:val="35"/>
          <w:rFonts w:ascii="仿宋" w:hAnsi="仿宋" w:eastAsia="仿宋"/>
          <w:b w:val="0"/>
          <w:i w:val="0"/>
          <w:iCs w:val="0"/>
          <w:caps w:val="0"/>
          <w:color w:val="000000"/>
          <w:spacing w:val="0"/>
          <w:w w:val="100"/>
          <w:kern w:val="0"/>
          <w:sz w:val="32"/>
          <w:szCs w:val="32"/>
          <w:lang w:val="en-US" w:eastAsia="zh-CN"/>
        </w:rPr>
        <w:t>是：</w:t>
      </w:r>
    </w:p>
    <w:p w14:paraId="11947A4C">
      <w:pPr>
        <w:pStyle w:val="4"/>
        <w:numPr>
          <w:ilvl w:val="0"/>
          <w:numId w:val="0"/>
        </w:numPr>
        <w:ind w:firstLine="320" w:firstLineChars="100"/>
        <w:rPr>
          <w:rStyle w:val="35"/>
          <w:rFonts w:ascii="仿宋" w:hAnsi="仿宋" w:eastAsia="仿宋"/>
          <w:b w:val="0"/>
          <w:i w:val="0"/>
          <w:iCs w:val="0"/>
          <w:caps w:val="0"/>
          <w:color w:val="000000"/>
          <w:spacing w:val="0"/>
          <w:w w:val="100"/>
          <w:kern w:val="2"/>
          <w:sz w:val="32"/>
          <w:szCs w:val="32"/>
          <w:lang w:val="en-US" w:eastAsia="zh-CN" w:bidi="ar-SA"/>
        </w:rPr>
      </w:pPr>
      <w:r>
        <w:rPr>
          <w:rStyle w:val="35"/>
          <w:rFonts w:hint="eastAsia" w:ascii="仿宋" w:hAnsi="仿宋" w:eastAsia="仿宋"/>
          <w:b w:val="0"/>
          <w:i w:val="0"/>
          <w:iCs w:val="0"/>
          <w:caps w:val="0"/>
          <w:color w:val="000000"/>
          <w:spacing w:val="0"/>
          <w:w w:val="100"/>
          <w:kern w:val="0"/>
          <w:sz w:val="32"/>
          <w:szCs w:val="32"/>
          <w:lang w:val="en-US" w:eastAsia="zh-CN"/>
        </w:rPr>
        <w:t>1.</w:t>
      </w:r>
      <w:r>
        <w:rPr>
          <w:rStyle w:val="35"/>
          <w:rFonts w:ascii="仿宋" w:hAnsi="仿宋" w:eastAsia="仿宋"/>
          <w:b w:val="0"/>
          <w:i w:val="0"/>
          <w:iCs w:val="0"/>
          <w:caps w:val="0"/>
          <w:color w:val="000000"/>
          <w:spacing w:val="0"/>
          <w:w w:val="100"/>
          <w:kern w:val="0"/>
          <w:sz w:val="32"/>
          <w:szCs w:val="32"/>
          <w:lang w:val="en-US" w:eastAsia="zh-CN"/>
        </w:rPr>
        <w:t>对全国、省、市人大下发的法律、法规草案，组织征求意见，并整理修改意见上报。</w:t>
      </w:r>
    </w:p>
    <w:p w14:paraId="7F224CF9">
      <w:pPr>
        <w:widowControl/>
        <w:pBdr>
          <w:top w:val="none" w:color="auto" w:sz="0" w:space="0"/>
          <w:left w:val="none" w:color="auto" w:sz="0" w:space="0"/>
          <w:bottom w:val="none" w:color="auto" w:sz="0" w:space="0"/>
          <w:right w:val="none" w:color="auto" w:sz="0" w:space="0"/>
        </w:pBdr>
        <w:snapToGrid/>
        <w:spacing w:before="0" w:beforeAutospacing="0" w:after="0" w:afterAutospacing="0" w:line="600" w:lineRule="exact"/>
        <w:ind w:left="0" w:right="0" w:firstLine="420"/>
        <w:jc w:val="both"/>
        <w:textAlignment w:val="baseline"/>
        <w:rPr>
          <w:rStyle w:val="35"/>
          <w:rFonts w:ascii="仿宋" w:hAnsi="仿宋" w:eastAsia="仿宋"/>
          <w:b w:val="0"/>
          <w:i w:val="0"/>
          <w:iCs w:val="0"/>
          <w:caps w:val="0"/>
          <w:color w:val="000000"/>
          <w:spacing w:val="0"/>
          <w:w w:val="100"/>
          <w:kern w:val="2"/>
          <w:sz w:val="32"/>
          <w:szCs w:val="32"/>
          <w:lang w:val="en-US" w:eastAsia="zh-CN" w:bidi="ar-SA"/>
        </w:rPr>
      </w:pPr>
      <w:r>
        <w:rPr>
          <w:rStyle w:val="35"/>
          <w:rFonts w:hint="eastAsia" w:ascii="仿宋" w:hAnsi="仿宋" w:eastAsia="仿宋"/>
          <w:b w:val="0"/>
          <w:i w:val="0"/>
          <w:iCs w:val="0"/>
          <w:caps w:val="0"/>
          <w:color w:val="000000"/>
          <w:spacing w:val="0"/>
          <w:w w:val="100"/>
          <w:kern w:val="0"/>
          <w:sz w:val="32"/>
          <w:szCs w:val="32"/>
          <w:lang w:val="en-US" w:eastAsia="zh-CN"/>
        </w:rPr>
        <w:t>2.</w:t>
      </w:r>
      <w:r>
        <w:rPr>
          <w:rStyle w:val="35"/>
          <w:rFonts w:ascii="仿宋" w:hAnsi="仿宋" w:eastAsia="仿宋"/>
          <w:b w:val="0"/>
          <w:i w:val="0"/>
          <w:iCs w:val="0"/>
          <w:caps w:val="0"/>
          <w:color w:val="000000"/>
          <w:spacing w:val="0"/>
          <w:w w:val="100"/>
          <w:kern w:val="0"/>
          <w:sz w:val="32"/>
          <w:szCs w:val="32"/>
          <w:lang w:val="en-US" w:eastAsia="zh-CN"/>
        </w:rPr>
        <w:t>对提交县人代会审议的本辖区国民经济和社会发展计划草案、预算草案进行审查并提出报告；对计划、预算执行情况进行初审并对计划、预算的部分变更提出审查报告。</w:t>
      </w:r>
    </w:p>
    <w:p w14:paraId="609504A6">
      <w:pPr>
        <w:widowControl/>
        <w:pBdr>
          <w:top w:val="none" w:color="auto" w:sz="0" w:space="0"/>
          <w:left w:val="none" w:color="auto" w:sz="0" w:space="0"/>
          <w:bottom w:val="none" w:color="auto" w:sz="0" w:space="0"/>
          <w:right w:val="none" w:color="auto" w:sz="0" w:space="0"/>
        </w:pBdr>
        <w:snapToGrid/>
        <w:spacing w:before="0" w:beforeAutospacing="0" w:after="0" w:afterAutospacing="0" w:line="600" w:lineRule="exact"/>
        <w:ind w:left="0" w:right="0" w:firstLine="420"/>
        <w:jc w:val="both"/>
        <w:textAlignment w:val="baseline"/>
        <w:rPr>
          <w:rStyle w:val="35"/>
          <w:rFonts w:ascii="仿宋" w:hAnsi="仿宋" w:eastAsia="仿宋"/>
          <w:b w:val="0"/>
          <w:i w:val="0"/>
          <w:iCs w:val="0"/>
          <w:caps w:val="0"/>
          <w:color w:val="000000"/>
          <w:spacing w:val="0"/>
          <w:w w:val="100"/>
          <w:kern w:val="2"/>
          <w:sz w:val="32"/>
          <w:szCs w:val="32"/>
          <w:lang w:val="en-US" w:eastAsia="zh-CN" w:bidi="ar-SA"/>
        </w:rPr>
      </w:pPr>
      <w:r>
        <w:rPr>
          <w:rStyle w:val="35"/>
          <w:rFonts w:hint="eastAsia" w:ascii="仿宋" w:hAnsi="仿宋" w:eastAsia="仿宋"/>
          <w:b w:val="0"/>
          <w:i w:val="0"/>
          <w:iCs w:val="0"/>
          <w:caps w:val="0"/>
          <w:color w:val="000000"/>
          <w:spacing w:val="0"/>
          <w:w w:val="100"/>
          <w:kern w:val="0"/>
          <w:sz w:val="32"/>
          <w:szCs w:val="32"/>
          <w:lang w:val="en-US" w:eastAsia="zh-CN"/>
        </w:rPr>
        <w:t>3.</w:t>
      </w:r>
      <w:r>
        <w:rPr>
          <w:rStyle w:val="35"/>
          <w:rFonts w:ascii="仿宋" w:hAnsi="仿宋" w:eastAsia="仿宋"/>
          <w:b w:val="0"/>
          <w:i w:val="0"/>
          <w:iCs w:val="0"/>
          <w:caps w:val="0"/>
          <w:color w:val="000000"/>
          <w:spacing w:val="0"/>
          <w:w w:val="100"/>
          <w:kern w:val="0"/>
          <w:sz w:val="32"/>
          <w:szCs w:val="32"/>
          <w:lang w:val="en-US" w:eastAsia="zh-CN"/>
        </w:rPr>
        <w:t>对县人大常委会讨论、决定的本区政治、经济、教育、科学、文化、卫生、民政、民族工作等重大事项进行调查研究并提出初步意见。</w:t>
      </w:r>
    </w:p>
    <w:p w14:paraId="478B6638">
      <w:pPr>
        <w:widowControl/>
        <w:pBdr>
          <w:top w:val="none" w:color="auto" w:sz="0" w:space="0"/>
          <w:left w:val="none" w:color="auto" w:sz="0" w:space="0"/>
          <w:bottom w:val="none" w:color="auto" w:sz="0" w:space="0"/>
          <w:right w:val="none" w:color="auto" w:sz="0" w:space="0"/>
        </w:pBdr>
        <w:snapToGrid/>
        <w:spacing w:before="0" w:beforeAutospacing="0" w:after="0" w:afterAutospacing="0" w:line="600" w:lineRule="exact"/>
        <w:ind w:left="0" w:right="0" w:firstLine="420"/>
        <w:jc w:val="both"/>
        <w:textAlignment w:val="baseline"/>
        <w:rPr>
          <w:rStyle w:val="35"/>
          <w:rFonts w:ascii="仿宋" w:hAnsi="仿宋" w:eastAsia="仿宋"/>
          <w:b w:val="0"/>
          <w:i w:val="0"/>
          <w:iCs w:val="0"/>
          <w:caps w:val="0"/>
          <w:color w:val="000000"/>
          <w:spacing w:val="0"/>
          <w:w w:val="100"/>
          <w:kern w:val="2"/>
          <w:sz w:val="32"/>
          <w:szCs w:val="32"/>
          <w:lang w:val="en-US" w:eastAsia="zh-CN" w:bidi="ar-SA"/>
        </w:rPr>
      </w:pPr>
      <w:r>
        <w:rPr>
          <w:rStyle w:val="35"/>
          <w:rFonts w:hint="eastAsia" w:ascii="仿宋" w:hAnsi="仿宋" w:eastAsia="仿宋"/>
          <w:b w:val="0"/>
          <w:i w:val="0"/>
          <w:iCs w:val="0"/>
          <w:caps w:val="0"/>
          <w:color w:val="000000"/>
          <w:spacing w:val="0"/>
          <w:w w:val="100"/>
          <w:kern w:val="0"/>
          <w:sz w:val="32"/>
          <w:szCs w:val="32"/>
          <w:lang w:val="en-US" w:eastAsia="zh-CN"/>
        </w:rPr>
        <w:t>4.</w:t>
      </w:r>
      <w:r>
        <w:rPr>
          <w:rStyle w:val="35"/>
          <w:rFonts w:ascii="仿宋" w:hAnsi="仿宋" w:eastAsia="仿宋"/>
          <w:b w:val="0"/>
          <w:i w:val="0"/>
          <w:iCs w:val="0"/>
          <w:caps w:val="0"/>
          <w:color w:val="000000"/>
          <w:spacing w:val="0"/>
          <w:w w:val="100"/>
          <w:kern w:val="0"/>
          <w:sz w:val="32"/>
          <w:szCs w:val="32"/>
          <w:lang w:val="en-US" w:eastAsia="zh-CN"/>
        </w:rPr>
        <w:t>对宪法、法律、行政法规和本县制定的法规的执行情况组织视察和检查。</w:t>
      </w:r>
    </w:p>
    <w:p w14:paraId="07397019">
      <w:pPr>
        <w:widowControl/>
        <w:pBdr>
          <w:top w:val="none" w:color="auto" w:sz="0" w:space="0"/>
          <w:left w:val="none" w:color="auto" w:sz="0" w:space="0"/>
          <w:bottom w:val="none" w:color="auto" w:sz="0" w:space="0"/>
          <w:right w:val="none" w:color="auto" w:sz="0" w:space="0"/>
        </w:pBdr>
        <w:snapToGrid/>
        <w:spacing w:before="0" w:beforeAutospacing="0" w:after="0" w:afterAutospacing="0" w:line="600" w:lineRule="exact"/>
        <w:ind w:left="0" w:right="0" w:firstLine="420"/>
        <w:jc w:val="both"/>
        <w:textAlignment w:val="baseline"/>
        <w:rPr>
          <w:rStyle w:val="35"/>
          <w:rFonts w:ascii="仿宋" w:hAnsi="仿宋" w:eastAsia="仿宋"/>
          <w:b w:val="0"/>
          <w:i w:val="0"/>
          <w:iCs w:val="0"/>
          <w:caps w:val="0"/>
          <w:color w:val="000000"/>
          <w:spacing w:val="0"/>
          <w:w w:val="100"/>
          <w:kern w:val="2"/>
          <w:sz w:val="32"/>
          <w:szCs w:val="32"/>
          <w:lang w:val="en-US" w:eastAsia="zh-CN" w:bidi="ar-SA"/>
        </w:rPr>
      </w:pPr>
      <w:r>
        <w:rPr>
          <w:rStyle w:val="35"/>
          <w:rFonts w:hint="eastAsia" w:ascii="仿宋" w:hAnsi="仿宋" w:eastAsia="仿宋"/>
          <w:b w:val="0"/>
          <w:i w:val="0"/>
          <w:iCs w:val="0"/>
          <w:caps w:val="0"/>
          <w:color w:val="000000"/>
          <w:spacing w:val="0"/>
          <w:w w:val="100"/>
          <w:kern w:val="0"/>
          <w:sz w:val="32"/>
          <w:szCs w:val="32"/>
          <w:lang w:val="en-US" w:eastAsia="zh-CN"/>
        </w:rPr>
        <w:t>5.</w:t>
      </w:r>
      <w:r>
        <w:rPr>
          <w:rStyle w:val="35"/>
          <w:rFonts w:ascii="仿宋" w:hAnsi="仿宋" w:eastAsia="仿宋"/>
          <w:b w:val="0"/>
          <w:i w:val="0"/>
          <w:iCs w:val="0"/>
          <w:caps w:val="0"/>
          <w:color w:val="000000"/>
          <w:spacing w:val="0"/>
          <w:w w:val="100"/>
          <w:kern w:val="0"/>
          <w:sz w:val="32"/>
          <w:szCs w:val="32"/>
          <w:lang w:val="en-US" w:eastAsia="zh-CN"/>
        </w:rPr>
        <w:t>对本县经济和社会生活中的重大问题及人民群众普遍关心的“热点”问题组织调查研究、视察和检查。</w:t>
      </w:r>
    </w:p>
    <w:p w14:paraId="2A0365DE">
      <w:pPr>
        <w:widowControl/>
        <w:pBdr>
          <w:top w:val="none" w:color="auto" w:sz="0" w:space="0"/>
          <w:left w:val="none" w:color="auto" w:sz="0" w:space="0"/>
          <w:bottom w:val="none" w:color="auto" w:sz="0" w:space="0"/>
          <w:right w:val="none" w:color="auto" w:sz="0" w:space="0"/>
        </w:pBdr>
        <w:snapToGrid/>
        <w:spacing w:before="0" w:beforeAutospacing="0" w:after="0" w:afterAutospacing="0" w:line="600" w:lineRule="exact"/>
        <w:ind w:left="0" w:right="0" w:firstLine="420"/>
        <w:jc w:val="both"/>
        <w:textAlignment w:val="baseline"/>
        <w:rPr>
          <w:rStyle w:val="35"/>
          <w:rFonts w:ascii="仿宋" w:hAnsi="仿宋" w:eastAsia="仿宋"/>
          <w:b w:val="0"/>
          <w:i w:val="0"/>
          <w:iCs w:val="0"/>
          <w:caps w:val="0"/>
          <w:color w:val="000000"/>
          <w:spacing w:val="0"/>
          <w:w w:val="100"/>
          <w:kern w:val="2"/>
          <w:sz w:val="32"/>
          <w:szCs w:val="32"/>
          <w:lang w:val="en-US" w:eastAsia="zh-CN" w:bidi="ar-SA"/>
        </w:rPr>
      </w:pPr>
      <w:r>
        <w:rPr>
          <w:rStyle w:val="35"/>
          <w:rFonts w:hint="eastAsia" w:ascii="仿宋" w:hAnsi="仿宋" w:eastAsia="仿宋"/>
          <w:b w:val="0"/>
          <w:i w:val="0"/>
          <w:iCs w:val="0"/>
          <w:caps w:val="0"/>
          <w:color w:val="000000"/>
          <w:spacing w:val="0"/>
          <w:w w:val="100"/>
          <w:kern w:val="0"/>
          <w:sz w:val="32"/>
          <w:szCs w:val="32"/>
          <w:lang w:val="en-US" w:eastAsia="zh-CN"/>
        </w:rPr>
        <w:t>6.</w:t>
      </w:r>
      <w:r>
        <w:rPr>
          <w:rStyle w:val="35"/>
          <w:rFonts w:ascii="仿宋" w:hAnsi="仿宋" w:eastAsia="仿宋"/>
          <w:b w:val="0"/>
          <w:i w:val="0"/>
          <w:iCs w:val="0"/>
          <w:caps w:val="0"/>
          <w:color w:val="000000"/>
          <w:spacing w:val="0"/>
          <w:w w:val="100"/>
          <w:kern w:val="0"/>
          <w:sz w:val="32"/>
          <w:szCs w:val="32"/>
          <w:lang w:val="en-US" w:eastAsia="zh-CN"/>
        </w:rPr>
        <w:t>组织人大代表评议县“一府两院”的工作。</w:t>
      </w:r>
    </w:p>
    <w:p w14:paraId="42E1A7BD">
      <w:pPr>
        <w:widowControl/>
        <w:pBdr>
          <w:top w:val="none" w:color="auto" w:sz="0" w:space="0"/>
          <w:left w:val="none" w:color="auto" w:sz="0" w:space="0"/>
          <w:bottom w:val="none" w:color="auto" w:sz="0" w:space="0"/>
          <w:right w:val="none" w:color="auto" w:sz="0" w:space="0"/>
        </w:pBdr>
        <w:snapToGrid/>
        <w:spacing w:before="0" w:beforeAutospacing="0" w:after="0" w:afterAutospacing="0" w:line="600" w:lineRule="exact"/>
        <w:ind w:left="0" w:right="0" w:firstLine="420"/>
        <w:jc w:val="both"/>
        <w:textAlignment w:val="baseline"/>
        <w:rPr>
          <w:rStyle w:val="35"/>
          <w:rFonts w:ascii="仿宋" w:hAnsi="仿宋" w:eastAsia="仿宋"/>
          <w:b w:val="0"/>
          <w:i w:val="0"/>
          <w:iCs w:val="0"/>
          <w:caps w:val="0"/>
          <w:color w:val="000000"/>
          <w:spacing w:val="0"/>
          <w:w w:val="100"/>
          <w:kern w:val="2"/>
          <w:sz w:val="32"/>
          <w:szCs w:val="32"/>
          <w:lang w:val="en-US" w:eastAsia="zh-CN" w:bidi="ar-SA"/>
        </w:rPr>
      </w:pPr>
      <w:r>
        <w:rPr>
          <w:rStyle w:val="35"/>
          <w:rFonts w:hint="eastAsia" w:ascii="仿宋" w:hAnsi="仿宋" w:eastAsia="仿宋"/>
          <w:b w:val="0"/>
          <w:i w:val="0"/>
          <w:iCs w:val="0"/>
          <w:caps w:val="0"/>
          <w:color w:val="000000"/>
          <w:spacing w:val="0"/>
          <w:w w:val="100"/>
          <w:kern w:val="0"/>
          <w:sz w:val="32"/>
          <w:szCs w:val="32"/>
          <w:lang w:val="en-US" w:eastAsia="zh-CN"/>
        </w:rPr>
        <w:t>7.</w:t>
      </w:r>
      <w:r>
        <w:rPr>
          <w:rStyle w:val="35"/>
          <w:rFonts w:ascii="仿宋" w:hAnsi="仿宋" w:eastAsia="仿宋"/>
          <w:b w:val="0"/>
          <w:i w:val="0"/>
          <w:iCs w:val="0"/>
          <w:caps w:val="0"/>
          <w:color w:val="000000"/>
          <w:spacing w:val="0"/>
          <w:w w:val="100"/>
          <w:kern w:val="0"/>
          <w:sz w:val="32"/>
          <w:szCs w:val="32"/>
          <w:lang w:val="en-US" w:eastAsia="zh-CN"/>
        </w:rPr>
        <w:t>督促县人代会期间代表议案、意见和建议的办理工作。</w:t>
      </w:r>
    </w:p>
    <w:p w14:paraId="6B8390AB">
      <w:pPr>
        <w:widowControl/>
        <w:pBdr>
          <w:top w:val="none" w:color="auto" w:sz="0" w:space="0"/>
          <w:left w:val="none" w:color="auto" w:sz="0" w:space="0"/>
          <w:bottom w:val="none" w:color="auto" w:sz="0" w:space="0"/>
          <w:right w:val="none" w:color="auto" w:sz="0" w:space="0"/>
        </w:pBdr>
        <w:snapToGrid/>
        <w:spacing w:before="0" w:beforeAutospacing="0" w:after="0" w:afterAutospacing="0" w:line="600" w:lineRule="exact"/>
        <w:ind w:left="0" w:right="0" w:firstLine="420"/>
        <w:jc w:val="both"/>
        <w:textAlignment w:val="baseline"/>
        <w:rPr>
          <w:rStyle w:val="35"/>
          <w:rFonts w:ascii="仿宋" w:hAnsi="仿宋" w:eastAsia="仿宋"/>
          <w:b w:val="0"/>
          <w:i w:val="0"/>
          <w:iCs w:val="0"/>
          <w:caps w:val="0"/>
          <w:color w:val="000000"/>
          <w:spacing w:val="0"/>
          <w:w w:val="100"/>
          <w:kern w:val="2"/>
          <w:sz w:val="32"/>
          <w:szCs w:val="32"/>
          <w:lang w:val="en-US" w:eastAsia="zh-CN" w:bidi="ar-SA"/>
        </w:rPr>
      </w:pPr>
      <w:r>
        <w:rPr>
          <w:rStyle w:val="35"/>
          <w:rFonts w:hint="eastAsia" w:ascii="仿宋" w:hAnsi="仿宋" w:eastAsia="仿宋"/>
          <w:b w:val="0"/>
          <w:i w:val="0"/>
          <w:iCs w:val="0"/>
          <w:caps w:val="0"/>
          <w:color w:val="000000"/>
          <w:spacing w:val="0"/>
          <w:w w:val="100"/>
          <w:kern w:val="0"/>
          <w:sz w:val="32"/>
          <w:szCs w:val="32"/>
          <w:lang w:val="en-US" w:eastAsia="zh-CN"/>
        </w:rPr>
        <w:t>8.</w:t>
      </w:r>
      <w:r>
        <w:rPr>
          <w:rStyle w:val="35"/>
          <w:rFonts w:ascii="仿宋" w:hAnsi="仿宋" w:eastAsia="仿宋"/>
          <w:b w:val="0"/>
          <w:i w:val="0"/>
          <w:iCs w:val="0"/>
          <w:caps w:val="0"/>
          <w:color w:val="000000"/>
          <w:spacing w:val="0"/>
          <w:w w:val="100"/>
          <w:kern w:val="0"/>
          <w:sz w:val="32"/>
          <w:szCs w:val="32"/>
          <w:lang w:val="en-US" w:eastAsia="zh-CN"/>
        </w:rPr>
        <w:t>办理县人大常委会任免范围内的干部任免手续。</w:t>
      </w:r>
    </w:p>
    <w:p w14:paraId="3B4010AE">
      <w:pPr>
        <w:widowControl/>
        <w:pBdr>
          <w:top w:val="none" w:color="auto" w:sz="0" w:space="0"/>
          <w:left w:val="none" w:color="auto" w:sz="0" w:space="0"/>
          <w:bottom w:val="none" w:color="auto" w:sz="0" w:space="0"/>
          <w:right w:val="none" w:color="auto" w:sz="0" w:space="0"/>
        </w:pBdr>
        <w:snapToGrid/>
        <w:spacing w:before="0" w:beforeAutospacing="0" w:after="0" w:afterAutospacing="0" w:line="600" w:lineRule="exact"/>
        <w:ind w:left="0" w:right="0" w:firstLine="420"/>
        <w:jc w:val="both"/>
        <w:textAlignment w:val="baseline"/>
        <w:rPr>
          <w:rStyle w:val="35"/>
          <w:rFonts w:ascii="仿宋" w:hAnsi="仿宋" w:eastAsia="仿宋"/>
          <w:b w:val="0"/>
          <w:i w:val="0"/>
          <w:iCs w:val="0"/>
          <w:caps w:val="0"/>
          <w:color w:val="000000"/>
          <w:spacing w:val="0"/>
          <w:w w:val="100"/>
          <w:kern w:val="2"/>
          <w:sz w:val="32"/>
          <w:szCs w:val="32"/>
          <w:lang w:val="en-US" w:eastAsia="zh-CN" w:bidi="ar-SA"/>
        </w:rPr>
      </w:pPr>
      <w:r>
        <w:rPr>
          <w:rStyle w:val="35"/>
          <w:rFonts w:hint="eastAsia" w:ascii="仿宋" w:hAnsi="仿宋" w:eastAsia="仿宋"/>
          <w:b w:val="0"/>
          <w:i w:val="0"/>
          <w:iCs w:val="0"/>
          <w:caps w:val="0"/>
          <w:color w:val="000000"/>
          <w:spacing w:val="0"/>
          <w:w w:val="100"/>
          <w:kern w:val="0"/>
          <w:sz w:val="32"/>
          <w:szCs w:val="32"/>
          <w:lang w:val="en-US" w:eastAsia="zh-CN"/>
        </w:rPr>
        <w:t>9.</w:t>
      </w:r>
      <w:r>
        <w:rPr>
          <w:rStyle w:val="35"/>
          <w:rFonts w:ascii="仿宋" w:hAnsi="仿宋" w:eastAsia="仿宋"/>
          <w:b w:val="0"/>
          <w:i w:val="0"/>
          <w:iCs w:val="0"/>
          <w:caps w:val="0"/>
          <w:color w:val="000000"/>
          <w:spacing w:val="0"/>
          <w:w w:val="100"/>
          <w:kern w:val="0"/>
          <w:sz w:val="32"/>
          <w:szCs w:val="32"/>
          <w:lang w:val="en-US" w:eastAsia="zh-CN"/>
        </w:rPr>
        <w:t>组织县人大代表的选举和市人大代表的选举。</w:t>
      </w:r>
    </w:p>
    <w:p w14:paraId="61D4AFDA">
      <w:pPr>
        <w:widowControl/>
        <w:pBdr>
          <w:top w:val="none" w:color="auto" w:sz="0" w:space="0"/>
          <w:left w:val="none" w:color="auto" w:sz="0" w:space="0"/>
          <w:bottom w:val="none" w:color="auto" w:sz="0" w:space="0"/>
          <w:right w:val="none" w:color="auto" w:sz="0" w:space="0"/>
        </w:pBdr>
        <w:snapToGrid/>
        <w:spacing w:before="0" w:beforeAutospacing="0" w:after="0" w:afterAutospacing="0" w:line="600" w:lineRule="exact"/>
        <w:ind w:left="0" w:right="0" w:firstLine="420"/>
        <w:jc w:val="both"/>
        <w:textAlignment w:val="baseline"/>
        <w:rPr>
          <w:rStyle w:val="35"/>
          <w:rFonts w:ascii="仿宋" w:hAnsi="仿宋" w:eastAsia="仿宋"/>
          <w:b w:val="0"/>
          <w:i w:val="0"/>
          <w:iCs w:val="0"/>
          <w:caps w:val="0"/>
          <w:color w:val="000000"/>
          <w:spacing w:val="0"/>
          <w:w w:val="100"/>
          <w:kern w:val="2"/>
          <w:sz w:val="32"/>
          <w:szCs w:val="32"/>
          <w:lang w:val="en-US" w:eastAsia="zh-CN" w:bidi="ar-SA"/>
        </w:rPr>
      </w:pPr>
      <w:r>
        <w:rPr>
          <w:rStyle w:val="35"/>
          <w:rFonts w:hint="eastAsia" w:ascii="仿宋" w:hAnsi="仿宋" w:eastAsia="仿宋"/>
          <w:b w:val="0"/>
          <w:i w:val="0"/>
          <w:iCs w:val="0"/>
          <w:caps w:val="0"/>
          <w:color w:val="000000"/>
          <w:spacing w:val="0"/>
          <w:w w:val="100"/>
          <w:kern w:val="0"/>
          <w:sz w:val="32"/>
          <w:szCs w:val="32"/>
          <w:lang w:val="en-US" w:eastAsia="zh-CN"/>
        </w:rPr>
        <w:t>10.</w:t>
      </w:r>
      <w:r>
        <w:rPr>
          <w:rStyle w:val="35"/>
          <w:rFonts w:ascii="仿宋" w:hAnsi="仿宋" w:eastAsia="仿宋"/>
          <w:b w:val="0"/>
          <w:i w:val="0"/>
          <w:iCs w:val="0"/>
          <w:caps w:val="0"/>
          <w:color w:val="000000"/>
          <w:spacing w:val="0"/>
          <w:w w:val="100"/>
          <w:kern w:val="0"/>
          <w:sz w:val="32"/>
          <w:szCs w:val="32"/>
          <w:lang w:val="en-US" w:eastAsia="zh-CN"/>
        </w:rPr>
        <w:t>联系县人大代表，组织代表视察、检查和接访选民活动，督促代表视察、检查和接访活动中提出意见、建议的办理工作。</w:t>
      </w:r>
    </w:p>
    <w:p w14:paraId="6AD575CE">
      <w:pPr>
        <w:widowControl/>
        <w:pBdr>
          <w:top w:val="none" w:color="auto" w:sz="0" w:space="0"/>
          <w:left w:val="none" w:color="auto" w:sz="0" w:space="0"/>
          <w:bottom w:val="none" w:color="auto" w:sz="0" w:space="0"/>
          <w:right w:val="none" w:color="auto" w:sz="0" w:space="0"/>
        </w:pBdr>
        <w:snapToGrid/>
        <w:spacing w:before="0" w:beforeAutospacing="0" w:after="0" w:afterAutospacing="0" w:line="600" w:lineRule="exact"/>
        <w:ind w:left="0" w:right="0" w:firstLine="420"/>
        <w:jc w:val="both"/>
        <w:textAlignment w:val="baseline"/>
        <w:rPr>
          <w:rStyle w:val="35"/>
          <w:rFonts w:ascii="仿宋" w:hAnsi="仿宋" w:eastAsia="仿宋"/>
          <w:b w:val="0"/>
          <w:i w:val="0"/>
          <w:iCs w:val="0"/>
          <w:caps w:val="0"/>
          <w:color w:val="000000"/>
          <w:spacing w:val="0"/>
          <w:w w:val="100"/>
          <w:kern w:val="2"/>
          <w:sz w:val="32"/>
          <w:szCs w:val="32"/>
          <w:lang w:val="en-US" w:eastAsia="zh-CN" w:bidi="ar-SA"/>
        </w:rPr>
      </w:pPr>
      <w:r>
        <w:rPr>
          <w:rStyle w:val="35"/>
          <w:rFonts w:hint="eastAsia" w:ascii="仿宋" w:hAnsi="仿宋" w:eastAsia="仿宋"/>
          <w:b w:val="0"/>
          <w:i w:val="0"/>
          <w:iCs w:val="0"/>
          <w:caps w:val="0"/>
          <w:color w:val="000000"/>
          <w:spacing w:val="0"/>
          <w:w w:val="100"/>
          <w:kern w:val="0"/>
          <w:sz w:val="32"/>
          <w:szCs w:val="32"/>
          <w:lang w:val="en-US" w:eastAsia="zh-CN"/>
        </w:rPr>
        <w:t>11.</w:t>
      </w:r>
      <w:r>
        <w:rPr>
          <w:rStyle w:val="35"/>
          <w:rFonts w:ascii="仿宋" w:hAnsi="仿宋" w:eastAsia="仿宋"/>
          <w:b w:val="0"/>
          <w:i w:val="0"/>
          <w:iCs w:val="0"/>
          <w:caps w:val="0"/>
          <w:color w:val="000000"/>
          <w:spacing w:val="0"/>
          <w:w w:val="100"/>
          <w:kern w:val="0"/>
          <w:sz w:val="32"/>
          <w:szCs w:val="32"/>
          <w:lang w:val="en-US" w:eastAsia="zh-CN"/>
        </w:rPr>
        <w:t>联系在工作的全国人大代表及省、市人大代表，协助开展视察活动。</w:t>
      </w:r>
    </w:p>
    <w:p w14:paraId="196552DB">
      <w:pPr>
        <w:widowControl/>
        <w:pBdr>
          <w:top w:val="none" w:color="auto" w:sz="0" w:space="0"/>
          <w:left w:val="none" w:color="auto" w:sz="0" w:space="0"/>
          <w:bottom w:val="none" w:color="auto" w:sz="0" w:space="0"/>
          <w:right w:val="none" w:color="auto" w:sz="0" w:space="0"/>
        </w:pBdr>
        <w:snapToGrid/>
        <w:spacing w:before="0" w:beforeAutospacing="0" w:after="0" w:afterAutospacing="0" w:line="600" w:lineRule="exact"/>
        <w:ind w:left="0" w:right="0" w:firstLine="420"/>
        <w:jc w:val="both"/>
        <w:textAlignment w:val="baseline"/>
        <w:rPr>
          <w:rStyle w:val="35"/>
          <w:rFonts w:ascii="仿宋" w:hAnsi="仿宋" w:eastAsia="仿宋"/>
          <w:b w:val="0"/>
          <w:i w:val="0"/>
          <w:iCs w:val="0"/>
          <w:caps w:val="0"/>
          <w:color w:val="000000"/>
          <w:spacing w:val="0"/>
          <w:w w:val="100"/>
          <w:kern w:val="2"/>
          <w:sz w:val="32"/>
          <w:szCs w:val="32"/>
          <w:lang w:val="en-US" w:eastAsia="zh-CN" w:bidi="ar-SA"/>
        </w:rPr>
      </w:pPr>
      <w:r>
        <w:rPr>
          <w:rStyle w:val="35"/>
          <w:rFonts w:hint="eastAsia" w:ascii="仿宋" w:hAnsi="仿宋" w:eastAsia="仿宋"/>
          <w:b w:val="0"/>
          <w:i w:val="0"/>
          <w:iCs w:val="0"/>
          <w:caps w:val="0"/>
          <w:color w:val="000000"/>
          <w:spacing w:val="0"/>
          <w:w w:val="100"/>
          <w:kern w:val="0"/>
          <w:sz w:val="32"/>
          <w:szCs w:val="32"/>
          <w:lang w:val="en-US" w:eastAsia="zh-CN"/>
        </w:rPr>
        <w:t>12.</w:t>
      </w:r>
      <w:r>
        <w:rPr>
          <w:rStyle w:val="35"/>
          <w:rFonts w:ascii="仿宋" w:hAnsi="仿宋" w:eastAsia="仿宋"/>
          <w:b w:val="0"/>
          <w:i w:val="0"/>
          <w:iCs w:val="0"/>
          <w:caps w:val="0"/>
          <w:color w:val="000000"/>
          <w:spacing w:val="0"/>
          <w:w w:val="100"/>
          <w:kern w:val="0"/>
          <w:sz w:val="32"/>
          <w:szCs w:val="32"/>
          <w:lang w:val="en-US" w:eastAsia="zh-CN"/>
        </w:rPr>
        <w:t>负责县人代会、县人大常委会、主任会议等会议的组织和服务工作。</w:t>
      </w:r>
    </w:p>
    <w:p w14:paraId="63DFAAFF">
      <w:pPr>
        <w:widowControl/>
        <w:pBdr>
          <w:top w:val="none" w:color="auto" w:sz="0" w:space="0"/>
          <w:left w:val="none" w:color="auto" w:sz="0" w:space="0"/>
          <w:bottom w:val="none" w:color="auto" w:sz="0" w:space="0"/>
          <w:right w:val="none" w:color="auto" w:sz="0" w:space="0"/>
        </w:pBdr>
        <w:snapToGrid/>
        <w:spacing w:before="0" w:beforeAutospacing="0" w:after="0" w:afterAutospacing="0" w:line="600" w:lineRule="exact"/>
        <w:ind w:left="0" w:right="0" w:firstLine="420"/>
        <w:jc w:val="both"/>
        <w:textAlignment w:val="baseline"/>
        <w:rPr>
          <w:rStyle w:val="35"/>
          <w:rFonts w:ascii="仿宋" w:hAnsi="仿宋" w:eastAsia="仿宋"/>
          <w:b w:val="0"/>
          <w:i w:val="0"/>
          <w:iCs w:val="0"/>
          <w:caps w:val="0"/>
          <w:color w:val="000000"/>
          <w:spacing w:val="0"/>
          <w:w w:val="100"/>
          <w:kern w:val="2"/>
          <w:sz w:val="32"/>
          <w:szCs w:val="32"/>
          <w:lang w:val="en-US" w:eastAsia="zh-CN" w:bidi="ar-SA"/>
        </w:rPr>
      </w:pPr>
      <w:r>
        <w:rPr>
          <w:rStyle w:val="35"/>
          <w:rFonts w:hint="eastAsia" w:ascii="仿宋" w:hAnsi="仿宋" w:eastAsia="仿宋"/>
          <w:b w:val="0"/>
          <w:i w:val="0"/>
          <w:iCs w:val="0"/>
          <w:caps w:val="0"/>
          <w:color w:val="000000"/>
          <w:spacing w:val="0"/>
          <w:w w:val="100"/>
          <w:kern w:val="0"/>
          <w:sz w:val="32"/>
          <w:szCs w:val="32"/>
          <w:lang w:val="en-US" w:eastAsia="zh-CN"/>
        </w:rPr>
        <w:t>13.</w:t>
      </w:r>
      <w:r>
        <w:rPr>
          <w:rStyle w:val="35"/>
          <w:rFonts w:ascii="仿宋" w:hAnsi="仿宋" w:eastAsia="仿宋"/>
          <w:b w:val="0"/>
          <w:i w:val="0"/>
          <w:iCs w:val="0"/>
          <w:caps w:val="0"/>
          <w:color w:val="000000"/>
          <w:spacing w:val="0"/>
          <w:w w:val="100"/>
          <w:kern w:val="0"/>
          <w:sz w:val="32"/>
          <w:szCs w:val="32"/>
          <w:lang w:val="en-US" w:eastAsia="zh-CN"/>
        </w:rPr>
        <w:t>负责县人大常委会文件、报告的起草、印发，常委会公报、人大工作简报等的编辑印发和人大工作的宣传报道。</w:t>
      </w:r>
    </w:p>
    <w:p w14:paraId="503D994E">
      <w:pPr>
        <w:widowControl/>
        <w:pBdr>
          <w:top w:val="none" w:color="auto" w:sz="0" w:space="0"/>
          <w:left w:val="none" w:color="auto" w:sz="0" w:space="0"/>
          <w:bottom w:val="none" w:color="auto" w:sz="0" w:space="0"/>
          <w:right w:val="none" w:color="auto" w:sz="0" w:space="0"/>
        </w:pBdr>
        <w:snapToGrid/>
        <w:spacing w:before="0" w:beforeAutospacing="0" w:after="0" w:afterAutospacing="0" w:line="600" w:lineRule="exact"/>
        <w:ind w:left="0" w:right="0" w:firstLine="420"/>
        <w:jc w:val="both"/>
        <w:textAlignment w:val="baseline"/>
        <w:rPr>
          <w:rStyle w:val="35"/>
          <w:rFonts w:ascii="仿宋" w:hAnsi="仿宋" w:eastAsia="仿宋"/>
          <w:b w:val="0"/>
          <w:i w:val="0"/>
          <w:iCs w:val="0"/>
          <w:caps w:val="0"/>
          <w:color w:val="000000"/>
          <w:spacing w:val="0"/>
          <w:w w:val="100"/>
          <w:kern w:val="2"/>
          <w:sz w:val="32"/>
          <w:szCs w:val="32"/>
          <w:lang w:val="en-US" w:eastAsia="zh-CN" w:bidi="ar-SA"/>
        </w:rPr>
      </w:pPr>
      <w:r>
        <w:rPr>
          <w:rStyle w:val="35"/>
          <w:rFonts w:hint="eastAsia" w:ascii="仿宋" w:hAnsi="仿宋" w:eastAsia="仿宋"/>
          <w:b w:val="0"/>
          <w:i w:val="0"/>
          <w:iCs w:val="0"/>
          <w:caps w:val="0"/>
          <w:color w:val="000000"/>
          <w:spacing w:val="0"/>
          <w:w w:val="100"/>
          <w:kern w:val="0"/>
          <w:sz w:val="32"/>
          <w:szCs w:val="32"/>
          <w:lang w:val="en-US" w:eastAsia="zh-CN"/>
        </w:rPr>
        <w:t>14.</w:t>
      </w:r>
      <w:r>
        <w:rPr>
          <w:rStyle w:val="35"/>
          <w:rFonts w:ascii="仿宋" w:hAnsi="仿宋" w:eastAsia="仿宋"/>
          <w:b w:val="0"/>
          <w:i w:val="0"/>
          <w:iCs w:val="0"/>
          <w:caps w:val="0"/>
          <w:color w:val="000000"/>
          <w:spacing w:val="0"/>
          <w:w w:val="100"/>
          <w:kern w:val="0"/>
          <w:sz w:val="32"/>
          <w:szCs w:val="32"/>
          <w:lang w:val="en-US" w:eastAsia="zh-CN"/>
        </w:rPr>
        <w:t>受理人民群众的来信来访。</w:t>
      </w:r>
    </w:p>
    <w:p w14:paraId="4CDA4BA6">
      <w:pPr>
        <w:widowControl/>
        <w:pBdr>
          <w:top w:val="none" w:color="auto" w:sz="0" w:space="0"/>
          <w:left w:val="none" w:color="auto" w:sz="0" w:space="0"/>
          <w:bottom w:val="none" w:color="auto" w:sz="0" w:space="0"/>
          <w:right w:val="none" w:color="auto" w:sz="0" w:space="0"/>
        </w:pBdr>
        <w:snapToGrid/>
        <w:spacing w:before="0" w:beforeAutospacing="0" w:after="0" w:afterAutospacing="0" w:line="600" w:lineRule="exact"/>
        <w:ind w:left="0" w:right="0" w:firstLine="420"/>
        <w:jc w:val="both"/>
        <w:textAlignment w:val="baseline"/>
        <w:rPr>
          <w:rStyle w:val="35"/>
          <w:rFonts w:ascii="仿宋" w:hAnsi="仿宋" w:eastAsia="仿宋"/>
          <w:b w:val="0"/>
          <w:i w:val="0"/>
          <w:iCs w:val="0"/>
          <w:caps w:val="0"/>
          <w:color w:val="000000"/>
          <w:spacing w:val="0"/>
          <w:w w:val="100"/>
          <w:kern w:val="0"/>
          <w:sz w:val="32"/>
          <w:szCs w:val="32"/>
          <w:lang w:val="en-US" w:eastAsia="zh-CN"/>
        </w:rPr>
      </w:pPr>
      <w:r>
        <w:rPr>
          <w:rStyle w:val="35"/>
          <w:rFonts w:hint="eastAsia" w:ascii="仿宋" w:hAnsi="仿宋" w:eastAsia="仿宋"/>
          <w:b w:val="0"/>
          <w:i w:val="0"/>
          <w:iCs w:val="0"/>
          <w:caps w:val="0"/>
          <w:color w:val="000000"/>
          <w:spacing w:val="0"/>
          <w:w w:val="100"/>
          <w:kern w:val="0"/>
          <w:sz w:val="32"/>
          <w:szCs w:val="32"/>
          <w:lang w:val="en-US" w:eastAsia="zh-CN"/>
        </w:rPr>
        <w:t>15.</w:t>
      </w:r>
      <w:r>
        <w:rPr>
          <w:rStyle w:val="35"/>
          <w:rFonts w:ascii="仿宋" w:hAnsi="仿宋" w:eastAsia="仿宋"/>
          <w:b w:val="0"/>
          <w:i w:val="0"/>
          <w:iCs w:val="0"/>
          <w:caps w:val="0"/>
          <w:color w:val="000000"/>
          <w:spacing w:val="0"/>
          <w:w w:val="100"/>
          <w:kern w:val="0"/>
          <w:sz w:val="32"/>
          <w:szCs w:val="32"/>
          <w:lang w:val="en-US" w:eastAsia="zh-CN"/>
        </w:rPr>
        <w:t>负责全国人大和内地省、市、县人大来参观接待工作。</w:t>
      </w:r>
    </w:p>
    <w:p w14:paraId="2E7E80ED">
      <w:pPr>
        <w:widowControl/>
        <w:pBdr>
          <w:top w:val="none" w:color="auto" w:sz="0" w:space="0"/>
          <w:left w:val="none" w:color="auto" w:sz="0" w:space="0"/>
          <w:bottom w:val="none" w:color="auto" w:sz="0" w:space="0"/>
          <w:right w:val="none" w:color="auto" w:sz="0" w:space="0"/>
        </w:pBdr>
        <w:snapToGrid/>
        <w:spacing w:before="0" w:beforeAutospacing="0" w:after="0" w:afterAutospacing="0" w:line="600" w:lineRule="exact"/>
        <w:ind w:left="0" w:right="0" w:firstLine="420"/>
        <w:jc w:val="both"/>
        <w:textAlignment w:val="baseline"/>
        <w:rPr>
          <w:rStyle w:val="35"/>
          <w:rFonts w:hint="eastAsia" w:ascii="仿宋" w:hAnsi="仿宋" w:eastAsia="仿宋" w:cs="Times New Roman"/>
          <w:b w:val="0"/>
          <w:i w:val="0"/>
          <w:iCs w:val="0"/>
          <w:caps w:val="0"/>
          <w:color w:val="000000"/>
          <w:spacing w:val="0"/>
          <w:w w:val="100"/>
          <w:kern w:val="0"/>
          <w:sz w:val="32"/>
          <w:szCs w:val="32"/>
          <w:lang w:val="en-US" w:eastAsia="zh-CN"/>
        </w:rPr>
      </w:pPr>
      <w:r>
        <w:rPr>
          <w:rStyle w:val="35"/>
          <w:rFonts w:hint="eastAsia" w:ascii="仿宋" w:hAnsi="仿宋" w:eastAsia="仿宋" w:cs="Times New Roman"/>
          <w:b w:val="0"/>
          <w:i w:val="0"/>
          <w:iCs w:val="0"/>
          <w:caps w:val="0"/>
          <w:color w:val="000000"/>
          <w:spacing w:val="0"/>
          <w:w w:val="100"/>
          <w:kern w:val="0"/>
          <w:sz w:val="32"/>
          <w:szCs w:val="32"/>
          <w:lang w:val="en-US" w:eastAsia="zh-CN"/>
        </w:rPr>
        <w:t>(二)2022年重点工作完成情况</w:t>
      </w:r>
    </w:p>
    <w:p w14:paraId="7E774E3D">
      <w:pPr>
        <w:spacing w:line="576" w:lineRule="exact"/>
        <w:ind w:firstLine="640"/>
        <w:rPr>
          <w:rFonts w:ascii="仿宋_GB2312" w:hAnsi="仿宋_GB2312" w:eastAsia="仿宋_GB2312" w:cs="仿宋_GB2312"/>
          <w:color w:val="auto"/>
          <w:sz w:val="32"/>
          <w:szCs w:val="32"/>
        </w:rPr>
      </w:pPr>
      <w:r>
        <w:rPr>
          <w:rFonts w:hint="eastAsia" w:ascii="仿宋" w:hAnsi="仿宋" w:eastAsia="仿宋" w:cs="仿宋"/>
          <w:color w:val="auto"/>
          <w:sz w:val="32"/>
          <w:szCs w:val="32"/>
        </w:rPr>
        <w:t>2022年，县人大常委会在县委的坚强领导下，在市人大的有力指导下，坚定以习近平新时代中国特色社会主义思想为指导，深入学习贯彻党的二十大精神，全面贯彻落实中央、省委、市委、县委人大工作会议精神，坚定实施县委“1233”执政兴县战略，忠实履行法定职权，充分发挥代表作用，自觉践行全过程人民民主，在大局中强化人大担当，在大考中彰显人大作为，为加快建设社会主义现代化新剑阁作出了积极贡献。</w:t>
      </w:r>
    </w:p>
    <w:p w14:paraId="48DB83A1">
      <w:pPr>
        <w:spacing w:line="576" w:lineRule="exact"/>
        <w:ind w:firstLine="640"/>
        <w:rPr>
          <w:rFonts w:ascii="黑体" w:hAnsi="黑体" w:eastAsia="黑体" w:cs="黑体"/>
          <w:color w:val="auto"/>
          <w:sz w:val="32"/>
          <w:szCs w:val="32"/>
        </w:rPr>
      </w:pPr>
      <w:r>
        <w:rPr>
          <w:rFonts w:hint="eastAsia" w:ascii="黑体" w:hAnsi="黑体" w:eastAsia="黑体" w:cs="黑体"/>
          <w:color w:val="auto"/>
          <w:sz w:val="32"/>
          <w:szCs w:val="32"/>
          <w:lang w:val="en-US" w:eastAsia="zh-CN"/>
        </w:rPr>
        <w:t>1.</w:t>
      </w:r>
      <w:r>
        <w:rPr>
          <w:rFonts w:hint="eastAsia" w:ascii="黑体" w:hAnsi="黑体" w:eastAsia="黑体" w:cs="黑体"/>
          <w:color w:val="auto"/>
          <w:sz w:val="32"/>
          <w:szCs w:val="32"/>
        </w:rPr>
        <w:t>始终坚持党的领导，牢牢把握人大工作正确政治方向</w:t>
      </w:r>
    </w:p>
    <w:p w14:paraId="1BB86063">
      <w:pPr>
        <w:spacing w:line="576" w:lineRule="exact"/>
        <w:ind w:firstLine="640"/>
        <w:rPr>
          <w:rFonts w:hint="eastAsia" w:ascii="仿宋" w:hAnsi="仿宋" w:eastAsia="仿宋" w:cs="仿宋"/>
          <w:color w:val="auto"/>
          <w:sz w:val="32"/>
          <w:szCs w:val="32"/>
        </w:rPr>
      </w:pPr>
      <w:r>
        <w:rPr>
          <w:rFonts w:hint="eastAsia" w:ascii="仿宋" w:hAnsi="仿宋" w:eastAsia="仿宋" w:cs="仿宋"/>
          <w:color w:val="auto"/>
          <w:sz w:val="32"/>
          <w:szCs w:val="32"/>
        </w:rPr>
        <w:t>始终坚持把党的全面领导贯穿人大工作全过程各方面，深刻领悟“两个确立”的决定性意义，增强“四个意识”，坚定“四个自信”，做到“两个维护”。</w:t>
      </w:r>
    </w:p>
    <w:p w14:paraId="5396ECB4">
      <w:pPr>
        <w:spacing w:line="576" w:lineRule="exact"/>
        <w:ind w:firstLine="640"/>
        <w:rPr>
          <w:rFonts w:hint="eastAsia" w:ascii="仿宋" w:hAnsi="仿宋" w:eastAsia="仿宋" w:cs="仿宋"/>
          <w:color w:val="auto"/>
          <w:sz w:val="32"/>
          <w:szCs w:val="32"/>
        </w:rPr>
      </w:pPr>
      <w:r>
        <w:rPr>
          <w:rFonts w:hint="eastAsia" w:ascii="Times New Roman" w:hAnsi="Times New Roman" w:eastAsia="楷体_GB2312" w:cs="Times New Roman"/>
          <w:b/>
          <w:bCs/>
          <w:color w:val="auto"/>
          <w:sz w:val="32"/>
          <w:szCs w:val="32"/>
        </w:rPr>
        <w:t>强化理论武装。</w:t>
      </w:r>
      <w:r>
        <w:rPr>
          <w:rFonts w:hint="eastAsia" w:ascii="仿宋" w:hAnsi="仿宋" w:eastAsia="仿宋" w:cs="仿宋"/>
          <w:color w:val="auto"/>
          <w:sz w:val="32"/>
          <w:szCs w:val="32"/>
        </w:rPr>
        <w:t>始终把学习贯彻习近平新时代中国特色社会主义思想作为首要政治任务，把习近平总书记最新重要讲话和指示批示精神列为“第一议题”，认真学习习近平法治思想</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习近平总书记关于坚持和完善人民代表大会制度的重要思想</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习近平总书记对四川工作系列重要指示精神，及时跟进学习习近平总书记发表的重要讲话，作出的重要指示批示，提出</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rPr>
        <w:t>重要论述，确保新思想扎根于心、落实于行。党的二十大召开后，我们第一时间召开党组扩大会议、常委会会议集体学习，班子成员带头到基层一线开展宣讲。全年召开常委会议7次、党组会议14次、党组</w:t>
      </w:r>
      <w:r>
        <w:rPr>
          <w:rFonts w:hint="eastAsia" w:ascii="仿宋" w:hAnsi="仿宋" w:eastAsia="仿宋" w:cs="仿宋"/>
          <w:color w:val="auto"/>
          <w:sz w:val="32"/>
          <w:szCs w:val="32"/>
          <w:lang w:eastAsia="zh-CN"/>
        </w:rPr>
        <w:t>理论学习中心组</w:t>
      </w:r>
      <w:r>
        <w:rPr>
          <w:rFonts w:hint="eastAsia" w:ascii="仿宋" w:hAnsi="仿宋" w:eastAsia="仿宋" w:cs="仿宋"/>
          <w:color w:val="auto"/>
          <w:sz w:val="32"/>
          <w:szCs w:val="32"/>
        </w:rPr>
        <w:t>学习会议4次。</w:t>
      </w:r>
    </w:p>
    <w:p w14:paraId="42445339">
      <w:pPr>
        <w:spacing w:line="576" w:lineRule="exact"/>
        <w:ind w:firstLine="640"/>
        <w:rPr>
          <w:rFonts w:hint="eastAsia" w:ascii="仿宋" w:hAnsi="仿宋" w:eastAsia="仿宋" w:cs="仿宋"/>
          <w:color w:val="auto"/>
          <w:sz w:val="32"/>
          <w:szCs w:val="32"/>
        </w:rPr>
      </w:pPr>
      <w:r>
        <w:rPr>
          <w:rFonts w:hint="eastAsia" w:ascii="Times New Roman" w:hAnsi="Times New Roman" w:eastAsia="楷体_GB2312" w:cs="Times New Roman"/>
          <w:b/>
          <w:bCs/>
          <w:color w:val="auto"/>
          <w:sz w:val="32"/>
          <w:szCs w:val="32"/>
        </w:rPr>
        <w:t>坚持党委领导。</w:t>
      </w:r>
      <w:r>
        <w:rPr>
          <w:rFonts w:hint="eastAsia" w:ascii="仿宋" w:hAnsi="仿宋" w:eastAsia="仿宋" w:cs="仿宋"/>
          <w:color w:val="auto"/>
          <w:sz w:val="32"/>
          <w:szCs w:val="32"/>
        </w:rPr>
        <w:t>坚决贯彻落实中央、省委、市委、县委对人大工作部署要求，及时制定贯彻落实县委人大工作会议精神责任分工方案，明确具体任务和牵头部门、时间进度等，着力推动全县人大工作高质量发展。自觉对标县委重点工作部署，制定人大年度监督工作“一要点、三计划”，确保人大工作始终与县委决策部署同心同向、同步发力。鲜明县委“九个优先使用”选人用人导向，坚决贯彻党委意图，坚持党管干部与人大依法任免相统一，全年共依法任免国家机关工作人员116人次，确保市委、县委人事安排通过法定程序</w:t>
      </w:r>
      <w:r>
        <w:rPr>
          <w:rFonts w:hint="eastAsia" w:ascii="仿宋" w:hAnsi="仿宋" w:eastAsia="仿宋" w:cs="仿宋"/>
          <w:color w:val="auto"/>
          <w:sz w:val="32"/>
          <w:szCs w:val="32"/>
          <w:lang w:val="en-US" w:eastAsia="zh-CN"/>
        </w:rPr>
        <w:t>圆满</w:t>
      </w:r>
      <w:r>
        <w:rPr>
          <w:rFonts w:hint="eastAsia" w:ascii="仿宋" w:hAnsi="仿宋" w:eastAsia="仿宋" w:cs="仿宋"/>
          <w:color w:val="auto"/>
          <w:sz w:val="32"/>
          <w:szCs w:val="32"/>
        </w:rPr>
        <w:t>实现。严格执行向县委请示报告制度，全年向县委请示重要工作14件次，报告有关工作8件次，报备重要事项6件次。</w:t>
      </w:r>
    </w:p>
    <w:p w14:paraId="0B764F49">
      <w:pPr>
        <w:spacing w:line="576" w:lineRule="exact"/>
        <w:ind w:firstLine="640"/>
        <w:rPr>
          <w:rFonts w:hint="eastAsia" w:ascii="仿宋" w:hAnsi="仿宋" w:eastAsia="仿宋" w:cs="仿宋"/>
          <w:color w:val="auto"/>
          <w:sz w:val="32"/>
          <w:szCs w:val="32"/>
        </w:rPr>
      </w:pPr>
      <w:r>
        <w:rPr>
          <w:rFonts w:hint="eastAsia" w:ascii="Times New Roman" w:hAnsi="Times New Roman" w:eastAsia="楷体_GB2312" w:cs="Times New Roman"/>
          <w:b/>
          <w:bCs/>
          <w:color w:val="auto"/>
          <w:sz w:val="32"/>
          <w:szCs w:val="32"/>
        </w:rPr>
        <w:t>履行政治责任。</w:t>
      </w:r>
      <w:r>
        <w:rPr>
          <w:rFonts w:hint="eastAsia" w:ascii="仿宋" w:hAnsi="仿宋" w:eastAsia="仿宋" w:cs="仿宋"/>
          <w:color w:val="auto"/>
          <w:sz w:val="32"/>
          <w:szCs w:val="32"/>
        </w:rPr>
        <w:t>充分发挥常委会党组把方向、管大局、保落实的领导作用，制定贯彻落实县第十三次党代会、县委十三届三次全会重要部署责任分工方案和县委重要会议精神实施意见，从监督、代表工作等方面完善制度规范，把“干字当头、敢为敢闯、勇争一流”的主旋律贯穿于各项工作当中。修改常委会党组工作规则，并严格遵守，提高常委会党组议事质量和效率，推进人大工作制度化规范化。加强机关党组织的建设，推动设立常委会机关党组、机关党支部，并加强领导和工作指导，常委会党组定期听取机关党组工作汇报，督促机关党支部认真开展党的活动，县人大党组织的整体作用得到充分发挥。毫不动摇、与时俱进完善人民代表大会制度，加强人大制度宣传，讲好人大故事，展现人大作为，增强人大制度、工作、岗位自信。2022年，县人大常委会被省人大常委会表扬为“宣传人民代表大会制度”工作先进单位。</w:t>
      </w:r>
    </w:p>
    <w:p w14:paraId="1A073D23">
      <w:pPr>
        <w:spacing w:line="576" w:lineRule="exact"/>
        <w:ind w:firstLine="640"/>
        <w:rPr>
          <w:rFonts w:ascii="黑体" w:hAnsi="黑体" w:eastAsia="黑体" w:cs="黑体"/>
          <w:color w:val="auto"/>
          <w:sz w:val="32"/>
          <w:szCs w:val="32"/>
        </w:rPr>
      </w:pPr>
      <w:r>
        <w:rPr>
          <w:rFonts w:hint="eastAsia" w:ascii="黑体" w:hAnsi="黑体" w:eastAsia="黑体" w:cs="黑体"/>
          <w:color w:val="auto"/>
          <w:sz w:val="32"/>
          <w:szCs w:val="32"/>
          <w:lang w:val="en-US" w:eastAsia="zh-CN"/>
        </w:rPr>
        <w:t>2.</w:t>
      </w:r>
      <w:r>
        <w:rPr>
          <w:rFonts w:hint="eastAsia" w:ascii="黑体" w:hAnsi="黑体" w:eastAsia="黑体" w:cs="黑体"/>
          <w:color w:val="auto"/>
          <w:sz w:val="32"/>
          <w:szCs w:val="32"/>
        </w:rPr>
        <w:t>及时跟进重点安排，有力推动县委决策部署落地见效</w:t>
      </w:r>
    </w:p>
    <w:p w14:paraId="3E2305D3">
      <w:pPr>
        <w:spacing w:line="576" w:lineRule="exact"/>
        <w:ind w:firstLine="640"/>
        <w:rPr>
          <w:rFonts w:hint="eastAsia" w:ascii="仿宋" w:hAnsi="仿宋" w:eastAsia="仿宋" w:cs="仿宋"/>
          <w:color w:val="auto"/>
          <w:sz w:val="32"/>
          <w:szCs w:val="32"/>
        </w:rPr>
      </w:pPr>
      <w:r>
        <w:rPr>
          <w:rFonts w:hint="eastAsia" w:ascii="仿宋" w:hAnsi="仿宋" w:eastAsia="仿宋" w:cs="仿宋"/>
          <w:color w:val="auto"/>
          <w:sz w:val="32"/>
          <w:szCs w:val="32"/>
        </w:rPr>
        <w:t>落实县委“</w:t>
      </w:r>
      <w:r>
        <w:rPr>
          <w:rFonts w:hint="eastAsia" w:ascii="仿宋" w:hAnsi="仿宋" w:eastAsia="仿宋" w:cs="仿宋"/>
          <w:color w:val="auto"/>
          <w:sz w:val="32"/>
          <w:szCs w:val="32"/>
          <w:lang w:val="en-US" w:eastAsia="zh-CN"/>
        </w:rPr>
        <w:t>说干</w:t>
      </w:r>
      <w:r>
        <w:rPr>
          <w:rFonts w:hint="eastAsia" w:ascii="仿宋" w:hAnsi="仿宋" w:eastAsia="仿宋" w:cs="仿宋"/>
          <w:color w:val="auto"/>
          <w:sz w:val="32"/>
          <w:szCs w:val="32"/>
        </w:rPr>
        <w:t>就干、干就干成、越干越好”要求，紧紧围绕县第十三次党代会确立的</w:t>
      </w:r>
      <w:r>
        <w:rPr>
          <w:rFonts w:hint="eastAsia" w:ascii="仿宋" w:hAnsi="仿宋" w:eastAsia="仿宋" w:cs="仿宋"/>
          <w:color w:val="auto"/>
          <w:sz w:val="32"/>
          <w:szCs w:val="32"/>
          <w:lang w:val="en-US" w:eastAsia="zh-CN"/>
        </w:rPr>
        <w:t>县委</w:t>
      </w:r>
      <w:r>
        <w:rPr>
          <w:rFonts w:hint="eastAsia" w:ascii="仿宋" w:hAnsi="仿宋" w:eastAsia="仿宋" w:cs="仿宋"/>
          <w:color w:val="auto"/>
          <w:sz w:val="32"/>
          <w:szCs w:val="32"/>
        </w:rPr>
        <w:t>“1233”执政兴县战略和县委十三届三次全会决策部署，及时跟进助力，推动落地见效。</w:t>
      </w:r>
    </w:p>
    <w:p w14:paraId="577C451F">
      <w:pPr>
        <w:spacing w:line="576" w:lineRule="exact"/>
        <w:ind w:firstLine="640"/>
        <w:rPr>
          <w:rFonts w:hint="eastAsia" w:ascii="仿宋" w:hAnsi="仿宋" w:eastAsia="仿宋" w:cs="仿宋"/>
          <w:color w:val="auto"/>
          <w:sz w:val="32"/>
          <w:szCs w:val="32"/>
        </w:rPr>
      </w:pPr>
      <w:r>
        <w:rPr>
          <w:rFonts w:hint="eastAsia" w:ascii="Times New Roman" w:hAnsi="Times New Roman" w:eastAsia="楷体_GB2312" w:cs="Times New Roman"/>
          <w:b/>
          <w:bCs/>
          <w:color w:val="auto"/>
          <w:sz w:val="32"/>
          <w:szCs w:val="32"/>
        </w:rPr>
        <w:t>聚焦聚力“1233”发展战略。</w:t>
      </w:r>
      <w:r>
        <w:rPr>
          <w:rFonts w:hint="eastAsia" w:ascii="仿宋" w:hAnsi="仿宋" w:eastAsia="仿宋" w:cs="仿宋"/>
          <w:color w:val="auto"/>
          <w:sz w:val="32"/>
          <w:szCs w:val="32"/>
        </w:rPr>
        <w:t>聚焦聚力“工业富县”开展专题调研，对工业发展进行调查研究，提出加快工业发展建议。检查优化营商环境条例实施情况。积极参与项目招引，成功引进四川铁骑力士剑门关优食谷项目，市委主要领导亲自见证签约。聚焦聚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加快</w:t>
      </w:r>
      <w:r>
        <w:rPr>
          <w:rFonts w:hint="eastAsia" w:ascii="仿宋" w:hAnsi="仿宋" w:eastAsia="仿宋" w:cs="仿宋"/>
          <w:color w:val="auto"/>
          <w:sz w:val="32"/>
          <w:szCs w:val="32"/>
          <w:lang w:val="en-US" w:eastAsia="zh-CN"/>
        </w:rPr>
        <w:t>建设</w:t>
      </w:r>
      <w:r>
        <w:rPr>
          <w:rFonts w:hint="eastAsia" w:ascii="仿宋" w:hAnsi="仿宋" w:eastAsia="仿宋" w:cs="仿宋"/>
          <w:color w:val="auto"/>
          <w:sz w:val="32"/>
          <w:szCs w:val="32"/>
        </w:rPr>
        <w:t>大蜀道国际文化旅游目的地核心区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目标，开展《</w:t>
      </w:r>
      <w:r>
        <w:rPr>
          <w:rFonts w:hint="eastAsia" w:ascii="仿宋" w:hAnsi="仿宋" w:eastAsia="仿宋" w:cs="仿宋"/>
          <w:color w:val="auto"/>
          <w:sz w:val="32"/>
          <w:szCs w:val="32"/>
        </w:rPr>
        <w:t>旅游法</w:t>
      </w:r>
      <w:r>
        <w:rPr>
          <w:rFonts w:hint="eastAsia" w:ascii="仿宋" w:hAnsi="仿宋" w:eastAsia="仿宋" w:cs="仿宋"/>
          <w:color w:val="auto"/>
          <w:sz w:val="32"/>
          <w:szCs w:val="32"/>
          <w:lang w:val="en-US" w:eastAsia="zh-CN"/>
        </w:rPr>
        <w:t>》执法检查</w:t>
      </w:r>
      <w:r>
        <w:rPr>
          <w:rFonts w:hint="eastAsia" w:ascii="仿宋" w:hAnsi="仿宋" w:eastAsia="仿宋" w:cs="仿宋"/>
          <w:color w:val="auto"/>
          <w:sz w:val="32"/>
          <w:szCs w:val="32"/>
        </w:rPr>
        <w:t>，助力县委“文旅兴县”决策部署落地落实。聚焦聚力粮食安全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开展粮食安全</w:t>
      </w:r>
      <w:r>
        <w:rPr>
          <w:rFonts w:hint="eastAsia" w:ascii="仿宋" w:hAnsi="仿宋" w:eastAsia="仿宋" w:cs="仿宋"/>
          <w:color w:val="auto"/>
          <w:sz w:val="32"/>
          <w:szCs w:val="32"/>
        </w:rPr>
        <w:t>保障条例</w:t>
      </w:r>
      <w:r>
        <w:rPr>
          <w:rFonts w:hint="eastAsia" w:ascii="仿宋" w:hAnsi="仿宋" w:eastAsia="仿宋" w:cs="仿宋"/>
          <w:color w:val="auto"/>
          <w:sz w:val="32"/>
          <w:szCs w:val="32"/>
          <w:lang w:val="en-US" w:eastAsia="zh-CN"/>
        </w:rPr>
        <w:t>执法检查，开展</w:t>
      </w:r>
      <w:r>
        <w:rPr>
          <w:rFonts w:hint="eastAsia" w:ascii="仿宋" w:hAnsi="仿宋" w:eastAsia="仿宋" w:cs="仿宋"/>
          <w:color w:val="auto"/>
          <w:sz w:val="32"/>
          <w:szCs w:val="32"/>
        </w:rPr>
        <w:t>乡村振兴促进工作调研，助推</w:t>
      </w:r>
      <w:r>
        <w:rPr>
          <w:rFonts w:hint="eastAsia" w:ascii="仿宋" w:hAnsi="仿宋" w:eastAsia="仿宋" w:cs="仿宋"/>
          <w:color w:val="auto"/>
          <w:sz w:val="32"/>
          <w:szCs w:val="32"/>
          <w:lang w:val="en-US" w:eastAsia="zh-CN"/>
        </w:rPr>
        <w:t>农业质效提升</w:t>
      </w:r>
      <w:r>
        <w:rPr>
          <w:rFonts w:hint="eastAsia" w:ascii="仿宋" w:hAnsi="仿宋" w:eastAsia="仿宋" w:cs="仿宋"/>
          <w:color w:val="auto"/>
          <w:sz w:val="32"/>
          <w:szCs w:val="32"/>
        </w:rPr>
        <w:t>。</w:t>
      </w:r>
    </w:p>
    <w:p w14:paraId="496D5376">
      <w:pPr>
        <w:spacing w:line="576" w:lineRule="exact"/>
        <w:ind w:firstLine="640"/>
        <w:rPr>
          <w:rFonts w:hint="eastAsia" w:ascii="仿宋" w:hAnsi="仿宋" w:eastAsia="仿宋" w:cs="仿宋"/>
          <w:color w:val="auto"/>
          <w:sz w:val="32"/>
          <w:szCs w:val="32"/>
        </w:rPr>
      </w:pPr>
      <w:r>
        <w:rPr>
          <w:rFonts w:hint="eastAsia" w:ascii="Times New Roman" w:hAnsi="Times New Roman" w:eastAsia="楷体_GB2312" w:cs="Times New Roman"/>
          <w:b/>
          <w:bCs/>
          <w:color w:val="auto"/>
          <w:sz w:val="32"/>
          <w:szCs w:val="32"/>
        </w:rPr>
        <w:t>积极参与专班工作。</w:t>
      </w:r>
      <w:r>
        <w:rPr>
          <w:rFonts w:hint="eastAsia" w:ascii="仿宋" w:hAnsi="仿宋" w:eastAsia="仿宋" w:cs="仿宋"/>
          <w:color w:val="auto"/>
          <w:sz w:val="32"/>
          <w:szCs w:val="32"/>
        </w:rPr>
        <w:t>坚决贯彻落实县委关于重点工作专班的要求，人大机关坚决服从统一安排，参与了疫情防控、财政资金争取、乡村振兴等7个重点工作专班。参与的财政资金争取及国企融资工作专班，对我县的人均财力和税源结构进行专题调研，并协助县委、县政府领导向省市争取项目资金。参与的交通发展工作专班，负责G5复线、绵苍巴高速、山区公路的征地拆迁、信访维稳以及项目建设等工作的协调推进，积极参与重大交通项目的争取、规划选址、方案论证以及其他前期工作。</w:t>
      </w:r>
    </w:p>
    <w:p w14:paraId="39860837">
      <w:pPr>
        <w:spacing w:line="576" w:lineRule="exact"/>
        <w:ind w:firstLine="640"/>
        <w:rPr>
          <w:rFonts w:ascii="Times New Roman" w:hAnsi="Times New Roman" w:eastAsia="楷体_GB2312" w:cs="Times New Roman"/>
          <w:b/>
          <w:bCs/>
          <w:color w:val="auto"/>
          <w:sz w:val="32"/>
          <w:szCs w:val="32"/>
        </w:rPr>
      </w:pPr>
      <w:r>
        <w:rPr>
          <w:rFonts w:hint="eastAsia" w:ascii="Times New Roman" w:hAnsi="Times New Roman" w:eastAsia="楷体_GB2312" w:cs="Times New Roman"/>
          <w:b/>
          <w:bCs/>
          <w:color w:val="auto"/>
          <w:sz w:val="32"/>
          <w:szCs w:val="32"/>
        </w:rPr>
        <w:t>及时落实县委部署。</w:t>
      </w:r>
      <w:r>
        <w:rPr>
          <w:rFonts w:hint="eastAsia" w:ascii="仿宋" w:hAnsi="仿宋" w:eastAsia="仿宋" w:cs="仿宋"/>
          <w:color w:val="auto"/>
          <w:sz w:val="32"/>
          <w:szCs w:val="32"/>
        </w:rPr>
        <w:t>县人大常委会自觉做到“从二线变一线、一线变火线”要求，严格落实</w:t>
      </w:r>
      <w:r>
        <w:rPr>
          <w:rFonts w:hint="eastAsia" w:ascii="仿宋" w:hAnsi="仿宋" w:eastAsia="仿宋" w:cs="仿宋"/>
          <w:color w:val="auto"/>
          <w:sz w:val="32"/>
          <w:szCs w:val="32"/>
          <w:lang w:val="en-US" w:eastAsia="zh-CN"/>
        </w:rPr>
        <w:t>县委</w:t>
      </w:r>
      <w:r>
        <w:rPr>
          <w:rFonts w:hint="eastAsia" w:ascii="仿宋" w:hAnsi="仿宋" w:eastAsia="仿宋" w:cs="仿宋"/>
          <w:color w:val="auto"/>
          <w:sz w:val="32"/>
          <w:szCs w:val="32"/>
        </w:rPr>
        <w:t>“四个必须”</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凡是县委的决策部署必须坚决执行，凡是县委的工作安排必须坚决服从，凡是县委的重大决定必须坚决落实，凡是县委严令禁止的必须坚决做到</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积极担当、主动作为，坚决完成县委交办的工作任务。如2022年夏季，针对我县持续高温干旱情况，按照县委安排，县人大常委会牵头对全县抗旱减灾情况进行了专项调研，提出了针对性、可操作性很强的7个方面建议，县委祖斌书记对专题调研报告给予了肯定性批示。面对“10</w:t>
      </w:r>
      <w:r>
        <w:rPr>
          <w:rFonts w:hint="eastAsia" w:ascii="楷体_GB2312" w:hAnsi="楷体_GB2312" w:eastAsia="楷体_GB2312" w:cs="楷体_GB2312"/>
          <w:color w:val="auto"/>
          <w:sz w:val="32"/>
          <w:szCs w:val="32"/>
        </w:rPr>
        <w:t>·</w:t>
      </w:r>
      <w:r>
        <w:rPr>
          <w:rFonts w:hint="eastAsia" w:ascii="仿宋" w:hAnsi="仿宋" w:eastAsia="仿宋" w:cs="仿宋"/>
          <w:color w:val="auto"/>
          <w:sz w:val="32"/>
          <w:szCs w:val="32"/>
        </w:rPr>
        <w:t>11”新冠肺炎本土疫情，县人大机关全员参与，班子成员牵头负责5个隔离点、4个社区防控工作，机关干部蹲守隔离酒店、开展社区排查，为实现三天社会面动态清零贡献了人大力量。</w:t>
      </w:r>
    </w:p>
    <w:p w14:paraId="37F880B3">
      <w:pPr>
        <w:spacing w:line="576" w:lineRule="exact"/>
        <w:ind w:firstLine="640"/>
        <w:rPr>
          <w:rFonts w:ascii="黑体" w:hAnsi="黑体" w:eastAsia="黑体" w:cs="黑体"/>
          <w:color w:val="auto"/>
          <w:sz w:val="32"/>
          <w:szCs w:val="32"/>
        </w:rPr>
      </w:pPr>
      <w:r>
        <w:rPr>
          <w:rFonts w:hint="eastAsia" w:ascii="黑体" w:hAnsi="黑体" w:eastAsia="黑体" w:cs="黑体"/>
          <w:color w:val="auto"/>
          <w:sz w:val="32"/>
          <w:szCs w:val="32"/>
          <w:lang w:val="en-US" w:eastAsia="zh-CN"/>
        </w:rPr>
        <w:t>3.</w:t>
      </w:r>
      <w:r>
        <w:rPr>
          <w:rFonts w:hint="eastAsia" w:ascii="黑体" w:hAnsi="黑体" w:eastAsia="黑体" w:cs="黑体"/>
          <w:color w:val="auto"/>
          <w:sz w:val="32"/>
          <w:szCs w:val="32"/>
        </w:rPr>
        <w:t>依法履行监督职责，全力服务拼经济搞建设促发展</w:t>
      </w:r>
    </w:p>
    <w:p w14:paraId="3C9B9F4E">
      <w:pPr>
        <w:spacing w:line="576" w:lineRule="exact"/>
        <w:ind w:firstLine="640"/>
        <w:rPr>
          <w:rFonts w:hint="eastAsia" w:ascii="仿宋" w:hAnsi="仿宋" w:eastAsia="仿宋" w:cs="仿宋"/>
          <w:color w:val="auto"/>
          <w:sz w:val="32"/>
          <w:szCs w:val="32"/>
        </w:rPr>
      </w:pPr>
      <w:r>
        <w:rPr>
          <w:rFonts w:hint="eastAsia" w:ascii="仿宋" w:hAnsi="仿宋" w:eastAsia="仿宋" w:cs="仿宋"/>
          <w:color w:val="auto"/>
          <w:sz w:val="32"/>
          <w:szCs w:val="32"/>
        </w:rPr>
        <w:t>常委会始终坚持围绕中心大局依法履职，实行正确监督、有效监督、依法监督，更好发挥人大监督在党和国家监督体系中的重要作用。全年听取专项工作报告25项，作出决议决定14项，对6部法律法规实施情况进行检查。</w:t>
      </w:r>
    </w:p>
    <w:p w14:paraId="312E5E75">
      <w:pPr>
        <w:spacing w:line="576" w:lineRule="exact"/>
        <w:ind w:firstLine="640"/>
        <w:rPr>
          <w:rFonts w:hint="eastAsia" w:ascii="仿宋" w:hAnsi="仿宋" w:eastAsia="仿宋" w:cs="仿宋"/>
          <w:color w:val="auto"/>
          <w:sz w:val="32"/>
          <w:szCs w:val="32"/>
        </w:rPr>
      </w:pPr>
      <w:r>
        <w:rPr>
          <w:rFonts w:hint="eastAsia" w:ascii="Times New Roman" w:hAnsi="Times New Roman" w:eastAsia="楷体_GB2312" w:cs="Times New Roman"/>
          <w:b/>
          <w:bCs/>
          <w:color w:val="auto"/>
          <w:sz w:val="32"/>
          <w:szCs w:val="32"/>
        </w:rPr>
        <w:t>助推经济高质量发展。</w:t>
      </w:r>
      <w:r>
        <w:rPr>
          <w:rFonts w:hint="eastAsia" w:ascii="仿宋" w:hAnsi="仿宋" w:eastAsia="仿宋" w:cs="仿宋"/>
          <w:color w:val="auto"/>
          <w:sz w:val="32"/>
          <w:szCs w:val="32"/>
        </w:rPr>
        <w:t>坚定不移在县域经济突破发展上勇争一流，全力以赴稳住经济发展大盘。围绕经济运行，审议国民经济和社会发展计划执行情况、财政预算执行情况、审计及审计查出问题整改情况的报告。加强预算编制审查，强化预算执行监督，全覆盖审查县级部门单位和各乡镇预算，助推财政资金使用绩效提升。开展基本农田保护条例执法检查，严防耕地“非农化”“非粮化”。视察企业国有资产经营管理情况，听取</w:t>
      </w:r>
      <w:r>
        <w:rPr>
          <w:rFonts w:hint="eastAsia" w:ascii="仿宋" w:hAnsi="仿宋" w:eastAsia="仿宋" w:cs="仿宋"/>
          <w:color w:val="auto"/>
          <w:sz w:val="32"/>
          <w:szCs w:val="32"/>
          <w:lang w:val="en-US" w:eastAsia="zh-CN"/>
        </w:rPr>
        <w:t>国有自然资源（资产）管理情况的报告、</w:t>
      </w:r>
      <w:r>
        <w:rPr>
          <w:rFonts w:hint="eastAsia" w:ascii="仿宋" w:hAnsi="仿宋" w:eastAsia="仿宋" w:cs="仿宋"/>
          <w:color w:val="auto"/>
          <w:sz w:val="32"/>
          <w:szCs w:val="32"/>
        </w:rPr>
        <w:t>国有资产管理情况的报告，在防止国有资产的闲置和流失方面积极建言。</w:t>
      </w:r>
    </w:p>
    <w:p w14:paraId="625462A2">
      <w:pPr>
        <w:spacing w:line="576" w:lineRule="exact"/>
        <w:ind w:firstLine="640"/>
        <w:rPr>
          <w:rFonts w:hint="eastAsia" w:ascii="仿宋" w:hAnsi="仿宋" w:eastAsia="仿宋" w:cs="仿宋"/>
          <w:color w:val="auto"/>
          <w:sz w:val="32"/>
          <w:szCs w:val="32"/>
        </w:rPr>
      </w:pPr>
      <w:r>
        <w:rPr>
          <w:rFonts w:hint="eastAsia" w:ascii="Times New Roman" w:hAnsi="Times New Roman" w:eastAsia="楷体_GB2312" w:cs="Times New Roman"/>
          <w:b/>
          <w:bCs/>
          <w:color w:val="auto"/>
          <w:sz w:val="32"/>
          <w:szCs w:val="32"/>
        </w:rPr>
        <w:t>助推民生持续改善。</w:t>
      </w:r>
      <w:r>
        <w:rPr>
          <w:rFonts w:hint="eastAsia" w:ascii="仿宋" w:hAnsi="仿宋" w:eastAsia="仿宋" w:cs="仿宋"/>
          <w:color w:val="auto"/>
          <w:sz w:val="32"/>
          <w:szCs w:val="32"/>
        </w:rPr>
        <w:t>组织人大代表票决出县级民生实事项目8件、乡镇民生实事项目80件，总投资达7.79亿元，相关做法被《人民权力报》、四川省人大门户网站刊载。动员人大代表积极为群众办实事、解难题，去年以来，全县各级人大代表共为群众办实事3200余件，相关做法被全国人大门户网站刊载。开展残疾人保障法实施办法、传染病防治法等法律法规执法检查，视察就业促进工作，审议老旧小区改造工作情况的报告。组织代表围绕剑山大道、宝龙大道等民生实事项目推进情况开展专题调研、视察，积极协调解决项目推进过程中存在的困难、问题，助推民生实事项目办理实效不断提升。开展教育提质工作专题调研，为提升教育教学质量积极建言献策，去年6月，全市</w:t>
      </w:r>
      <w:r>
        <w:rPr>
          <w:rFonts w:hint="eastAsia" w:ascii="仿宋" w:hAnsi="仿宋" w:eastAsia="仿宋" w:cs="仿宋"/>
          <w:color w:val="auto"/>
          <w:sz w:val="32"/>
          <w:szCs w:val="32"/>
          <w:lang w:val="en-US" w:eastAsia="zh-CN"/>
        </w:rPr>
        <w:t>人大</w:t>
      </w:r>
      <w:r>
        <w:rPr>
          <w:rFonts w:hint="eastAsia" w:ascii="仿宋" w:hAnsi="仿宋" w:eastAsia="仿宋" w:cs="仿宋"/>
          <w:color w:val="auto"/>
          <w:sz w:val="32"/>
          <w:szCs w:val="32"/>
        </w:rPr>
        <w:t>深入实施教育提质工程工作会在我县召开。</w:t>
      </w:r>
    </w:p>
    <w:p w14:paraId="33FEE092">
      <w:pPr>
        <w:spacing w:line="576" w:lineRule="exact"/>
        <w:ind w:firstLine="640"/>
        <w:rPr>
          <w:rFonts w:hint="eastAsia" w:ascii="仿宋" w:hAnsi="仿宋" w:eastAsia="仿宋" w:cs="仿宋"/>
          <w:color w:val="auto"/>
          <w:sz w:val="32"/>
          <w:szCs w:val="32"/>
        </w:rPr>
      </w:pPr>
      <w:r>
        <w:rPr>
          <w:rFonts w:hint="eastAsia" w:ascii="Times New Roman" w:hAnsi="Times New Roman" w:eastAsia="楷体_GB2312" w:cs="Times New Roman"/>
          <w:b/>
          <w:bCs/>
          <w:color w:val="auto"/>
          <w:sz w:val="32"/>
          <w:szCs w:val="32"/>
        </w:rPr>
        <w:t>助推生态环境保护。</w:t>
      </w:r>
      <w:r>
        <w:rPr>
          <w:rFonts w:hint="eastAsia" w:ascii="仿宋" w:hAnsi="仿宋" w:eastAsia="仿宋" w:cs="仿宋"/>
          <w:color w:val="auto"/>
          <w:sz w:val="32"/>
          <w:szCs w:val="32"/>
        </w:rPr>
        <w:t>深入践行“两山”理念，突出绿色发展、追赶跨越“两大发展取向”，听取和审议环境状况和环境保护目标完成情况报告，督促政府和相关部门积极推进污染防治，让人民群众切身感受到环境质量的改善。举办嘉陵江流域生态环境保护条例专题讲座，与省、市人大联动检查嘉陵江流域生态环境保护条例实施情况，配合市人大开展长江保护法实施情况调研，进一步树立上游意识，增强长江担当，共抓大保护，着力打造绿色发展新高地。</w:t>
      </w:r>
    </w:p>
    <w:p w14:paraId="4581B5E6">
      <w:pPr>
        <w:spacing w:line="576" w:lineRule="exact"/>
        <w:ind w:firstLine="640"/>
        <w:rPr>
          <w:rFonts w:hint="eastAsia" w:ascii="仿宋" w:hAnsi="仿宋" w:eastAsia="仿宋" w:cs="仿宋"/>
          <w:color w:val="auto"/>
          <w:sz w:val="32"/>
          <w:szCs w:val="32"/>
        </w:rPr>
      </w:pPr>
      <w:r>
        <w:rPr>
          <w:rFonts w:hint="eastAsia" w:ascii="Times New Roman" w:hAnsi="Times New Roman" w:eastAsia="楷体_GB2312" w:cs="Times New Roman"/>
          <w:b/>
          <w:bCs/>
          <w:color w:val="auto"/>
          <w:sz w:val="32"/>
          <w:szCs w:val="32"/>
        </w:rPr>
        <w:t>助推法治剑阁建设。</w:t>
      </w:r>
      <w:r>
        <w:rPr>
          <w:rFonts w:hint="eastAsia" w:ascii="仿宋" w:hAnsi="仿宋" w:eastAsia="仿宋" w:cs="仿宋"/>
          <w:color w:val="auto"/>
          <w:sz w:val="32"/>
          <w:szCs w:val="32"/>
        </w:rPr>
        <w:t>全力以赴拼干部作风，首次</w:t>
      </w:r>
      <w:r>
        <w:rPr>
          <w:rFonts w:hint="eastAsia" w:ascii="仿宋" w:hAnsi="仿宋" w:eastAsia="仿宋" w:cs="仿宋"/>
          <w:color w:val="auto"/>
          <w:sz w:val="32"/>
          <w:szCs w:val="32"/>
          <w:lang w:val="en-US" w:eastAsia="zh-CN"/>
        </w:rPr>
        <w:t>听取和</w:t>
      </w:r>
      <w:r>
        <w:rPr>
          <w:rFonts w:hint="eastAsia" w:ascii="仿宋" w:hAnsi="仿宋" w:eastAsia="仿宋" w:cs="仿宋"/>
          <w:color w:val="auto"/>
          <w:sz w:val="32"/>
          <w:szCs w:val="32"/>
        </w:rPr>
        <w:t>审议县监察委员会开展“股长经济”问题专项整治工作情况的报告，支持监委依法履职，助推全面从严治党向纵深发展。</w:t>
      </w:r>
      <w:r>
        <w:rPr>
          <w:rFonts w:hint="eastAsia" w:ascii="仿宋" w:hAnsi="仿宋" w:eastAsia="仿宋" w:cs="仿宋"/>
          <w:color w:val="auto"/>
          <w:sz w:val="32"/>
          <w:szCs w:val="32"/>
          <w:lang w:val="en-US" w:eastAsia="zh-CN"/>
        </w:rPr>
        <w:t>创新开展规范性文件备案审查工作，聘请市县专家、专业人才16人组建专家库</w:t>
      </w:r>
      <w:r>
        <w:rPr>
          <w:rFonts w:hint="eastAsia" w:ascii="仿宋" w:hAnsi="仿宋" w:eastAsia="仿宋" w:cs="仿宋"/>
          <w:color w:val="auto"/>
          <w:sz w:val="32"/>
          <w:szCs w:val="32"/>
        </w:rPr>
        <w:t>，促进规范性文件备案审查工作规范化、制度化、常态化。今年7月，剑阁被省人大常委会确定为县级基层备案审查联系点之一。听取社区矫正工作审议意见整改情况的报告，审议交警道路交通执法工作开展情况的报告，审议县人民法院、县人民检察院护航民营经济健康发展情况报告，督促“八五”普法开展，促进司法为民、公正司法。</w:t>
      </w:r>
    </w:p>
    <w:p w14:paraId="619CA9FC">
      <w:pPr>
        <w:spacing w:line="576" w:lineRule="exact"/>
        <w:ind w:firstLine="640"/>
        <w:rPr>
          <w:rFonts w:ascii="黑体" w:hAnsi="黑体" w:eastAsia="黑体" w:cs="黑体"/>
          <w:color w:val="auto"/>
          <w:sz w:val="32"/>
          <w:szCs w:val="32"/>
        </w:rPr>
      </w:pPr>
      <w:r>
        <w:rPr>
          <w:rFonts w:hint="eastAsia" w:ascii="黑体" w:hAnsi="黑体" w:eastAsia="黑体" w:cs="黑体"/>
          <w:color w:val="auto"/>
          <w:sz w:val="32"/>
          <w:szCs w:val="32"/>
          <w:lang w:val="en-US" w:eastAsia="zh-CN"/>
        </w:rPr>
        <w:t>4.</w:t>
      </w:r>
      <w:r>
        <w:rPr>
          <w:rFonts w:hint="eastAsia" w:ascii="黑体" w:hAnsi="黑体" w:eastAsia="黑体" w:cs="黑体"/>
          <w:color w:val="auto"/>
          <w:sz w:val="32"/>
          <w:szCs w:val="32"/>
        </w:rPr>
        <w:t>不断深化代表工作，充分发挥人大代表作用</w:t>
      </w:r>
    </w:p>
    <w:p w14:paraId="09CFE8C0">
      <w:pPr>
        <w:spacing w:line="576" w:lineRule="exact"/>
        <w:ind w:firstLine="640"/>
        <w:rPr>
          <w:rFonts w:hint="eastAsia" w:ascii="仿宋" w:hAnsi="仿宋" w:eastAsia="仿宋" w:cs="仿宋"/>
          <w:color w:val="auto"/>
          <w:sz w:val="32"/>
          <w:szCs w:val="32"/>
        </w:rPr>
      </w:pPr>
      <w:r>
        <w:rPr>
          <w:rFonts w:hint="eastAsia" w:ascii="仿宋" w:hAnsi="仿宋" w:eastAsia="仿宋" w:cs="仿宋"/>
          <w:color w:val="auto"/>
          <w:sz w:val="32"/>
          <w:szCs w:val="32"/>
        </w:rPr>
        <w:t>常委会始终坚持尊重代表、依靠代表、服务代表，不断拓展履职平台，完善履职机制，持续加强同人民群众、人大代表的联系。</w:t>
      </w:r>
    </w:p>
    <w:p w14:paraId="25020E05">
      <w:pPr>
        <w:spacing w:line="576" w:lineRule="exact"/>
        <w:ind w:firstLine="640"/>
        <w:rPr>
          <w:rFonts w:hint="eastAsia" w:ascii="仿宋" w:hAnsi="仿宋" w:eastAsia="仿宋" w:cs="仿宋"/>
          <w:color w:val="auto"/>
          <w:sz w:val="32"/>
          <w:szCs w:val="32"/>
        </w:rPr>
      </w:pPr>
      <w:r>
        <w:rPr>
          <w:rFonts w:hint="eastAsia" w:ascii="Times New Roman" w:hAnsi="Times New Roman" w:eastAsia="楷体_GB2312" w:cs="Times New Roman"/>
          <w:b/>
          <w:bCs/>
          <w:color w:val="auto"/>
          <w:sz w:val="32"/>
          <w:szCs w:val="32"/>
        </w:rPr>
        <w:t>强化代表议案建议办理。</w:t>
      </w:r>
      <w:r>
        <w:rPr>
          <w:rFonts w:hint="eastAsia" w:ascii="仿宋" w:hAnsi="仿宋" w:eastAsia="仿宋" w:cs="仿宋"/>
          <w:color w:val="auto"/>
          <w:sz w:val="32"/>
          <w:szCs w:val="32"/>
        </w:rPr>
        <w:t>坚持把提高代表履职水平作为一项重要工作来抓，通过以会代训、印发参阅资料和办理答复汇编等方式，引导代表依法履职，增强“为民代言、为民履职”的主动性。完善代表建议提出、交办和督办工作流程，加强办理过程管理，召开办理工作会议，制定办理清单，严格办理责任，明确办理时限，公开办理结果，督促承办单位建立答复承诺解决事项台账，持续抓好跟踪落实。全年代表提出议案、建议、批评和意见共121件，均全部办理完毕，一批群众关注的热点难点问题得到及时解决。</w:t>
      </w:r>
    </w:p>
    <w:p w14:paraId="540F9A00">
      <w:pPr>
        <w:spacing w:line="576" w:lineRule="exact"/>
        <w:ind w:firstLine="643" w:firstLineChars="200"/>
        <w:rPr>
          <w:rFonts w:hint="eastAsia" w:ascii="仿宋" w:hAnsi="仿宋" w:eastAsia="仿宋" w:cs="仿宋"/>
          <w:color w:val="auto"/>
          <w:sz w:val="32"/>
          <w:szCs w:val="32"/>
        </w:rPr>
      </w:pPr>
      <w:r>
        <w:rPr>
          <w:rFonts w:hint="eastAsia" w:ascii="Times New Roman" w:hAnsi="Times New Roman" w:eastAsia="楷体_GB2312" w:cs="Times New Roman"/>
          <w:b/>
          <w:bCs/>
          <w:color w:val="auto"/>
          <w:sz w:val="32"/>
          <w:szCs w:val="32"/>
        </w:rPr>
        <w:t>强化代表活动开展。</w:t>
      </w:r>
      <w:r>
        <w:rPr>
          <w:rFonts w:hint="eastAsia" w:ascii="仿宋" w:hAnsi="仿宋" w:eastAsia="仿宋" w:cs="仿宋"/>
          <w:color w:val="auto"/>
          <w:sz w:val="32"/>
          <w:szCs w:val="32"/>
        </w:rPr>
        <w:t>坚持党委有号召有部署、人大有响应有行动、代表有担当有作为，认真组织开展代表活动。深入开展“三联三助”活动，县人大常委会5名县领导联挂</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个市</w:t>
      </w:r>
      <w:r>
        <w:rPr>
          <w:rFonts w:hint="eastAsia" w:ascii="仿宋" w:hAnsi="仿宋" w:eastAsia="仿宋" w:cs="仿宋"/>
          <w:color w:val="auto"/>
          <w:sz w:val="32"/>
          <w:szCs w:val="32"/>
          <w:lang w:val="en-US" w:eastAsia="zh-CN"/>
        </w:rPr>
        <w:t>县</w:t>
      </w:r>
      <w:r>
        <w:rPr>
          <w:rFonts w:hint="eastAsia" w:ascii="仿宋" w:hAnsi="仿宋" w:eastAsia="仿宋" w:cs="仿宋"/>
          <w:color w:val="auto"/>
          <w:sz w:val="32"/>
          <w:szCs w:val="32"/>
        </w:rPr>
        <w:t>重点项目，通过定期联系指导，积极协调建设要素保障，9个项目有力有序推进。常委会34名组成人员联系102名代表，通过定期联系走访，积极收集反映意见建议，为县委决策提供好的思路和建议。2005名县乡人大代表广泛联系群众，助推基层治理现代化。认真开展“考评表扬活动”，大力倡树“不服输、敢争先”精神，去年9月，对29名优秀县人大代表、12件议案（建议）和10个议案（建议）办理工作先进单位进行表扬，本次会议还将表扬32名履职出色的代表。</w:t>
      </w:r>
    </w:p>
    <w:p w14:paraId="5E9D2433">
      <w:pPr>
        <w:spacing w:line="576" w:lineRule="exact"/>
        <w:ind w:firstLine="640"/>
        <w:rPr>
          <w:rFonts w:hint="eastAsia" w:ascii="仿宋" w:hAnsi="仿宋" w:eastAsia="仿宋" w:cs="仿宋"/>
          <w:color w:val="auto"/>
          <w:sz w:val="32"/>
          <w:szCs w:val="32"/>
        </w:rPr>
      </w:pPr>
      <w:r>
        <w:rPr>
          <w:rFonts w:hint="eastAsia" w:ascii="Times New Roman" w:hAnsi="Times New Roman" w:eastAsia="楷体_GB2312" w:cs="Times New Roman"/>
          <w:b/>
          <w:bCs/>
          <w:color w:val="auto"/>
          <w:sz w:val="32"/>
          <w:szCs w:val="32"/>
        </w:rPr>
        <w:t>强化代表履职保障。</w:t>
      </w:r>
      <w:r>
        <w:rPr>
          <w:rFonts w:hint="eastAsia" w:ascii="仿宋" w:hAnsi="仿宋" w:eastAsia="仿宋" w:cs="仿宋"/>
          <w:color w:val="auto"/>
          <w:sz w:val="32"/>
          <w:szCs w:val="32"/>
        </w:rPr>
        <w:t>落实代表履职经费保障、时间保障、待遇保障，开展走访代表工作，积极协调解决代表履职中的困难和问题，努力为代表执行职务创造条件、提供支持。强化代表履职管理监督，切实加强代表资格审查工作，建立代表履职登记、履职工作公开、履职情况报告和履职效果评价等制度。试点代表履职档案建立，推行代表向选区选民开展述职活动。</w:t>
      </w:r>
    </w:p>
    <w:p w14:paraId="48DBCBAD">
      <w:pPr>
        <w:spacing w:line="576" w:lineRule="exact"/>
        <w:ind w:firstLine="640"/>
        <w:rPr>
          <w:rFonts w:hint="eastAsia" w:ascii="仿宋" w:hAnsi="仿宋" w:eastAsia="仿宋" w:cs="仿宋"/>
          <w:color w:val="auto"/>
          <w:sz w:val="32"/>
          <w:szCs w:val="32"/>
        </w:rPr>
      </w:pPr>
      <w:r>
        <w:rPr>
          <w:rFonts w:hint="eastAsia" w:ascii="Times New Roman" w:hAnsi="Times New Roman" w:eastAsia="楷体_GB2312" w:cs="Times New Roman"/>
          <w:b/>
          <w:bCs/>
          <w:color w:val="auto"/>
          <w:sz w:val="32"/>
          <w:szCs w:val="32"/>
        </w:rPr>
        <w:t>强化代表能力建设。</w:t>
      </w:r>
      <w:r>
        <w:rPr>
          <w:rFonts w:hint="eastAsia" w:ascii="仿宋" w:hAnsi="仿宋" w:eastAsia="仿宋" w:cs="仿宋"/>
          <w:color w:val="auto"/>
          <w:sz w:val="32"/>
          <w:szCs w:val="32"/>
        </w:rPr>
        <w:t>坚持学习带动，办好“三大课堂”，提升人大代表履职能力，着力锻造一支忠诚为党分忧、忠实为民代言的人大代表队伍。办好政治引领课堂，依托县委党校（行政学院）、“雄关大讲堂”“周三夜学”等载体，强化政治学习。办好法律法规课堂，通过会前学法、编印法律法规口袋书等，提升代表法律法规素养。办好业务提质课堂，采取专题培训、代表跟班培训等方式，加强业务学习。去年先后组织38名人大代表到省人大培训中心参加培训、120名人大代表到浙江参加履职培训，有效开阔代表眼界、提升履职能力，相关做法得到市人大常委会杨凯主任肯定性批示。</w:t>
      </w:r>
    </w:p>
    <w:p w14:paraId="5F5A5734">
      <w:pPr>
        <w:spacing w:line="576" w:lineRule="exact"/>
        <w:ind w:firstLine="640"/>
        <w:rPr>
          <w:rFonts w:ascii="黑体" w:hAnsi="黑体" w:eastAsia="黑体" w:cs="黑体"/>
          <w:color w:val="auto"/>
          <w:sz w:val="32"/>
          <w:szCs w:val="32"/>
        </w:rPr>
      </w:pPr>
      <w:r>
        <w:rPr>
          <w:rFonts w:hint="eastAsia" w:ascii="黑体" w:hAnsi="黑体" w:eastAsia="黑体" w:cs="黑体"/>
          <w:color w:val="auto"/>
          <w:sz w:val="32"/>
          <w:szCs w:val="32"/>
          <w:lang w:val="en-US" w:eastAsia="zh-CN"/>
        </w:rPr>
        <w:t>5.</w:t>
      </w:r>
      <w:r>
        <w:rPr>
          <w:rFonts w:hint="eastAsia" w:ascii="黑体" w:hAnsi="黑体" w:eastAsia="黑体" w:cs="黑体"/>
          <w:color w:val="auto"/>
          <w:sz w:val="32"/>
          <w:szCs w:val="32"/>
        </w:rPr>
        <w:t>切实抓好自身建设，不断提升能力水平</w:t>
      </w:r>
    </w:p>
    <w:p w14:paraId="469A8472">
      <w:pPr>
        <w:spacing w:line="576" w:lineRule="exact"/>
        <w:ind w:firstLine="640"/>
        <w:rPr>
          <w:rFonts w:hint="eastAsia" w:ascii="仿宋" w:hAnsi="仿宋" w:eastAsia="仿宋" w:cs="仿宋"/>
          <w:color w:val="auto"/>
          <w:sz w:val="32"/>
          <w:szCs w:val="32"/>
        </w:rPr>
      </w:pPr>
      <w:r>
        <w:rPr>
          <w:rFonts w:hint="eastAsia" w:ascii="仿宋" w:hAnsi="仿宋" w:eastAsia="仿宋" w:cs="仿宋"/>
          <w:color w:val="auto"/>
          <w:sz w:val="32"/>
          <w:szCs w:val="32"/>
        </w:rPr>
        <w:t>牢牢把握“四个机关”</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，着力打造一支“不服输、敢争先”的钢班子铁队伍。</w:t>
      </w:r>
    </w:p>
    <w:p w14:paraId="4CB1BA77">
      <w:pPr>
        <w:spacing w:line="576" w:lineRule="exact"/>
        <w:ind w:firstLine="640"/>
        <w:rPr>
          <w:rFonts w:hint="eastAsia" w:ascii="仿宋" w:hAnsi="仿宋" w:eastAsia="仿宋" w:cs="仿宋"/>
          <w:color w:val="auto"/>
          <w:sz w:val="32"/>
          <w:szCs w:val="32"/>
        </w:rPr>
      </w:pPr>
      <w:r>
        <w:rPr>
          <w:rFonts w:hint="eastAsia" w:ascii="Times New Roman" w:hAnsi="Times New Roman" w:eastAsia="楷体_GB2312" w:cs="Times New Roman"/>
          <w:b/>
          <w:bCs/>
          <w:color w:val="auto"/>
          <w:sz w:val="32"/>
          <w:szCs w:val="32"/>
        </w:rPr>
        <w:t>政治建设不断强化。</w:t>
      </w:r>
      <w:r>
        <w:rPr>
          <w:rFonts w:hint="eastAsia" w:ascii="仿宋" w:hAnsi="仿宋" w:eastAsia="仿宋" w:cs="仿宋"/>
          <w:color w:val="auto"/>
          <w:sz w:val="32"/>
          <w:szCs w:val="32"/>
        </w:rPr>
        <w:t>牢牢把握政治机关属性，坚持在县委领导下开展人大工作，严格落实“四个必须”。教育引导全县人大干部、机关全体党员干部把政治规矩放在首位，严格执行重大问题请示报告制度，做到该请示的请示、该报告的报告。坚持把人大工作放到县委“1233”执政兴县战略大局中谋划，细化目标和举措，坚决抓好县委决策部署的贯彻落实。严格落实意识形态工作责任制，坚决守好人大意识形态主阵地。</w:t>
      </w:r>
    </w:p>
    <w:p w14:paraId="2F26C6D9">
      <w:pPr>
        <w:spacing w:line="576" w:lineRule="exact"/>
        <w:ind w:firstLine="640"/>
        <w:rPr>
          <w:rFonts w:hint="eastAsia" w:ascii="仿宋" w:hAnsi="仿宋" w:eastAsia="仿宋" w:cs="仿宋"/>
          <w:color w:val="auto"/>
          <w:sz w:val="32"/>
          <w:szCs w:val="32"/>
        </w:rPr>
      </w:pPr>
      <w:r>
        <w:rPr>
          <w:rFonts w:hint="eastAsia" w:ascii="Times New Roman" w:hAnsi="Times New Roman" w:eastAsia="楷体_GB2312" w:cs="Times New Roman"/>
          <w:b/>
          <w:bCs/>
          <w:color w:val="auto"/>
          <w:sz w:val="32"/>
          <w:szCs w:val="32"/>
        </w:rPr>
        <w:t>阵地建设不断优化。</w:t>
      </w:r>
      <w:r>
        <w:rPr>
          <w:rFonts w:hint="eastAsia" w:ascii="仿宋" w:hAnsi="仿宋" w:eastAsia="仿宋" w:cs="仿宋"/>
          <w:color w:val="auto"/>
          <w:sz w:val="32"/>
          <w:szCs w:val="32"/>
        </w:rPr>
        <w:t>围绕建设服务型机关要求，坚持</w:t>
      </w:r>
      <w:r>
        <w:rPr>
          <w:rFonts w:hint="eastAsia" w:ascii="仿宋" w:hAnsi="仿宋" w:eastAsia="仿宋" w:cs="仿宋"/>
          <w:color w:val="auto"/>
          <w:sz w:val="32"/>
          <w:szCs w:val="32"/>
          <w:lang w:val="en-US" w:eastAsia="zh-CN"/>
        </w:rPr>
        <w:t>标准建设</w:t>
      </w:r>
      <w:r>
        <w:rPr>
          <w:rFonts w:hint="eastAsia" w:ascii="仿宋" w:hAnsi="仿宋" w:eastAsia="仿宋" w:cs="仿宋"/>
          <w:color w:val="auto"/>
          <w:sz w:val="32"/>
          <w:szCs w:val="32"/>
        </w:rPr>
        <w:t>人大机关阵地</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市人大常委会副主任田诚等领导</w:t>
      </w:r>
      <w:r>
        <w:rPr>
          <w:rFonts w:hint="eastAsia" w:ascii="仿宋" w:hAnsi="仿宋" w:eastAsia="仿宋" w:cs="仿宋"/>
          <w:color w:val="auto"/>
          <w:sz w:val="32"/>
          <w:szCs w:val="32"/>
          <w:lang w:val="en-US" w:eastAsia="zh-CN"/>
        </w:rPr>
        <w:t>到机关调研，给予充分肯定</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县人大对标县委工作要求，群策群力、聚力聚智，着力打造人大工作宣传走廊、代表工作室、代表活动室、代表接待室“一廊三室”，切实发挥“宣传站、民意窗、连心桥、监督岗、大课堂”等功能作用。去年9月，省委人大工作会议重要部署落实专项督查组对县人大常委会规范化建设给予了</w:t>
      </w:r>
      <w:r>
        <w:rPr>
          <w:rFonts w:hint="eastAsia" w:ascii="仿宋" w:hAnsi="仿宋" w:eastAsia="仿宋" w:cs="仿宋"/>
          <w:color w:val="auto"/>
          <w:sz w:val="32"/>
          <w:szCs w:val="32"/>
          <w:lang w:val="en-US" w:eastAsia="zh-CN"/>
        </w:rPr>
        <w:t>高度评价</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做法在</w:t>
      </w:r>
      <w:r>
        <w:rPr>
          <w:rFonts w:hint="eastAsia" w:ascii="仿宋" w:hAnsi="仿宋" w:eastAsia="仿宋" w:cs="仿宋"/>
          <w:color w:val="auto"/>
          <w:sz w:val="32"/>
          <w:szCs w:val="32"/>
        </w:rPr>
        <w:t>全市推广。</w:t>
      </w:r>
    </w:p>
    <w:p w14:paraId="65F3D6A9">
      <w:pPr>
        <w:spacing w:line="576" w:lineRule="exact"/>
        <w:ind w:firstLine="640"/>
        <w:rPr>
          <w:rFonts w:hint="eastAsia" w:ascii="仿宋" w:hAnsi="仿宋" w:eastAsia="仿宋" w:cs="仿宋"/>
          <w:color w:val="auto"/>
          <w:sz w:val="32"/>
          <w:szCs w:val="32"/>
        </w:rPr>
      </w:pPr>
      <w:r>
        <w:rPr>
          <w:rFonts w:hint="eastAsia" w:ascii="Times New Roman" w:hAnsi="Times New Roman" w:eastAsia="楷体_GB2312" w:cs="Times New Roman"/>
          <w:b/>
          <w:bCs/>
          <w:color w:val="auto"/>
          <w:sz w:val="32"/>
          <w:szCs w:val="32"/>
        </w:rPr>
        <w:t>制度建设不断细化。</w:t>
      </w:r>
      <w:r>
        <w:rPr>
          <w:rFonts w:hint="eastAsia" w:ascii="仿宋" w:hAnsi="仿宋" w:eastAsia="仿宋" w:cs="仿宋"/>
          <w:color w:val="auto"/>
          <w:sz w:val="32"/>
          <w:szCs w:val="32"/>
        </w:rPr>
        <w:t>坚持把建章立制作为常委会及机关建设的重点任务和重要抓手，修订完善人大常委会议事规则、人大常委会组成人员守则、人大常委会主任会议议事规则、人大常委会讨论决定重大事项办法等工作制度，形成了按制度办事、靠制度管人、用制度规范服务的长效机制。编印《乡镇人大规范化建设工作手册》，加强基层人大规范化建设。细化各专委会、各办事工作机构职责任务，建立职责明确、分工合理、运转协调的工作机制，切实提高机关整体工作效能。</w:t>
      </w:r>
    </w:p>
    <w:p w14:paraId="61023291">
      <w:pPr>
        <w:spacing w:line="576" w:lineRule="exact"/>
        <w:ind w:firstLine="640"/>
        <w:rPr>
          <w:rFonts w:hint="eastAsia" w:ascii="仿宋" w:hAnsi="仿宋" w:eastAsia="仿宋" w:cs="仿宋"/>
          <w:color w:val="auto"/>
          <w:sz w:val="32"/>
          <w:szCs w:val="32"/>
        </w:rPr>
      </w:pPr>
      <w:r>
        <w:rPr>
          <w:rFonts w:hint="eastAsia" w:ascii="Times New Roman" w:hAnsi="Times New Roman" w:eastAsia="楷体_GB2312" w:cs="Times New Roman"/>
          <w:b/>
          <w:bCs/>
          <w:color w:val="auto"/>
          <w:sz w:val="32"/>
          <w:szCs w:val="32"/>
        </w:rPr>
        <w:t>作风建设不断深化。</w:t>
      </w:r>
      <w:r>
        <w:rPr>
          <w:rFonts w:hint="eastAsia" w:ascii="仿宋" w:hAnsi="仿宋" w:eastAsia="仿宋" w:cs="仿宋"/>
          <w:color w:val="auto"/>
          <w:sz w:val="32"/>
          <w:szCs w:val="32"/>
        </w:rPr>
        <w:t>严格履行全面从严治党主体责任，严格遵守党的政治纪律和政治规矩，压紧压实党风廉政建设责任。严格执行中央八项规定精神、省委省政府十项规定、市委六个带头和县委十项规定要求，坚决不逾越政治红线。</w:t>
      </w:r>
      <w:r>
        <w:rPr>
          <w:rFonts w:hint="eastAsia" w:ascii="仿宋" w:hAnsi="仿宋" w:eastAsia="仿宋" w:cs="仿宋"/>
          <w:color w:val="auto"/>
          <w:sz w:val="32"/>
          <w:szCs w:val="32"/>
          <w:lang w:val="en-US" w:eastAsia="zh-CN"/>
        </w:rPr>
        <w:t>配合做好省委巡视组巡视工作，</w:t>
      </w:r>
      <w:r>
        <w:rPr>
          <w:rFonts w:hint="eastAsia" w:ascii="仿宋" w:hAnsi="仿宋" w:eastAsia="仿宋" w:cs="仿宋"/>
          <w:color w:val="auto"/>
          <w:sz w:val="32"/>
          <w:szCs w:val="32"/>
        </w:rPr>
        <w:t>切实加强对机关干部的日常监督管理，坚决整治“五个看不惯”问题，大力</w:t>
      </w:r>
      <w:r>
        <w:rPr>
          <w:rFonts w:hint="eastAsia" w:ascii="仿宋" w:hAnsi="仿宋" w:eastAsia="仿宋" w:cs="仿宋"/>
          <w:color w:val="auto"/>
          <w:sz w:val="32"/>
          <w:szCs w:val="32"/>
          <w:lang w:val="en-US" w:eastAsia="zh-CN"/>
        </w:rPr>
        <w:t>倡导和</w:t>
      </w:r>
      <w:r>
        <w:rPr>
          <w:rFonts w:hint="eastAsia" w:ascii="仿宋" w:hAnsi="仿宋" w:eastAsia="仿宋" w:cs="仿宋"/>
          <w:color w:val="auto"/>
          <w:sz w:val="32"/>
          <w:szCs w:val="32"/>
        </w:rPr>
        <w:t>推进“不懂就学、不干就逼、不快就督”的工作方法和节奏。积极支持配合纪检监察组履行职责，扎实开展纪律作风教育整顿。</w:t>
      </w:r>
      <w:bookmarkStart w:id="8" w:name="_Toc15377200"/>
      <w:bookmarkStart w:id="9" w:name="_Toc15396601"/>
    </w:p>
    <w:bookmarkEnd w:id="8"/>
    <w:bookmarkEnd w:id="9"/>
    <w:p w14:paraId="5C48BC74">
      <w:pPr>
        <w:pStyle w:val="4"/>
        <w:numPr>
          <w:ilvl w:val="0"/>
          <w:numId w:val="1"/>
        </w:numPr>
        <w:ind w:left="0" w:leftChars="0" w:firstLine="0" w:firstLineChars="0"/>
        <w:rPr>
          <w:rFonts w:hint="eastAsia" w:ascii="黑体" w:hAnsi="黑体" w:eastAsia="黑体"/>
          <w:b w:val="0"/>
        </w:rPr>
      </w:pPr>
      <w:bookmarkStart w:id="10" w:name="_Toc15377204"/>
      <w:bookmarkStart w:id="11" w:name="_Toc15396602"/>
      <w:r>
        <w:rPr>
          <w:rFonts w:hint="eastAsia" w:ascii="黑体" w:hAnsi="黑体" w:eastAsia="黑体"/>
          <w:b w:val="0"/>
        </w:rPr>
        <w:t>机构设置</w:t>
      </w:r>
    </w:p>
    <w:p w14:paraId="3FD542C9">
      <w:pPr>
        <w:snapToGrid/>
        <w:spacing w:before="0" w:beforeAutospacing="0" w:after="0" w:afterAutospacing="0" w:line="600" w:lineRule="exact"/>
        <w:ind w:firstLine="640" w:firstLineChars="200"/>
        <w:jc w:val="both"/>
        <w:textAlignment w:val="baseline"/>
        <w:rPr>
          <w:rStyle w:val="35"/>
          <w:rFonts w:ascii="仿宋" w:hAnsi="仿宋" w:eastAsia="仿宋"/>
          <w:b w:val="0"/>
          <w:i w:val="0"/>
          <w:caps w:val="0"/>
          <w:spacing w:val="0"/>
          <w:w w:val="100"/>
          <w:kern w:val="2"/>
          <w:sz w:val="32"/>
          <w:szCs w:val="32"/>
          <w:lang w:val="en-US" w:eastAsia="zh-CN" w:bidi="ar-SA"/>
        </w:rPr>
      </w:pPr>
      <w:r>
        <w:rPr>
          <w:rStyle w:val="35"/>
          <w:rFonts w:ascii="仿宋" w:hAnsi="仿宋" w:eastAsia="仿宋"/>
          <w:b w:val="0"/>
          <w:i w:val="0"/>
          <w:caps w:val="0"/>
          <w:spacing w:val="0"/>
          <w:w w:val="100"/>
          <w:kern w:val="2"/>
          <w:sz w:val="32"/>
          <w:szCs w:val="32"/>
          <w:lang w:val="en" w:eastAsia="zh-CN" w:bidi="ar-SA"/>
        </w:rPr>
        <w:t>县人大常委会办公室</w:t>
      </w:r>
      <w:r>
        <w:rPr>
          <w:rStyle w:val="35"/>
          <w:rFonts w:ascii="仿宋" w:hAnsi="仿宋" w:eastAsia="仿宋"/>
          <w:b w:val="0"/>
          <w:i w:val="0"/>
          <w:caps w:val="0"/>
          <w:spacing w:val="0"/>
          <w:w w:val="100"/>
          <w:kern w:val="2"/>
          <w:sz w:val="32"/>
          <w:szCs w:val="32"/>
          <w:lang w:val="en-US" w:eastAsia="zh-CN" w:bidi="ar-SA"/>
        </w:rPr>
        <w:t>下属二级单位0个，其中行政单位0个，参照公务员法管理的事业单位</w:t>
      </w:r>
      <w:r>
        <w:rPr>
          <w:rStyle w:val="35"/>
          <w:rFonts w:ascii="仿宋" w:hAnsi="仿宋" w:eastAsia="仿宋" w:cs="Times New Roman"/>
          <w:b w:val="0"/>
          <w:bCs/>
          <w:i w:val="0"/>
          <w:caps w:val="0"/>
          <w:spacing w:val="0"/>
          <w:w w:val="100"/>
          <w:kern w:val="2"/>
          <w:sz w:val="32"/>
          <w:szCs w:val="32"/>
          <w:lang w:val="en-US" w:eastAsia="zh-CN" w:bidi="ar-SA"/>
        </w:rPr>
        <w:t>0</w:t>
      </w:r>
      <w:r>
        <w:rPr>
          <w:rStyle w:val="35"/>
          <w:rFonts w:ascii="仿宋" w:hAnsi="仿宋" w:eastAsia="仿宋"/>
          <w:b w:val="0"/>
          <w:i w:val="0"/>
          <w:caps w:val="0"/>
          <w:spacing w:val="0"/>
          <w:w w:val="100"/>
          <w:kern w:val="2"/>
          <w:sz w:val="32"/>
          <w:szCs w:val="32"/>
          <w:lang w:val="en-US" w:eastAsia="zh-CN" w:bidi="ar-SA"/>
        </w:rPr>
        <w:t>个，其他事业单位0个。</w:t>
      </w:r>
    </w:p>
    <w:p w14:paraId="6B5C6F9C">
      <w:pPr>
        <w:numPr>
          <w:ilvl w:val="0"/>
          <w:numId w:val="0"/>
        </w:numPr>
        <w:ind w:leftChars="0" w:firstLine="640" w:firstLineChars="200"/>
        <w:rPr>
          <w:rStyle w:val="35"/>
          <w:rFonts w:ascii="仿宋" w:hAnsi="仿宋" w:eastAsia="仿宋"/>
          <w:b w:val="0"/>
          <w:i w:val="0"/>
          <w:caps w:val="0"/>
          <w:color w:val="000000"/>
          <w:spacing w:val="0"/>
          <w:w w:val="100"/>
          <w:kern w:val="0"/>
          <w:sz w:val="32"/>
          <w:szCs w:val="32"/>
          <w:lang w:val="en-US" w:eastAsia="zh-CN" w:bidi="ar-SA"/>
        </w:rPr>
      </w:pPr>
      <w:r>
        <w:rPr>
          <w:rStyle w:val="35"/>
          <w:rFonts w:ascii="仿宋" w:hAnsi="仿宋" w:eastAsia="仿宋"/>
          <w:b w:val="0"/>
          <w:i w:val="0"/>
          <w:caps w:val="0"/>
          <w:color w:val="000000"/>
          <w:spacing w:val="0"/>
          <w:w w:val="100"/>
          <w:kern w:val="0"/>
          <w:sz w:val="32"/>
          <w:szCs w:val="32"/>
          <w:lang w:val="en-US" w:eastAsia="zh-CN" w:bidi="ar-SA"/>
        </w:rPr>
        <w:t>无纳入</w:t>
      </w:r>
      <w:r>
        <w:rPr>
          <w:rStyle w:val="35"/>
          <w:rFonts w:ascii="仿宋" w:hAnsi="仿宋" w:eastAsia="仿宋"/>
          <w:b w:val="0"/>
          <w:i w:val="0"/>
          <w:caps w:val="0"/>
          <w:color w:val="000000"/>
          <w:spacing w:val="0"/>
          <w:w w:val="100"/>
          <w:kern w:val="0"/>
          <w:sz w:val="32"/>
          <w:szCs w:val="32"/>
          <w:lang w:val="en" w:eastAsia="zh-CN" w:bidi="ar-SA"/>
        </w:rPr>
        <w:t>县人大常委会办公室</w:t>
      </w:r>
      <w:r>
        <w:rPr>
          <w:rStyle w:val="35"/>
          <w:rFonts w:ascii="仿宋" w:hAnsi="仿宋" w:eastAsia="仿宋"/>
          <w:b w:val="0"/>
          <w:i w:val="0"/>
          <w:caps w:val="0"/>
          <w:color w:val="000000"/>
          <w:spacing w:val="0"/>
          <w:w w:val="100"/>
          <w:kern w:val="0"/>
          <w:sz w:val="32"/>
          <w:szCs w:val="32"/>
          <w:lang w:val="en-US" w:eastAsia="zh-CN" w:bidi="ar-SA"/>
        </w:rPr>
        <w:t>202</w:t>
      </w:r>
      <w:r>
        <w:rPr>
          <w:rStyle w:val="35"/>
          <w:rFonts w:hint="eastAsia" w:ascii="仿宋" w:hAnsi="仿宋" w:eastAsia="仿宋"/>
          <w:b w:val="0"/>
          <w:i w:val="0"/>
          <w:caps w:val="0"/>
          <w:color w:val="000000"/>
          <w:spacing w:val="0"/>
          <w:w w:val="100"/>
          <w:kern w:val="0"/>
          <w:sz w:val="32"/>
          <w:szCs w:val="32"/>
          <w:lang w:val="en-US" w:eastAsia="zh-CN" w:bidi="ar-SA"/>
        </w:rPr>
        <w:t>2</w:t>
      </w:r>
      <w:r>
        <w:rPr>
          <w:rStyle w:val="35"/>
          <w:rFonts w:ascii="仿宋" w:hAnsi="仿宋" w:eastAsia="仿宋"/>
          <w:b w:val="0"/>
          <w:i w:val="0"/>
          <w:caps w:val="0"/>
          <w:color w:val="000000"/>
          <w:spacing w:val="0"/>
          <w:w w:val="100"/>
          <w:kern w:val="0"/>
          <w:sz w:val="32"/>
          <w:szCs w:val="32"/>
          <w:lang w:val="en-US" w:eastAsia="zh-CN" w:bidi="ar-SA"/>
        </w:rPr>
        <w:t>年度部门决算编制范围的二级预算单位。</w:t>
      </w:r>
    </w:p>
    <w:p w14:paraId="7C18FB9A">
      <w:pPr>
        <w:numPr>
          <w:ilvl w:val="0"/>
          <w:numId w:val="0"/>
        </w:numPr>
        <w:rPr>
          <w:rStyle w:val="28"/>
          <w:rFonts w:hint="eastAsia" w:ascii="黑体" w:hAnsi="黑体" w:eastAsia="黑体" w:cstheme="minorBidi"/>
          <w:b w:val="0"/>
          <w:bCs/>
        </w:rPr>
      </w:pPr>
    </w:p>
    <w:p w14:paraId="75B42987">
      <w:pPr>
        <w:numPr>
          <w:ilvl w:val="0"/>
          <w:numId w:val="0"/>
        </w:numPr>
        <w:rPr>
          <w:rStyle w:val="28"/>
          <w:rFonts w:hint="eastAsia" w:ascii="黑体" w:hAnsi="黑体" w:eastAsia="黑体" w:cstheme="minorBidi"/>
          <w:b w:val="0"/>
          <w:bCs/>
        </w:rPr>
      </w:pPr>
    </w:p>
    <w:p w14:paraId="31EE2AE1">
      <w:pPr>
        <w:numPr>
          <w:ilvl w:val="0"/>
          <w:numId w:val="0"/>
        </w:numPr>
        <w:rPr>
          <w:rStyle w:val="28"/>
          <w:rFonts w:hint="eastAsia" w:ascii="黑体" w:hAnsi="黑体" w:eastAsia="黑体" w:cstheme="minorBidi"/>
          <w:b w:val="0"/>
          <w:bCs/>
        </w:rPr>
      </w:pPr>
    </w:p>
    <w:p w14:paraId="3AD322FF">
      <w:pPr>
        <w:numPr>
          <w:ilvl w:val="0"/>
          <w:numId w:val="0"/>
        </w:numPr>
        <w:rPr>
          <w:rStyle w:val="28"/>
          <w:rFonts w:hint="eastAsia" w:ascii="黑体" w:hAnsi="黑体" w:eastAsia="黑体" w:cstheme="minorBidi"/>
          <w:b w:val="0"/>
          <w:bCs/>
        </w:rPr>
      </w:pPr>
    </w:p>
    <w:p w14:paraId="67B94EA1">
      <w:pPr>
        <w:numPr>
          <w:ilvl w:val="0"/>
          <w:numId w:val="0"/>
        </w:numPr>
        <w:rPr>
          <w:rStyle w:val="28"/>
          <w:rFonts w:hint="eastAsia" w:ascii="黑体" w:hAnsi="黑体" w:eastAsia="黑体" w:cstheme="minorBidi"/>
          <w:b w:val="0"/>
          <w:bCs/>
        </w:rPr>
      </w:pPr>
    </w:p>
    <w:p w14:paraId="5CF1050C">
      <w:pPr>
        <w:numPr>
          <w:ilvl w:val="0"/>
          <w:numId w:val="0"/>
        </w:numPr>
        <w:rPr>
          <w:rStyle w:val="28"/>
          <w:rFonts w:hint="eastAsia" w:ascii="黑体" w:hAnsi="黑体" w:eastAsia="黑体" w:cstheme="minorBidi"/>
          <w:b w:val="0"/>
          <w:bCs/>
        </w:rPr>
      </w:pPr>
    </w:p>
    <w:p w14:paraId="79C6E0FE">
      <w:pPr>
        <w:numPr>
          <w:ilvl w:val="0"/>
          <w:numId w:val="0"/>
        </w:numPr>
        <w:rPr>
          <w:rStyle w:val="28"/>
          <w:rFonts w:hint="eastAsia" w:ascii="黑体" w:hAnsi="黑体" w:eastAsia="黑体" w:cstheme="minorBidi"/>
          <w:b w:val="0"/>
          <w:bCs/>
        </w:rPr>
      </w:pPr>
    </w:p>
    <w:p w14:paraId="635BCEF9">
      <w:pPr>
        <w:numPr>
          <w:ilvl w:val="0"/>
          <w:numId w:val="0"/>
        </w:numPr>
        <w:rPr>
          <w:rStyle w:val="28"/>
          <w:rFonts w:hint="eastAsia" w:ascii="黑体" w:hAnsi="黑体" w:eastAsia="黑体" w:cstheme="minorBidi"/>
          <w:b w:val="0"/>
          <w:bCs/>
        </w:rPr>
      </w:pPr>
    </w:p>
    <w:p w14:paraId="6C60AB79">
      <w:pPr>
        <w:numPr>
          <w:ilvl w:val="0"/>
          <w:numId w:val="0"/>
        </w:numPr>
        <w:rPr>
          <w:rStyle w:val="28"/>
          <w:rFonts w:ascii="黑体" w:hAnsi="黑体" w:eastAsia="黑体"/>
          <w:b w:val="0"/>
          <w:bCs/>
        </w:rPr>
      </w:pPr>
      <w:r>
        <w:rPr>
          <w:rStyle w:val="28"/>
          <w:rFonts w:hint="eastAsia" w:ascii="黑体" w:hAnsi="黑体" w:eastAsia="黑体" w:cstheme="minorBidi"/>
          <w:b w:val="0"/>
          <w:bCs/>
        </w:rPr>
        <w:t>第二部分 2022年度部门</w:t>
      </w:r>
      <w:r>
        <w:rPr>
          <w:rStyle w:val="28"/>
          <w:rFonts w:hint="eastAsia" w:ascii="黑体" w:hAnsi="黑体" w:eastAsia="黑体"/>
          <w:b w:val="0"/>
          <w:bCs/>
        </w:rPr>
        <w:t>决算情况说明</w:t>
      </w:r>
      <w:bookmarkEnd w:id="10"/>
      <w:bookmarkEnd w:id="11"/>
    </w:p>
    <w:p w14:paraId="2D9B8BD8"/>
    <w:p w14:paraId="4FDCACF0">
      <w:pPr>
        <w:pStyle w:val="27"/>
        <w:numPr>
          <w:ilvl w:val="0"/>
          <w:numId w:val="2"/>
        </w:numPr>
        <w:spacing w:line="600" w:lineRule="exact"/>
        <w:ind w:firstLineChars="0"/>
        <w:outlineLvl w:val="1"/>
        <w:rPr>
          <w:rStyle w:val="29"/>
          <w:rFonts w:ascii="黑体" w:hAnsi="黑体" w:eastAsia="黑体"/>
          <w:b w:val="0"/>
        </w:rPr>
      </w:pPr>
      <w:bookmarkStart w:id="12" w:name="_Toc15396603"/>
      <w:bookmarkStart w:id="13" w:name="_Toc15377205"/>
      <w:r>
        <w:rPr>
          <w:rFonts w:hint="eastAsia" w:ascii="黑体" w:hAnsi="黑体" w:eastAsia="黑体"/>
          <w:sz w:val="32"/>
          <w:szCs w:val="32"/>
        </w:rPr>
        <w:t>收</w:t>
      </w:r>
      <w:r>
        <w:rPr>
          <w:rStyle w:val="29"/>
          <w:rFonts w:hint="eastAsia" w:ascii="黑体" w:hAnsi="黑体" w:eastAsia="黑体"/>
          <w:b w:val="0"/>
        </w:rPr>
        <w:t>入支出决算总体情况说明</w:t>
      </w:r>
      <w:bookmarkEnd w:id="12"/>
      <w:bookmarkEnd w:id="13"/>
    </w:p>
    <w:p w14:paraId="16AD1539">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2022年度收、支总计</w:t>
      </w:r>
      <w:r>
        <w:rPr>
          <w:rFonts w:hint="eastAsia" w:ascii="仿宋" w:hAnsi="仿宋" w:eastAsia="仿宋"/>
          <w:sz w:val="32"/>
          <w:szCs w:val="32"/>
          <w:lang w:val="en-US" w:eastAsia="zh-CN"/>
        </w:rPr>
        <w:t>808.43</w:t>
      </w:r>
      <w:r>
        <w:rPr>
          <w:rFonts w:hint="eastAsia" w:ascii="仿宋" w:hAnsi="仿宋" w:eastAsia="仿宋"/>
          <w:sz w:val="32"/>
          <w:szCs w:val="32"/>
        </w:rPr>
        <w:t>万元。与2021年相比，收、支总计各减少</w:t>
      </w:r>
      <w:r>
        <w:rPr>
          <w:rFonts w:hint="eastAsia" w:ascii="仿宋" w:hAnsi="仿宋" w:eastAsia="仿宋"/>
          <w:sz w:val="32"/>
          <w:szCs w:val="32"/>
          <w:lang w:val="en-US" w:eastAsia="zh-CN"/>
        </w:rPr>
        <w:t>33.4</w:t>
      </w:r>
      <w:r>
        <w:rPr>
          <w:rFonts w:hint="eastAsia" w:ascii="仿宋" w:hAnsi="仿宋" w:eastAsia="仿宋"/>
          <w:sz w:val="32"/>
          <w:szCs w:val="32"/>
        </w:rPr>
        <w:t>万元，下降</w:t>
      </w:r>
      <w:r>
        <w:rPr>
          <w:rFonts w:hint="eastAsia" w:ascii="仿宋" w:hAnsi="仿宋" w:eastAsia="仿宋"/>
          <w:sz w:val="32"/>
          <w:szCs w:val="32"/>
          <w:lang w:val="en-US" w:eastAsia="zh-CN"/>
        </w:rPr>
        <w:t>3.97</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项目支出减少</w:t>
      </w:r>
      <w:r>
        <w:rPr>
          <w:rFonts w:hint="eastAsia" w:ascii="仿宋" w:hAnsi="仿宋" w:eastAsia="仿宋"/>
          <w:sz w:val="32"/>
          <w:szCs w:val="32"/>
        </w:rPr>
        <w:t>。</w:t>
      </w:r>
    </w:p>
    <w:p w14:paraId="078BBE6B">
      <w:pPr>
        <w:pStyle w:val="2"/>
        <w:rPr>
          <w:rFonts w:hint="eastAsia" w:ascii="仿宋" w:hAnsi="仿宋" w:eastAsia="仿宋"/>
          <w:sz w:val="32"/>
          <w:szCs w:val="32"/>
        </w:rPr>
      </w:pPr>
    </w:p>
    <w:p w14:paraId="51C10BA1">
      <w:pPr>
        <w:rPr>
          <w:rFonts w:hint="eastAsia" w:ascii="仿宋" w:hAnsi="仿宋" w:eastAsia="仿宋"/>
          <w:sz w:val="32"/>
          <w:szCs w:val="32"/>
        </w:rP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851FEA1">
      <w:pPr>
        <w:spacing w:line="600" w:lineRule="exact"/>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5F7132EE">
      <w:pPr>
        <w:spacing w:line="600" w:lineRule="exact"/>
        <w:ind w:firstLine="640" w:firstLineChars="200"/>
        <w:jc w:val="left"/>
        <w:rPr>
          <w:rFonts w:ascii="仿宋_GB2312" w:eastAsia="仿宋_GB2312"/>
          <w:sz w:val="32"/>
          <w:szCs w:val="32"/>
        </w:rPr>
      </w:pPr>
    </w:p>
    <w:p w14:paraId="622472FB">
      <w:pPr>
        <w:pStyle w:val="27"/>
        <w:numPr>
          <w:ilvl w:val="0"/>
          <w:numId w:val="2"/>
        </w:numPr>
        <w:spacing w:line="600" w:lineRule="exact"/>
        <w:ind w:firstLineChars="0"/>
        <w:outlineLvl w:val="1"/>
        <w:rPr>
          <w:rStyle w:val="29"/>
          <w:rFonts w:ascii="黑体" w:hAnsi="黑体" w:eastAsia="黑体"/>
          <w:b w:val="0"/>
        </w:rPr>
      </w:pPr>
      <w:bookmarkStart w:id="14" w:name="_Toc15396604"/>
      <w:bookmarkStart w:id="15" w:name="_Toc15377206"/>
      <w:r>
        <w:rPr>
          <w:rFonts w:hint="eastAsia" w:ascii="黑体" w:hAnsi="黑体" w:eastAsia="黑体"/>
          <w:sz w:val="32"/>
          <w:szCs w:val="32"/>
        </w:rPr>
        <w:t>收</w:t>
      </w:r>
      <w:r>
        <w:rPr>
          <w:rStyle w:val="29"/>
          <w:rFonts w:hint="eastAsia" w:ascii="黑体" w:hAnsi="黑体" w:eastAsia="黑体"/>
          <w:b w:val="0"/>
        </w:rPr>
        <w:t>入决算情况说明</w:t>
      </w:r>
      <w:bookmarkEnd w:id="14"/>
      <w:bookmarkEnd w:id="15"/>
    </w:p>
    <w:p w14:paraId="63E5CD2D">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808.43</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808.43</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14:paraId="1A8810D3">
      <w:pPr>
        <w:pStyle w:val="2"/>
        <w:rPr>
          <w:rFonts w:ascii="仿宋" w:hAnsi="仿宋" w:eastAsia="仿宋"/>
          <w:sz w:val="32"/>
          <w:szCs w:val="32"/>
        </w:rP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4A2B2F2">
      <w:pPr>
        <w:spacing w:line="600" w:lineRule="exact"/>
        <w:rPr>
          <w:rFonts w:ascii="仿宋" w:hAnsi="仿宋" w:eastAsia="仿宋"/>
          <w:sz w:val="32"/>
          <w:szCs w:val="32"/>
        </w:rPr>
      </w:pPr>
      <w:r>
        <w:rPr>
          <w:rFonts w:hint="eastAsia" w:ascii="仿宋" w:hAnsi="仿宋" w:eastAsia="仿宋"/>
          <w:sz w:val="32"/>
          <w:szCs w:val="32"/>
        </w:rPr>
        <w:t>（图2：收入决算结构图）（饼状图）</w:t>
      </w:r>
    </w:p>
    <w:p w14:paraId="3640EC4E">
      <w:pPr>
        <w:spacing w:line="600" w:lineRule="exact"/>
        <w:ind w:firstLine="640" w:firstLineChars="200"/>
        <w:rPr>
          <w:rFonts w:ascii="仿宋_GB2312" w:eastAsia="仿宋_GB2312"/>
          <w:sz w:val="32"/>
          <w:szCs w:val="32"/>
        </w:rPr>
      </w:pPr>
    </w:p>
    <w:p w14:paraId="01212F89">
      <w:pPr>
        <w:pStyle w:val="27"/>
        <w:numPr>
          <w:ilvl w:val="0"/>
          <w:numId w:val="2"/>
        </w:numPr>
        <w:spacing w:line="600" w:lineRule="exact"/>
        <w:ind w:firstLineChars="0"/>
        <w:outlineLvl w:val="1"/>
        <w:rPr>
          <w:rStyle w:val="29"/>
          <w:rFonts w:ascii="黑体" w:hAnsi="黑体" w:eastAsia="黑体"/>
          <w:b w:val="0"/>
        </w:rPr>
      </w:pPr>
      <w:bookmarkStart w:id="16" w:name="_Toc15396605"/>
      <w:bookmarkStart w:id="17" w:name="_Toc15377207"/>
      <w:r>
        <w:rPr>
          <w:rFonts w:hint="eastAsia" w:ascii="黑体" w:hAnsi="黑体" w:eastAsia="黑体"/>
          <w:sz w:val="32"/>
          <w:szCs w:val="32"/>
        </w:rPr>
        <w:t>支</w:t>
      </w:r>
      <w:r>
        <w:rPr>
          <w:rStyle w:val="29"/>
          <w:rFonts w:hint="eastAsia" w:ascii="黑体" w:hAnsi="黑体" w:eastAsia="黑体"/>
          <w:b w:val="0"/>
        </w:rPr>
        <w:t>出决算情况说明</w:t>
      </w:r>
      <w:bookmarkEnd w:id="16"/>
      <w:bookmarkEnd w:id="17"/>
    </w:p>
    <w:p w14:paraId="0160663F">
      <w:pPr>
        <w:spacing w:line="600" w:lineRule="exact"/>
        <w:ind w:firstLine="640" w:firstLineChars="200"/>
        <w:outlineLvl w:val="1"/>
        <w:rPr>
          <w:rFonts w:ascii="仿宋" w:hAnsi="仿宋" w:eastAsia="仿宋"/>
          <w:sz w:val="32"/>
          <w:szCs w:val="32"/>
          <w:shd w:val="pct10" w:color="auto" w:fill="FFFFFF"/>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808.43</w:t>
      </w:r>
      <w:r>
        <w:rPr>
          <w:rFonts w:hint="eastAsia" w:ascii="仿宋" w:hAnsi="仿宋" w:eastAsia="仿宋"/>
          <w:sz w:val="32"/>
          <w:szCs w:val="32"/>
        </w:rPr>
        <w:t>万元，其中：基本支出</w:t>
      </w:r>
      <w:r>
        <w:rPr>
          <w:rFonts w:hint="eastAsia" w:ascii="仿宋" w:hAnsi="仿宋" w:eastAsia="仿宋"/>
          <w:sz w:val="32"/>
          <w:szCs w:val="32"/>
          <w:lang w:val="en-US" w:eastAsia="zh-CN"/>
        </w:rPr>
        <w:t>808.43</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14:paraId="03860FCD">
      <w:pPr>
        <w:pStyle w:val="2"/>
        <w:rPr>
          <w:rFonts w:ascii="仿宋" w:hAnsi="仿宋" w:eastAsia="仿宋"/>
          <w:sz w:val="32"/>
          <w:szCs w:val="32"/>
          <w:shd w:val="pct10" w:color="auto" w:fill="FFFFFF"/>
        </w:rPr>
      </w:pPr>
      <w:r>
        <w:drawing>
          <wp:inline distT="0" distB="0" distL="114300" distR="114300">
            <wp:extent cx="4572000" cy="2743200"/>
            <wp:effectExtent l="4445" t="4445" r="14605" b="1460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559E0A8">
      <w:pPr>
        <w:spacing w:line="600" w:lineRule="exact"/>
        <w:rPr>
          <w:rFonts w:ascii="仿宋_GB2312" w:eastAsia="仿宋_GB2312"/>
          <w:sz w:val="32"/>
          <w:szCs w:val="32"/>
        </w:rPr>
      </w:pPr>
      <w:r>
        <w:rPr>
          <w:rFonts w:hint="eastAsia" w:ascii="仿宋" w:hAnsi="仿宋" w:eastAsia="仿宋"/>
          <w:sz w:val="32"/>
          <w:szCs w:val="32"/>
        </w:rPr>
        <w:t>（图3：支出决算结构图）（饼状图）</w:t>
      </w:r>
    </w:p>
    <w:p w14:paraId="6F25D36E">
      <w:pPr>
        <w:spacing w:line="600" w:lineRule="exact"/>
        <w:ind w:firstLine="640" w:firstLineChars="200"/>
        <w:outlineLvl w:val="1"/>
        <w:rPr>
          <w:rStyle w:val="29"/>
          <w:rFonts w:ascii="黑体" w:hAnsi="黑体" w:eastAsia="黑体"/>
          <w:b w:val="0"/>
        </w:rPr>
      </w:pPr>
      <w:bookmarkStart w:id="18" w:name="_Toc15377208"/>
      <w:bookmarkStart w:id="19" w:name="_Toc15396606"/>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18"/>
      <w:bookmarkEnd w:id="19"/>
    </w:p>
    <w:p w14:paraId="3F293C5F">
      <w:pPr>
        <w:spacing w:line="600" w:lineRule="exact"/>
        <w:ind w:firstLine="640"/>
        <w:rPr>
          <w:rFonts w:hint="eastAsia"/>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808.43</w:t>
      </w:r>
      <w:r>
        <w:rPr>
          <w:rFonts w:hint="eastAsia" w:ascii="仿宋" w:hAnsi="仿宋" w:eastAsia="仿宋"/>
          <w:sz w:val="32"/>
          <w:szCs w:val="32"/>
        </w:rPr>
        <w:t>元。与</w:t>
      </w:r>
      <w:r>
        <w:rPr>
          <w:rFonts w:ascii="仿宋" w:hAnsi="仿宋" w:eastAsia="仿宋"/>
          <w:sz w:val="32"/>
          <w:szCs w:val="32"/>
        </w:rPr>
        <w:t>20</w:t>
      </w:r>
      <w:r>
        <w:rPr>
          <w:rFonts w:hint="eastAsia" w:ascii="仿宋" w:hAnsi="仿宋" w:eastAsia="仿宋"/>
          <w:sz w:val="32"/>
          <w:szCs w:val="32"/>
        </w:rPr>
        <w:t>21年相比，财政拨款收、支总计各减少</w:t>
      </w:r>
      <w:r>
        <w:rPr>
          <w:rFonts w:hint="eastAsia" w:ascii="仿宋" w:hAnsi="仿宋" w:eastAsia="仿宋"/>
          <w:sz w:val="32"/>
          <w:szCs w:val="32"/>
          <w:lang w:val="en-US" w:eastAsia="zh-CN"/>
        </w:rPr>
        <w:t>33.4</w:t>
      </w:r>
      <w:r>
        <w:rPr>
          <w:rFonts w:hint="eastAsia" w:ascii="仿宋" w:hAnsi="仿宋" w:eastAsia="仿宋"/>
          <w:sz w:val="32"/>
          <w:szCs w:val="32"/>
        </w:rPr>
        <w:t>万元，下降</w:t>
      </w:r>
      <w:r>
        <w:rPr>
          <w:rFonts w:hint="eastAsia" w:ascii="仿宋" w:hAnsi="仿宋" w:eastAsia="仿宋"/>
          <w:sz w:val="32"/>
          <w:szCs w:val="32"/>
          <w:lang w:val="en-US" w:eastAsia="zh-CN"/>
        </w:rPr>
        <w:t>3.97</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项目支出减少。</w:t>
      </w:r>
    </w:p>
    <w:p w14:paraId="2899BA8D">
      <w:pPr>
        <w:pStyle w:val="2"/>
        <w:rPr>
          <w:rFonts w:ascii="仿宋" w:hAnsi="仿宋" w:eastAsia="仿宋"/>
          <w:b/>
          <w:sz w:val="32"/>
          <w:szCs w:val="32"/>
        </w:rPr>
      </w:pPr>
      <w:r>
        <w:drawing>
          <wp:inline distT="0" distB="0" distL="114300" distR="114300">
            <wp:extent cx="4572000" cy="2743200"/>
            <wp:effectExtent l="4445" t="4445" r="14605" b="14605"/>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6E9DE46">
      <w:pPr>
        <w:spacing w:line="600" w:lineRule="exact"/>
        <w:rPr>
          <w:rFonts w:ascii="仿宋" w:hAnsi="仿宋" w:eastAsia="仿宋"/>
          <w:sz w:val="32"/>
          <w:szCs w:val="32"/>
        </w:rPr>
      </w:pPr>
      <w:r>
        <w:rPr>
          <w:rFonts w:hint="eastAsia" w:ascii="仿宋" w:hAnsi="仿宋" w:eastAsia="仿宋"/>
          <w:sz w:val="32"/>
          <w:szCs w:val="32"/>
        </w:rPr>
        <w:t>（图4：财政拨款收、支决算总计变动情况）（柱状图）</w:t>
      </w:r>
    </w:p>
    <w:p w14:paraId="34AB4225">
      <w:pPr>
        <w:spacing w:line="600" w:lineRule="exact"/>
        <w:ind w:firstLine="640"/>
        <w:rPr>
          <w:rFonts w:ascii="仿宋" w:hAnsi="仿宋" w:eastAsia="仿宋"/>
          <w:b/>
          <w:sz w:val="32"/>
          <w:szCs w:val="32"/>
        </w:rPr>
      </w:pPr>
    </w:p>
    <w:p w14:paraId="5522D452">
      <w:pPr>
        <w:spacing w:line="600" w:lineRule="exact"/>
        <w:ind w:firstLine="640" w:firstLineChars="200"/>
        <w:outlineLvl w:val="1"/>
        <w:rPr>
          <w:rStyle w:val="29"/>
          <w:rFonts w:ascii="黑体" w:hAnsi="黑体" w:eastAsia="黑体"/>
          <w:b w:val="0"/>
        </w:rPr>
      </w:pPr>
      <w:bookmarkStart w:id="20" w:name="_Toc15377209"/>
      <w:bookmarkStart w:id="21" w:name="_Toc15396607"/>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20"/>
      <w:bookmarkEnd w:id="21"/>
    </w:p>
    <w:p w14:paraId="7158220B">
      <w:pPr>
        <w:spacing w:line="600" w:lineRule="exact"/>
        <w:ind w:firstLine="643" w:firstLineChars="200"/>
        <w:outlineLvl w:val="2"/>
        <w:rPr>
          <w:rFonts w:ascii="仿宋" w:hAnsi="仿宋" w:eastAsia="仿宋"/>
          <w:b/>
          <w:sz w:val="32"/>
          <w:szCs w:val="32"/>
        </w:rPr>
      </w:pPr>
      <w:bookmarkStart w:id="22" w:name="_Toc15377210"/>
      <w:r>
        <w:rPr>
          <w:rFonts w:hint="eastAsia" w:ascii="仿宋" w:hAnsi="仿宋" w:eastAsia="仿宋"/>
          <w:b/>
          <w:sz w:val="32"/>
          <w:szCs w:val="32"/>
        </w:rPr>
        <w:t>（一）一般公共预算财政拨款支出决算总体情况</w:t>
      </w:r>
      <w:bookmarkEnd w:id="22"/>
    </w:p>
    <w:p w14:paraId="7F4402CB">
      <w:pPr>
        <w:spacing w:line="600" w:lineRule="exact"/>
        <w:ind w:firstLine="640" w:firstLineChars="200"/>
        <w:rPr>
          <w:rFonts w:hint="eastAsia" w:ascii="仿宋" w:hAnsi="仿宋" w:eastAsia="仿宋"/>
          <w:sz w:val="32"/>
          <w:szCs w:val="32"/>
          <w:lang w:val="en-US" w:eastAsia="zh-CN"/>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808.43</w:t>
      </w:r>
      <w:r>
        <w:rPr>
          <w:rFonts w:hint="eastAsia" w:ascii="仿宋" w:hAnsi="仿宋" w:eastAsia="仿宋"/>
          <w:sz w:val="32"/>
          <w:szCs w:val="32"/>
        </w:rPr>
        <w:t>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w:t>
      </w:r>
      <w:r>
        <w:rPr>
          <w:rFonts w:hint="eastAsia" w:ascii="仿宋" w:hAnsi="仿宋" w:eastAsia="仿宋"/>
          <w:sz w:val="32"/>
          <w:szCs w:val="32"/>
          <w:lang w:val="en-US" w:eastAsia="zh-CN"/>
        </w:rPr>
        <w:t>33.4</w:t>
      </w:r>
      <w:r>
        <w:rPr>
          <w:rFonts w:hint="eastAsia" w:ascii="仿宋" w:hAnsi="仿宋" w:eastAsia="仿宋"/>
          <w:sz w:val="32"/>
          <w:szCs w:val="32"/>
        </w:rPr>
        <w:t>万元，下降</w:t>
      </w:r>
      <w:r>
        <w:rPr>
          <w:rFonts w:hint="eastAsia" w:ascii="仿宋" w:hAnsi="仿宋" w:eastAsia="仿宋"/>
          <w:sz w:val="32"/>
          <w:szCs w:val="32"/>
          <w:lang w:val="en-US" w:eastAsia="zh-CN"/>
        </w:rPr>
        <w:t>3.97</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项目支出减少。</w:t>
      </w:r>
    </w:p>
    <w:p w14:paraId="12D88508">
      <w:pPr>
        <w:pStyle w:val="2"/>
        <w:rPr>
          <w:rFonts w:hint="eastAsia" w:ascii="仿宋" w:hAnsi="仿宋" w:eastAsia="仿宋"/>
          <w:sz w:val="32"/>
          <w:szCs w:val="32"/>
          <w:lang w:val="en-US" w:eastAsia="zh-CN"/>
        </w:rPr>
      </w:pPr>
      <w:r>
        <w:drawing>
          <wp:inline distT="0" distB="0" distL="114300" distR="114300">
            <wp:extent cx="4572000" cy="2743200"/>
            <wp:effectExtent l="4445" t="4445" r="14605" b="14605"/>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79E1583">
      <w:pPr>
        <w:spacing w:line="600" w:lineRule="exact"/>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1D5AB615">
      <w:pPr>
        <w:spacing w:line="600" w:lineRule="exact"/>
        <w:ind w:firstLine="640" w:firstLineChars="200"/>
        <w:rPr>
          <w:rFonts w:ascii="仿宋" w:hAnsi="仿宋" w:eastAsia="仿宋"/>
          <w:sz w:val="32"/>
          <w:szCs w:val="32"/>
        </w:rPr>
      </w:pPr>
    </w:p>
    <w:p w14:paraId="6411309E">
      <w:pPr>
        <w:spacing w:line="600" w:lineRule="exact"/>
        <w:ind w:firstLine="643" w:firstLineChars="200"/>
        <w:outlineLvl w:val="2"/>
        <w:rPr>
          <w:rFonts w:ascii="仿宋" w:hAnsi="仿宋" w:eastAsia="仿宋"/>
          <w:b/>
          <w:sz w:val="32"/>
          <w:szCs w:val="32"/>
        </w:rPr>
      </w:pPr>
      <w:bookmarkStart w:id="23" w:name="_Toc15377211"/>
      <w:r>
        <w:rPr>
          <w:rFonts w:hint="eastAsia" w:ascii="仿宋" w:hAnsi="仿宋" w:eastAsia="仿宋"/>
          <w:b/>
          <w:sz w:val="32"/>
          <w:szCs w:val="32"/>
        </w:rPr>
        <w:t>（二）一般公共预算财政拨款支出决算结构情况</w:t>
      </w:r>
      <w:bookmarkEnd w:id="23"/>
    </w:p>
    <w:p w14:paraId="02CE153E">
      <w:pPr>
        <w:spacing w:line="600" w:lineRule="exact"/>
        <w:ind w:firstLine="640"/>
        <w:rPr>
          <w:rFonts w:hint="eastAsia"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808.43</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b/>
          <w:bCs/>
          <w:sz w:val="32"/>
          <w:szCs w:val="32"/>
          <w:lang w:val="en-US" w:eastAsia="zh-CN"/>
        </w:rPr>
        <w:t>680.49</w:t>
      </w:r>
      <w:r>
        <w:rPr>
          <w:rFonts w:hint="eastAsia" w:ascii="仿宋" w:hAnsi="仿宋" w:eastAsia="仿宋"/>
          <w:sz w:val="32"/>
          <w:szCs w:val="32"/>
        </w:rPr>
        <w:t>万元，占</w:t>
      </w:r>
      <w:r>
        <w:rPr>
          <w:rFonts w:hint="eastAsia" w:ascii="仿宋" w:hAnsi="仿宋" w:eastAsia="仿宋"/>
          <w:sz w:val="32"/>
          <w:szCs w:val="32"/>
          <w:lang w:val="en-US" w:eastAsia="zh-CN"/>
        </w:rPr>
        <w:t>84.17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b/>
          <w:bCs/>
          <w:sz w:val="32"/>
          <w:szCs w:val="32"/>
          <w:lang w:val="en-US" w:eastAsia="zh-CN"/>
        </w:rPr>
        <w:t>0</w:t>
      </w:r>
      <w:r>
        <w:rPr>
          <w:rFonts w:hint="eastAsia" w:ascii="仿宋" w:hAnsi="仿宋" w:eastAsia="仿宋"/>
          <w:b/>
          <w:bCs/>
          <w:sz w:val="32"/>
          <w:szCs w:val="32"/>
        </w:rPr>
        <w:t>元，占</w:t>
      </w:r>
      <w:r>
        <w:rPr>
          <w:rFonts w:hint="eastAsia" w:ascii="仿宋" w:hAnsi="仿宋" w:eastAsia="仿宋"/>
          <w:b/>
          <w:bCs/>
          <w:sz w:val="32"/>
          <w:szCs w:val="32"/>
          <w:lang w:val="en-US" w:eastAsia="zh-CN"/>
        </w:rPr>
        <w:t>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b/>
          <w:bCs/>
          <w:sz w:val="32"/>
          <w:szCs w:val="32"/>
          <w:lang w:val="en-US" w:eastAsia="zh-CN"/>
        </w:rPr>
        <w:t>56.86</w:t>
      </w:r>
      <w:r>
        <w:rPr>
          <w:rFonts w:hint="eastAsia" w:ascii="仿宋" w:hAnsi="仿宋" w:eastAsia="仿宋"/>
          <w:sz w:val="32"/>
          <w:szCs w:val="32"/>
        </w:rPr>
        <w:t>万元，占</w:t>
      </w:r>
      <w:r>
        <w:rPr>
          <w:rFonts w:hint="eastAsia" w:ascii="仿宋" w:hAnsi="仿宋" w:eastAsia="仿宋"/>
          <w:sz w:val="32"/>
          <w:szCs w:val="32"/>
          <w:lang w:val="en-US" w:eastAsia="zh-CN"/>
        </w:rPr>
        <w:t>7.03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b/>
          <w:bCs/>
          <w:sz w:val="32"/>
          <w:szCs w:val="32"/>
          <w:lang w:val="en-US" w:eastAsia="zh-CN"/>
        </w:rPr>
        <w:t>28.43</w:t>
      </w:r>
      <w:r>
        <w:rPr>
          <w:rFonts w:hint="eastAsia" w:ascii="仿宋" w:hAnsi="仿宋" w:eastAsia="仿宋"/>
          <w:sz w:val="32"/>
          <w:szCs w:val="32"/>
        </w:rPr>
        <w:t>万元，占</w:t>
      </w:r>
      <w:r>
        <w:rPr>
          <w:rFonts w:hint="eastAsia" w:ascii="仿宋" w:hAnsi="仿宋" w:eastAsia="仿宋"/>
          <w:sz w:val="32"/>
          <w:szCs w:val="32"/>
          <w:lang w:val="en-US" w:eastAsia="zh-CN"/>
        </w:rPr>
        <w:t>3.52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b/>
          <w:bCs/>
          <w:sz w:val="32"/>
          <w:szCs w:val="32"/>
          <w:lang w:val="en-US" w:eastAsia="zh-CN"/>
        </w:rPr>
        <w:t>42.64</w:t>
      </w:r>
      <w:r>
        <w:rPr>
          <w:rFonts w:hint="eastAsia" w:ascii="仿宋" w:hAnsi="仿宋" w:eastAsia="仿宋"/>
          <w:sz w:val="32"/>
          <w:szCs w:val="32"/>
        </w:rPr>
        <w:t>万元，占</w:t>
      </w:r>
      <w:r>
        <w:rPr>
          <w:rFonts w:hint="eastAsia" w:ascii="仿宋" w:hAnsi="仿宋" w:eastAsia="仿宋"/>
          <w:sz w:val="32"/>
          <w:szCs w:val="32"/>
          <w:lang w:val="en-US" w:eastAsia="zh-CN"/>
        </w:rPr>
        <w:t>5.27</w:t>
      </w:r>
      <w:r>
        <w:rPr>
          <w:rFonts w:ascii="仿宋" w:hAnsi="仿宋" w:eastAsia="仿宋"/>
          <w:sz w:val="32"/>
          <w:szCs w:val="32"/>
        </w:rPr>
        <w:t>%</w:t>
      </w:r>
      <w:r>
        <w:rPr>
          <w:rFonts w:hint="eastAsia" w:ascii="仿宋" w:hAnsi="仿宋" w:eastAsia="仿宋"/>
          <w:sz w:val="32"/>
          <w:szCs w:val="32"/>
        </w:rPr>
        <w:t>。</w:t>
      </w:r>
    </w:p>
    <w:p w14:paraId="4E881D16">
      <w:pPr>
        <w:pStyle w:val="2"/>
        <w:rPr>
          <w:rFonts w:hint="eastAsia" w:ascii="仿宋" w:hAnsi="仿宋" w:eastAsia="仿宋"/>
          <w:b/>
          <w:sz w:val="32"/>
          <w:szCs w:val="32"/>
        </w:rPr>
      </w:pPr>
      <w:r>
        <w:drawing>
          <wp:inline distT="0" distB="0" distL="114300" distR="114300">
            <wp:extent cx="4572000" cy="2743200"/>
            <wp:effectExtent l="4445" t="4445" r="14605" b="14605"/>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58E57BF">
      <w:pPr>
        <w:spacing w:line="600" w:lineRule="exact"/>
        <w:rPr>
          <w:rFonts w:ascii="仿宋" w:hAnsi="仿宋" w:eastAsia="仿宋"/>
          <w:sz w:val="32"/>
          <w:szCs w:val="32"/>
        </w:rPr>
      </w:pPr>
      <w:r>
        <w:rPr>
          <w:rFonts w:hint="eastAsia" w:ascii="仿宋" w:hAnsi="仿宋" w:eastAsia="仿宋"/>
          <w:sz w:val="32"/>
          <w:szCs w:val="32"/>
        </w:rPr>
        <w:t>（图6：一般公共预算财政拨款支出决算结构）（饼状图）</w:t>
      </w:r>
    </w:p>
    <w:p w14:paraId="0EDF663F">
      <w:pPr>
        <w:spacing w:line="600" w:lineRule="exact"/>
        <w:ind w:firstLine="640" w:firstLineChars="200"/>
        <w:rPr>
          <w:rFonts w:ascii="仿宋" w:hAnsi="仿宋" w:eastAsia="仿宋"/>
          <w:sz w:val="32"/>
          <w:szCs w:val="32"/>
        </w:rPr>
      </w:pPr>
    </w:p>
    <w:p w14:paraId="30BFFC63">
      <w:pPr>
        <w:spacing w:line="600" w:lineRule="exact"/>
        <w:ind w:firstLine="643" w:firstLineChars="200"/>
        <w:outlineLvl w:val="2"/>
        <w:rPr>
          <w:rFonts w:ascii="仿宋" w:hAnsi="仿宋" w:eastAsia="仿宋"/>
          <w:b/>
          <w:sz w:val="32"/>
          <w:szCs w:val="32"/>
        </w:rPr>
      </w:pPr>
      <w:bookmarkStart w:id="24" w:name="_Toc15377212"/>
      <w:r>
        <w:rPr>
          <w:rFonts w:hint="eastAsia" w:ascii="仿宋" w:hAnsi="仿宋" w:eastAsia="仿宋"/>
          <w:b/>
          <w:sz w:val="32"/>
          <w:szCs w:val="32"/>
        </w:rPr>
        <w:t>（三）一般公共预算财政拨款支出决算具体情况</w:t>
      </w:r>
      <w:bookmarkEnd w:id="24"/>
    </w:p>
    <w:p w14:paraId="5A70DB27">
      <w:pPr>
        <w:spacing w:line="600" w:lineRule="exact"/>
        <w:ind w:firstLine="643" w:firstLineChars="200"/>
        <w:outlineLvl w:val="2"/>
        <w:rPr>
          <w:rFonts w:ascii="仿宋" w:hAnsi="仿宋" w:eastAsia="仿宋"/>
          <w:sz w:val="32"/>
          <w:szCs w:val="32"/>
        </w:rPr>
      </w:pPr>
      <w:bookmarkStart w:id="25" w:name="_Toc15377444"/>
      <w:bookmarkStart w:id="26" w:name="_Toc15378460"/>
      <w:bookmarkStart w:id="27" w:name="_Toc15377213"/>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808.43万元</w:t>
      </w:r>
      <w:r>
        <w:rPr>
          <w:rFonts w:hint="eastAsia" w:ascii="仿宋" w:hAnsi="仿宋" w:eastAsia="仿宋"/>
          <w:sz w:val="32"/>
          <w:szCs w:val="32"/>
        </w:rPr>
        <w:t>，</w:t>
      </w:r>
      <w:r>
        <w:rPr>
          <w:rStyle w:val="17"/>
          <w:rFonts w:hint="eastAsia" w:ascii="仿宋" w:hAnsi="仿宋" w:eastAsia="仿宋"/>
          <w:bCs/>
          <w:sz w:val="32"/>
          <w:szCs w:val="32"/>
        </w:rPr>
        <w:t>完成预算</w:t>
      </w:r>
      <w:r>
        <w:rPr>
          <w:rStyle w:val="17"/>
          <w:rFonts w:hint="eastAsia" w:ascii="仿宋" w:hAnsi="仿宋" w:eastAsia="仿宋"/>
          <w:bCs/>
          <w:sz w:val="32"/>
          <w:szCs w:val="32"/>
          <w:lang w:val="en-US" w:eastAsia="zh-CN"/>
        </w:rPr>
        <w:t>100</w:t>
      </w:r>
      <w:r>
        <w:rPr>
          <w:rStyle w:val="17"/>
          <w:rFonts w:ascii="仿宋" w:hAnsi="仿宋" w:eastAsia="仿宋"/>
          <w:bCs/>
          <w:sz w:val="32"/>
          <w:szCs w:val="32"/>
        </w:rPr>
        <w:t>%</w:t>
      </w:r>
      <w:r>
        <w:rPr>
          <w:rStyle w:val="17"/>
          <w:rFonts w:hint="eastAsia" w:ascii="仿宋" w:hAnsi="仿宋" w:eastAsia="仿宋"/>
          <w:bCs/>
          <w:sz w:val="32"/>
          <w:szCs w:val="32"/>
        </w:rPr>
        <w:t>。其中：</w:t>
      </w:r>
      <w:bookmarkEnd w:id="25"/>
      <w:bookmarkEnd w:id="26"/>
      <w:bookmarkEnd w:id="27"/>
    </w:p>
    <w:p w14:paraId="5066C879">
      <w:pPr>
        <w:numPr>
          <w:ilvl w:val="0"/>
          <w:numId w:val="3"/>
        </w:num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rPr>
        <w:t>一般公共服务（类）</w:t>
      </w:r>
      <w:r>
        <w:rPr>
          <w:rStyle w:val="17"/>
          <w:rFonts w:hint="eastAsia" w:ascii="仿宋" w:hAnsi="仿宋" w:eastAsia="仿宋"/>
          <w:bCs/>
          <w:color w:val="auto"/>
          <w:sz w:val="32"/>
          <w:szCs w:val="32"/>
          <w:lang w:eastAsia="zh-CN"/>
        </w:rPr>
        <w:t>人大事务</w:t>
      </w:r>
      <w:r>
        <w:rPr>
          <w:rStyle w:val="17"/>
          <w:rFonts w:hint="eastAsia" w:ascii="仿宋" w:hAnsi="仿宋" w:eastAsia="仿宋"/>
          <w:bCs/>
          <w:color w:val="auto"/>
          <w:sz w:val="32"/>
          <w:szCs w:val="32"/>
          <w:lang w:val="en-US" w:eastAsia="zh-CN"/>
        </w:rPr>
        <w:t>(</w:t>
      </w:r>
      <w:r>
        <w:rPr>
          <w:rStyle w:val="17"/>
          <w:rFonts w:hint="eastAsia" w:ascii="仿宋" w:hAnsi="仿宋" w:eastAsia="仿宋"/>
          <w:bCs/>
          <w:color w:val="auto"/>
          <w:sz w:val="32"/>
          <w:szCs w:val="32"/>
        </w:rPr>
        <w:t>款）</w:t>
      </w:r>
      <w:r>
        <w:rPr>
          <w:rStyle w:val="17"/>
          <w:rFonts w:hint="eastAsia" w:ascii="仿宋" w:hAnsi="仿宋" w:eastAsia="仿宋"/>
          <w:bCs/>
          <w:color w:val="auto"/>
          <w:sz w:val="32"/>
          <w:szCs w:val="32"/>
          <w:lang w:val="en-US" w:eastAsia="zh-CN"/>
        </w:rPr>
        <w:t>行政运行</w:t>
      </w:r>
      <w:r>
        <w:rPr>
          <w:rStyle w:val="17"/>
          <w:rFonts w:hint="eastAsia" w:ascii="仿宋" w:hAnsi="仿宋" w:eastAsia="仿宋"/>
          <w:bCs/>
          <w:color w:val="auto"/>
          <w:sz w:val="32"/>
          <w:szCs w:val="32"/>
        </w:rPr>
        <w:t>（项）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657.00万</w:t>
      </w:r>
      <w:r>
        <w:rPr>
          <w:rStyle w:val="17"/>
          <w:rFonts w:hint="eastAsia" w:ascii="仿宋" w:hAnsi="仿宋" w:eastAsia="仿宋"/>
          <w:b w:val="0"/>
          <w:bCs/>
          <w:sz w:val="32"/>
          <w:szCs w:val="32"/>
        </w:rPr>
        <w:t>元，完成预算</w:t>
      </w:r>
      <w:r>
        <w:rPr>
          <w:rStyle w:val="17"/>
          <w:rFonts w:hint="eastAsia" w:ascii="仿宋" w:hAnsi="仿宋" w:eastAsia="仿宋"/>
          <w:b w:val="0"/>
          <w:bCs/>
          <w:sz w:val="32"/>
          <w:szCs w:val="32"/>
          <w:lang w:val="en-US" w:eastAsia="zh-CN"/>
        </w:rPr>
        <w:t>100%</w:t>
      </w:r>
      <w:r>
        <w:rPr>
          <w:rStyle w:val="17"/>
          <w:rFonts w:hint="eastAsia" w:ascii="仿宋" w:hAnsi="仿宋" w:eastAsia="仿宋"/>
          <w:b w:val="0"/>
          <w:bCs/>
          <w:sz w:val="32"/>
          <w:szCs w:val="32"/>
        </w:rPr>
        <w:t>，决算数等于预算数</w:t>
      </w:r>
      <w:r>
        <w:rPr>
          <w:rStyle w:val="17"/>
          <w:rFonts w:hint="eastAsia" w:ascii="仿宋" w:hAnsi="仿宋" w:eastAsia="仿宋"/>
          <w:b w:val="0"/>
          <w:bCs/>
          <w:sz w:val="32"/>
          <w:szCs w:val="32"/>
          <w:lang w:eastAsia="zh-CN"/>
        </w:rPr>
        <w:t>。</w:t>
      </w:r>
    </w:p>
    <w:p w14:paraId="7BFFF975">
      <w:pPr>
        <w:pStyle w:val="2"/>
        <w:numPr>
          <w:ilvl w:val="0"/>
          <w:numId w:val="3"/>
        </w:numPr>
        <w:ind w:left="0" w:leftChars="0" w:firstLine="643" w:firstLineChars="200"/>
        <w:rPr>
          <w:rStyle w:val="17"/>
          <w:rFonts w:hint="eastAsia" w:ascii="仿宋" w:hAnsi="仿宋"/>
          <w:b w:val="0"/>
          <w:bCs/>
          <w:sz w:val="32"/>
          <w:szCs w:val="32"/>
          <w:lang w:val="en-US" w:eastAsia="zh-CN"/>
        </w:rPr>
      </w:pPr>
      <w:r>
        <w:rPr>
          <w:rStyle w:val="17"/>
          <w:rFonts w:hint="eastAsia" w:ascii="仿宋" w:hAnsi="仿宋" w:eastAsia="仿宋"/>
          <w:bCs/>
          <w:sz w:val="32"/>
          <w:szCs w:val="32"/>
        </w:rPr>
        <w:t>一般公共服务（类</w:t>
      </w:r>
      <w:r>
        <w:rPr>
          <w:rStyle w:val="17"/>
          <w:rFonts w:hint="eastAsia" w:ascii="仿宋" w:hAnsi="仿宋" w:eastAsia="仿宋"/>
          <w:bCs/>
          <w:color w:val="auto"/>
          <w:sz w:val="32"/>
          <w:szCs w:val="32"/>
        </w:rPr>
        <w:t>）</w:t>
      </w:r>
      <w:r>
        <w:rPr>
          <w:rStyle w:val="17"/>
          <w:rFonts w:hint="eastAsia" w:ascii="仿宋" w:hAnsi="仿宋" w:eastAsia="仿宋"/>
          <w:bCs/>
          <w:color w:val="auto"/>
          <w:sz w:val="32"/>
          <w:szCs w:val="32"/>
          <w:lang w:eastAsia="zh-CN"/>
        </w:rPr>
        <w:t>人大事务</w:t>
      </w:r>
      <w:r>
        <w:rPr>
          <w:rStyle w:val="17"/>
          <w:rFonts w:hint="eastAsia" w:ascii="仿宋" w:hAnsi="仿宋" w:eastAsia="仿宋"/>
          <w:bCs/>
          <w:color w:val="auto"/>
          <w:sz w:val="32"/>
          <w:szCs w:val="32"/>
          <w:lang w:val="en-US" w:eastAsia="zh-CN"/>
        </w:rPr>
        <w:t>(</w:t>
      </w:r>
      <w:r>
        <w:rPr>
          <w:rStyle w:val="17"/>
          <w:rFonts w:hint="eastAsia" w:ascii="仿宋" w:hAnsi="仿宋" w:eastAsia="仿宋"/>
          <w:bCs/>
          <w:color w:val="auto"/>
          <w:sz w:val="32"/>
          <w:szCs w:val="32"/>
        </w:rPr>
        <w:t>款）</w:t>
      </w:r>
      <w:r>
        <w:rPr>
          <w:rStyle w:val="17"/>
          <w:rFonts w:hint="eastAsia" w:ascii="仿宋" w:hAnsi="仿宋"/>
          <w:bCs/>
          <w:color w:val="auto"/>
          <w:sz w:val="32"/>
          <w:szCs w:val="32"/>
          <w:lang w:val="en-US" w:eastAsia="zh-CN"/>
        </w:rPr>
        <w:t>事业</w:t>
      </w:r>
      <w:r>
        <w:rPr>
          <w:rStyle w:val="17"/>
          <w:rFonts w:hint="eastAsia" w:ascii="仿宋" w:hAnsi="仿宋" w:eastAsia="仿宋"/>
          <w:bCs/>
          <w:color w:val="auto"/>
          <w:sz w:val="32"/>
          <w:szCs w:val="32"/>
          <w:lang w:val="en-US" w:eastAsia="zh-CN"/>
        </w:rPr>
        <w:t>运行</w:t>
      </w:r>
      <w:r>
        <w:rPr>
          <w:rStyle w:val="17"/>
          <w:rFonts w:hint="eastAsia" w:ascii="仿宋" w:hAnsi="仿宋" w:eastAsia="仿宋"/>
          <w:bCs/>
          <w:color w:val="auto"/>
          <w:sz w:val="32"/>
          <w:szCs w:val="32"/>
        </w:rPr>
        <w:t>（项）</w:t>
      </w:r>
      <w:r>
        <w:rPr>
          <w:rStyle w:val="17"/>
          <w:rFonts w:ascii="仿宋" w:hAnsi="仿宋" w:eastAsia="仿宋"/>
          <w:bCs/>
          <w:color w:val="auto"/>
          <w:sz w:val="32"/>
          <w:szCs w:val="32"/>
        </w:rPr>
        <w:t>:</w:t>
      </w:r>
      <w:r>
        <w:rPr>
          <w:rStyle w:val="17"/>
          <w:rFonts w:ascii="仿宋" w:hAnsi="仿宋" w:eastAsia="仿宋"/>
          <w:b w:val="0"/>
          <w:bCs/>
          <w:color w:val="auto"/>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b w:val="0"/>
          <w:bCs/>
          <w:sz w:val="32"/>
          <w:szCs w:val="32"/>
          <w:lang w:val="en-US" w:eastAsia="zh-CN"/>
        </w:rPr>
        <w:t>23.49万</w:t>
      </w:r>
      <w:r>
        <w:rPr>
          <w:rStyle w:val="17"/>
          <w:rFonts w:hint="eastAsia" w:ascii="仿宋" w:hAnsi="仿宋" w:eastAsia="仿宋"/>
          <w:b w:val="0"/>
          <w:bCs/>
          <w:sz w:val="32"/>
          <w:szCs w:val="32"/>
        </w:rPr>
        <w:t>元，完成预算</w:t>
      </w:r>
      <w:r>
        <w:rPr>
          <w:rStyle w:val="17"/>
          <w:rFonts w:hint="eastAsia" w:ascii="仿宋" w:hAnsi="仿宋" w:eastAsia="仿宋"/>
          <w:b w:val="0"/>
          <w:bCs/>
          <w:sz w:val="32"/>
          <w:szCs w:val="32"/>
          <w:lang w:val="en-US" w:eastAsia="zh-CN"/>
        </w:rPr>
        <w:t>100%</w:t>
      </w:r>
      <w:r>
        <w:rPr>
          <w:rStyle w:val="17"/>
          <w:rFonts w:hint="eastAsia" w:ascii="仿宋" w:hAnsi="仿宋" w:eastAsia="仿宋"/>
          <w:b w:val="0"/>
          <w:bCs/>
          <w:sz w:val="32"/>
          <w:szCs w:val="32"/>
        </w:rPr>
        <w:t>，决算数等于预算数</w:t>
      </w:r>
      <w:r>
        <w:rPr>
          <w:rStyle w:val="17"/>
          <w:rFonts w:hint="eastAsia" w:ascii="仿宋" w:hAnsi="仿宋"/>
          <w:b w:val="0"/>
          <w:bCs/>
          <w:sz w:val="32"/>
          <w:szCs w:val="32"/>
          <w:lang w:val="en-US" w:eastAsia="zh-CN"/>
        </w:rPr>
        <w:t>.</w:t>
      </w:r>
    </w:p>
    <w:p w14:paraId="411A1C3D">
      <w:pPr>
        <w:spacing w:line="600" w:lineRule="exact"/>
        <w:ind w:firstLine="643" w:firstLineChars="200"/>
        <w:rPr>
          <w:rFonts w:hint="eastAsia"/>
          <w:lang w:val="en-US" w:eastAsia="zh-CN"/>
        </w:rPr>
      </w:pPr>
      <w:r>
        <w:rPr>
          <w:rStyle w:val="17"/>
          <w:rFonts w:hint="eastAsia" w:ascii="仿宋" w:hAnsi="仿宋" w:eastAsia="仿宋"/>
          <w:bCs/>
          <w:sz w:val="32"/>
          <w:szCs w:val="32"/>
          <w:lang w:val="en-US" w:eastAsia="zh-CN"/>
        </w:rPr>
        <w:t>3</w:t>
      </w:r>
      <w:r>
        <w:rPr>
          <w:rStyle w:val="17"/>
          <w:rFonts w:ascii="仿宋" w:hAnsi="仿宋" w:eastAsia="仿宋"/>
          <w:bCs/>
          <w:sz w:val="32"/>
          <w:szCs w:val="32"/>
        </w:rPr>
        <w:t>.</w:t>
      </w:r>
      <w:r>
        <w:rPr>
          <w:rStyle w:val="17"/>
          <w:rFonts w:hint="eastAsia" w:ascii="仿宋" w:hAnsi="仿宋" w:eastAsia="仿宋"/>
          <w:bCs/>
          <w:sz w:val="32"/>
          <w:szCs w:val="32"/>
        </w:rPr>
        <w:t>社会保障和就业（类）</w:t>
      </w:r>
      <w:r>
        <w:rPr>
          <w:rStyle w:val="17"/>
          <w:rFonts w:hint="eastAsia" w:ascii="仿宋" w:hAnsi="仿宋" w:eastAsia="仿宋"/>
          <w:bCs/>
          <w:color w:val="auto"/>
          <w:sz w:val="32"/>
          <w:szCs w:val="32"/>
          <w:lang w:val="en-US" w:eastAsia="zh-CN"/>
        </w:rPr>
        <w:t>行政事业单位养老支出</w:t>
      </w:r>
      <w:r>
        <w:rPr>
          <w:rStyle w:val="17"/>
          <w:rFonts w:hint="eastAsia" w:ascii="仿宋" w:hAnsi="仿宋" w:eastAsia="仿宋"/>
          <w:bCs/>
          <w:color w:val="auto"/>
          <w:sz w:val="32"/>
          <w:szCs w:val="32"/>
        </w:rPr>
        <w:t>（款）</w:t>
      </w:r>
      <w:r>
        <w:rPr>
          <w:rStyle w:val="17"/>
          <w:rFonts w:hint="eastAsia" w:ascii="仿宋" w:hAnsi="仿宋" w:eastAsia="仿宋"/>
          <w:bCs/>
          <w:color w:val="auto"/>
          <w:sz w:val="32"/>
          <w:szCs w:val="32"/>
          <w:lang w:val="en-US" w:eastAsia="zh-CN"/>
        </w:rPr>
        <w:t>机关事业单位基本养老保险缴费支出</w:t>
      </w:r>
      <w:r>
        <w:rPr>
          <w:rStyle w:val="17"/>
          <w:rFonts w:hint="eastAsia" w:ascii="仿宋" w:hAnsi="仿宋" w:eastAsia="仿宋"/>
          <w:bCs/>
          <w:color w:val="auto"/>
          <w:sz w:val="32"/>
          <w:szCs w:val="32"/>
        </w:rPr>
        <w:t>（项）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56.86</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14:paraId="785AC7E8">
      <w:pPr>
        <w:spacing w:line="600" w:lineRule="exact"/>
        <w:ind w:firstLine="643" w:firstLineChars="200"/>
        <w:rPr>
          <w:rStyle w:val="17"/>
          <w:rFonts w:hint="eastAsia" w:ascii="仿宋" w:hAnsi="仿宋" w:eastAsia="仿宋"/>
          <w:b w:val="0"/>
          <w:bCs/>
          <w:sz w:val="32"/>
          <w:szCs w:val="32"/>
          <w:lang w:eastAsia="zh-CN"/>
        </w:rPr>
      </w:pPr>
      <w:r>
        <w:rPr>
          <w:rStyle w:val="17"/>
          <w:rFonts w:hint="eastAsia" w:ascii="仿宋" w:hAnsi="仿宋" w:eastAsia="仿宋"/>
          <w:bCs/>
          <w:sz w:val="32"/>
          <w:szCs w:val="32"/>
          <w:lang w:val="en-US" w:eastAsia="zh-CN"/>
        </w:rPr>
        <w:t>4</w:t>
      </w:r>
      <w:r>
        <w:rPr>
          <w:rStyle w:val="17"/>
          <w:rFonts w:ascii="仿宋" w:hAnsi="仿宋" w:eastAsia="仿宋"/>
          <w:bCs/>
          <w:sz w:val="32"/>
          <w:szCs w:val="32"/>
        </w:rPr>
        <w:t>.</w:t>
      </w:r>
      <w:r>
        <w:rPr>
          <w:rFonts w:hint="eastAsia" w:ascii="仿宋" w:hAnsi="仿宋" w:eastAsia="仿宋"/>
          <w:b/>
          <w:bCs/>
          <w:sz w:val="32"/>
          <w:szCs w:val="32"/>
        </w:rPr>
        <w:t>卫生健康</w:t>
      </w:r>
      <w:r>
        <w:rPr>
          <w:rStyle w:val="17"/>
          <w:rFonts w:hint="eastAsia" w:ascii="仿宋" w:hAnsi="仿宋" w:eastAsia="仿宋"/>
          <w:bCs/>
          <w:sz w:val="32"/>
          <w:szCs w:val="32"/>
        </w:rPr>
        <w:t>（类）</w:t>
      </w:r>
      <w:r>
        <w:rPr>
          <w:rStyle w:val="17"/>
          <w:rFonts w:hint="eastAsia" w:ascii="仿宋" w:hAnsi="仿宋" w:eastAsia="仿宋"/>
          <w:bCs/>
          <w:sz w:val="32"/>
          <w:szCs w:val="32"/>
          <w:lang w:val="en-US" w:eastAsia="zh-CN"/>
        </w:rPr>
        <w:t>行政事业单位医疗</w:t>
      </w:r>
      <w:r>
        <w:rPr>
          <w:rStyle w:val="17"/>
          <w:rFonts w:hint="eastAsia" w:ascii="仿宋" w:hAnsi="仿宋" w:eastAsia="仿宋"/>
          <w:bCs/>
          <w:color w:val="auto"/>
          <w:sz w:val="32"/>
          <w:szCs w:val="32"/>
        </w:rPr>
        <w:t>（款）</w:t>
      </w:r>
      <w:r>
        <w:rPr>
          <w:rStyle w:val="17"/>
          <w:rFonts w:hint="eastAsia" w:ascii="仿宋" w:hAnsi="仿宋" w:eastAsia="仿宋"/>
          <w:bCs/>
          <w:color w:val="auto"/>
          <w:sz w:val="32"/>
          <w:szCs w:val="32"/>
          <w:lang w:val="en-US" w:eastAsia="zh-CN"/>
        </w:rPr>
        <w:t>行政单位医疗</w:t>
      </w:r>
      <w:r>
        <w:rPr>
          <w:rStyle w:val="17"/>
          <w:rFonts w:hint="eastAsia" w:ascii="仿宋" w:hAnsi="仿宋" w:eastAsia="仿宋"/>
          <w:bCs/>
          <w:color w:val="auto"/>
          <w:sz w:val="32"/>
          <w:szCs w:val="32"/>
        </w:rPr>
        <w:t>（项）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27.35</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r>
        <w:rPr>
          <w:rStyle w:val="17"/>
          <w:rFonts w:hint="eastAsia" w:ascii="仿宋" w:hAnsi="仿宋" w:eastAsia="仿宋"/>
          <w:b w:val="0"/>
          <w:bCs/>
          <w:sz w:val="32"/>
          <w:szCs w:val="32"/>
          <w:lang w:eastAsia="zh-CN"/>
        </w:rPr>
        <w:t>。</w:t>
      </w:r>
    </w:p>
    <w:p w14:paraId="51436F18">
      <w:pPr>
        <w:spacing w:line="600" w:lineRule="exact"/>
        <w:ind w:firstLine="643" w:firstLineChars="200"/>
        <w:rPr>
          <w:rStyle w:val="17"/>
          <w:rFonts w:hint="eastAsia" w:ascii="仿宋" w:hAnsi="仿宋" w:eastAsia="仿宋"/>
          <w:b w:val="0"/>
          <w:bCs/>
          <w:sz w:val="32"/>
          <w:szCs w:val="32"/>
          <w:lang w:eastAsia="zh-CN"/>
        </w:rPr>
      </w:pPr>
      <w:r>
        <w:rPr>
          <w:rStyle w:val="17"/>
          <w:rFonts w:hint="eastAsia" w:ascii="仿宋" w:hAnsi="仿宋" w:eastAsia="仿宋"/>
          <w:bCs/>
          <w:sz w:val="32"/>
          <w:szCs w:val="32"/>
          <w:lang w:val="en-US" w:eastAsia="zh-CN"/>
        </w:rPr>
        <w:t>5</w:t>
      </w:r>
      <w:r>
        <w:rPr>
          <w:rStyle w:val="17"/>
          <w:rFonts w:ascii="仿宋" w:hAnsi="仿宋" w:eastAsia="仿宋"/>
          <w:bCs/>
          <w:sz w:val="32"/>
          <w:szCs w:val="32"/>
        </w:rPr>
        <w:t>.</w:t>
      </w:r>
      <w:r>
        <w:rPr>
          <w:rFonts w:hint="eastAsia" w:ascii="仿宋" w:hAnsi="仿宋" w:eastAsia="仿宋"/>
          <w:b/>
          <w:bCs/>
          <w:sz w:val="32"/>
          <w:szCs w:val="32"/>
        </w:rPr>
        <w:t>卫生健康</w:t>
      </w:r>
      <w:r>
        <w:rPr>
          <w:rStyle w:val="17"/>
          <w:rFonts w:hint="eastAsia" w:ascii="仿宋" w:hAnsi="仿宋" w:eastAsia="仿宋"/>
          <w:bCs/>
          <w:sz w:val="32"/>
          <w:szCs w:val="32"/>
        </w:rPr>
        <w:t>（类）</w:t>
      </w:r>
      <w:r>
        <w:rPr>
          <w:rStyle w:val="17"/>
          <w:rFonts w:hint="eastAsia" w:ascii="仿宋" w:hAnsi="仿宋" w:eastAsia="仿宋"/>
          <w:bCs/>
          <w:sz w:val="32"/>
          <w:szCs w:val="32"/>
          <w:lang w:val="en-US" w:eastAsia="zh-CN"/>
        </w:rPr>
        <w:t>行政事业单位医疗</w:t>
      </w:r>
      <w:r>
        <w:rPr>
          <w:rStyle w:val="17"/>
          <w:rFonts w:hint="eastAsia" w:ascii="仿宋" w:hAnsi="仿宋" w:eastAsia="仿宋"/>
          <w:bCs/>
          <w:color w:val="auto"/>
          <w:sz w:val="32"/>
          <w:szCs w:val="32"/>
        </w:rPr>
        <w:t>（款）</w:t>
      </w:r>
      <w:r>
        <w:rPr>
          <w:rStyle w:val="17"/>
          <w:rFonts w:hint="eastAsia" w:ascii="仿宋" w:hAnsi="仿宋" w:eastAsia="仿宋"/>
          <w:bCs/>
          <w:color w:val="auto"/>
          <w:sz w:val="32"/>
          <w:szCs w:val="32"/>
          <w:lang w:val="en-US" w:eastAsia="zh-CN"/>
        </w:rPr>
        <w:t>事业单位医疗</w:t>
      </w:r>
      <w:r>
        <w:rPr>
          <w:rStyle w:val="17"/>
          <w:rFonts w:hint="eastAsia" w:ascii="仿宋" w:hAnsi="仿宋" w:eastAsia="仿宋"/>
          <w:bCs/>
          <w:color w:val="auto"/>
          <w:sz w:val="32"/>
          <w:szCs w:val="32"/>
        </w:rPr>
        <w:t>（项）</w:t>
      </w:r>
      <w:r>
        <w:rPr>
          <w:rStyle w:val="17"/>
          <w:rFonts w:ascii="仿宋" w:hAnsi="仿宋" w:eastAsia="仿宋"/>
          <w:bCs/>
          <w:color w:val="auto"/>
          <w:sz w:val="32"/>
          <w:szCs w:val="32"/>
        </w:rPr>
        <w:t>:</w:t>
      </w:r>
      <w:r>
        <w:rPr>
          <w:rStyle w:val="17"/>
          <w:rFonts w:hint="eastAsia" w:ascii="仿宋" w:hAnsi="仿宋" w:eastAsia="仿宋"/>
          <w:b w:val="0"/>
          <w:bCs/>
          <w:color w:val="auto"/>
          <w:sz w:val="32"/>
          <w:szCs w:val="32"/>
        </w:rPr>
        <w:t>支出决算为</w:t>
      </w:r>
      <w:r>
        <w:rPr>
          <w:rStyle w:val="17"/>
          <w:rFonts w:hint="eastAsia" w:ascii="仿宋" w:hAnsi="仿宋" w:eastAsia="仿宋"/>
          <w:b w:val="0"/>
          <w:bCs/>
          <w:color w:val="auto"/>
          <w:sz w:val="32"/>
          <w:szCs w:val="32"/>
          <w:lang w:val="en-US" w:eastAsia="zh-CN"/>
        </w:rPr>
        <w:t>1.08</w:t>
      </w:r>
      <w:r>
        <w:rPr>
          <w:rStyle w:val="17"/>
          <w:rFonts w:hint="eastAsia" w:ascii="仿宋" w:hAnsi="仿宋" w:eastAsia="仿宋"/>
          <w:b w:val="0"/>
          <w:bCs/>
          <w:color w:val="auto"/>
          <w:sz w:val="32"/>
          <w:szCs w:val="32"/>
        </w:rPr>
        <w:t>万元，完成</w:t>
      </w:r>
      <w:r>
        <w:rPr>
          <w:rStyle w:val="17"/>
          <w:rFonts w:hint="eastAsia" w:ascii="仿宋" w:hAnsi="仿宋" w:eastAsia="仿宋"/>
          <w:b w:val="0"/>
          <w:bCs/>
          <w:sz w:val="32"/>
          <w:szCs w:val="32"/>
        </w:rPr>
        <w:t>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r>
        <w:rPr>
          <w:rStyle w:val="17"/>
          <w:rFonts w:hint="eastAsia" w:ascii="仿宋" w:hAnsi="仿宋" w:eastAsia="仿宋"/>
          <w:b w:val="0"/>
          <w:bCs/>
          <w:sz w:val="32"/>
          <w:szCs w:val="32"/>
          <w:lang w:eastAsia="zh-CN"/>
        </w:rPr>
        <w:t>。</w:t>
      </w:r>
    </w:p>
    <w:p w14:paraId="5E88104B">
      <w:pPr>
        <w:spacing w:line="600" w:lineRule="exact"/>
        <w:ind w:firstLine="643" w:firstLineChars="200"/>
        <w:rPr>
          <w:rFonts w:ascii="仿宋" w:hAnsi="仿宋" w:eastAsia="仿宋"/>
          <w:b/>
          <w:sz w:val="32"/>
          <w:szCs w:val="32"/>
        </w:rPr>
      </w:pPr>
      <w:r>
        <w:rPr>
          <w:rStyle w:val="35"/>
          <w:rFonts w:hint="eastAsia" w:ascii="仿宋" w:hAnsi="仿宋" w:cs="Times New Roman"/>
          <w:b/>
          <w:bCs/>
          <w:i w:val="0"/>
          <w:caps w:val="0"/>
          <w:color w:val="000000"/>
          <w:spacing w:val="0"/>
          <w:w w:val="100"/>
          <w:kern w:val="2"/>
          <w:sz w:val="32"/>
          <w:szCs w:val="32"/>
          <w:lang w:val="en-US" w:eastAsia="zh-CN" w:bidi="ar-SA"/>
        </w:rPr>
        <w:t>6.</w:t>
      </w:r>
      <w:r>
        <w:rPr>
          <w:rStyle w:val="35"/>
          <w:rFonts w:ascii="仿宋" w:hAnsi="仿宋" w:eastAsia="仿宋" w:cs="Times New Roman"/>
          <w:b/>
          <w:bCs/>
          <w:i w:val="0"/>
          <w:caps w:val="0"/>
          <w:color w:val="000000"/>
          <w:spacing w:val="0"/>
          <w:w w:val="100"/>
          <w:kern w:val="2"/>
          <w:sz w:val="32"/>
          <w:szCs w:val="32"/>
          <w:lang w:val="en-US" w:eastAsia="zh-CN" w:bidi="ar-SA"/>
        </w:rPr>
        <w:t>住房保障</w:t>
      </w:r>
      <w:r>
        <w:rPr>
          <w:rStyle w:val="35"/>
          <w:rFonts w:hint="eastAsia" w:ascii="仿宋" w:hAnsi="仿宋" w:cs="Times New Roman"/>
          <w:b/>
          <w:bCs/>
          <w:i w:val="0"/>
          <w:caps w:val="0"/>
          <w:color w:val="000000"/>
          <w:spacing w:val="0"/>
          <w:w w:val="100"/>
          <w:kern w:val="2"/>
          <w:sz w:val="32"/>
          <w:szCs w:val="32"/>
          <w:lang w:val="en-US" w:eastAsia="zh-CN" w:bidi="ar-SA"/>
        </w:rPr>
        <w:t>支出</w:t>
      </w:r>
      <w:r>
        <w:rPr>
          <w:rStyle w:val="35"/>
          <w:rFonts w:ascii="仿宋" w:hAnsi="仿宋" w:eastAsia="仿宋" w:cs="Times New Roman"/>
          <w:b/>
          <w:bCs/>
          <w:i w:val="0"/>
          <w:caps w:val="0"/>
          <w:color w:val="000000"/>
          <w:spacing w:val="0"/>
          <w:w w:val="100"/>
          <w:kern w:val="2"/>
          <w:sz w:val="32"/>
          <w:szCs w:val="32"/>
          <w:lang w:val="en-US" w:eastAsia="zh-CN" w:bidi="ar-SA"/>
        </w:rPr>
        <w:t>（类）住房改革支出（款）住房公积金（项）：</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42.64</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r>
        <w:rPr>
          <w:rStyle w:val="17"/>
          <w:rFonts w:hint="eastAsia" w:ascii="仿宋" w:hAnsi="仿宋" w:eastAsia="仿宋"/>
          <w:b w:val="0"/>
          <w:bCs/>
          <w:sz w:val="32"/>
          <w:szCs w:val="32"/>
          <w:lang w:eastAsia="zh-CN"/>
        </w:rPr>
        <w:t>。</w:t>
      </w:r>
    </w:p>
    <w:p w14:paraId="7940BC54">
      <w:pPr>
        <w:spacing w:line="600" w:lineRule="exact"/>
        <w:ind w:firstLine="640"/>
        <w:rPr>
          <w:rFonts w:ascii="仿宋" w:hAnsi="仿宋" w:eastAsia="仿宋"/>
          <w:b/>
          <w:sz w:val="32"/>
          <w:szCs w:val="32"/>
        </w:rPr>
      </w:pPr>
    </w:p>
    <w:p w14:paraId="3B66B255">
      <w:pPr>
        <w:tabs>
          <w:tab w:val="right" w:pos="8306"/>
        </w:tabs>
        <w:spacing w:line="600" w:lineRule="exact"/>
        <w:ind w:firstLine="640"/>
        <w:outlineLvl w:val="1"/>
        <w:rPr>
          <w:rStyle w:val="29"/>
        </w:rPr>
      </w:pPr>
      <w:bookmarkStart w:id="28" w:name="_Toc15396608"/>
      <w:bookmarkStart w:id="29"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28"/>
      <w:bookmarkEnd w:id="29"/>
      <w:r>
        <w:rPr>
          <w:rStyle w:val="29"/>
          <w:rFonts w:ascii="黑体" w:hAnsi="黑体" w:eastAsia="黑体"/>
          <w:b w:val="0"/>
        </w:rPr>
        <w:tab/>
      </w:r>
    </w:p>
    <w:p w14:paraId="59286ED2">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808.43</w:t>
      </w:r>
      <w:r>
        <w:rPr>
          <w:rFonts w:hint="eastAsia" w:ascii="仿宋" w:hAnsi="仿宋" w:eastAsia="仿宋"/>
          <w:sz w:val="32"/>
          <w:szCs w:val="32"/>
        </w:rPr>
        <w:t>万元，其中：</w:t>
      </w:r>
    </w:p>
    <w:p w14:paraId="46822E31">
      <w:pPr>
        <w:spacing w:line="600" w:lineRule="exact"/>
        <w:ind w:firstLine="645"/>
        <w:rPr>
          <w:rFonts w:ascii="仿宋" w:hAnsi="仿宋" w:eastAsia="仿宋"/>
          <w:sz w:val="32"/>
          <w:szCs w:val="32"/>
        </w:rPr>
      </w:pPr>
      <w:r>
        <w:rPr>
          <w:rFonts w:hint="eastAsia" w:ascii="仿宋" w:hAnsi="仿宋" w:eastAsia="仿宋"/>
          <w:color w:val="auto"/>
          <w:sz w:val="32"/>
          <w:szCs w:val="32"/>
        </w:rPr>
        <w:t>人员经费</w:t>
      </w:r>
      <w:r>
        <w:rPr>
          <w:rFonts w:hint="eastAsia" w:ascii="仿宋" w:hAnsi="仿宋" w:eastAsia="仿宋"/>
          <w:sz w:val="32"/>
          <w:szCs w:val="32"/>
          <w:lang w:val="en-US" w:eastAsia="zh-CN"/>
        </w:rPr>
        <w:t>694.73</w:t>
      </w:r>
      <w:r>
        <w:rPr>
          <w:rFonts w:hint="eastAsia" w:ascii="仿宋" w:hAnsi="仿宋" w:eastAsia="仿宋"/>
          <w:sz w:val="32"/>
          <w:szCs w:val="32"/>
        </w:rPr>
        <w:t>万元，主要包括：基本工资、津贴补贴、奖金、绩效工资、机关事业单位基本养老保险缴费、其他社会保障缴费、住房公积金、其他对个人和家庭的补助支出等。</w:t>
      </w:r>
      <w:r>
        <w:rPr>
          <w:rFonts w:ascii="仿宋" w:hAnsi="仿宋" w:eastAsia="仿宋"/>
          <w:sz w:val="32"/>
          <w:szCs w:val="32"/>
        </w:rPr>
        <w:br w:type="textWrapping"/>
      </w:r>
      <w:r>
        <w:rPr>
          <w:rFonts w:hint="eastAsia" w:ascii="仿宋" w:hAnsi="仿宋" w:eastAsia="仿宋"/>
          <w:sz w:val="32"/>
          <w:szCs w:val="32"/>
        </w:rPr>
        <w:t>　　</w:t>
      </w:r>
      <w:r>
        <w:rPr>
          <w:rFonts w:hint="eastAsia" w:ascii="仿宋" w:hAnsi="仿宋" w:eastAsia="仿宋"/>
          <w:color w:val="auto"/>
          <w:sz w:val="32"/>
          <w:szCs w:val="32"/>
        </w:rPr>
        <w:t>公用经费</w:t>
      </w:r>
      <w:r>
        <w:rPr>
          <w:rFonts w:hint="eastAsia" w:ascii="仿宋" w:hAnsi="仿宋" w:eastAsia="仿宋"/>
          <w:sz w:val="32"/>
          <w:szCs w:val="32"/>
          <w:lang w:val="en-US" w:eastAsia="zh-CN"/>
        </w:rPr>
        <w:t>113.69</w:t>
      </w:r>
      <w:r>
        <w:rPr>
          <w:rFonts w:hint="eastAsia" w:ascii="仿宋" w:hAnsi="仿宋" w:eastAsia="仿宋"/>
          <w:sz w:val="32"/>
          <w:szCs w:val="32"/>
        </w:rPr>
        <w:t>万元，主要包括：办公费、印刷费、水费、电费、邮电费、差旅费、维修（护）费、公务接待费、劳务费、工会经费、其他交通费等。</w:t>
      </w:r>
    </w:p>
    <w:p w14:paraId="3D9630F5">
      <w:pPr>
        <w:spacing w:line="600" w:lineRule="exact"/>
        <w:ind w:firstLine="640"/>
        <w:rPr>
          <w:rFonts w:ascii="仿宋" w:hAnsi="仿宋" w:eastAsia="仿宋"/>
          <w:b/>
          <w:sz w:val="32"/>
          <w:szCs w:val="32"/>
        </w:rPr>
      </w:pPr>
    </w:p>
    <w:p w14:paraId="075CBCFD">
      <w:pPr>
        <w:spacing w:line="600" w:lineRule="exact"/>
        <w:ind w:firstLine="640"/>
        <w:outlineLvl w:val="1"/>
        <w:rPr>
          <w:rStyle w:val="29"/>
          <w:rFonts w:ascii="黑体" w:hAnsi="黑体" w:eastAsia="黑体"/>
          <w:b w:val="0"/>
        </w:rPr>
      </w:pPr>
      <w:bookmarkStart w:id="30" w:name="_Toc15377215"/>
      <w:bookmarkStart w:id="31" w:name="_Toc15396609"/>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30"/>
      <w:bookmarkEnd w:id="31"/>
    </w:p>
    <w:p w14:paraId="4044C8B9">
      <w:pPr>
        <w:spacing w:line="600" w:lineRule="exact"/>
        <w:ind w:firstLine="640"/>
        <w:outlineLvl w:val="2"/>
        <w:rPr>
          <w:rFonts w:ascii="仿宋" w:hAnsi="仿宋" w:eastAsia="仿宋"/>
          <w:b/>
          <w:sz w:val="32"/>
          <w:szCs w:val="32"/>
        </w:rPr>
      </w:pPr>
      <w:bookmarkStart w:id="32" w:name="_Toc15377216"/>
      <w:r>
        <w:rPr>
          <w:rFonts w:hint="eastAsia" w:ascii="仿宋" w:hAnsi="仿宋" w:eastAsia="仿宋"/>
          <w:b/>
          <w:sz w:val="32"/>
          <w:szCs w:val="32"/>
        </w:rPr>
        <w:t>（一）“三公”经费财政拨款支出决算总体情况说明</w:t>
      </w:r>
      <w:bookmarkEnd w:id="32"/>
    </w:p>
    <w:p w14:paraId="170998BB">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9.11</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，较上年增加</w:t>
      </w:r>
      <w:r>
        <w:rPr>
          <w:rFonts w:hint="eastAsia" w:ascii="仿宋" w:hAnsi="仿宋" w:eastAsia="仿宋"/>
          <w:sz w:val="32"/>
          <w:szCs w:val="32"/>
          <w:lang w:val="en-US" w:eastAsia="zh-CN"/>
        </w:rPr>
        <w:t>0.61</w:t>
      </w:r>
      <w:r>
        <w:rPr>
          <w:rFonts w:hint="eastAsia" w:ascii="仿宋" w:hAnsi="仿宋" w:eastAsia="仿宋"/>
          <w:sz w:val="32"/>
          <w:szCs w:val="32"/>
        </w:rPr>
        <w:t>万元，增长</w:t>
      </w:r>
      <w:r>
        <w:rPr>
          <w:rFonts w:hint="eastAsia" w:ascii="仿宋" w:hAnsi="仿宋" w:eastAsia="仿宋"/>
          <w:sz w:val="32"/>
          <w:szCs w:val="32"/>
          <w:lang w:val="en-US" w:eastAsia="zh-CN"/>
        </w:rPr>
        <w:t>7.17</w:t>
      </w:r>
      <w:r>
        <w:rPr>
          <w:rFonts w:hint="eastAsia" w:ascii="仿宋" w:hAnsi="仿宋" w:eastAsia="仿宋"/>
          <w:sz w:val="32"/>
          <w:szCs w:val="32"/>
        </w:rPr>
        <w:t>%。</w:t>
      </w:r>
    </w:p>
    <w:p w14:paraId="4AB09349">
      <w:pPr>
        <w:spacing w:line="600" w:lineRule="exact"/>
        <w:ind w:firstLine="640"/>
        <w:outlineLvl w:val="2"/>
        <w:rPr>
          <w:rFonts w:ascii="仿宋" w:hAnsi="仿宋" w:eastAsia="仿宋"/>
          <w:b/>
          <w:sz w:val="32"/>
          <w:szCs w:val="32"/>
        </w:rPr>
      </w:pPr>
      <w:bookmarkStart w:id="33" w:name="_Toc15377217"/>
      <w:r>
        <w:rPr>
          <w:rFonts w:hint="eastAsia" w:ascii="仿宋" w:hAnsi="仿宋" w:eastAsia="仿宋"/>
          <w:b/>
          <w:sz w:val="32"/>
          <w:szCs w:val="32"/>
        </w:rPr>
        <w:t>（二）“三公”经费财政拨款支出决算具体情况说明</w:t>
      </w:r>
      <w:bookmarkEnd w:id="33"/>
    </w:p>
    <w:p w14:paraId="3E5DD748">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9.11</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14:paraId="7C0DE1EA">
      <w:pPr>
        <w:pStyle w:val="2"/>
      </w:pPr>
      <w:r>
        <w:drawing>
          <wp:inline distT="0" distB="0" distL="114300" distR="114300">
            <wp:extent cx="4847590" cy="2695575"/>
            <wp:effectExtent l="4445" t="5080" r="5715" b="4445"/>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CA5723C">
      <w:pPr>
        <w:pStyle w:val="2"/>
        <w:rPr>
          <w:rFonts w:ascii="仿宋" w:hAnsi="仿宋" w:eastAsia="仿宋"/>
          <w:sz w:val="32"/>
          <w:szCs w:val="32"/>
        </w:rPr>
      </w:pPr>
      <w:r>
        <w:rPr>
          <w:rFonts w:hint="eastAsia" w:ascii="仿宋" w:hAnsi="仿宋" w:eastAsia="仿宋"/>
          <w:sz w:val="32"/>
          <w:szCs w:val="32"/>
        </w:rPr>
        <w:t>（图7：“三公”经费财政拨款支出结构）（饼状图）</w:t>
      </w:r>
    </w:p>
    <w:p w14:paraId="40C105F6">
      <w:pPr>
        <w:numPr>
          <w:ilvl w:val="0"/>
          <w:numId w:val="4"/>
        </w:numPr>
        <w:spacing w:line="600" w:lineRule="exact"/>
        <w:ind w:firstLine="640"/>
      </w:pP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hint="eastAsia" w:ascii="仿宋" w:hAnsi="仿宋" w:eastAsia="仿宋"/>
          <w:b w:val="0"/>
          <w:bCs/>
          <w:sz w:val="32"/>
          <w:szCs w:val="32"/>
          <w:lang w:val="en-US" w:eastAsia="zh-CN"/>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r>
        <w:rPr>
          <w:rFonts w:hint="eastAsia" w:ascii="仿宋_GB2312" w:eastAsia="仿宋_GB2312"/>
          <w:sz w:val="32"/>
          <w:szCs w:val="32"/>
          <w:lang w:eastAsia="zh-CN"/>
        </w:rPr>
        <w:t>。</w:t>
      </w:r>
    </w:p>
    <w:p w14:paraId="2364C486">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元,</w:t>
      </w:r>
      <w:r>
        <w:rPr>
          <w:rStyle w:val="17"/>
          <w:rFonts w:hint="eastAsia" w:ascii="仿宋" w:hAnsi="仿宋" w:eastAsia="仿宋"/>
          <w:b w:val="0"/>
          <w:bCs/>
          <w:sz w:val="32"/>
          <w:szCs w:val="32"/>
        </w:rPr>
        <w:t>完成预算</w:t>
      </w:r>
      <w:r>
        <w:rPr>
          <w:rStyle w:val="17"/>
          <w:rFonts w:hint="eastAsia" w:ascii="仿宋" w:hAnsi="仿宋" w:eastAsia="仿宋"/>
          <w:b w:val="0"/>
          <w:bCs/>
          <w:sz w:val="32"/>
          <w:szCs w:val="32"/>
          <w:lang w:val="en-US" w:eastAsia="zh-CN"/>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1F2FC5A2">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14:paraId="4BEA2DEA">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万元。所需的公务用车燃料费、维修费、过路过桥费、保险费等支出。</w:t>
      </w:r>
    </w:p>
    <w:p w14:paraId="7AF64DBF">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9.11</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0.61</w:t>
      </w:r>
      <w:r>
        <w:rPr>
          <w:rFonts w:hint="eastAsia" w:ascii="仿宋_GB2312" w:eastAsia="仿宋_GB2312"/>
          <w:sz w:val="32"/>
          <w:szCs w:val="32"/>
        </w:rPr>
        <w:t>万元，增长</w:t>
      </w:r>
      <w:r>
        <w:rPr>
          <w:rFonts w:hint="eastAsia" w:ascii="仿宋_GB2312" w:eastAsia="仿宋_GB2312"/>
          <w:sz w:val="32"/>
          <w:szCs w:val="32"/>
          <w:lang w:val="en-US" w:eastAsia="zh-CN"/>
        </w:rPr>
        <w:t>7.17</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公务活动增多</w:t>
      </w:r>
      <w:r>
        <w:rPr>
          <w:rFonts w:hint="eastAsia" w:ascii="仿宋_GB2312" w:eastAsia="仿宋_GB2312"/>
          <w:sz w:val="32"/>
          <w:szCs w:val="32"/>
        </w:rPr>
        <w:t>。其中：</w:t>
      </w:r>
    </w:p>
    <w:p w14:paraId="2C5FCE5D">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9.11</w:t>
      </w:r>
      <w:r>
        <w:rPr>
          <w:rFonts w:hint="eastAsia" w:ascii="仿宋_GB2312" w:eastAsia="仿宋_GB2312"/>
          <w:sz w:val="32"/>
          <w:szCs w:val="32"/>
        </w:rPr>
        <w:t>万元，主要用</w:t>
      </w:r>
      <w:r>
        <w:rPr>
          <w:rFonts w:hint="eastAsia" w:ascii="仿宋_GB2312" w:eastAsia="仿宋_GB2312"/>
          <w:color w:val="auto"/>
          <w:sz w:val="32"/>
          <w:szCs w:val="32"/>
        </w:rPr>
        <w:t>于执行公务、开展业务活动开支的交通费、住宿费、用餐费等。</w:t>
      </w:r>
      <w:r>
        <w:rPr>
          <w:rFonts w:hint="eastAsia" w:ascii="仿宋_GB2312" w:eastAsia="仿宋_GB2312"/>
          <w:sz w:val="32"/>
          <w:szCs w:val="32"/>
        </w:rPr>
        <w:t>国内公务接待</w:t>
      </w:r>
      <w:r>
        <w:rPr>
          <w:rFonts w:hint="eastAsia" w:ascii="仿宋_GB2312" w:eastAsia="仿宋_GB2312"/>
          <w:sz w:val="32"/>
          <w:szCs w:val="32"/>
          <w:lang w:val="en-US" w:eastAsia="zh-CN"/>
        </w:rPr>
        <w:t>145</w:t>
      </w:r>
      <w:r>
        <w:rPr>
          <w:rFonts w:hint="eastAsia" w:ascii="仿宋_GB2312" w:eastAsia="仿宋_GB2312"/>
          <w:sz w:val="32"/>
          <w:szCs w:val="32"/>
        </w:rPr>
        <w:t>批次，</w:t>
      </w:r>
      <w:r>
        <w:rPr>
          <w:rFonts w:hint="eastAsia" w:ascii="仿宋_GB2312" w:eastAsia="仿宋_GB2312"/>
          <w:sz w:val="32"/>
          <w:szCs w:val="32"/>
          <w:lang w:val="en-US" w:eastAsia="zh-CN"/>
        </w:rPr>
        <w:t>768</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9.11</w:t>
      </w:r>
      <w:r>
        <w:rPr>
          <w:rFonts w:hint="eastAsia" w:ascii="仿宋_GB2312" w:eastAsia="仿宋_GB2312"/>
          <w:sz w:val="32"/>
          <w:szCs w:val="32"/>
        </w:rPr>
        <w:t>万元）。</w:t>
      </w:r>
    </w:p>
    <w:p w14:paraId="5843B867">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0683F515">
      <w:pPr>
        <w:spacing w:line="600" w:lineRule="exact"/>
        <w:ind w:firstLine="640"/>
        <w:outlineLvl w:val="1"/>
        <w:rPr>
          <w:rFonts w:ascii="黑体" w:eastAsia="黑体"/>
          <w:sz w:val="32"/>
          <w:szCs w:val="32"/>
        </w:rPr>
      </w:pPr>
      <w:bookmarkStart w:id="34" w:name="_Toc15396610"/>
      <w:bookmarkStart w:id="35" w:name="_Toc15377218"/>
    </w:p>
    <w:p w14:paraId="59506D10">
      <w:pPr>
        <w:spacing w:line="600" w:lineRule="exact"/>
        <w:ind w:firstLine="640"/>
        <w:outlineLvl w:val="1"/>
        <w:rPr>
          <w:rStyle w:val="29"/>
          <w:rFonts w:ascii="黑体" w:hAnsi="黑体" w:eastAsia="黑体"/>
        </w:rPr>
      </w:pPr>
      <w:r>
        <w:rPr>
          <w:rFonts w:hint="eastAsia" w:ascii="黑体" w:eastAsia="黑体"/>
          <w:sz w:val="32"/>
          <w:szCs w:val="32"/>
        </w:rPr>
        <w:t>八、</w:t>
      </w:r>
      <w:r>
        <w:rPr>
          <w:rStyle w:val="29"/>
          <w:rFonts w:hint="eastAsia" w:ascii="黑体" w:hAnsi="黑体" w:eastAsia="黑体"/>
          <w:b w:val="0"/>
        </w:rPr>
        <w:t>政府性基金预算支出决算情况说明</w:t>
      </w:r>
      <w:bookmarkEnd w:id="34"/>
      <w:bookmarkEnd w:id="35"/>
    </w:p>
    <w:p w14:paraId="28991F03">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7B7E0AB8">
      <w:pPr>
        <w:spacing w:line="600" w:lineRule="exact"/>
        <w:ind w:firstLine="640"/>
        <w:rPr>
          <w:rFonts w:ascii="仿宋_GB2312" w:eastAsia="仿宋_GB2312"/>
          <w:sz w:val="32"/>
          <w:szCs w:val="32"/>
        </w:rPr>
      </w:pPr>
    </w:p>
    <w:p w14:paraId="64B0F053">
      <w:pPr>
        <w:numPr>
          <w:ilvl w:val="0"/>
          <w:numId w:val="5"/>
        </w:numPr>
        <w:spacing w:line="600" w:lineRule="exact"/>
        <w:ind w:firstLine="640"/>
        <w:outlineLvl w:val="1"/>
        <w:rPr>
          <w:rStyle w:val="29"/>
          <w:rFonts w:ascii="黑体" w:hAnsi="黑体" w:eastAsia="黑体"/>
          <w:b w:val="0"/>
        </w:rPr>
      </w:pPr>
      <w:bookmarkStart w:id="36" w:name="_Toc15396611"/>
      <w:bookmarkStart w:id="37" w:name="_Toc15377219"/>
      <w:r>
        <w:rPr>
          <w:rStyle w:val="29"/>
          <w:rFonts w:hint="eastAsia" w:ascii="黑体" w:hAnsi="黑体" w:eastAsia="黑体"/>
          <w:b w:val="0"/>
        </w:rPr>
        <w:t>国有资本经营预算支出决算情况说明</w:t>
      </w:r>
      <w:bookmarkEnd w:id="36"/>
      <w:bookmarkEnd w:id="37"/>
    </w:p>
    <w:p w14:paraId="00969DE8">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46826260">
      <w:pPr>
        <w:spacing w:line="580" w:lineRule="exact"/>
        <w:jc w:val="center"/>
        <w:rPr>
          <w:rFonts w:ascii="方正小标宋简体" w:hAnsi="方正小标宋简体" w:eastAsia="方正小标宋简体" w:cs="方正小标宋简体"/>
          <w:sz w:val="44"/>
          <w:szCs w:val="44"/>
        </w:rPr>
      </w:pPr>
    </w:p>
    <w:p w14:paraId="45FDCC48">
      <w:pPr>
        <w:numPr>
          <w:ilvl w:val="0"/>
          <w:numId w:val="5"/>
        </w:numPr>
        <w:spacing w:line="600" w:lineRule="exact"/>
        <w:ind w:firstLine="640"/>
        <w:outlineLvl w:val="1"/>
        <w:rPr>
          <w:rStyle w:val="29"/>
          <w:rFonts w:ascii="黑体" w:hAnsi="黑体" w:eastAsia="黑体"/>
          <w:b w:val="0"/>
        </w:rPr>
      </w:pPr>
      <w:bookmarkStart w:id="38" w:name="_Toc15377221"/>
      <w:bookmarkStart w:id="39" w:name="_Toc15396612"/>
      <w:r>
        <w:rPr>
          <w:rStyle w:val="29"/>
          <w:rFonts w:hint="eastAsia" w:ascii="黑体" w:hAnsi="黑体" w:eastAsia="黑体"/>
          <w:b w:val="0"/>
        </w:rPr>
        <w:t>其他重要事项的情况说明</w:t>
      </w:r>
      <w:bookmarkEnd w:id="38"/>
      <w:bookmarkEnd w:id="39"/>
    </w:p>
    <w:p w14:paraId="4062F41B">
      <w:pPr>
        <w:spacing w:line="600" w:lineRule="exact"/>
        <w:ind w:firstLine="643" w:firstLineChars="200"/>
        <w:outlineLvl w:val="2"/>
        <w:rPr>
          <w:rFonts w:ascii="仿宋" w:hAnsi="仿宋" w:eastAsia="仿宋"/>
          <w:sz w:val="32"/>
          <w:szCs w:val="32"/>
        </w:rPr>
      </w:pPr>
      <w:bookmarkStart w:id="40" w:name="_Toc15377222"/>
      <w:r>
        <w:rPr>
          <w:rFonts w:hint="eastAsia" w:ascii="仿宋" w:hAnsi="仿宋" w:eastAsia="仿宋"/>
          <w:b/>
          <w:sz w:val="32"/>
          <w:szCs w:val="32"/>
        </w:rPr>
        <w:t>（一）机关运行经费支出情况</w:t>
      </w:r>
      <w:bookmarkEnd w:id="40"/>
    </w:p>
    <w:p w14:paraId="02561F52">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Style w:val="35"/>
          <w:rFonts w:ascii="仿宋_GB2312" w:eastAsia="仿宋_GB2312"/>
          <w:b w:val="0"/>
          <w:i w:val="0"/>
          <w:caps w:val="0"/>
          <w:color w:val="000000"/>
          <w:spacing w:val="0"/>
          <w:w w:val="100"/>
          <w:kern w:val="2"/>
          <w:sz w:val="32"/>
          <w:szCs w:val="32"/>
          <w:lang w:val="en" w:eastAsia="zh-CN" w:bidi="ar-SA"/>
        </w:rPr>
        <w:t>县人大常委会办公室</w:t>
      </w:r>
      <w:r>
        <w:rPr>
          <w:rStyle w:val="35"/>
          <w:rFonts w:ascii="仿宋_GB2312" w:hAnsi="Times New Roman" w:eastAsia="仿宋_GB2312"/>
          <w:b w:val="0"/>
          <w:i w:val="0"/>
          <w:caps w:val="0"/>
          <w:color w:val="000000"/>
          <w:spacing w:val="0"/>
          <w:w w:val="100"/>
          <w:kern w:val="2"/>
          <w:sz w:val="32"/>
          <w:szCs w:val="32"/>
          <w:lang w:val="en-US" w:eastAsia="zh-CN" w:bidi="ar-SA"/>
        </w:rPr>
        <w:t>机关运行经费</w:t>
      </w:r>
      <w:r>
        <w:rPr>
          <w:rFonts w:hint="eastAsia" w:ascii="仿宋_GB2312" w:eastAsia="仿宋_GB2312"/>
          <w:sz w:val="32"/>
          <w:szCs w:val="32"/>
        </w:rPr>
        <w:t>支出</w:t>
      </w:r>
      <w:r>
        <w:rPr>
          <w:rFonts w:hint="eastAsia" w:ascii="仿宋_GB2312" w:eastAsia="仿宋_GB2312"/>
          <w:sz w:val="32"/>
          <w:szCs w:val="32"/>
          <w:lang w:val="en-US" w:eastAsia="zh-CN"/>
        </w:rPr>
        <w:t>113.69</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21年增</w:t>
      </w:r>
      <w:r>
        <w:rPr>
          <w:rFonts w:hint="eastAsia" w:ascii="仿宋_GB2312" w:eastAsia="仿宋_GB2312"/>
          <w:color w:val="auto"/>
          <w:sz w:val="32"/>
          <w:szCs w:val="32"/>
        </w:rPr>
        <w:t>加</w:t>
      </w:r>
      <w:r>
        <w:rPr>
          <w:rFonts w:hint="eastAsia" w:ascii="仿宋_GB2312" w:eastAsia="仿宋_GB2312"/>
          <w:color w:val="auto"/>
          <w:sz w:val="32"/>
          <w:szCs w:val="32"/>
          <w:lang w:val="en-US" w:eastAsia="zh-CN"/>
        </w:rPr>
        <w:t>23.99</w:t>
      </w:r>
      <w:r>
        <w:rPr>
          <w:rFonts w:hint="eastAsia" w:ascii="仿宋_GB2312" w:eastAsia="仿宋_GB2312"/>
          <w:color w:val="auto"/>
          <w:sz w:val="32"/>
          <w:szCs w:val="32"/>
        </w:rPr>
        <w:t>万</w:t>
      </w:r>
      <w:r>
        <w:rPr>
          <w:rFonts w:hint="eastAsia" w:ascii="仿宋_GB2312" w:eastAsia="仿宋_GB2312"/>
          <w:sz w:val="32"/>
          <w:szCs w:val="32"/>
        </w:rPr>
        <w:t>元，增长</w:t>
      </w:r>
      <w:r>
        <w:rPr>
          <w:rFonts w:hint="eastAsia" w:ascii="仿宋_GB2312" w:eastAsia="仿宋_GB2312"/>
          <w:sz w:val="32"/>
          <w:szCs w:val="32"/>
          <w:lang w:val="en-US" w:eastAsia="zh-CN"/>
        </w:rPr>
        <w:t>26.7</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人员增加</w:t>
      </w:r>
      <w:r>
        <w:rPr>
          <w:rFonts w:hint="eastAsia" w:ascii="仿宋_GB2312" w:eastAsia="仿宋_GB2312"/>
          <w:sz w:val="32"/>
          <w:szCs w:val="32"/>
        </w:rPr>
        <w:t>。</w:t>
      </w:r>
    </w:p>
    <w:p w14:paraId="1F928F61">
      <w:pPr>
        <w:autoSpaceDE w:val="0"/>
        <w:autoSpaceDN w:val="0"/>
        <w:adjustRightInd w:val="0"/>
        <w:spacing w:line="600" w:lineRule="exact"/>
        <w:ind w:firstLine="643" w:firstLineChars="200"/>
        <w:jc w:val="left"/>
        <w:outlineLvl w:val="2"/>
        <w:rPr>
          <w:rFonts w:ascii="仿宋" w:hAnsi="仿宋" w:eastAsia="仿宋"/>
          <w:b/>
          <w:sz w:val="32"/>
          <w:szCs w:val="32"/>
        </w:rPr>
      </w:pPr>
      <w:bookmarkStart w:id="41" w:name="_Toc15377223"/>
      <w:r>
        <w:rPr>
          <w:rFonts w:hint="eastAsia" w:ascii="仿宋" w:hAnsi="仿宋" w:eastAsia="仿宋"/>
          <w:b/>
          <w:sz w:val="32"/>
          <w:szCs w:val="32"/>
        </w:rPr>
        <w:t>（二）政府采购支出情况</w:t>
      </w:r>
      <w:bookmarkEnd w:id="41"/>
    </w:p>
    <w:p w14:paraId="3105E914">
      <w:pPr>
        <w:spacing w:line="600" w:lineRule="exact"/>
        <w:ind w:firstLine="640" w:firstLineChars="200"/>
        <w:rPr>
          <w:rFonts w:ascii="仿宋" w:hAnsi="仿宋" w:eastAsia="仿宋"/>
          <w:b/>
          <w:sz w:val="32"/>
          <w:szCs w:val="32"/>
        </w:rPr>
      </w:pPr>
      <w:r>
        <w:rPr>
          <w:rFonts w:ascii="仿宋_GB2312" w:eastAsia="仿宋_GB2312"/>
          <w:sz w:val="32"/>
          <w:szCs w:val="32"/>
        </w:rPr>
        <w:t>20</w:t>
      </w:r>
      <w:r>
        <w:rPr>
          <w:rFonts w:hint="eastAsia" w:ascii="仿宋_GB2312" w:eastAsia="仿宋_GB2312"/>
          <w:sz w:val="32"/>
          <w:szCs w:val="32"/>
        </w:rPr>
        <w:t>22年，</w:t>
      </w:r>
      <w:r>
        <w:rPr>
          <w:rStyle w:val="35"/>
          <w:rFonts w:ascii="仿宋_GB2312" w:eastAsia="仿宋_GB2312"/>
          <w:b w:val="0"/>
          <w:i w:val="0"/>
          <w:caps w:val="0"/>
          <w:color w:val="000000"/>
          <w:spacing w:val="0"/>
          <w:w w:val="100"/>
          <w:kern w:val="2"/>
          <w:sz w:val="32"/>
          <w:szCs w:val="32"/>
          <w:lang w:val="en" w:eastAsia="zh-CN" w:bidi="ar-SA"/>
        </w:rPr>
        <w:t>县人大常委会办公室</w:t>
      </w:r>
      <w:r>
        <w:rPr>
          <w:rFonts w:hint="eastAsia" w:ascii="仿宋_GB2312" w:eastAsia="仿宋_GB2312"/>
          <w:sz w:val="32"/>
          <w:szCs w:val="32"/>
        </w:rPr>
        <w:t>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365F88AF">
      <w:pPr>
        <w:autoSpaceDE w:val="0"/>
        <w:autoSpaceDN w:val="0"/>
        <w:adjustRightInd w:val="0"/>
        <w:spacing w:line="600" w:lineRule="exact"/>
        <w:ind w:firstLine="643" w:firstLineChars="200"/>
        <w:jc w:val="left"/>
        <w:outlineLvl w:val="2"/>
        <w:rPr>
          <w:rFonts w:ascii="仿宋" w:hAnsi="仿宋" w:eastAsia="仿宋"/>
          <w:b/>
          <w:sz w:val="32"/>
          <w:szCs w:val="32"/>
        </w:rPr>
      </w:pPr>
      <w:bookmarkStart w:id="42" w:name="_Toc15377224"/>
      <w:r>
        <w:rPr>
          <w:rFonts w:hint="eastAsia" w:ascii="仿宋" w:hAnsi="仿宋" w:eastAsia="仿宋"/>
          <w:b/>
          <w:sz w:val="32"/>
          <w:szCs w:val="32"/>
        </w:rPr>
        <w:t>（三）国有资产占有使用情况</w:t>
      </w:r>
      <w:bookmarkEnd w:id="42"/>
    </w:p>
    <w:p w14:paraId="67BDAC33">
      <w:pPr>
        <w:snapToGrid/>
        <w:spacing w:before="0" w:beforeAutospacing="0" w:after="0" w:afterAutospacing="0" w:line="600" w:lineRule="exact"/>
        <w:ind w:firstLine="640" w:firstLineChars="200"/>
        <w:jc w:val="left"/>
        <w:textAlignment w:val="baseline"/>
        <w:rPr>
          <w:rStyle w:val="35"/>
          <w:rFonts w:ascii="仿宋" w:hAnsi="仿宋" w:eastAsia="仿宋"/>
          <w:b/>
          <w:i w:val="0"/>
          <w:caps w:val="0"/>
          <w:color w:val="FF0000"/>
          <w:spacing w:val="0"/>
          <w:w w:val="100"/>
          <w:kern w:val="2"/>
          <w:sz w:val="32"/>
          <w:szCs w:val="32"/>
          <w:lang w:val="en-US" w:eastAsia="zh-CN" w:bidi="ar-SA"/>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Style w:val="35"/>
          <w:rFonts w:ascii="仿宋_GB2312" w:eastAsia="仿宋_GB2312"/>
          <w:b w:val="0"/>
          <w:i w:val="0"/>
          <w:caps w:val="0"/>
          <w:color w:val="000000"/>
          <w:spacing w:val="0"/>
          <w:w w:val="100"/>
          <w:kern w:val="2"/>
          <w:sz w:val="32"/>
          <w:szCs w:val="32"/>
          <w:lang w:val="en" w:eastAsia="zh-CN" w:bidi="ar-SA"/>
        </w:rPr>
        <w:t>县人大常委会办公室</w:t>
      </w:r>
      <w:r>
        <w:rPr>
          <w:rStyle w:val="35"/>
          <w:rFonts w:ascii="仿宋_GB2312" w:hAnsi="Times New Roman" w:eastAsia="仿宋_GB2312"/>
          <w:b w:val="0"/>
          <w:i w:val="0"/>
          <w:caps w:val="0"/>
          <w:color w:val="000000"/>
          <w:spacing w:val="0"/>
          <w:w w:val="100"/>
          <w:kern w:val="2"/>
          <w:sz w:val="32"/>
          <w:szCs w:val="32"/>
          <w:lang w:val="en-US" w:eastAsia="zh-CN" w:bidi="ar-SA"/>
        </w:rPr>
        <w:t>共有车辆</w:t>
      </w:r>
      <w:r>
        <w:rPr>
          <w:rStyle w:val="35"/>
          <w:rFonts w:hint="eastAsia" w:ascii="仿宋_GB2312" w:eastAsia="仿宋_GB2312"/>
          <w:b w:val="0"/>
          <w:i w:val="0"/>
          <w:caps w:val="0"/>
          <w:color w:val="000000"/>
          <w:spacing w:val="0"/>
          <w:w w:val="100"/>
          <w:kern w:val="2"/>
          <w:sz w:val="32"/>
          <w:szCs w:val="32"/>
          <w:lang w:val="en-US" w:eastAsia="zh-CN" w:bidi="ar-SA"/>
        </w:rPr>
        <w:t>0</w:t>
      </w:r>
      <w:r>
        <w:rPr>
          <w:rStyle w:val="35"/>
          <w:rFonts w:ascii="仿宋_GB2312" w:hAnsi="Times New Roman" w:eastAsia="仿宋_GB2312"/>
          <w:b w:val="0"/>
          <w:i w:val="0"/>
          <w:caps w:val="0"/>
          <w:color w:val="000000"/>
          <w:spacing w:val="0"/>
          <w:w w:val="100"/>
          <w:kern w:val="2"/>
          <w:sz w:val="32"/>
          <w:szCs w:val="32"/>
          <w:lang w:val="en-US" w:eastAsia="zh-CN" w:bidi="ar-SA"/>
        </w:rPr>
        <w:t>辆，其中：其他用车</w:t>
      </w:r>
      <w:r>
        <w:rPr>
          <w:rStyle w:val="35"/>
          <w:rFonts w:hint="eastAsia" w:ascii="仿宋_GB2312" w:eastAsia="仿宋_GB2312"/>
          <w:b w:val="0"/>
          <w:i w:val="0"/>
          <w:caps w:val="0"/>
          <w:color w:val="000000"/>
          <w:spacing w:val="0"/>
          <w:w w:val="100"/>
          <w:kern w:val="2"/>
          <w:sz w:val="32"/>
          <w:szCs w:val="32"/>
          <w:lang w:val="en-US" w:eastAsia="zh-CN" w:bidi="ar-SA"/>
        </w:rPr>
        <w:t>0</w:t>
      </w:r>
      <w:r>
        <w:rPr>
          <w:rStyle w:val="35"/>
          <w:rFonts w:ascii="仿宋_GB2312" w:hAnsi="Times New Roman" w:eastAsia="仿宋_GB2312"/>
          <w:b w:val="0"/>
          <w:i w:val="0"/>
          <w:caps w:val="0"/>
          <w:color w:val="000000"/>
          <w:spacing w:val="0"/>
          <w:w w:val="100"/>
          <w:kern w:val="2"/>
          <w:sz w:val="32"/>
          <w:szCs w:val="32"/>
          <w:lang w:val="en-US" w:eastAsia="zh-CN" w:bidi="ar-SA"/>
        </w:rPr>
        <w:t>辆，其他用车主要是用于履行公务保障用车。</w:t>
      </w:r>
    </w:p>
    <w:p w14:paraId="43F856BB">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350ED31E">
      <w:pPr>
        <w:snapToGrid/>
        <w:spacing w:before="0" w:beforeAutospacing="0" w:after="0" w:afterAutospacing="0" w:line="600" w:lineRule="exact"/>
        <w:ind w:firstLine="640" w:firstLineChars="200"/>
        <w:jc w:val="both"/>
        <w:textAlignment w:val="baseline"/>
        <w:rPr>
          <w:rStyle w:val="35"/>
          <w:rFonts w:ascii="仿宋" w:hAnsi="仿宋" w:eastAsia="仿宋" w:cs="仿宋"/>
          <w:b w:val="0"/>
          <w:bCs/>
          <w:i w:val="0"/>
          <w:caps w:val="0"/>
          <w:spacing w:val="0"/>
          <w:w w:val="100"/>
          <w:kern w:val="2"/>
          <w:sz w:val="32"/>
          <w:szCs w:val="32"/>
          <w:lang w:val="en-US" w:eastAsia="zh-CN" w:bidi="ar-SA"/>
        </w:rPr>
      </w:pPr>
      <w:r>
        <w:rPr>
          <w:rFonts w:hint="eastAsia" w:ascii="仿宋_GB2312" w:hAnsi="仿宋_GB2312" w:eastAsia="仿宋_GB2312" w:cs="仿宋_GB2312"/>
          <w:sz w:val="32"/>
          <w:szCs w:val="32"/>
        </w:rPr>
        <w:t>根据预算绩效管理要求，本部门在2022年度预算编制阶段，组织对2022年度一般公共预算、政府性基金预算、国有资本经营预算、社会保险基金预算以及资本资产、债券资金等全面开展绩效自评，形成</w:t>
      </w:r>
      <w:r>
        <w:rPr>
          <w:rFonts w:hint="eastAsia" w:ascii="仿宋_GB2312" w:hAnsi="仿宋_GB2312" w:eastAsia="仿宋_GB2312" w:cs="仿宋_GB2312"/>
          <w:sz w:val="32"/>
          <w:szCs w:val="32"/>
          <w:lang w:eastAsia="zh-CN"/>
        </w:rPr>
        <w:t>人大预算绩效管理工作考核自评情况</w:t>
      </w:r>
      <w:r>
        <w:rPr>
          <w:rFonts w:hint="eastAsia" w:ascii="仿宋_GB2312" w:hAnsi="仿宋_GB2312" w:eastAsia="仿宋_GB2312" w:cs="仿宋_GB2312"/>
          <w:sz w:val="32"/>
          <w:szCs w:val="32"/>
          <w:lang w:val="en-US" w:eastAsia="zh-CN"/>
        </w:rPr>
        <w:t>与</w:t>
      </w:r>
      <w:r>
        <w:rPr>
          <w:rFonts w:hint="eastAsia" w:ascii="仿宋_GB2312" w:hAnsi="仿宋_GB2312" w:eastAsia="仿宋_GB2312" w:cs="仿宋_GB2312"/>
          <w:sz w:val="32"/>
          <w:szCs w:val="32"/>
          <w:lang w:eastAsia="zh-CN"/>
        </w:rPr>
        <w:t>自查报告</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部门整体（含部门预算项目）绩效自评得分为</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分，绩效自评综述：</w:t>
      </w:r>
      <w:r>
        <w:rPr>
          <w:rStyle w:val="35"/>
          <w:rFonts w:ascii="仿宋" w:hAnsi="仿宋" w:eastAsia="仿宋" w:cs="仿宋"/>
          <w:b w:val="0"/>
          <w:bCs/>
          <w:i w:val="0"/>
          <w:caps w:val="0"/>
          <w:spacing w:val="0"/>
          <w:w w:val="100"/>
          <w:kern w:val="2"/>
          <w:sz w:val="32"/>
          <w:szCs w:val="32"/>
          <w:lang w:val="en-US" w:eastAsia="zh-CN" w:bidi="ar-SA"/>
        </w:rPr>
        <w:t>县人大常委会办公室资金使用达到了预期效果，较好地服务和保障了县人大常委会圆满完成年度立法工作、监督工作、调研工作、代表工作等重要任务，实现了202</w:t>
      </w:r>
      <w:r>
        <w:rPr>
          <w:rStyle w:val="35"/>
          <w:rFonts w:hint="eastAsia" w:ascii="仿宋" w:hAnsi="仿宋" w:eastAsia="仿宋" w:cs="仿宋"/>
          <w:b w:val="0"/>
          <w:bCs/>
          <w:i w:val="0"/>
          <w:caps w:val="0"/>
          <w:spacing w:val="0"/>
          <w:w w:val="100"/>
          <w:kern w:val="2"/>
          <w:sz w:val="32"/>
          <w:szCs w:val="32"/>
          <w:lang w:val="en-US" w:eastAsia="zh-CN" w:bidi="ar-SA"/>
        </w:rPr>
        <w:t>2</w:t>
      </w:r>
      <w:r>
        <w:rPr>
          <w:rStyle w:val="35"/>
          <w:rFonts w:ascii="仿宋" w:hAnsi="仿宋" w:eastAsia="仿宋" w:cs="仿宋"/>
          <w:b w:val="0"/>
          <w:bCs/>
          <w:i w:val="0"/>
          <w:caps w:val="0"/>
          <w:spacing w:val="0"/>
          <w:w w:val="100"/>
          <w:kern w:val="2"/>
          <w:sz w:val="32"/>
          <w:szCs w:val="32"/>
          <w:lang w:val="en-US" w:eastAsia="zh-CN" w:bidi="ar-SA"/>
        </w:rPr>
        <w:t>年财政预算支出的绩效目标。</w:t>
      </w:r>
    </w:p>
    <w:p w14:paraId="08182D29">
      <w:pPr>
        <w:pStyle w:val="2"/>
        <w:rPr>
          <w:lang w:val="en-US" w:eastAsia="zh-CN"/>
        </w:rPr>
      </w:pPr>
    </w:p>
    <w:p w14:paraId="599911B6">
      <w:pPr>
        <w:numPr>
          <w:ilvl w:val="0"/>
          <w:numId w:val="6"/>
        </w:numPr>
        <w:spacing w:line="600" w:lineRule="exact"/>
        <w:ind w:firstLine="660" w:firstLineChars="150"/>
        <w:jc w:val="center"/>
        <w:outlineLvl w:val="0"/>
        <w:rPr>
          <w:rStyle w:val="28"/>
          <w:rFonts w:ascii="黑体" w:hAnsi="黑体" w:eastAsia="黑体"/>
          <w:b w:val="0"/>
        </w:rPr>
      </w:pPr>
      <w:bookmarkStart w:id="43" w:name="_Toc15396613"/>
      <w:bookmarkStart w:id="44" w:name="_Toc15377225"/>
      <w:r>
        <w:rPr>
          <w:rFonts w:hint="eastAsia" w:ascii="黑体" w:hAnsi="黑体" w:eastAsia="黑体"/>
          <w:sz w:val="44"/>
          <w:szCs w:val="44"/>
        </w:rPr>
        <w:t>名</w:t>
      </w:r>
      <w:r>
        <w:rPr>
          <w:rStyle w:val="28"/>
          <w:rFonts w:hint="eastAsia" w:ascii="黑体" w:hAnsi="黑体" w:eastAsia="黑体"/>
          <w:b w:val="0"/>
        </w:rPr>
        <w:t>词解释</w:t>
      </w:r>
      <w:bookmarkEnd w:id="43"/>
      <w:bookmarkEnd w:id="44"/>
    </w:p>
    <w:p w14:paraId="02D0EDA2">
      <w:pPr>
        <w:spacing w:line="600" w:lineRule="exact"/>
        <w:jc w:val="left"/>
        <w:rPr>
          <w:rFonts w:ascii="宋体"/>
          <w:b/>
          <w:sz w:val="44"/>
          <w:szCs w:val="44"/>
        </w:rPr>
      </w:pPr>
    </w:p>
    <w:p w14:paraId="340B6CCE">
      <w:pPr>
        <w:pStyle w:val="37"/>
        <w:snapToGrid/>
        <w:spacing w:before="0" w:beforeAutospacing="0" w:after="0" w:afterAutospacing="0" w:line="600" w:lineRule="exact"/>
        <w:ind w:firstLine="640" w:firstLineChars="200"/>
        <w:jc w:val="both"/>
        <w:textAlignment w:val="baseline"/>
        <w:rPr>
          <w:rStyle w:val="35"/>
          <w:rFonts w:ascii="仿宋_GB2312" w:eastAsia="仿宋_GB2312"/>
          <w:b w:val="0"/>
          <w:i w:val="0"/>
          <w:caps w:val="0"/>
          <w:color w:val="000000"/>
          <w:spacing w:val="0"/>
          <w:w w:val="100"/>
          <w:sz w:val="32"/>
          <w:szCs w:val="32"/>
          <w:lang w:val="en-US" w:eastAsia="zh-CN" w:bidi="ar-SA"/>
        </w:rPr>
      </w:pPr>
      <w:r>
        <w:rPr>
          <w:rStyle w:val="35"/>
          <w:rFonts w:ascii="仿宋_GB2312" w:eastAsia="仿宋_GB2312"/>
          <w:b w:val="0"/>
          <w:i w:val="0"/>
          <w:caps w:val="0"/>
          <w:color w:val="000000"/>
          <w:spacing w:val="0"/>
          <w:w w:val="100"/>
          <w:sz w:val="32"/>
          <w:szCs w:val="32"/>
          <w:lang w:val="en-US" w:eastAsia="zh-CN" w:bidi="ar-SA"/>
        </w:rPr>
        <w:t>1.财政拨款收入：指单位从同级财政部门取得的财政预算资金。</w:t>
      </w:r>
    </w:p>
    <w:p w14:paraId="41987F6E">
      <w:pPr>
        <w:pStyle w:val="37"/>
        <w:snapToGrid/>
        <w:spacing w:before="0" w:beforeAutospacing="0" w:after="0" w:afterAutospacing="0" w:line="600" w:lineRule="exact"/>
        <w:ind w:firstLine="640" w:firstLineChars="200"/>
        <w:jc w:val="both"/>
        <w:textAlignment w:val="baseline"/>
        <w:rPr>
          <w:rStyle w:val="35"/>
          <w:rFonts w:ascii="仿宋_GB2312" w:eastAsia="仿宋_GB2312"/>
          <w:b w:val="0"/>
          <w:i w:val="0"/>
          <w:caps w:val="0"/>
          <w:color w:val="000000"/>
          <w:spacing w:val="0"/>
          <w:w w:val="100"/>
          <w:sz w:val="32"/>
          <w:szCs w:val="32"/>
          <w:lang w:val="en-US" w:eastAsia="zh-CN" w:bidi="ar-SA"/>
        </w:rPr>
      </w:pPr>
      <w:r>
        <w:rPr>
          <w:rStyle w:val="35"/>
          <w:rFonts w:ascii="仿宋_GB2312" w:eastAsia="仿宋_GB2312"/>
          <w:b w:val="0"/>
          <w:i w:val="0"/>
          <w:caps w:val="0"/>
          <w:color w:val="000000"/>
          <w:spacing w:val="0"/>
          <w:w w:val="100"/>
          <w:sz w:val="32"/>
          <w:szCs w:val="32"/>
          <w:lang w:val="en-US" w:eastAsia="zh-CN" w:bidi="ar-SA"/>
        </w:rPr>
        <w:t xml:space="preserve">2.年初结转和结余：指以前年度尚未完成、结转到本年按有关规定继续使用的资金。 </w:t>
      </w:r>
    </w:p>
    <w:p w14:paraId="6C046816">
      <w:pPr>
        <w:pStyle w:val="37"/>
        <w:snapToGrid/>
        <w:spacing w:before="0" w:beforeAutospacing="0" w:after="0" w:afterAutospacing="0" w:line="600" w:lineRule="exact"/>
        <w:ind w:firstLine="640" w:firstLineChars="200"/>
        <w:jc w:val="both"/>
        <w:textAlignment w:val="baseline"/>
        <w:rPr>
          <w:rStyle w:val="35"/>
          <w:rFonts w:ascii="仿宋_GB2312" w:eastAsia="仿宋_GB2312"/>
          <w:b w:val="0"/>
          <w:i w:val="0"/>
          <w:caps w:val="0"/>
          <w:color w:val="000000"/>
          <w:spacing w:val="0"/>
          <w:w w:val="100"/>
          <w:sz w:val="32"/>
          <w:szCs w:val="32"/>
          <w:lang w:val="en-US" w:eastAsia="zh-CN" w:bidi="ar-SA"/>
        </w:rPr>
      </w:pPr>
      <w:r>
        <w:rPr>
          <w:rStyle w:val="35"/>
          <w:rFonts w:ascii="仿宋_GB2312" w:eastAsia="仿宋_GB2312"/>
          <w:b w:val="0"/>
          <w:i w:val="0"/>
          <w:caps w:val="0"/>
          <w:color w:val="000000"/>
          <w:spacing w:val="0"/>
          <w:w w:val="100"/>
          <w:sz w:val="32"/>
          <w:szCs w:val="32"/>
          <w:lang w:val="en-US" w:eastAsia="zh-CN" w:bidi="ar-SA"/>
        </w:rPr>
        <w:t>3.年末结转和结余：指单位按有关规定结转到下年或以后年度继续使用的资金。</w:t>
      </w:r>
    </w:p>
    <w:p w14:paraId="5224FB50">
      <w:pPr>
        <w:snapToGrid/>
        <w:spacing w:before="0" w:beforeAutospacing="0" w:after="0" w:afterAutospacing="0" w:line="600" w:lineRule="exact"/>
        <w:ind w:firstLine="640" w:firstLineChars="200"/>
        <w:jc w:val="both"/>
        <w:textAlignment w:val="baseline"/>
        <w:rPr>
          <w:rStyle w:val="35"/>
          <w:rFonts w:ascii="仿宋_GB2312" w:hAnsi="Times New Roman" w:eastAsia="仿宋_GB2312"/>
          <w:b w:val="0"/>
          <w:i w:val="0"/>
          <w:caps w:val="0"/>
          <w:color w:val="000000"/>
          <w:spacing w:val="0"/>
          <w:w w:val="100"/>
          <w:kern w:val="0"/>
          <w:sz w:val="32"/>
          <w:szCs w:val="32"/>
          <w:lang w:val="en-US" w:eastAsia="zh-CN" w:bidi="ar-SA"/>
        </w:rPr>
      </w:pPr>
      <w:r>
        <w:rPr>
          <w:rStyle w:val="35"/>
          <w:rFonts w:ascii="仿宋_GB2312" w:hAnsi="Times New Roman" w:eastAsia="仿宋_GB2312"/>
          <w:b w:val="0"/>
          <w:i w:val="0"/>
          <w:caps w:val="0"/>
          <w:color w:val="000000"/>
          <w:spacing w:val="0"/>
          <w:w w:val="100"/>
          <w:kern w:val="0"/>
          <w:sz w:val="32"/>
          <w:szCs w:val="32"/>
          <w:lang w:val="en-US" w:eastAsia="zh-CN" w:bidi="ar-SA"/>
        </w:rPr>
        <w:t>4.一般公共服务（类）人大事务（款）行政运行（项）：反映行政单位（包括实行公务员管理的事业单位）的基本支出。</w:t>
      </w:r>
    </w:p>
    <w:p w14:paraId="5F4AA784">
      <w:pPr>
        <w:snapToGrid/>
        <w:spacing w:before="0" w:beforeAutospacing="0" w:after="0" w:afterAutospacing="0" w:line="600" w:lineRule="exact"/>
        <w:ind w:firstLine="640" w:firstLineChars="200"/>
        <w:jc w:val="both"/>
        <w:textAlignment w:val="baseline"/>
        <w:rPr>
          <w:rStyle w:val="35"/>
          <w:rFonts w:ascii="仿宋_GB2312" w:hAnsi="Times New Roman" w:eastAsia="仿宋_GB2312"/>
          <w:b w:val="0"/>
          <w:i w:val="0"/>
          <w:caps w:val="0"/>
          <w:color w:val="000000"/>
          <w:spacing w:val="0"/>
          <w:w w:val="100"/>
          <w:kern w:val="0"/>
          <w:sz w:val="32"/>
          <w:szCs w:val="32"/>
          <w:lang w:val="en-US" w:eastAsia="zh-CN" w:bidi="ar-SA"/>
        </w:rPr>
      </w:pPr>
      <w:r>
        <w:rPr>
          <w:rStyle w:val="35"/>
          <w:rFonts w:ascii="仿宋_GB2312" w:hAnsi="Times New Roman" w:eastAsia="仿宋_GB2312"/>
          <w:b w:val="0"/>
          <w:i w:val="0"/>
          <w:caps w:val="0"/>
          <w:color w:val="000000"/>
          <w:spacing w:val="0"/>
          <w:w w:val="100"/>
          <w:kern w:val="0"/>
          <w:sz w:val="32"/>
          <w:szCs w:val="32"/>
          <w:lang w:val="en-US" w:eastAsia="zh-CN" w:bidi="ar-SA"/>
        </w:rPr>
        <w:t>5.一般公共服务（类）人大事务（款）一般行政管理事务（项）：指用于保障机关单位正常运转，为完成特定的工作任务，用于一般行政管理事务方面的经费支出。</w:t>
      </w:r>
    </w:p>
    <w:p w14:paraId="372ED5A6">
      <w:pPr>
        <w:snapToGrid/>
        <w:spacing w:before="0" w:beforeAutospacing="0" w:after="0" w:afterAutospacing="0" w:line="600" w:lineRule="exact"/>
        <w:ind w:firstLine="640" w:firstLineChars="200"/>
        <w:jc w:val="both"/>
        <w:textAlignment w:val="baseline"/>
        <w:rPr>
          <w:rStyle w:val="35"/>
          <w:rFonts w:ascii="仿宋_GB2312" w:hAnsi="Times New Roman" w:eastAsia="仿宋_GB2312"/>
          <w:b w:val="0"/>
          <w:i w:val="0"/>
          <w:caps w:val="0"/>
          <w:color w:val="000000"/>
          <w:spacing w:val="0"/>
          <w:w w:val="100"/>
          <w:kern w:val="0"/>
          <w:sz w:val="32"/>
          <w:szCs w:val="32"/>
          <w:lang w:val="en-US" w:eastAsia="zh-CN" w:bidi="ar-SA"/>
        </w:rPr>
      </w:pPr>
      <w:r>
        <w:rPr>
          <w:rStyle w:val="35"/>
          <w:rFonts w:hint="eastAsia" w:ascii="仿宋_GB2312" w:eastAsia="仿宋_GB2312"/>
          <w:b w:val="0"/>
          <w:i w:val="0"/>
          <w:caps w:val="0"/>
          <w:color w:val="000000"/>
          <w:spacing w:val="0"/>
          <w:w w:val="100"/>
          <w:kern w:val="0"/>
          <w:sz w:val="32"/>
          <w:szCs w:val="32"/>
          <w:lang w:val="en-US" w:eastAsia="zh-CN" w:bidi="ar-SA"/>
        </w:rPr>
        <w:t>6</w:t>
      </w:r>
      <w:r>
        <w:rPr>
          <w:rStyle w:val="35"/>
          <w:rFonts w:ascii="仿宋_GB2312" w:hAnsi="Times New Roman" w:eastAsia="仿宋_GB2312"/>
          <w:b w:val="0"/>
          <w:i w:val="0"/>
          <w:caps w:val="0"/>
          <w:color w:val="000000"/>
          <w:spacing w:val="0"/>
          <w:w w:val="100"/>
          <w:kern w:val="0"/>
          <w:sz w:val="32"/>
          <w:szCs w:val="32"/>
          <w:lang w:val="en-US" w:eastAsia="zh-CN" w:bidi="ar-SA"/>
        </w:rPr>
        <w:t>.社会保障和就业支出（类）行政事业单位养老支出（款）机关事业单位基本养老保险缴费支出（项）：反映用于机关事业单位基本养老保险缴费的支出。</w:t>
      </w:r>
    </w:p>
    <w:p w14:paraId="3AD07FF7">
      <w:pPr>
        <w:snapToGrid/>
        <w:spacing w:before="0" w:beforeAutospacing="0" w:after="0" w:afterAutospacing="0" w:line="600" w:lineRule="exact"/>
        <w:ind w:firstLine="640" w:firstLineChars="200"/>
        <w:jc w:val="both"/>
        <w:textAlignment w:val="baseline"/>
        <w:rPr>
          <w:rStyle w:val="35"/>
          <w:rFonts w:ascii="仿宋_GB2312" w:hAnsi="Times New Roman" w:eastAsia="仿宋_GB2312"/>
          <w:b w:val="0"/>
          <w:i w:val="0"/>
          <w:caps w:val="0"/>
          <w:color w:val="000000"/>
          <w:spacing w:val="0"/>
          <w:w w:val="100"/>
          <w:kern w:val="0"/>
          <w:sz w:val="32"/>
          <w:szCs w:val="32"/>
          <w:lang w:val="en-US" w:eastAsia="zh-CN" w:bidi="ar-SA"/>
        </w:rPr>
      </w:pPr>
      <w:r>
        <w:rPr>
          <w:rStyle w:val="35"/>
          <w:rFonts w:hint="eastAsia" w:ascii="仿宋_GB2312" w:eastAsia="仿宋_GB2312"/>
          <w:b w:val="0"/>
          <w:i w:val="0"/>
          <w:caps w:val="0"/>
          <w:color w:val="000000"/>
          <w:spacing w:val="0"/>
          <w:w w:val="100"/>
          <w:kern w:val="0"/>
          <w:sz w:val="32"/>
          <w:szCs w:val="32"/>
          <w:lang w:val="en-US" w:eastAsia="zh-CN" w:bidi="ar-SA"/>
        </w:rPr>
        <w:t>7</w:t>
      </w:r>
      <w:r>
        <w:rPr>
          <w:rStyle w:val="35"/>
          <w:rFonts w:ascii="仿宋_GB2312" w:hAnsi="Times New Roman" w:eastAsia="仿宋_GB2312"/>
          <w:b w:val="0"/>
          <w:i w:val="0"/>
          <w:caps w:val="0"/>
          <w:color w:val="000000"/>
          <w:spacing w:val="0"/>
          <w:w w:val="100"/>
          <w:kern w:val="0"/>
          <w:sz w:val="32"/>
          <w:szCs w:val="32"/>
          <w:lang w:val="en-US" w:eastAsia="zh-CN" w:bidi="ar-SA"/>
        </w:rPr>
        <w:t>.卫生健康支出（类）行政事业单位医疗（款）行政单位医疗（项）：反映财政部门集中安排的行政单位基本医疗保险缴费经费。</w:t>
      </w:r>
    </w:p>
    <w:p w14:paraId="55A3737C">
      <w:pPr>
        <w:snapToGrid/>
        <w:spacing w:before="0" w:beforeAutospacing="0" w:after="0" w:afterAutospacing="0" w:line="600" w:lineRule="exact"/>
        <w:ind w:firstLine="640" w:firstLineChars="200"/>
        <w:jc w:val="both"/>
        <w:textAlignment w:val="baseline"/>
        <w:rPr>
          <w:rStyle w:val="35"/>
          <w:rFonts w:ascii="仿宋_GB2312" w:hAnsi="Times New Roman" w:eastAsia="仿宋_GB2312"/>
          <w:b w:val="0"/>
          <w:i w:val="0"/>
          <w:caps w:val="0"/>
          <w:color w:val="000000"/>
          <w:spacing w:val="0"/>
          <w:w w:val="100"/>
          <w:kern w:val="0"/>
          <w:sz w:val="32"/>
          <w:szCs w:val="32"/>
          <w:lang w:val="en-US" w:eastAsia="zh-CN" w:bidi="ar-SA"/>
        </w:rPr>
      </w:pPr>
      <w:r>
        <w:rPr>
          <w:rStyle w:val="35"/>
          <w:rFonts w:hint="eastAsia" w:ascii="仿宋_GB2312" w:eastAsia="仿宋_GB2312"/>
          <w:b w:val="0"/>
          <w:i w:val="0"/>
          <w:caps w:val="0"/>
          <w:color w:val="000000"/>
          <w:spacing w:val="0"/>
          <w:w w:val="100"/>
          <w:kern w:val="0"/>
          <w:sz w:val="32"/>
          <w:szCs w:val="32"/>
          <w:lang w:val="en-US" w:eastAsia="zh-CN" w:bidi="ar-SA"/>
        </w:rPr>
        <w:t>8</w:t>
      </w:r>
      <w:r>
        <w:rPr>
          <w:rStyle w:val="35"/>
          <w:rFonts w:ascii="仿宋_GB2312" w:hAnsi="Times New Roman" w:eastAsia="仿宋_GB2312"/>
          <w:b w:val="0"/>
          <w:i w:val="0"/>
          <w:caps w:val="0"/>
          <w:color w:val="000000"/>
          <w:spacing w:val="0"/>
          <w:w w:val="100"/>
          <w:kern w:val="0"/>
          <w:sz w:val="32"/>
          <w:szCs w:val="32"/>
          <w:lang w:val="en-US" w:eastAsia="zh-CN" w:bidi="ar-SA"/>
        </w:rPr>
        <w:t>.住房保障支出（类）住房改革支出（款）住房公积金（项）：反映用于按政策规定为职工缴纳的住房公积金支出。</w:t>
      </w:r>
    </w:p>
    <w:p w14:paraId="270BED7D">
      <w:pPr>
        <w:snapToGrid/>
        <w:spacing w:before="0" w:beforeAutospacing="0" w:after="0" w:afterAutospacing="0" w:line="600" w:lineRule="exact"/>
        <w:ind w:firstLine="640" w:firstLineChars="200"/>
        <w:jc w:val="both"/>
        <w:textAlignment w:val="baseline"/>
        <w:rPr>
          <w:rStyle w:val="35"/>
          <w:rFonts w:ascii="仿宋_GB2312" w:hAnsi="Times New Roman" w:eastAsia="仿宋_GB2312"/>
          <w:b w:val="0"/>
          <w:i w:val="0"/>
          <w:caps w:val="0"/>
          <w:color w:val="000000"/>
          <w:spacing w:val="0"/>
          <w:w w:val="100"/>
          <w:kern w:val="0"/>
          <w:sz w:val="32"/>
          <w:szCs w:val="32"/>
          <w:lang w:val="en-US" w:eastAsia="zh-CN" w:bidi="ar-SA"/>
        </w:rPr>
      </w:pPr>
      <w:r>
        <w:rPr>
          <w:rStyle w:val="35"/>
          <w:rFonts w:hint="eastAsia" w:ascii="仿宋_GB2312" w:eastAsia="仿宋_GB2312"/>
          <w:b w:val="0"/>
          <w:i w:val="0"/>
          <w:caps w:val="0"/>
          <w:color w:val="000000"/>
          <w:spacing w:val="0"/>
          <w:w w:val="100"/>
          <w:kern w:val="0"/>
          <w:sz w:val="32"/>
          <w:szCs w:val="32"/>
          <w:lang w:val="en-US" w:eastAsia="zh-CN" w:bidi="ar-SA"/>
        </w:rPr>
        <w:t>9</w:t>
      </w:r>
      <w:r>
        <w:rPr>
          <w:rStyle w:val="35"/>
          <w:rFonts w:ascii="仿宋_GB2312" w:hAnsi="Times New Roman" w:eastAsia="仿宋_GB2312"/>
          <w:b w:val="0"/>
          <w:i w:val="0"/>
          <w:caps w:val="0"/>
          <w:color w:val="000000"/>
          <w:spacing w:val="0"/>
          <w:w w:val="100"/>
          <w:kern w:val="0"/>
          <w:sz w:val="32"/>
          <w:szCs w:val="32"/>
          <w:lang w:val="en-US" w:eastAsia="zh-CN" w:bidi="ar-SA"/>
        </w:rPr>
        <w:t>.基本支出：指为保障机构正常运转、完成日常工作任务而发生的人员支出和公用支出。</w:t>
      </w:r>
    </w:p>
    <w:p w14:paraId="3347ABC4">
      <w:pPr>
        <w:snapToGrid/>
        <w:spacing w:before="0" w:beforeAutospacing="0" w:after="0" w:afterAutospacing="0" w:line="600" w:lineRule="exact"/>
        <w:ind w:firstLine="640" w:firstLineChars="200"/>
        <w:jc w:val="both"/>
        <w:textAlignment w:val="baseline"/>
        <w:rPr>
          <w:rStyle w:val="35"/>
          <w:rFonts w:ascii="仿宋_GB2312" w:hAnsi="Times New Roman" w:eastAsia="仿宋_GB2312"/>
          <w:b w:val="0"/>
          <w:i w:val="0"/>
          <w:caps w:val="0"/>
          <w:color w:val="000000"/>
          <w:spacing w:val="0"/>
          <w:w w:val="100"/>
          <w:kern w:val="2"/>
          <w:sz w:val="32"/>
          <w:szCs w:val="32"/>
          <w:lang w:val="en-US" w:eastAsia="zh-CN" w:bidi="ar-SA"/>
        </w:rPr>
      </w:pPr>
      <w:r>
        <w:rPr>
          <w:rStyle w:val="35"/>
          <w:rFonts w:ascii="仿宋_GB2312" w:hAnsi="Times New Roman" w:eastAsia="仿宋_GB2312"/>
          <w:b w:val="0"/>
          <w:i w:val="0"/>
          <w:caps w:val="0"/>
          <w:color w:val="000000"/>
          <w:spacing w:val="0"/>
          <w:w w:val="100"/>
          <w:kern w:val="0"/>
          <w:sz w:val="32"/>
          <w:szCs w:val="32"/>
          <w:lang w:val="en-US" w:eastAsia="zh-CN" w:bidi="ar-SA"/>
        </w:rPr>
        <w:t>1</w:t>
      </w:r>
      <w:r>
        <w:rPr>
          <w:rStyle w:val="35"/>
          <w:rFonts w:hint="eastAsia" w:ascii="仿宋_GB2312" w:eastAsia="仿宋_GB2312"/>
          <w:b w:val="0"/>
          <w:i w:val="0"/>
          <w:caps w:val="0"/>
          <w:color w:val="000000"/>
          <w:spacing w:val="0"/>
          <w:w w:val="100"/>
          <w:kern w:val="0"/>
          <w:sz w:val="32"/>
          <w:szCs w:val="32"/>
          <w:lang w:val="en-US" w:eastAsia="zh-CN" w:bidi="ar-SA"/>
        </w:rPr>
        <w:t>0</w:t>
      </w:r>
      <w:r>
        <w:rPr>
          <w:rStyle w:val="35"/>
          <w:rFonts w:ascii="仿宋_GB2312" w:hAnsi="Times New Roman" w:eastAsia="仿宋_GB2312"/>
          <w:b w:val="0"/>
          <w:i w:val="0"/>
          <w:caps w:val="0"/>
          <w:color w:val="000000"/>
          <w:spacing w:val="0"/>
          <w:w w:val="100"/>
          <w:kern w:val="0"/>
          <w:sz w:val="32"/>
          <w:szCs w:val="32"/>
          <w:lang w:val="en-US" w:eastAsia="zh-CN" w:bidi="ar-SA"/>
        </w:rPr>
        <w:t>.项目支出：指在基本支出之外为完成特定行</w:t>
      </w:r>
      <w:r>
        <w:rPr>
          <w:rStyle w:val="35"/>
          <w:rFonts w:ascii="仿宋_GB2312" w:hAnsi="Times New Roman" w:eastAsia="仿宋_GB2312"/>
          <w:b w:val="0"/>
          <w:i w:val="0"/>
          <w:caps w:val="0"/>
          <w:color w:val="000000"/>
          <w:spacing w:val="0"/>
          <w:w w:val="100"/>
          <w:kern w:val="2"/>
          <w:sz w:val="32"/>
          <w:szCs w:val="32"/>
          <w:lang w:val="en-US" w:eastAsia="zh-CN" w:bidi="ar-SA"/>
        </w:rPr>
        <w:t xml:space="preserve">政任务和事业发展目标所发生的支出。 </w:t>
      </w:r>
    </w:p>
    <w:p w14:paraId="18616F22">
      <w:pPr>
        <w:pStyle w:val="37"/>
        <w:snapToGrid/>
        <w:spacing w:before="0" w:beforeAutospacing="0" w:after="0" w:afterAutospacing="0" w:line="600" w:lineRule="exact"/>
        <w:ind w:firstLine="640" w:firstLineChars="200"/>
        <w:jc w:val="both"/>
        <w:textAlignment w:val="baseline"/>
        <w:rPr>
          <w:rStyle w:val="35"/>
          <w:rFonts w:ascii="仿宋_GB2312" w:eastAsia="仿宋_GB2312"/>
          <w:b w:val="0"/>
          <w:i w:val="0"/>
          <w:caps w:val="0"/>
          <w:color w:val="000000"/>
          <w:spacing w:val="0"/>
          <w:w w:val="100"/>
          <w:sz w:val="32"/>
          <w:szCs w:val="32"/>
          <w:lang w:val="en-US" w:eastAsia="zh-CN" w:bidi="ar-SA"/>
        </w:rPr>
      </w:pPr>
      <w:r>
        <w:rPr>
          <w:rStyle w:val="35"/>
          <w:rFonts w:ascii="仿宋_GB2312" w:eastAsia="仿宋_GB2312"/>
          <w:b w:val="0"/>
          <w:i w:val="0"/>
          <w:caps w:val="0"/>
          <w:color w:val="000000"/>
          <w:spacing w:val="0"/>
          <w:w w:val="100"/>
          <w:sz w:val="32"/>
          <w:szCs w:val="32"/>
          <w:lang w:val="en-US" w:eastAsia="zh-CN" w:bidi="ar-SA"/>
        </w:rPr>
        <w:t>1</w:t>
      </w:r>
      <w:r>
        <w:rPr>
          <w:rStyle w:val="35"/>
          <w:rFonts w:hint="eastAsia" w:ascii="仿宋_GB2312" w:eastAsia="仿宋_GB2312"/>
          <w:b w:val="0"/>
          <w:i w:val="0"/>
          <w:caps w:val="0"/>
          <w:color w:val="000000"/>
          <w:spacing w:val="0"/>
          <w:w w:val="100"/>
          <w:sz w:val="32"/>
          <w:szCs w:val="32"/>
          <w:lang w:val="en-US" w:eastAsia="zh-CN" w:bidi="ar-SA"/>
        </w:rPr>
        <w:t>1</w:t>
      </w:r>
      <w:r>
        <w:rPr>
          <w:rStyle w:val="35"/>
          <w:rFonts w:ascii="仿宋_GB2312" w:eastAsia="仿宋_GB2312"/>
          <w:b w:val="0"/>
          <w:i w:val="0"/>
          <w:caps w:val="0"/>
          <w:color w:val="000000"/>
          <w:spacing w:val="0"/>
          <w:w w:val="100"/>
          <w:sz w:val="32"/>
          <w:szCs w:val="32"/>
          <w:lang w:val="en-US" w:eastAsia="zh-CN" w:bidi="ar-SA"/>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9B9F475">
      <w:pPr>
        <w:pStyle w:val="37"/>
        <w:snapToGrid/>
        <w:spacing w:before="0" w:beforeAutospacing="0" w:after="0" w:afterAutospacing="0" w:line="600" w:lineRule="exact"/>
        <w:ind w:firstLine="640" w:firstLineChars="200"/>
        <w:jc w:val="both"/>
        <w:textAlignment w:val="baseline"/>
        <w:rPr>
          <w:rFonts w:ascii="仿宋" w:hAnsi="仿宋" w:eastAsia="仿宋"/>
          <w:b/>
          <w:sz w:val="32"/>
          <w:szCs w:val="32"/>
        </w:rPr>
      </w:pPr>
      <w:r>
        <w:rPr>
          <w:rStyle w:val="35"/>
          <w:rFonts w:ascii="仿宋_GB2312" w:eastAsia="仿宋_GB2312"/>
          <w:b w:val="0"/>
          <w:i w:val="0"/>
          <w:caps w:val="0"/>
          <w:color w:val="000000"/>
          <w:spacing w:val="0"/>
          <w:w w:val="100"/>
          <w:sz w:val="32"/>
          <w:szCs w:val="32"/>
          <w:lang w:val="en-US" w:eastAsia="zh-CN" w:bidi="ar-SA"/>
        </w:rPr>
        <w:t>1</w:t>
      </w:r>
      <w:r>
        <w:rPr>
          <w:rStyle w:val="35"/>
          <w:rFonts w:hint="eastAsia" w:ascii="仿宋_GB2312" w:eastAsia="仿宋_GB2312"/>
          <w:b w:val="0"/>
          <w:i w:val="0"/>
          <w:caps w:val="0"/>
          <w:color w:val="000000"/>
          <w:spacing w:val="0"/>
          <w:w w:val="100"/>
          <w:sz w:val="32"/>
          <w:szCs w:val="32"/>
          <w:lang w:val="en-US" w:eastAsia="zh-CN" w:bidi="ar-SA"/>
        </w:rPr>
        <w:t>2</w:t>
      </w:r>
      <w:r>
        <w:rPr>
          <w:rStyle w:val="35"/>
          <w:rFonts w:ascii="仿宋_GB2312" w:eastAsia="仿宋_GB2312"/>
          <w:b w:val="0"/>
          <w:i w:val="0"/>
          <w:caps w:val="0"/>
          <w:color w:val="000000"/>
          <w:spacing w:val="0"/>
          <w:w w:val="100"/>
          <w:sz w:val="32"/>
          <w:szCs w:val="32"/>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FD62A99">
      <w:pPr>
        <w:ind w:firstLine="640" w:firstLineChars="200"/>
        <w:rPr>
          <w:rFonts w:ascii="仿宋_GB2312" w:eastAsia="仿宋_GB2312"/>
          <w:sz w:val="32"/>
          <w:szCs w:val="32"/>
        </w:rPr>
      </w:pPr>
      <w:r>
        <w:rPr>
          <w:rFonts w:hint="eastAsia" w:ascii="仿宋_GB2312" w:eastAsia="仿宋_GB2312"/>
          <w:sz w:val="32"/>
          <w:szCs w:val="32"/>
          <w:lang w:val="en-US" w:eastAsia="zh-CN"/>
        </w:rPr>
        <w:t>13</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770C1693">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14</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E226638">
      <w:pPr>
        <w:spacing w:line="600" w:lineRule="exact"/>
        <w:jc w:val="center"/>
        <w:outlineLvl w:val="0"/>
        <w:rPr>
          <w:rStyle w:val="28"/>
          <w:rFonts w:ascii="黑体" w:hAnsi="黑体" w:eastAsia="黑体"/>
          <w:b w:val="0"/>
        </w:rPr>
      </w:pPr>
      <w:bookmarkStart w:id="45" w:name="_Toc15377226"/>
      <w:r>
        <w:rPr>
          <w:rFonts w:ascii="宋体"/>
          <w:b/>
          <w:sz w:val="44"/>
          <w:szCs w:val="44"/>
        </w:rPr>
        <w:br w:type="page"/>
      </w:r>
      <w:bookmarkStart w:id="46" w:name="_Toc15396614"/>
      <w:r>
        <w:rPr>
          <w:rFonts w:hint="eastAsia" w:ascii="黑体" w:hAnsi="黑体" w:eastAsia="黑体"/>
          <w:sz w:val="44"/>
          <w:szCs w:val="44"/>
        </w:rPr>
        <w:t>第</w:t>
      </w:r>
      <w:r>
        <w:rPr>
          <w:rStyle w:val="28"/>
          <w:rFonts w:hint="eastAsia" w:ascii="黑体" w:hAnsi="黑体" w:eastAsia="黑体"/>
          <w:b w:val="0"/>
        </w:rPr>
        <w:t>四部分 附件</w:t>
      </w:r>
      <w:bookmarkEnd w:id="46"/>
    </w:p>
    <w:p w14:paraId="792769F0">
      <w:pPr>
        <w:spacing w:line="572"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14:paraId="0BFBF8CC">
      <w:pPr>
        <w:keepNext w:val="0"/>
        <w:keepLines w:val="0"/>
        <w:pageBreakBefore w:val="0"/>
        <w:widowControl/>
        <w:kinsoku/>
        <w:wordWrap/>
        <w:overflowPunct/>
        <w:topLinePunct w:val="0"/>
        <w:autoSpaceDE/>
        <w:autoSpaceDN/>
        <w:bidi w:val="0"/>
        <w:spacing w:line="560" w:lineRule="exact"/>
        <w:ind w:firstLine="1767" w:firstLineChars="400"/>
        <w:contextualSpacing/>
        <w:jc w:val="both"/>
        <w:textAlignment w:val="auto"/>
        <w:rPr>
          <w:rFonts w:hint="default" w:ascii="宋体" w:hAnsi="宋体" w:eastAsia="宋体"/>
          <w:b/>
          <w:sz w:val="44"/>
          <w:szCs w:val="44"/>
          <w:highlight w:val="none"/>
          <w:shd w:val="clear" w:color="auto" w:fill="FFFFFF"/>
          <w:lang w:val="en-US" w:eastAsia="zh-CN"/>
        </w:rPr>
      </w:pPr>
      <w:r>
        <w:rPr>
          <w:rFonts w:hint="eastAsia" w:ascii="宋体" w:hAnsi="宋体" w:eastAsia="宋体"/>
          <w:b/>
          <w:sz w:val="44"/>
          <w:szCs w:val="44"/>
          <w:highlight w:val="none"/>
          <w:shd w:val="clear" w:color="auto" w:fill="FFFFFF"/>
          <w:lang w:val="en-US" w:eastAsia="zh-CN"/>
        </w:rPr>
        <w:t>剑阁县人大常委会办公室</w:t>
      </w:r>
    </w:p>
    <w:p w14:paraId="78A9D306">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宋体" w:hAnsi="宋体" w:eastAsia="宋体"/>
          <w:b/>
          <w:sz w:val="44"/>
          <w:szCs w:val="44"/>
          <w:highlight w:val="none"/>
          <w:shd w:val="clear" w:color="auto" w:fill="FFFFFF"/>
          <w:lang w:eastAsia="zh-CN"/>
        </w:rPr>
      </w:pPr>
      <w:r>
        <w:rPr>
          <w:rFonts w:hint="eastAsia" w:ascii="宋体" w:hAnsi="宋体" w:eastAsia="宋体"/>
          <w:b/>
          <w:sz w:val="44"/>
          <w:szCs w:val="44"/>
          <w:highlight w:val="none"/>
          <w:shd w:val="clear" w:color="auto" w:fill="FFFFFF"/>
          <w:lang w:val="en-US" w:eastAsia="zh-CN"/>
        </w:rPr>
        <w:t>关于</w:t>
      </w:r>
      <w:r>
        <w:rPr>
          <w:rFonts w:hint="eastAsia" w:ascii="宋体" w:hAnsi="宋体" w:eastAsia="宋体"/>
          <w:b/>
          <w:sz w:val="44"/>
          <w:szCs w:val="44"/>
          <w:highlight w:val="none"/>
          <w:shd w:val="clear" w:color="auto" w:fill="FFFFFF"/>
        </w:rPr>
        <w:t>20</w:t>
      </w:r>
      <w:r>
        <w:rPr>
          <w:rFonts w:hint="eastAsia" w:ascii="宋体" w:hAnsi="宋体" w:eastAsia="宋体"/>
          <w:b/>
          <w:sz w:val="44"/>
          <w:szCs w:val="44"/>
          <w:highlight w:val="none"/>
          <w:shd w:val="clear" w:color="auto" w:fill="FFFFFF"/>
          <w:lang w:val="en-US" w:eastAsia="zh-CN"/>
        </w:rPr>
        <w:t>22</w:t>
      </w:r>
      <w:r>
        <w:rPr>
          <w:rFonts w:hint="eastAsia" w:ascii="宋体" w:hAnsi="宋体" w:eastAsia="宋体"/>
          <w:b/>
          <w:sz w:val="44"/>
          <w:szCs w:val="44"/>
          <w:highlight w:val="none"/>
          <w:shd w:val="clear" w:color="auto" w:fill="FFFFFF"/>
        </w:rPr>
        <w:t>年</w:t>
      </w:r>
      <w:r>
        <w:rPr>
          <w:rFonts w:hint="eastAsia" w:ascii="宋体" w:hAnsi="宋体" w:eastAsia="宋体"/>
          <w:b/>
          <w:sz w:val="44"/>
          <w:szCs w:val="44"/>
          <w:highlight w:val="none"/>
          <w:shd w:val="clear" w:color="auto" w:fill="FFFFFF"/>
          <w:lang w:eastAsia="zh-CN"/>
        </w:rPr>
        <w:t>部门</w:t>
      </w:r>
      <w:r>
        <w:rPr>
          <w:rFonts w:hint="eastAsia" w:ascii="宋体" w:hAnsi="宋体" w:eastAsia="宋体"/>
          <w:b/>
          <w:sz w:val="44"/>
          <w:szCs w:val="44"/>
          <w:highlight w:val="none"/>
          <w:shd w:val="clear" w:color="auto" w:fill="FFFFFF"/>
        </w:rPr>
        <w:t>整体</w:t>
      </w:r>
      <w:r>
        <w:rPr>
          <w:rFonts w:hint="eastAsia" w:ascii="宋体" w:hAnsi="宋体" w:eastAsia="宋体"/>
          <w:b/>
          <w:sz w:val="44"/>
          <w:szCs w:val="44"/>
          <w:highlight w:val="none"/>
          <w:shd w:val="clear" w:color="auto" w:fill="FFFFFF"/>
          <w:lang w:eastAsia="zh-CN"/>
        </w:rPr>
        <w:t>支出</w:t>
      </w:r>
      <w:r>
        <w:rPr>
          <w:rFonts w:hint="eastAsia" w:ascii="宋体" w:hAnsi="宋体" w:eastAsia="宋体"/>
          <w:b/>
          <w:sz w:val="44"/>
          <w:szCs w:val="44"/>
          <w:highlight w:val="none"/>
          <w:shd w:val="clear" w:color="auto" w:fill="FFFFFF"/>
        </w:rPr>
        <w:t>绩效评价报告</w:t>
      </w:r>
    </w:p>
    <w:p w14:paraId="34DCDBA7">
      <w:pPr>
        <w:spacing w:line="600" w:lineRule="exact"/>
        <w:ind w:firstLine="640" w:firstLineChars="200"/>
        <w:outlineLvl w:val="1"/>
        <w:rPr>
          <w:rFonts w:ascii="仿宋" w:hAnsi="仿宋" w:eastAsia="仿宋"/>
          <w:sz w:val="32"/>
          <w:szCs w:val="32"/>
        </w:rPr>
      </w:pPr>
    </w:p>
    <w:p w14:paraId="3359240A">
      <w:pPr>
        <w:spacing w:line="600" w:lineRule="exact"/>
        <w:ind w:firstLine="643" w:firstLineChars="200"/>
        <w:outlineLvl w:val="1"/>
        <w:rPr>
          <w:rFonts w:hint="eastAsia" w:ascii="仿宋" w:hAnsi="仿宋" w:eastAsia="仿宋"/>
          <w:b/>
          <w:bCs/>
          <w:sz w:val="32"/>
          <w:szCs w:val="32"/>
          <w:lang w:val="zh-CN"/>
        </w:rPr>
      </w:pPr>
      <w:r>
        <w:rPr>
          <w:rFonts w:hint="eastAsia" w:ascii="仿宋" w:hAnsi="仿宋" w:eastAsia="仿宋"/>
          <w:b/>
          <w:bCs/>
          <w:sz w:val="32"/>
          <w:szCs w:val="32"/>
          <w:lang w:val="zh-CN"/>
        </w:rPr>
        <w:t>一</w:t>
      </w:r>
      <w:r>
        <w:rPr>
          <w:rFonts w:hint="eastAsia" w:ascii="仿宋" w:hAnsi="仿宋" w:eastAsia="仿宋"/>
          <w:b/>
          <w:bCs/>
          <w:sz w:val="32"/>
          <w:szCs w:val="32"/>
          <w:lang w:val="zh-CN" w:eastAsia="zh-CN"/>
        </w:rPr>
        <w:t>、</w:t>
      </w:r>
      <w:r>
        <w:rPr>
          <w:rFonts w:hint="eastAsia" w:ascii="仿宋" w:hAnsi="仿宋" w:eastAsia="仿宋"/>
          <w:b/>
          <w:bCs/>
          <w:sz w:val="32"/>
          <w:szCs w:val="32"/>
          <w:lang w:val="zh-CN"/>
        </w:rPr>
        <w:t>部门基本情况</w:t>
      </w:r>
    </w:p>
    <w:p w14:paraId="61A0C7CE">
      <w:pPr>
        <w:spacing w:line="600" w:lineRule="exact"/>
        <w:ind w:firstLine="643" w:firstLineChars="200"/>
        <w:outlineLvl w:val="1"/>
        <w:rPr>
          <w:rFonts w:hint="eastAsia" w:ascii="仿宋" w:hAnsi="仿宋" w:eastAsia="仿宋"/>
          <w:b/>
          <w:bCs/>
          <w:sz w:val="32"/>
          <w:szCs w:val="32"/>
          <w:lang w:val="zh-CN"/>
        </w:rPr>
      </w:pPr>
      <w:r>
        <w:rPr>
          <w:rFonts w:hint="eastAsia" w:ascii="仿宋" w:hAnsi="仿宋" w:eastAsia="仿宋"/>
          <w:b/>
          <w:bCs/>
          <w:sz w:val="32"/>
          <w:szCs w:val="32"/>
          <w:lang w:val="zh-CN"/>
        </w:rPr>
        <w:t>（</w:t>
      </w:r>
      <w:r>
        <w:rPr>
          <w:rFonts w:hint="eastAsia" w:ascii="仿宋" w:hAnsi="仿宋" w:eastAsia="仿宋"/>
          <w:b/>
          <w:bCs/>
          <w:sz w:val="32"/>
          <w:szCs w:val="32"/>
          <w:lang w:val="en-US" w:eastAsia="zh-CN"/>
        </w:rPr>
        <w:t>一</w:t>
      </w:r>
      <w:r>
        <w:rPr>
          <w:rFonts w:hint="eastAsia" w:ascii="仿宋" w:hAnsi="仿宋" w:eastAsia="仿宋"/>
          <w:b/>
          <w:bCs/>
          <w:sz w:val="32"/>
          <w:szCs w:val="32"/>
          <w:lang w:val="zh-CN"/>
        </w:rPr>
        <w:t>）机构组成。</w:t>
      </w:r>
    </w:p>
    <w:p w14:paraId="5C447F1E">
      <w:pPr>
        <w:spacing w:line="600" w:lineRule="exact"/>
        <w:ind w:firstLine="640" w:firstLineChars="200"/>
        <w:outlineLvl w:val="1"/>
        <w:rPr>
          <w:rFonts w:hint="eastAsia" w:ascii="仿宋" w:hAnsi="仿宋" w:eastAsia="仿宋"/>
          <w:sz w:val="32"/>
          <w:szCs w:val="32"/>
          <w:lang w:val="en-US" w:eastAsia="zh-CN"/>
        </w:rPr>
      </w:pPr>
      <w:r>
        <w:rPr>
          <w:rFonts w:hint="eastAsia" w:ascii="仿宋" w:hAnsi="仿宋" w:eastAsia="仿宋"/>
          <w:sz w:val="32"/>
          <w:szCs w:val="32"/>
          <w:lang w:val="en-US" w:eastAsia="zh-CN"/>
        </w:rPr>
        <w:t>1.县人大专门委员会。县十九届人民代表大会设立6个专门委员会，分别是监察和司法委员会、财政经济委员会、教育科学文化卫生委员会、城乡建设环境资源保护委员会、农业农村委员会、社会建设委员会。目前社会建设委员会有主任委员1人，副主任委员1人，委员3人,监察和司法委员会有副主任委员1人。</w:t>
      </w:r>
    </w:p>
    <w:p w14:paraId="63419E01">
      <w:pPr>
        <w:spacing w:line="600" w:lineRule="exact"/>
        <w:ind w:firstLine="640" w:firstLineChars="200"/>
        <w:outlineLvl w:val="1"/>
        <w:rPr>
          <w:rFonts w:hint="eastAsia" w:ascii="仿宋" w:hAnsi="仿宋" w:eastAsia="仿宋" w:cs="仿宋"/>
          <w:sz w:val="32"/>
          <w:szCs w:val="32"/>
          <w:lang w:val="en-US" w:eastAsia="zh-CN"/>
        </w:rPr>
      </w:pPr>
      <w:r>
        <w:rPr>
          <w:rFonts w:hint="eastAsia" w:ascii="仿宋" w:hAnsi="仿宋" w:eastAsia="仿宋"/>
          <w:sz w:val="32"/>
          <w:szCs w:val="32"/>
          <w:lang w:val="en-US" w:eastAsia="zh-CN"/>
        </w:rPr>
        <w:t>2.县人大常委会。省人大常委会核定我县第十九届人大常委会组成人员35人，现有组成人员35人。机关现内设机构有7委2室1中心，分别是财政经济工作委员会、预算工作委员会、法制工作委员会、农业工作委员会、教育科学文化卫生工作委员会、城乡建设环境资源工作委员会、人事代表工作委员会、办公室、信访室、财政预算</w:t>
      </w:r>
      <w:r>
        <w:rPr>
          <w:rFonts w:hint="eastAsia" w:ascii="仿宋" w:hAnsi="仿宋" w:eastAsia="仿宋" w:cs="仿宋"/>
          <w:sz w:val="32"/>
          <w:szCs w:val="32"/>
          <w:lang w:val="en-US" w:eastAsia="zh-CN"/>
        </w:rPr>
        <w:t>在线联网监督中心。</w:t>
      </w:r>
    </w:p>
    <w:p w14:paraId="07324CED">
      <w:pPr>
        <w:keepNext w:val="0"/>
        <w:keepLines w:val="0"/>
        <w:pageBreakBefore w:val="0"/>
        <w:widowControl w:val="0"/>
        <w:kinsoku/>
        <w:wordWrap/>
        <w:overflowPunct/>
        <w:topLinePunct w:val="0"/>
        <w:autoSpaceDE/>
        <w:autoSpaceDN/>
        <w:bidi w:val="0"/>
        <w:adjustRightInd/>
        <w:snapToGrid/>
        <w:spacing w:line="560" w:lineRule="exact"/>
        <w:ind w:firstLine="651"/>
        <w:textAlignment w:val="auto"/>
        <w:rPr>
          <w:rFonts w:hint="eastAsia" w:ascii="仿宋" w:hAnsi="仿宋" w:eastAsia="仿宋" w:cs="仿宋"/>
          <w:b/>
          <w:bCs/>
          <w:sz w:val="32"/>
          <w:szCs w:val="32"/>
          <w:lang w:val="zh-CN" w:eastAsia="zh-CN"/>
        </w:rPr>
      </w:pPr>
      <w:r>
        <w:rPr>
          <w:rFonts w:hint="eastAsia" w:ascii="仿宋" w:hAnsi="仿宋" w:eastAsia="仿宋" w:cs="仿宋"/>
          <w:b/>
          <w:bCs/>
          <w:sz w:val="32"/>
          <w:szCs w:val="32"/>
          <w:lang w:val="zh-CN" w:eastAsia="zh-CN"/>
        </w:rPr>
        <w:t>（</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lang w:val="zh-CN" w:eastAsia="zh-CN"/>
        </w:rPr>
        <w:t>）人员概况。</w:t>
      </w:r>
    </w:p>
    <w:p w14:paraId="49F7118D">
      <w:pPr>
        <w:keepNext w:val="0"/>
        <w:keepLines w:val="0"/>
        <w:pageBreakBefore w:val="0"/>
        <w:widowControl w:val="0"/>
        <w:kinsoku/>
        <w:wordWrap/>
        <w:overflowPunct/>
        <w:topLinePunct w:val="0"/>
        <w:autoSpaceDE/>
        <w:autoSpaceDN/>
        <w:bidi w:val="0"/>
        <w:adjustRightInd/>
        <w:snapToGrid/>
        <w:spacing w:line="560" w:lineRule="exact"/>
        <w:ind w:firstLine="651"/>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县人大常委会机关。县人大常委会机关现有行政编制22个，事业编制3个，工勤编制3个。现有正式职工44人，有退休干部35人。</w:t>
      </w:r>
    </w:p>
    <w:p w14:paraId="05257D38">
      <w:pPr>
        <w:keepNext w:val="0"/>
        <w:keepLines w:val="0"/>
        <w:pageBreakBefore w:val="0"/>
        <w:widowControl w:val="0"/>
        <w:kinsoku/>
        <w:wordWrap/>
        <w:overflowPunct/>
        <w:topLinePunct w:val="0"/>
        <w:autoSpaceDE/>
        <w:autoSpaceDN/>
        <w:bidi w:val="0"/>
        <w:adjustRightInd/>
        <w:snapToGrid/>
        <w:spacing w:line="560" w:lineRule="exact"/>
        <w:ind w:firstLine="651"/>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二、部门资金收支情况</w:t>
      </w:r>
    </w:p>
    <w:p w14:paraId="433167A1">
      <w:pPr>
        <w:keepNext w:val="0"/>
        <w:keepLines w:val="0"/>
        <w:pageBreakBefore w:val="0"/>
        <w:widowControl w:val="0"/>
        <w:kinsoku/>
        <w:wordWrap/>
        <w:overflowPunct/>
        <w:topLinePunct w:val="0"/>
        <w:autoSpaceDE/>
        <w:autoSpaceDN/>
        <w:bidi w:val="0"/>
        <w:adjustRightInd/>
        <w:snapToGrid/>
        <w:spacing w:line="560" w:lineRule="exact"/>
        <w:ind w:firstLine="651"/>
        <w:textAlignment w:val="auto"/>
        <w:rPr>
          <w:rFonts w:hint="eastAsia" w:ascii="仿宋" w:hAnsi="仿宋" w:eastAsia="仿宋" w:cs="仿宋"/>
          <w:b/>
          <w:bCs/>
          <w:sz w:val="32"/>
          <w:szCs w:val="32"/>
          <w:lang w:val="zh-CN" w:eastAsia="zh-CN"/>
        </w:rPr>
      </w:pPr>
      <w:r>
        <w:rPr>
          <w:rFonts w:hint="eastAsia" w:ascii="仿宋" w:hAnsi="仿宋" w:eastAsia="仿宋" w:cs="仿宋"/>
          <w:b/>
          <w:bCs/>
          <w:sz w:val="32"/>
          <w:szCs w:val="32"/>
          <w:lang w:val="zh-CN" w:eastAsia="zh-CN"/>
        </w:rPr>
        <w:t>（一）部门财政拨款收支情况。</w:t>
      </w:r>
    </w:p>
    <w:p w14:paraId="7C555B74">
      <w:pPr>
        <w:keepNext w:val="0"/>
        <w:keepLines w:val="0"/>
        <w:pageBreakBefore w:val="0"/>
        <w:widowControl w:val="0"/>
        <w:kinsoku/>
        <w:wordWrap/>
        <w:overflowPunct/>
        <w:topLinePunct w:val="0"/>
        <w:autoSpaceDE/>
        <w:autoSpaceDN/>
        <w:bidi w:val="0"/>
        <w:adjustRightInd/>
        <w:snapToGrid/>
        <w:spacing w:line="560" w:lineRule="exact"/>
        <w:ind w:firstLine="651"/>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1.部门财政拨款收入情况</w:t>
      </w:r>
    </w:p>
    <w:p w14:paraId="3CF8C596">
      <w:pPr>
        <w:keepNext w:val="0"/>
        <w:keepLines w:val="0"/>
        <w:pageBreakBefore w:val="0"/>
        <w:widowControl w:val="0"/>
        <w:kinsoku/>
        <w:wordWrap/>
        <w:overflowPunct/>
        <w:topLinePunct w:val="0"/>
        <w:autoSpaceDE/>
        <w:autoSpaceDN/>
        <w:bidi w:val="0"/>
        <w:adjustRightInd/>
        <w:snapToGrid/>
        <w:spacing w:line="560" w:lineRule="exact"/>
        <w:ind w:firstLine="651"/>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2022年收入决算总额为808.43万元，均为财政拨款收入。</w:t>
      </w:r>
    </w:p>
    <w:p w14:paraId="0C0BFDA9">
      <w:pPr>
        <w:keepNext w:val="0"/>
        <w:keepLines w:val="0"/>
        <w:pageBreakBefore w:val="0"/>
        <w:widowControl w:val="0"/>
        <w:kinsoku/>
        <w:wordWrap/>
        <w:overflowPunct/>
        <w:topLinePunct w:val="0"/>
        <w:autoSpaceDE/>
        <w:autoSpaceDN/>
        <w:bidi w:val="0"/>
        <w:adjustRightInd/>
        <w:snapToGrid/>
        <w:spacing w:line="560" w:lineRule="exact"/>
        <w:ind w:firstLine="651"/>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2.部门财政拨款支出情况</w:t>
      </w:r>
    </w:p>
    <w:p w14:paraId="2EFB0D1A">
      <w:pPr>
        <w:spacing w:line="600" w:lineRule="exact"/>
        <w:ind w:firstLine="640" w:firstLineChars="200"/>
        <w:outlineLvl w:val="1"/>
        <w:rPr>
          <w:rFonts w:hint="default" w:ascii="仿宋" w:hAnsi="仿宋" w:eastAsia="仿宋"/>
          <w:sz w:val="32"/>
          <w:szCs w:val="32"/>
          <w:lang w:val="en-US" w:eastAsia="zh-CN"/>
        </w:rPr>
      </w:pPr>
      <w:r>
        <w:rPr>
          <w:rFonts w:hint="eastAsia" w:ascii="仿宋" w:hAnsi="仿宋" w:eastAsia="仿宋"/>
          <w:sz w:val="32"/>
          <w:szCs w:val="32"/>
          <w:lang w:val="en-US" w:eastAsia="zh-CN"/>
        </w:rPr>
        <w:t>剑阁县人大常委会办公室2022年的单位支出为808.43万元。2022年一般公共预算财政拨款支出808.43万元，占2022年单位支出的100%。主要用于以下方面：社会保障和就业（类）支出56.86万元，占7.03%；卫生健康支出（类）28.43万元,占3.52%；农林水支出0万元，占0%；一般公共服务支出（人大事务）680.49万元，占84.17% ；住房保障支出42.64万元，占5.28%。</w:t>
      </w:r>
    </w:p>
    <w:p w14:paraId="3E44870C">
      <w:pPr>
        <w:keepNext w:val="0"/>
        <w:keepLines w:val="0"/>
        <w:pageBreakBefore w:val="0"/>
        <w:widowControl w:val="0"/>
        <w:kinsoku/>
        <w:wordWrap/>
        <w:overflowPunct/>
        <w:topLinePunct w:val="0"/>
        <w:autoSpaceDE/>
        <w:autoSpaceDN/>
        <w:bidi w:val="0"/>
        <w:adjustRightInd/>
        <w:snapToGrid/>
        <w:spacing w:line="560" w:lineRule="exact"/>
        <w:ind w:firstLine="651"/>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三、部门整体绩效分析</w:t>
      </w:r>
    </w:p>
    <w:p w14:paraId="7782A9DE">
      <w:pPr>
        <w:keepNext w:val="0"/>
        <w:keepLines w:val="0"/>
        <w:pageBreakBefore w:val="0"/>
        <w:widowControl w:val="0"/>
        <w:kinsoku/>
        <w:wordWrap/>
        <w:overflowPunct/>
        <w:topLinePunct w:val="0"/>
        <w:autoSpaceDE/>
        <w:autoSpaceDN/>
        <w:bidi w:val="0"/>
        <w:adjustRightInd/>
        <w:snapToGrid/>
        <w:spacing w:line="560" w:lineRule="exact"/>
        <w:ind w:firstLine="651"/>
        <w:textAlignment w:val="auto"/>
        <w:rPr>
          <w:rFonts w:hint="eastAsia" w:ascii="仿宋" w:hAnsi="仿宋" w:eastAsia="仿宋" w:cs="仿宋"/>
          <w:b/>
          <w:bCs/>
          <w:sz w:val="32"/>
          <w:szCs w:val="32"/>
          <w:lang w:val="zh-CN" w:eastAsia="zh-CN"/>
        </w:rPr>
      </w:pPr>
      <w:r>
        <w:rPr>
          <w:rFonts w:hint="eastAsia" w:ascii="仿宋" w:hAnsi="仿宋" w:eastAsia="仿宋" w:cs="仿宋"/>
          <w:b/>
          <w:bCs/>
          <w:sz w:val="32"/>
          <w:szCs w:val="32"/>
          <w:lang w:val="zh-CN" w:eastAsia="zh-CN"/>
        </w:rPr>
        <w:t>（一）部门预算项目绩效分析。</w:t>
      </w:r>
    </w:p>
    <w:p w14:paraId="5C2B1601">
      <w:pPr>
        <w:keepNext w:val="0"/>
        <w:keepLines w:val="0"/>
        <w:pageBreakBefore w:val="0"/>
        <w:widowControl w:val="0"/>
        <w:kinsoku/>
        <w:wordWrap/>
        <w:overflowPunct/>
        <w:topLinePunct w:val="0"/>
        <w:autoSpaceDE/>
        <w:autoSpaceDN/>
        <w:bidi w:val="0"/>
        <w:adjustRightInd/>
        <w:snapToGrid/>
        <w:spacing w:line="560" w:lineRule="exact"/>
        <w:ind w:firstLine="651"/>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1.人员类项目绩效分析</w:t>
      </w:r>
    </w:p>
    <w:p w14:paraId="593D823B">
      <w:pPr>
        <w:spacing w:line="600" w:lineRule="exact"/>
        <w:ind w:firstLine="640" w:firstLineChars="200"/>
        <w:outlineLvl w:val="1"/>
        <w:rPr>
          <w:rFonts w:hint="default" w:ascii="仿宋" w:hAnsi="仿宋" w:eastAsia="仿宋"/>
          <w:sz w:val="32"/>
          <w:szCs w:val="32"/>
          <w:lang w:val="en-US" w:eastAsia="zh-CN"/>
        </w:rPr>
      </w:pPr>
      <w:r>
        <w:rPr>
          <w:rFonts w:hint="eastAsia" w:ascii="仿宋" w:hAnsi="仿宋" w:eastAsia="仿宋"/>
          <w:sz w:val="32"/>
          <w:szCs w:val="32"/>
          <w:lang w:val="en-US" w:eastAsia="zh-CN"/>
        </w:rPr>
        <w:t>人员类预算资金693.76万元，为全系统职工工资福利和工作正常开展提供经费保障，完成工资福利支出693.76万元；及时开展绩效运行监控，按需进行预算调整；2022年度我单位人员类资金6月部门预算执行进度40%,10月部门预算执行进度66.45%,截至现在，部门预算执行进度99.7%，不存在</w:t>
      </w:r>
      <w:r>
        <w:rPr>
          <w:rFonts w:hint="eastAsia" w:ascii="仿宋" w:hAnsi="仿宋" w:eastAsia="仿宋"/>
          <w:sz w:val="32"/>
          <w:szCs w:val="32"/>
          <w:lang w:val="zh-CN" w:eastAsia="zh-CN"/>
        </w:rPr>
        <w:t>低效无效率的情况；运转类</w:t>
      </w:r>
      <w:r>
        <w:rPr>
          <w:rFonts w:hint="eastAsia" w:ascii="仿宋" w:hAnsi="仿宋" w:eastAsia="仿宋"/>
          <w:sz w:val="32"/>
          <w:szCs w:val="32"/>
          <w:lang w:val="en-US" w:eastAsia="zh-CN"/>
        </w:rPr>
        <w:t>支出无违规记录的情况。</w:t>
      </w:r>
    </w:p>
    <w:p w14:paraId="662E91FC">
      <w:pPr>
        <w:keepNext w:val="0"/>
        <w:keepLines w:val="0"/>
        <w:pageBreakBefore w:val="0"/>
        <w:widowControl w:val="0"/>
        <w:kinsoku/>
        <w:wordWrap/>
        <w:overflowPunct/>
        <w:topLinePunct w:val="0"/>
        <w:autoSpaceDE/>
        <w:autoSpaceDN/>
        <w:bidi w:val="0"/>
        <w:adjustRightInd/>
        <w:snapToGrid/>
        <w:spacing w:line="560" w:lineRule="exact"/>
        <w:ind w:firstLine="651"/>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2.运转类项目绩效分析</w:t>
      </w:r>
    </w:p>
    <w:p w14:paraId="536EE016">
      <w:pPr>
        <w:spacing w:line="600" w:lineRule="exact"/>
        <w:ind w:firstLine="640" w:firstLineChars="200"/>
        <w:outlineLvl w:val="1"/>
        <w:rPr>
          <w:rFonts w:hint="eastAsia" w:ascii="仿宋" w:hAnsi="仿宋" w:eastAsia="仿宋"/>
          <w:sz w:val="32"/>
          <w:szCs w:val="32"/>
          <w:lang w:val="en-US" w:eastAsia="zh-CN"/>
        </w:rPr>
      </w:pPr>
      <w:r>
        <w:rPr>
          <w:rFonts w:hint="eastAsia" w:ascii="仿宋" w:hAnsi="仿宋" w:eastAsia="仿宋"/>
          <w:sz w:val="32"/>
          <w:szCs w:val="32"/>
          <w:lang w:val="en-US" w:eastAsia="zh-CN"/>
        </w:rPr>
        <w:t>运转类预算资金113.69万元，完成日常工作运转支出113.69万元；非定额公用支出0万元；及时开展绩效运行监控，按需进行预算调整；2022年度我单位运转类资金6月部门预算执行度50.47%， 10月部门预算执行进度86.55%, 截至现在，部门预算执行进度100%；运转类预算支出完成率100%；不存在</w:t>
      </w:r>
      <w:r>
        <w:rPr>
          <w:rFonts w:hint="eastAsia" w:ascii="仿宋" w:hAnsi="仿宋" w:eastAsia="仿宋"/>
          <w:sz w:val="32"/>
          <w:szCs w:val="32"/>
          <w:lang w:val="zh-CN" w:eastAsia="zh-CN"/>
        </w:rPr>
        <w:t>低效无效率的情况；运转类</w:t>
      </w:r>
      <w:r>
        <w:rPr>
          <w:rFonts w:hint="eastAsia" w:ascii="仿宋" w:hAnsi="仿宋" w:eastAsia="仿宋"/>
          <w:sz w:val="32"/>
          <w:szCs w:val="32"/>
          <w:lang w:val="en-US" w:eastAsia="zh-CN"/>
        </w:rPr>
        <w:t>支出无违规记录的情况。</w:t>
      </w:r>
    </w:p>
    <w:p w14:paraId="558B8A9A">
      <w:pPr>
        <w:widowControl/>
        <w:numPr>
          <w:ilvl w:val="0"/>
          <w:numId w:val="0"/>
        </w:numPr>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w:t>
      </w:r>
      <w:r>
        <w:rPr>
          <w:rFonts w:hint="eastAsia" w:ascii="楷体_GB2312" w:hAnsi="楷体_GB2312" w:eastAsia="楷体_GB2312" w:cs="楷体_GB2312"/>
          <w:b/>
          <w:bCs/>
          <w:kern w:val="0"/>
          <w:sz w:val="32"/>
          <w:szCs w:val="32"/>
          <w:shd w:val="clear" w:color="auto" w:fill="FFFFFF"/>
          <w:lang w:val="en-US" w:eastAsia="zh-CN"/>
        </w:rPr>
        <w:t>二）</w:t>
      </w:r>
      <w:r>
        <w:rPr>
          <w:rFonts w:hint="eastAsia" w:ascii="楷体_GB2312" w:hAnsi="楷体_GB2312" w:eastAsia="楷体_GB2312" w:cs="楷体_GB2312"/>
          <w:b/>
          <w:bCs/>
          <w:kern w:val="0"/>
          <w:sz w:val="32"/>
          <w:szCs w:val="32"/>
          <w:shd w:val="clear" w:color="auto" w:fill="FFFFFF"/>
          <w:lang w:val="zh-CN"/>
        </w:rPr>
        <w:t>部门整体履职绩效分析。</w:t>
      </w:r>
    </w:p>
    <w:p w14:paraId="56822B85">
      <w:pPr>
        <w:spacing w:line="600" w:lineRule="exact"/>
        <w:ind w:firstLine="640" w:firstLineChars="200"/>
        <w:outlineLvl w:val="1"/>
        <w:rPr>
          <w:rFonts w:hint="eastAsia" w:ascii="仿宋" w:hAnsi="仿宋" w:eastAsia="仿宋"/>
          <w:sz w:val="32"/>
          <w:szCs w:val="32"/>
          <w:lang w:val="en-US" w:eastAsia="zh-CN"/>
        </w:rPr>
      </w:pPr>
      <w:r>
        <w:rPr>
          <w:rFonts w:hint="eastAsia" w:ascii="仿宋" w:hAnsi="仿宋" w:eastAsia="仿宋"/>
          <w:sz w:val="32"/>
          <w:szCs w:val="32"/>
          <w:lang w:val="en-US" w:eastAsia="zh-CN"/>
        </w:rPr>
        <w:t>绩效目标编制紧扣</w:t>
      </w:r>
      <w:r>
        <w:rPr>
          <w:rFonts w:hint="default" w:ascii="仿宋" w:hAnsi="仿宋" w:eastAsia="仿宋"/>
          <w:sz w:val="32"/>
          <w:szCs w:val="32"/>
          <w:lang w:val="en" w:eastAsia="zh-CN"/>
        </w:rPr>
        <w:t>县人大常委会办公室</w:t>
      </w:r>
      <w:r>
        <w:rPr>
          <w:rFonts w:hint="eastAsia" w:ascii="仿宋" w:hAnsi="仿宋" w:eastAsia="仿宋"/>
          <w:sz w:val="32"/>
          <w:szCs w:val="32"/>
          <w:lang w:val="en-US" w:eastAsia="zh-CN"/>
        </w:rPr>
        <w:t>职能职责，结合2022年度</w:t>
      </w:r>
      <w:r>
        <w:rPr>
          <w:rFonts w:hint="default" w:ascii="仿宋" w:hAnsi="仿宋" w:eastAsia="仿宋"/>
          <w:sz w:val="32"/>
          <w:szCs w:val="32"/>
          <w:lang w:val="en" w:eastAsia="zh-CN"/>
        </w:rPr>
        <w:t>县人大常委会办公室</w:t>
      </w:r>
      <w:r>
        <w:rPr>
          <w:rFonts w:hint="eastAsia" w:ascii="仿宋" w:hAnsi="仿宋" w:eastAsia="仿宋"/>
          <w:sz w:val="32"/>
          <w:szCs w:val="32"/>
          <w:lang w:val="en-US" w:eastAsia="zh-CN"/>
        </w:rPr>
        <w:t>整体工作计划和目标任务，以预算资金管理为主线，统筹考虑资产和业务活动，从运行成本、管理效率、履职效能、社会效益、可持续发展能力和服务对象满意度等方面，科学合理设置了部门整体支出绩效目标。专用项目绩效目标编制，由资金使用部门根据项目实施方案、计划、预期达到的目标等，如实填报绩效目标，指标值采用定量表述和定性表述相结合的办法，做到了细化量化。部门在编制专用项目绩效目标后，经办公室绩效管理领导小组审核确认，确保预算金额和绩效目标相匹配。</w:t>
      </w:r>
    </w:p>
    <w:p w14:paraId="30B12DC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zh-CN" w:eastAsia="zh-CN"/>
        </w:rPr>
      </w:pPr>
      <w:r>
        <w:rPr>
          <w:rFonts w:hint="eastAsia" w:ascii="仿宋" w:hAnsi="仿宋" w:eastAsia="仿宋" w:cs="仿宋"/>
          <w:b/>
          <w:bCs/>
          <w:sz w:val="32"/>
          <w:szCs w:val="32"/>
          <w:lang w:val="zh-CN" w:eastAsia="zh-CN"/>
        </w:rPr>
        <w:t>（三）结果应用情况。</w:t>
      </w:r>
    </w:p>
    <w:p w14:paraId="35CD75BC">
      <w:pPr>
        <w:spacing w:line="600" w:lineRule="exact"/>
        <w:ind w:firstLine="640" w:firstLineChars="200"/>
        <w:outlineLvl w:val="1"/>
        <w:rPr>
          <w:rFonts w:hint="eastAsia" w:ascii="仿宋" w:hAnsi="仿宋" w:eastAsia="仿宋"/>
          <w:sz w:val="32"/>
          <w:szCs w:val="32"/>
          <w:lang w:val="en-US" w:eastAsia="zh-CN"/>
        </w:rPr>
      </w:pPr>
      <w:r>
        <w:rPr>
          <w:rFonts w:hint="eastAsia" w:ascii="仿宋" w:hAnsi="仿宋" w:eastAsia="仿宋"/>
          <w:sz w:val="32"/>
          <w:szCs w:val="32"/>
          <w:lang w:val="en-US" w:eastAsia="zh-CN"/>
        </w:rPr>
        <w:t>1、内部应用及自评公开情况。一是内部应用情况。将内设机构纳入考核体系。二是自评公开情况。按照要求将相关绩效信息随同决算信息进行公开。</w:t>
      </w:r>
    </w:p>
    <w:p w14:paraId="123283ED">
      <w:pPr>
        <w:spacing w:line="600" w:lineRule="exact"/>
        <w:ind w:firstLine="640" w:firstLineChars="200"/>
        <w:outlineLvl w:val="1"/>
        <w:rPr>
          <w:rFonts w:hint="eastAsia" w:ascii="仿宋" w:hAnsi="仿宋" w:eastAsia="仿宋"/>
          <w:sz w:val="32"/>
          <w:szCs w:val="32"/>
          <w:lang w:val="zh-CN" w:eastAsia="zh-CN"/>
        </w:rPr>
      </w:pPr>
      <w:r>
        <w:rPr>
          <w:rFonts w:hint="eastAsia" w:ascii="仿宋" w:hAnsi="仿宋" w:eastAsia="仿宋"/>
          <w:sz w:val="32"/>
          <w:szCs w:val="32"/>
          <w:lang w:val="en-US" w:eastAsia="zh-CN"/>
        </w:rPr>
        <w:t>2、问题整改及应用反馈情况。因2022年度我单位未收到绩效管理过程中提出的问题，所以也未向财政部门反馈应用整改情况。</w:t>
      </w:r>
    </w:p>
    <w:p w14:paraId="3A27888A">
      <w:pPr>
        <w:spacing w:line="600" w:lineRule="exact"/>
        <w:ind w:firstLine="643" w:firstLineChars="200"/>
        <w:outlineLvl w:val="1"/>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四、评价结论及建议</w:t>
      </w:r>
    </w:p>
    <w:p w14:paraId="209B39E5">
      <w:pPr>
        <w:spacing w:line="600" w:lineRule="exact"/>
        <w:ind w:firstLine="643" w:firstLineChars="200"/>
        <w:outlineLvl w:val="1"/>
        <w:rPr>
          <w:rFonts w:hint="eastAsia" w:ascii="仿宋" w:hAnsi="仿宋" w:eastAsia="仿宋"/>
          <w:b/>
          <w:bCs/>
          <w:sz w:val="32"/>
          <w:szCs w:val="32"/>
          <w:lang w:val="zh-CN" w:eastAsia="zh-CN"/>
        </w:rPr>
      </w:pPr>
      <w:r>
        <w:rPr>
          <w:rFonts w:hint="eastAsia" w:ascii="仿宋" w:hAnsi="仿宋" w:eastAsia="仿宋"/>
          <w:b/>
          <w:bCs/>
          <w:sz w:val="32"/>
          <w:szCs w:val="32"/>
          <w:lang w:val="zh-CN" w:eastAsia="zh-CN"/>
        </w:rPr>
        <w:t>（一）评价结论。</w:t>
      </w:r>
    </w:p>
    <w:p w14:paraId="5CCF34F1">
      <w:pPr>
        <w:spacing w:line="600" w:lineRule="exact"/>
        <w:ind w:firstLine="640" w:firstLineChars="200"/>
        <w:outlineLvl w:val="1"/>
        <w:rPr>
          <w:rFonts w:hint="eastAsia" w:ascii="仿宋" w:hAnsi="仿宋" w:eastAsia="仿宋" w:cs="仿宋"/>
          <w:sz w:val="32"/>
          <w:szCs w:val="32"/>
          <w:lang w:val="zh-CN" w:eastAsia="zh-CN"/>
        </w:rPr>
      </w:pPr>
      <w:r>
        <w:rPr>
          <w:rFonts w:hint="eastAsia" w:ascii="仿宋" w:hAnsi="仿宋" w:eastAsia="仿宋"/>
          <w:sz w:val="32"/>
          <w:szCs w:val="32"/>
          <w:lang w:val="en-US" w:eastAsia="zh-CN"/>
        </w:rPr>
        <w:t>我单位支出绩效总体良好，各项目标达到了相应时期执行进度，各项经费按预算实施，使财政收支预算执行得到了</w:t>
      </w:r>
      <w:r>
        <w:rPr>
          <w:rFonts w:hint="eastAsia" w:ascii="仿宋" w:hAnsi="仿宋" w:eastAsia="仿宋" w:cs="仿宋"/>
          <w:sz w:val="32"/>
          <w:szCs w:val="32"/>
          <w:lang w:val="en-US" w:eastAsia="zh-CN"/>
        </w:rPr>
        <w:t>良好的制度保障和实施效果。</w:t>
      </w:r>
    </w:p>
    <w:p w14:paraId="23CD14B7">
      <w:pPr>
        <w:keepNext w:val="0"/>
        <w:keepLines w:val="0"/>
        <w:pageBreakBefore w:val="0"/>
        <w:widowControl w:val="0"/>
        <w:kinsoku/>
        <w:wordWrap/>
        <w:overflowPunct/>
        <w:topLinePunct w:val="0"/>
        <w:autoSpaceDE/>
        <w:autoSpaceDN/>
        <w:bidi w:val="0"/>
        <w:adjustRightInd/>
        <w:snapToGrid/>
        <w:spacing w:line="560" w:lineRule="exact"/>
        <w:ind w:firstLine="651"/>
        <w:textAlignment w:val="auto"/>
        <w:rPr>
          <w:rFonts w:hint="eastAsia" w:ascii="仿宋" w:hAnsi="仿宋" w:eastAsia="仿宋" w:cs="仿宋"/>
          <w:b/>
          <w:bCs/>
          <w:sz w:val="32"/>
          <w:szCs w:val="32"/>
          <w:lang w:val="zh-CN" w:eastAsia="zh-CN"/>
        </w:rPr>
      </w:pPr>
      <w:r>
        <w:rPr>
          <w:rFonts w:hint="eastAsia" w:ascii="仿宋" w:hAnsi="仿宋" w:eastAsia="仿宋" w:cs="仿宋"/>
          <w:b/>
          <w:bCs/>
          <w:sz w:val="32"/>
          <w:szCs w:val="32"/>
          <w:lang w:val="zh-CN" w:eastAsia="zh-CN"/>
        </w:rPr>
        <w:t>（</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lang w:val="zh-CN" w:eastAsia="zh-CN"/>
        </w:rPr>
        <w:t>）存在问题。</w:t>
      </w:r>
    </w:p>
    <w:p w14:paraId="137CB4DE">
      <w:pPr>
        <w:keepNext w:val="0"/>
        <w:keepLines w:val="0"/>
        <w:pageBreakBefore w:val="0"/>
        <w:widowControl w:val="0"/>
        <w:kinsoku/>
        <w:wordWrap/>
        <w:overflowPunct/>
        <w:topLinePunct w:val="0"/>
        <w:autoSpaceDE/>
        <w:autoSpaceDN/>
        <w:bidi w:val="0"/>
        <w:adjustRightInd/>
        <w:snapToGrid/>
        <w:spacing w:line="560" w:lineRule="exact"/>
        <w:ind w:firstLine="651"/>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各项经费拨付不能及时到位。</w:t>
      </w:r>
    </w:p>
    <w:p w14:paraId="58AA8D38">
      <w:pPr>
        <w:keepNext w:val="0"/>
        <w:keepLines w:val="0"/>
        <w:pageBreakBefore w:val="0"/>
        <w:widowControl w:val="0"/>
        <w:kinsoku/>
        <w:wordWrap/>
        <w:overflowPunct/>
        <w:topLinePunct w:val="0"/>
        <w:autoSpaceDE/>
        <w:autoSpaceDN/>
        <w:bidi w:val="0"/>
        <w:adjustRightInd/>
        <w:snapToGrid/>
        <w:spacing w:line="560" w:lineRule="exact"/>
        <w:ind w:firstLine="651"/>
        <w:textAlignment w:val="auto"/>
        <w:rPr>
          <w:rFonts w:hint="eastAsia" w:ascii="仿宋" w:hAnsi="仿宋" w:eastAsia="仿宋" w:cs="仿宋"/>
          <w:b/>
          <w:bCs/>
          <w:sz w:val="32"/>
          <w:szCs w:val="32"/>
          <w:lang w:val="zh-CN" w:eastAsia="zh-CN"/>
        </w:rPr>
      </w:pPr>
      <w:r>
        <w:rPr>
          <w:rFonts w:hint="eastAsia" w:ascii="仿宋" w:hAnsi="仿宋" w:eastAsia="仿宋" w:cs="仿宋"/>
          <w:b/>
          <w:bCs/>
          <w:sz w:val="32"/>
          <w:szCs w:val="32"/>
          <w:lang w:val="zh-CN" w:eastAsia="zh-CN"/>
        </w:rPr>
        <w:t>（三）改进建议。</w:t>
      </w:r>
    </w:p>
    <w:p w14:paraId="5B649F4D">
      <w:pPr>
        <w:keepNext w:val="0"/>
        <w:keepLines w:val="0"/>
        <w:pageBreakBefore w:val="0"/>
        <w:widowControl w:val="0"/>
        <w:kinsoku/>
        <w:wordWrap/>
        <w:overflowPunct/>
        <w:topLinePunct w:val="0"/>
        <w:autoSpaceDE/>
        <w:autoSpaceDN/>
        <w:bidi w:val="0"/>
        <w:adjustRightInd/>
        <w:snapToGrid/>
        <w:spacing w:line="560" w:lineRule="exact"/>
        <w:ind w:firstLine="651"/>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进一步提高部门预算支出的财政保障水平。加强政府会计制度和预算法学习培训，规范财务核算。</w:t>
      </w:r>
    </w:p>
    <w:p w14:paraId="19C39746">
      <w:pPr>
        <w:keepNext w:val="0"/>
        <w:keepLines w:val="0"/>
        <w:pageBreakBefore w:val="0"/>
        <w:widowControl w:val="0"/>
        <w:kinsoku/>
        <w:wordWrap/>
        <w:overflowPunct/>
        <w:topLinePunct w:val="0"/>
        <w:autoSpaceDE/>
        <w:autoSpaceDN/>
        <w:bidi w:val="0"/>
        <w:adjustRightInd/>
        <w:snapToGrid/>
        <w:spacing w:line="560" w:lineRule="exact"/>
        <w:ind w:firstLine="651"/>
        <w:textAlignment w:val="auto"/>
        <w:rPr>
          <w:rFonts w:hint="default" w:ascii="仿宋" w:hAnsi="仿宋" w:eastAsia="仿宋" w:cs="仿宋"/>
          <w:sz w:val="32"/>
          <w:szCs w:val="32"/>
          <w:lang w:val="en-US" w:eastAsia="zh-CN"/>
        </w:rPr>
      </w:pPr>
    </w:p>
    <w:p w14:paraId="2316B735">
      <w:pPr>
        <w:pStyle w:val="26"/>
        <w:rPr>
          <w:rFonts w:hint="default" w:ascii="仿宋" w:hAnsi="仿宋" w:eastAsia="仿宋" w:cs="仿宋"/>
          <w:sz w:val="32"/>
          <w:szCs w:val="32"/>
          <w:lang w:val="en-US" w:eastAsia="zh-CN"/>
        </w:rPr>
      </w:pPr>
    </w:p>
    <w:p w14:paraId="5F8393A5">
      <w:pPr>
        <w:keepNext w:val="0"/>
        <w:keepLines w:val="0"/>
        <w:pageBreakBefore w:val="0"/>
        <w:widowControl w:val="0"/>
        <w:kinsoku/>
        <w:wordWrap/>
        <w:overflowPunct/>
        <w:topLinePunct w:val="0"/>
        <w:autoSpaceDE/>
        <w:autoSpaceDN/>
        <w:bidi w:val="0"/>
        <w:adjustRightInd/>
        <w:snapToGrid/>
        <w:spacing w:line="560" w:lineRule="exact"/>
        <w:ind w:firstLine="3843" w:firstLineChars="1201"/>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剑阁县人大常委会办公室</w:t>
      </w:r>
    </w:p>
    <w:p w14:paraId="2C239E1B">
      <w:pPr>
        <w:pStyle w:val="2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481CF78E">
      <w:pPr>
        <w:pStyle w:val="26"/>
        <w:rPr>
          <w:rFonts w:hint="default" w:ascii="仿宋" w:hAnsi="仿宋" w:eastAsia="仿宋" w:cs="仿宋"/>
          <w:sz w:val="32"/>
          <w:szCs w:val="32"/>
          <w:lang w:val="en-US" w:eastAsia="zh-CN"/>
        </w:rPr>
      </w:pPr>
    </w:p>
    <w:p w14:paraId="415790E8">
      <w:pPr>
        <w:pStyle w:val="6"/>
        <w:spacing w:before="93"/>
        <w:rPr>
          <w:rFonts w:hAnsi="宋体" w:cs="宋体"/>
          <w:sz w:val="32"/>
          <w:szCs w:val="32"/>
          <w:shd w:val="clear" w:color="auto" w:fill="FFFFFF"/>
          <w:lang w:val="zh-CN"/>
        </w:rPr>
      </w:pPr>
    </w:p>
    <w:p w14:paraId="4BFE1A6C">
      <w:pPr>
        <w:pStyle w:val="6"/>
        <w:spacing w:before="93"/>
        <w:rPr>
          <w:rFonts w:hAnsi="宋体" w:cs="宋体"/>
          <w:sz w:val="32"/>
          <w:szCs w:val="32"/>
          <w:shd w:val="clear" w:color="auto" w:fill="FFFFFF"/>
          <w:lang w:val="zh-CN"/>
        </w:rPr>
      </w:pPr>
    </w:p>
    <w:p w14:paraId="78074754">
      <w:pPr>
        <w:pStyle w:val="6"/>
        <w:spacing w:before="93"/>
        <w:rPr>
          <w:rFonts w:hAnsi="宋体" w:cs="宋体"/>
          <w:sz w:val="32"/>
          <w:szCs w:val="32"/>
          <w:shd w:val="clear" w:color="auto" w:fill="FFFFFF"/>
          <w:lang w:val="zh-CN"/>
        </w:rPr>
      </w:pPr>
    </w:p>
    <w:p w14:paraId="4B404326">
      <w:pPr>
        <w:pStyle w:val="6"/>
        <w:spacing w:before="93"/>
        <w:rPr>
          <w:rFonts w:hAnsi="宋体" w:cs="宋体"/>
          <w:sz w:val="32"/>
          <w:szCs w:val="32"/>
          <w:shd w:val="clear" w:color="auto" w:fill="FFFFFF"/>
          <w:lang w:val="zh-CN"/>
        </w:rPr>
      </w:pPr>
    </w:p>
    <w:p w14:paraId="27780B55">
      <w:pPr>
        <w:pStyle w:val="6"/>
        <w:spacing w:before="93"/>
        <w:rPr>
          <w:rFonts w:hAnsi="宋体" w:cs="宋体"/>
          <w:sz w:val="32"/>
          <w:szCs w:val="32"/>
          <w:shd w:val="clear" w:color="auto" w:fill="FFFFFF"/>
          <w:lang w:val="zh-CN"/>
        </w:rPr>
      </w:pPr>
    </w:p>
    <w:p w14:paraId="29044EBC">
      <w:pPr>
        <w:widowControl/>
        <w:jc w:val="left"/>
        <w:rPr>
          <w:rStyle w:val="28"/>
          <w:rFonts w:ascii="黑体" w:hAnsi="黑体" w:eastAsia="黑体"/>
          <w:b w:val="0"/>
        </w:rPr>
      </w:pPr>
      <w:r>
        <w:rPr>
          <w:rFonts w:hint="eastAsia" w:hAnsi="宋体" w:cs="宋体"/>
          <w:sz w:val="32"/>
          <w:szCs w:val="32"/>
          <w:shd w:val="clear" w:color="auto" w:fill="FFFFFF"/>
          <w:lang w:val="zh-CN"/>
        </w:rPr>
        <w:t>附</w:t>
      </w:r>
    </w:p>
    <w:p w14:paraId="18161F1C">
      <w:pPr>
        <w:spacing w:line="600" w:lineRule="exact"/>
        <w:jc w:val="center"/>
        <w:outlineLvl w:val="0"/>
        <w:rPr>
          <w:rFonts w:ascii="仿宋" w:hAnsi="仿宋" w:eastAsia="仿宋"/>
        </w:rPr>
      </w:pPr>
      <w:bookmarkStart w:id="47" w:name="_Toc15396618"/>
      <w:r>
        <w:rPr>
          <w:rFonts w:hint="eastAsia" w:ascii="黑体" w:hAnsi="黑体" w:eastAsia="黑体"/>
          <w:sz w:val="44"/>
          <w:szCs w:val="44"/>
        </w:rPr>
        <w:t>第</w:t>
      </w:r>
      <w:r>
        <w:rPr>
          <w:rStyle w:val="28"/>
          <w:rFonts w:hint="eastAsia" w:ascii="黑体" w:hAnsi="黑体" w:eastAsia="黑体"/>
          <w:b w:val="0"/>
        </w:rPr>
        <w:t>五部分 附表</w:t>
      </w:r>
      <w:bookmarkEnd w:id="45"/>
      <w:bookmarkEnd w:id="47"/>
      <w:bookmarkStart w:id="48" w:name="_Toc15396619"/>
    </w:p>
    <w:p w14:paraId="4B779D73">
      <w:pPr>
        <w:pStyle w:val="4"/>
        <w:rPr>
          <w:rFonts w:ascii="仿宋" w:hAnsi="仿宋" w:eastAsia="仿宋"/>
        </w:rPr>
      </w:pPr>
      <w:r>
        <w:rPr>
          <w:rFonts w:hint="eastAsia" w:ascii="仿宋" w:hAnsi="仿宋" w:eastAsia="仿宋"/>
          <w:b w:val="0"/>
        </w:rPr>
        <w:t>一、收</w:t>
      </w:r>
      <w:r>
        <w:rPr>
          <w:rStyle w:val="29"/>
          <w:rFonts w:hint="eastAsia" w:ascii="仿宋" w:hAnsi="仿宋" w:eastAsia="仿宋"/>
          <w:b w:val="0"/>
          <w:bCs w:val="0"/>
        </w:rPr>
        <w:t>入支出决算总表</w:t>
      </w:r>
      <w:bookmarkEnd w:id="48"/>
    </w:p>
    <w:p w14:paraId="2D7DEB67">
      <w:pPr>
        <w:pStyle w:val="4"/>
        <w:rPr>
          <w:rFonts w:ascii="仿宋" w:hAnsi="仿宋" w:eastAsia="仿宋"/>
        </w:rPr>
      </w:pPr>
      <w:bookmarkStart w:id="49" w:name="_Toc15396620"/>
      <w:r>
        <w:rPr>
          <w:rFonts w:hint="eastAsia" w:ascii="仿宋" w:hAnsi="仿宋" w:eastAsia="仿宋"/>
          <w:b w:val="0"/>
        </w:rPr>
        <w:t>二、收</w:t>
      </w:r>
      <w:r>
        <w:rPr>
          <w:rStyle w:val="29"/>
          <w:rFonts w:hint="eastAsia" w:ascii="仿宋" w:hAnsi="仿宋" w:eastAsia="仿宋"/>
          <w:b w:val="0"/>
          <w:bCs w:val="0"/>
        </w:rPr>
        <w:t>入决算表</w:t>
      </w:r>
      <w:bookmarkEnd w:id="49"/>
    </w:p>
    <w:p w14:paraId="1A1050F6">
      <w:pPr>
        <w:pStyle w:val="4"/>
        <w:rPr>
          <w:rFonts w:ascii="仿宋" w:hAnsi="仿宋" w:eastAsia="仿宋"/>
        </w:rPr>
      </w:pPr>
      <w:bookmarkStart w:id="50" w:name="_Toc15396621"/>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50"/>
    </w:p>
    <w:p w14:paraId="66703330">
      <w:pPr>
        <w:pStyle w:val="4"/>
        <w:rPr>
          <w:rFonts w:ascii="仿宋" w:hAnsi="仿宋" w:eastAsia="仿宋"/>
          <w:b w:val="0"/>
        </w:rPr>
      </w:pPr>
      <w:bookmarkStart w:id="51" w:name="_Toc1539662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51"/>
    </w:p>
    <w:p w14:paraId="05F43F49">
      <w:pPr>
        <w:pStyle w:val="4"/>
        <w:rPr>
          <w:rStyle w:val="29"/>
          <w:rFonts w:ascii="仿宋" w:hAnsi="仿宋" w:eastAsia="仿宋"/>
          <w:b w:val="0"/>
          <w:bCs w:val="0"/>
        </w:rPr>
      </w:pPr>
      <w:bookmarkStart w:id="52" w:name="_Toc1539662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52"/>
      <w:bookmarkStart w:id="53" w:name="_Toc15396624"/>
    </w:p>
    <w:p w14:paraId="65561A26">
      <w:pPr>
        <w:pStyle w:val="4"/>
        <w:rPr>
          <w:rFonts w:ascii="仿宋" w:hAnsi="仿宋" w:eastAsia="仿宋"/>
        </w:rPr>
      </w:pPr>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53"/>
    </w:p>
    <w:p w14:paraId="3644FB7F">
      <w:pPr>
        <w:pStyle w:val="4"/>
        <w:rPr>
          <w:rFonts w:ascii="仿宋" w:hAnsi="仿宋" w:eastAsia="仿宋"/>
        </w:rPr>
      </w:pPr>
      <w:bookmarkStart w:id="54" w:name="_Toc1539662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54"/>
    </w:p>
    <w:p w14:paraId="1F8D7CAB">
      <w:pPr>
        <w:pStyle w:val="4"/>
        <w:rPr>
          <w:rFonts w:ascii="仿宋" w:hAnsi="仿宋" w:eastAsia="仿宋"/>
        </w:rPr>
      </w:pPr>
      <w:bookmarkStart w:id="55" w:name="_Toc15396626"/>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55"/>
    </w:p>
    <w:p w14:paraId="1CBE2DD8">
      <w:pPr>
        <w:pStyle w:val="4"/>
        <w:rPr>
          <w:rFonts w:ascii="仿宋" w:hAnsi="仿宋" w:eastAsia="仿宋"/>
        </w:rPr>
      </w:pPr>
      <w:bookmarkStart w:id="56" w:name="_Toc15396627"/>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56"/>
    </w:p>
    <w:p w14:paraId="39FE5D24">
      <w:pPr>
        <w:pStyle w:val="4"/>
        <w:rPr>
          <w:rFonts w:ascii="仿宋" w:hAnsi="仿宋" w:eastAsia="仿宋"/>
        </w:rPr>
      </w:pPr>
      <w:bookmarkStart w:id="57" w:name="_Toc15396628"/>
      <w:r>
        <w:rPr>
          <w:rStyle w:val="29"/>
          <w:rFonts w:hint="eastAsia" w:ascii="仿宋" w:hAnsi="仿宋" w:eastAsia="仿宋"/>
          <w:b w:val="0"/>
          <w:bCs w:val="0"/>
        </w:rPr>
        <w:t>十、</w:t>
      </w:r>
      <w:bookmarkEnd w:id="57"/>
      <w:r>
        <w:rPr>
          <w:rFonts w:hint="eastAsia" w:ascii="仿宋" w:hAnsi="仿宋" w:eastAsia="仿宋"/>
          <w:b w:val="0"/>
        </w:rPr>
        <w:t>政</w:t>
      </w:r>
      <w:r>
        <w:rPr>
          <w:rStyle w:val="29"/>
          <w:rFonts w:hint="eastAsia" w:ascii="仿宋" w:hAnsi="仿宋" w:eastAsia="仿宋"/>
          <w:b w:val="0"/>
          <w:bCs w:val="0"/>
        </w:rPr>
        <w:t>府性基金预算财政拨款收入支出决算表</w:t>
      </w:r>
    </w:p>
    <w:p w14:paraId="2CE10E0B">
      <w:pPr>
        <w:pStyle w:val="4"/>
        <w:rPr>
          <w:rFonts w:ascii="仿宋" w:hAnsi="仿宋" w:eastAsia="仿宋"/>
        </w:rPr>
      </w:pPr>
      <w:bookmarkStart w:id="58" w:name="_Toc15396629"/>
      <w:r>
        <w:rPr>
          <w:rStyle w:val="29"/>
          <w:rFonts w:hint="eastAsia" w:ascii="仿宋" w:hAnsi="仿宋" w:eastAsia="仿宋"/>
          <w:b w:val="0"/>
          <w:bCs w:val="0"/>
        </w:rPr>
        <w:t>十一、</w:t>
      </w:r>
      <w:bookmarkEnd w:id="58"/>
      <w:r>
        <w:rPr>
          <w:rFonts w:hint="eastAsia" w:ascii="仿宋" w:hAnsi="仿宋" w:eastAsia="仿宋"/>
          <w:b w:val="0"/>
        </w:rPr>
        <w:t>国</w:t>
      </w:r>
      <w:r>
        <w:rPr>
          <w:rStyle w:val="29"/>
          <w:rFonts w:hint="eastAsia" w:ascii="仿宋" w:hAnsi="仿宋" w:eastAsia="仿宋"/>
          <w:b w:val="0"/>
          <w:bCs w:val="0"/>
        </w:rPr>
        <w:t>有资本经营预算财政拨款收入支出决算表</w:t>
      </w:r>
    </w:p>
    <w:p w14:paraId="05ADC6D3">
      <w:pPr>
        <w:pStyle w:val="4"/>
        <w:rPr>
          <w:rFonts w:ascii="仿宋" w:hAnsi="仿宋" w:eastAsia="仿宋"/>
        </w:rPr>
      </w:pPr>
      <w:bookmarkStart w:id="59" w:name="_Toc15396630"/>
      <w:r>
        <w:rPr>
          <w:rStyle w:val="29"/>
          <w:rFonts w:hint="eastAsia" w:ascii="仿宋" w:hAnsi="仿宋" w:eastAsia="仿宋"/>
          <w:b w:val="0"/>
          <w:bCs w:val="0"/>
        </w:rPr>
        <w:t>十二、</w:t>
      </w:r>
      <w:bookmarkEnd w:id="59"/>
      <w:r>
        <w:rPr>
          <w:rStyle w:val="29"/>
          <w:rFonts w:hint="eastAsia" w:ascii="仿宋" w:hAnsi="仿宋" w:eastAsia="仿宋"/>
          <w:b w:val="0"/>
          <w:bCs w:val="0"/>
        </w:rPr>
        <w:t>国有资本经营预算财政拨款支出决算表</w:t>
      </w:r>
    </w:p>
    <w:p w14:paraId="5EE9A0AA">
      <w:pPr>
        <w:pStyle w:val="4"/>
        <w:rPr>
          <w:rFonts w:eastAsia="仿宋"/>
        </w:rPr>
      </w:pPr>
      <w:bookmarkStart w:id="60" w:name="_Toc15396631"/>
      <w:r>
        <w:rPr>
          <w:rStyle w:val="29"/>
          <w:rFonts w:hint="eastAsia" w:ascii="仿宋" w:hAnsi="仿宋" w:eastAsia="仿宋"/>
          <w:b w:val="0"/>
          <w:bCs w:val="0"/>
        </w:rPr>
        <w:t>十三、</w:t>
      </w:r>
      <w:bookmarkEnd w:id="60"/>
      <w:r>
        <w:rPr>
          <w:rStyle w:val="29"/>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Cambria">
    <w:altName w:val="Noto Sans Syriac Eastern"/>
    <w:panose1 w:val="02040503050406030204"/>
    <w:charset w:val="00"/>
    <w:family w:val="roman"/>
    <w:pitch w:val="default"/>
    <w:sig w:usb0="00000000"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1A723D08">
        <w:pPr>
          <w:pStyle w:val="10"/>
          <w:jc w:val="center"/>
        </w:pPr>
        <w:r>
          <w:fldChar w:fldCharType="begin"/>
        </w:r>
        <w:r>
          <w:instrText xml:space="preserve">PAGE   \* MERGEFORMAT</w:instrText>
        </w:r>
        <w:r>
          <w:fldChar w:fldCharType="separate"/>
        </w:r>
        <w:r>
          <w:rPr>
            <w:lang w:val="zh-CN"/>
          </w:rPr>
          <w:t>2</w:t>
        </w:r>
        <w:r>
          <w:fldChar w:fldCharType="end"/>
        </w:r>
      </w:p>
    </w:sdtContent>
  </w:sdt>
  <w:p w14:paraId="6FDD9ECE">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946EE">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663B3"/>
    <w:multiLevelType w:val="singleLevel"/>
    <w:tmpl w:val="813663B3"/>
    <w:lvl w:ilvl="0" w:tentative="0">
      <w:start w:val="1"/>
      <w:numFmt w:val="decimal"/>
      <w:lvlText w:val="%1."/>
      <w:lvlJc w:val="left"/>
      <w:pPr>
        <w:tabs>
          <w:tab w:val="left" w:pos="312"/>
        </w:tabs>
      </w:pPr>
    </w:lvl>
  </w:abstractNum>
  <w:abstractNum w:abstractNumId="1">
    <w:nsid w:val="BDBEA414"/>
    <w:multiLevelType w:val="singleLevel"/>
    <w:tmpl w:val="BDBEA414"/>
    <w:lvl w:ilvl="0" w:tentative="0">
      <w:start w:val="1"/>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0CDCCAA5"/>
    <w:multiLevelType w:val="singleLevel"/>
    <w:tmpl w:val="0CDCCAA5"/>
    <w:lvl w:ilvl="0" w:tentative="0">
      <w:start w:val="1"/>
      <w:numFmt w:val="decimal"/>
      <w:lvlText w:val="%1."/>
      <w:lvlJc w:val="left"/>
      <w:pPr>
        <w:tabs>
          <w:tab w:val="left" w:pos="312"/>
        </w:tabs>
      </w:p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yYTMyNWEyZTJiMjZkNDBkOGQ3NmYxOGQ3MjU2ND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3CE0"/>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42F6E"/>
    <w:rsid w:val="00357D1A"/>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2A80"/>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94377"/>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9666D"/>
    <w:rsid w:val="008B0651"/>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647E"/>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1F16"/>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D54BB"/>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C75C6"/>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3F4C"/>
    <w:rsid w:val="00FD3CC1"/>
    <w:rsid w:val="00FF1E02"/>
    <w:rsid w:val="00FF30B4"/>
    <w:rsid w:val="015975B8"/>
    <w:rsid w:val="02143E91"/>
    <w:rsid w:val="03F86B1C"/>
    <w:rsid w:val="066E0107"/>
    <w:rsid w:val="06A411DD"/>
    <w:rsid w:val="07996F6E"/>
    <w:rsid w:val="090C50D4"/>
    <w:rsid w:val="0A2032A3"/>
    <w:rsid w:val="0A511901"/>
    <w:rsid w:val="0F98263C"/>
    <w:rsid w:val="101860EC"/>
    <w:rsid w:val="10C055FF"/>
    <w:rsid w:val="116C43F6"/>
    <w:rsid w:val="118107EC"/>
    <w:rsid w:val="125C1712"/>
    <w:rsid w:val="13D50BC4"/>
    <w:rsid w:val="150C68CB"/>
    <w:rsid w:val="16BB723D"/>
    <w:rsid w:val="1A0D2A99"/>
    <w:rsid w:val="1A693E78"/>
    <w:rsid w:val="1A757875"/>
    <w:rsid w:val="1BE8440E"/>
    <w:rsid w:val="1CF37D23"/>
    <w:rsid w:val="1D155CEE"/>
    <w:rsid w:val="1FF35744"/>
    <w:rsid w:val="23860B96"/>
    <w:rsid w:val="23897339"/>
    <w:rsid w:val="23B1063E"/>
    <w:rsid w:val="240371BF"/>
    <w:rsid w:val="243C1ECE"/>
    <w:rsid w:val="28F363AB"/>
    <w:rsid w:val="29FD04D3"/>
    <w:rsid w:val="2B4D50F0"/>
    <w:rsid w:val="2C8A61B5"/>
    <w:rsid w:val="2DF04E50"/>
    <w:rsid w:val="2EF02962"/>
    <w:rsid w:val="2F040D46"/>
    <w:rsid w:val="319F7F4E"/>
    <w:rsid w:val="32AF043E"/>
    <w:rsid w:val="3304709D"/>
    <w:rsid w:val="330C763F"/>
    <w:rsid w:val="34AC2E87"/>
    <w:rsid w:val="367943A0"/>
    <w:rsid w:val="36AA5135"/>
    <w:rsid w:val="376D39B2"/>
    <w:rsid w:val="37E16F03"/>
    <w:rsid w:val="38D469F0"/>
    <w:rsid w:val="3D98207C"/>
    <w:rsid w:val="3E78745D"/>
    <w:rsid w:val="44E268DA"/>
    <w:rsid w:val="482F7BFF"/>
    <w:rsid w:val="4A627F82"/>
    <w:rsid w:val="4B0E749A"/>
    <w:rsid w:val="4B4F25DA"/>
    <w:rsid w:val="4BE068DB"/>
    <w:rsid w:val="4D183393"/>
    <w:rsid w:val="4D577224"/>
    <w:rsid w:val="4EAB630A"/>
    <w:rsid w:val="4ECE2238"/>
    <w:rsid w:val="537E6D0A"/>
    <w:rsid w:val="56E46059"/>
    <w:rsid w:val="5AF92295"/>
    <w:rsid w:val="5BC546AB"/>
    <w:rsid w:val="5C7761C8"/>
    <w:rsid w:val="5CD71FC4"/>
    <w:rsid w:val="60F95485"/>
    <w:rsid w:val="619F14FA"/>
    <w:rsid w:val="6220263B"/>
    <w:rsid w:val="624C6817"/>
    <w:rsid w:val="633E1C93"/>
    <w:rsid w:val="6C4A05C8"/>
    <w:rsid w:val="6E7E3605"/>
    <w:rsid w:val="6FF5CC65"/>
    <w:rsid w:val="715C0E4B"/>
    <w:rsid w:val="72734D90"/>
    <w:rsid w:val="73AD73D5"/>
    <w:rsid w:val="73B6EB34"/>
    <w:rsid w:val="744731E5"/>
    <w:rsid w:val="76E3355F"/>
    <w:rsid w:val="778769C8"/>
    <w:rsid w:val="79EE5BA4"/>
    <w:rsid w:val="7A894339"/>
    <w:rsid w:val="7AEF2CA7"/>
    <w:rsid w:val="7CC145C3"/>
    <w:rsid w:val="7D16490F"/>
    <w:rsid w:val="7E5F2B7E"/>
    <w:rsid w:val="7EEF11D3"/>
    <w:rsid w:val="7FA30C79"/>
    <w:rsid w:val="7FB7269E"/>
    <w:rsid w:val="7FC96657"/>
    <w:rsid w:val="D8D6DB89"/>
    <w:rsid w:val="DB6F4CAB"/>
    <w:rsid w:val="DF6F9789"/>
    <w:rsid w:val="FFBF0AD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5"/>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99"/>
    <w:rPr>
      <w:rFonts w:ascii="宋体" w:hAnsi="Courier New" w:eastAsia="仿宋" w:cs="宋体"/>
      <w:kern w:val="0"/>
      <w:sz w:val="32"/>
      <w:szCs w:val="32"/>
    </w:r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字符"/>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字符"/>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字符"/>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6"/>
    <w:link w:val="3"/>
    <w:qFormat/>
    <w:uiPriority w:val="9"/>
    <w:rPr>
      <w:rFonts w:ascii="Times New Roman" w:hAnsi="Times New Roman"/>
      <w:b/>
      <w:bCs/>
      <w:kern w:val="44"/>
      <w:sz w:val="44"/>
      <w:szCs w:val="44"/>
    </w:rPr>
  </w:style>
  <w:style w:type="character" w:customStyle="1" w:styleId="29">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9"/>
    <w:semiHidden/>
    <w:qFormat/>
    <w:uiPriority w:val="99"/>
    <w:rPr>
      <w:rFonts w:ascii="Times New Roman" w:hAnsi="Times New Roman"/>
      <w:kern w:val="2"/>
      <w:sz w:val="18"/>
      <w:szCs w:val="18"/>
    </w:rPr>
  </w:style>
  <w:style w:type="character" w:customStyle="1" w:styleId="32">
    <w:name w:val="标题 3 字符"/>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character" w:customStyle="1" w:styleId="35">
    <w:name w:val="NormalCharacter"/>
    <w:link w:val="1"/>
    <w:qFormat/>
    <w:uiPriority w:val="0"/>
    <w:rPr>
      <w:rFonts w:ascii="Times New Roman" w:hAnsi="Times New Roman" w:eastAsia="宋体" w:cs="Times New Roman"/>
      <w:kern w:val="2"/>
      <w:sz w:val="21"/>
      <w:szCs w:val="24"/>
      <w:lang w:val="en-US" w:eastAsia="zh-CN" w:bidi="ar-SA"/>
    </w:rPr>
  </w:style>
  <w:style w:type="paragraph" w:customStyle="1" w:styleId="36">
    <w:name w:val="BodyText"/>
    <w:basedOn w:val="1"/>
    <w:qFormat/>
    <w:uiPriority w:val="0"/>
    <w:pPr>
      <w:jc w:val="both"/>
      <w:textAlignment w:val="baseline"/>
    </w:pPr>
    <w:rPr>
      <w:rFonts w:ascii="仿宋_GB2312" w:hAnsi="Times New Roman" w:eastAsia="仿宋_GB2312"/>
      <w:kern w:val="0"/>
      <w:sz w:val="24"/>
      <w:szCs w:val="20"/>
      <w:lang w:val="en-US" w:eastAsia="zh-CN" w:bidi="ar-SA"/>
    </w:rPr>
  </w:style>
  <w:style w:type="paragraph" w:customStyle="1" w:styleId="37">
    <w:name w:val="UserStyle_11"/>
    <w:qFormat/>
    <w:uiPriority w:val="0"/>
    <w:pPr>
      <w:textAlignment w:val="baseline"/>
    </w:pPr>
    <w:rPr>
      <w:rFonts w:ascii="仿宋" w:hAnsi="Times New Roman" w:eastAsia="仿宋" w:cstheme="minorBid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22&#20915;&#31639;&#20844;\&#20844;&#24320;&#21450;&#25209;&#22797;&#26448;&#26009;&#65288;&#20379;&#21442;&#32771;&#65289;\&#30465;&#26412;&#32423;\&#20844;&#24320;&#26448;&#26009;\&#20915;&#31639;&#20844;&#24320;&#25554;&#22270;&#21046;&#20316;&#31034;&#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22&#20915;&#31639;&#20844;\&#20844;&#24320;&#21450;&#25209;&#22797;&#26448;&#26009;&#65288;&#20379;&#21442;&#32771;&#65289;\&#30465;&#26412;&#32423;\&#20844;&#24320;&#26448;&#26009;\&#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22&#20915;&#31639;&#20844;\&#20844;&#24320;&#21450;&#25209;&#22797;&#26448;&#26009;&#65288;&#20379;&#21442;&#32771;&#65289;\&#30465;&#26412;&#32423;\&#20844;&#24320;&#26448;&#26009;\&#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22&#20915;&#31639;&#20844;\&#20844;&#24320;&#21450;&#25209;&#22797;&#26448;&#26009;&#65288;&#20379;&#21442;&#32771;&#65289;\&#30465;&#26412;&#32423;\&#20844;&#24320;&#26448;&#26009;\&#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22&#20915;&#31639;&#20844;\&#20844;&#24320;&#21450;&#25209;&#22797;&#26448;&#26009;&#65288;&#20379;&#21442;&#32771;&#65289;\&#30465;&#26412;&#32423;\&#20844;&#24320;&#26448;&#26009;\&#20915;&#31639;&#20844;&#24320;&#25554;&#22270;&#21046;&#20316;&#31034;&#2036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022&#20915;&#31639;&#20844;\&#20844;&#24320;&#21450;&#25209;&#22797;&#26448;&#26009;&#65288;&#20379;&#21442;&#32771;&#65289;\&#30465;&#26412;&#32423;\&#20844;&#24320;&#26448;&#26009;\&#20915;&#31639;&#20844;&#24320;&#25554;&#22270;&#21046;&#20316;&#31034;&#2036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022&#20915;&#31639;&#20844;\&#20844;&#24320;&#21450;&#25209;&#22797;&#26448;&#26009;&#65288;&#20379;&#21442;&#32771;&#65289;\&#30465;&#26412;&#32423;\&#20844;&#24320;&#26448;&#26009;\&#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c:spPr>
          <c:invertIfNegative val="0"/>
          <c:dPt>
            <c:idx val="1"/>
            <c:invertIfNegative val="0"/>
            <c:bubble3D val="0"/>
            <c:spPr>
              <a:solidFill>
                <a:srgbClr val="FFC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[决算公开插图制作示例.xlsx]图一!$A$1:$B$1</c:f>
              <c:strCache>
                <c:ptCount val="2"/>
                <c:pt idx="0">
                  <c:v>2021年</c:v>
                </c:pt>
                <c:pt idx="1">
                  <c:v>2022年</c:v>
                </c:pt>
              </c:strCache>
            </c:strRef>
          </c:cat>
          <c:val>
            <c:numRef>
              <c:f>[决算公开插图制作示例.xlsx]图一!$A$2:$B$2</c:f>
              <c:numCache>
                <c:formatCode>General</c:formatCode>
                <c:ptCount val="2"/>
                <c:pt idx="0">
                  <c:v>841.83</c:v>
                </c:pt>
                <c:pt idx="1">
                  <c:v>808.43</c:v>
                </c:pt>
              </c:numCache>
            </c:numRef>
          </c:val>
        </c:ser>
        <c:dLbls>
          <c:showLegendKey val="0"/>
          <c:showVal val="1"/>
          <c:showCatName val="0"/>
          <c:showSerName val="0"/>
          <c:showPercent val="0"/>
          <c:showBubbleSize val="0"/>
        </c:dLbls>
        <c:gapWidth val="150"/>
        <c:axId val="132649344"/>
        <c:axId val="132650880"/>
      </c:barChart>
      <c:catAx>
        <c:axId val="1326493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50880"/>
        <c:crosses val="autoZero"/>
        <c:auto val="1"/>
        <c:lblAlgn val="ctr"/>
        <c:lblOffset val="100"/>
        <c:noMultiLvlLbl val="0"/>
      </c:catAx>
      <c:valAx>
        <c:axId val="1326508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4934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d63e0094-5c24-4da1-bd78-792d90dff758}"/>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en-US"/>
              <a:t>收入决算结构图</a:t>
            </a:r>
            <a:endParaRPr altLang="en-US"/>
          </a:p>
        </c:rich>
      </c:tx>
      <c:layout/>
      <c:overlay val="0"/>
      <c:spPr>
        <a:noFill/>
        <a:ln>
          <a:noFill/>
        </a:ln>
        <a:effectLst/>
      </c:spPr>
    </c:title>
    <c:autoTitleDeleted val="0"/>
    <c:plotArea>
      <c:layout>
        <c:manualLayout>
          <c:layoutTarget val="inner"/>
          <c:xMode val="edge"/>
          <c:yMode val="edge"/>
          <c:x val="0.342013888888889"/>
          <c:y val="0.176388888888889"/>
          <c:w val="0.324305555555556"/>
          <c:h val="0.540509259259259"/>
        </c:manualLayout>
      </c:layout>
      <c:pieChart>
        <c:varyColors val="1"/>
        <c:ser>
          <c:idx val="0"/>
          <c:order val="0"/>
          <c:spPr/>
          <c:explosion val="0"/>
          <c:dLbls>
            <c:delete val="1"/>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[决算公开插图制作示例.xlsx]图二!$B$1:$B$6</c:f>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1"/>
              <c:layout>
                <c:manualLayout>
                  <c:x val="0.0321654287916653"/>
                  <c:y val="-0.14979027458553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[决算公开插图制作示例.xlsx]图二!$C$1:$C$6</c:f>
              <c:numCache>
                <c:formatCode>0.00%</c:formatCode>
                <c:ptCount val="6"/>
                <c:pt idx="0">
                  <c:v>1</c:v>
                </c:pt>
                <c:pt idx="1">
                  <c:v>0</c:v>
                </c:pt>
                <c:pt idx="2">
                  <c:v>0</c:v>
                </c:pt>
                <c:pt idx="3">
                  <c:v>0</c:v>
                </c:pt>
                <c:pt idx="4">
                  <c:v>0</c:v>
                </c:pt>
                <c:pt idx="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8e87ae0-2a68-428b-9b8d-33dafea3b1b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24846894138"/>
          <c:y val="0.150462962962963"/>
          <c:w val="0.566371172353456"/>
          <c:h val="0.689814814814815"/>
        </c:manualLayout>
      </c:layout>
      <c:pieChart>
        <c:varyColors val="1"/>
        <c:ser>
          <c:idx val="0"/>
          <c:order val="0"/>
          <c:explosion val="0"/>
          <c:dPt>
            <c:idx val="0"/>
            <c:bubble3D val="0"/>
          </c:dPt>
          <c:dPt>
            <c:idx val="1"/>
            <c:bubble3D val="0"/>
          </c:dPt>
          <c:dLbls>
            <c:dLbl>
              <c:idx val="0"/>
              <c:layout>
                <c:manualLayout>
                  <c:x val="0.0848707349081365"/>
                  <c:y val="-0.1715733449985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86458880139982"/>
                  <c:y val="0.1401472732575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General</c:formatCode>
                <c:ptCount val="2"/>
                <c:pt idx="0">
                  <c:v>100</c:v>
                </c:pt>
                <c:pt idx="1">
                  <c:v>0</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2b257a2e-d10c-4672-a7f6-807617755701}"/>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668853893263"/>
          <c:y val="0.0514005540974045"/>
          <c:w val="0.587929790026247"/>
          <c:h val="0.824965368912219"/>
        </c:manualLayout>
      </c:layout>
      <c:barChart>
        <c:barDir val="col"/>
        <c:grouping val="clustered"/>
        <c:varyColors val="0"/>
        <c:ser>
          <c:idx val="0"/>
          <c:order val="0"/>
          <c:invertIfNegative val="0"/>
          <c:dPt>
            <c:idx val="1"/>
            <c:invertIfNegative val="0"/>
            <c:bubble3D val="0"/>
            <c:spPr>
              <a:solidFill>
                <a:srgbClr val="C0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'[决算公开插图制作示例.xlsx]图4 '!$A$1:$B$1</c:f>
              <c:strCache>
                <c:ptCount val="2"/>
                <c:pt idx="0">
                  <c:v>2021年</c:v>
                </c:pt>
                <c:pt idx="1">
                  <c:v>2022年</c:v>
                </c:pt>
              </c:strCache>
            </c:strRef>
          </c:cat>
          <c:val>
            <c:numRef>
              <c:f>'[决算公开插图制作示例.xlsx]图4 '!$A$2:$B$2</c:f>
              <c:numCache>
                <c:formatCode>General</c:formatCode>
                <c:ptCount val="2"/>
                <c:pt idx="0">
                  <c:v>841.83</c:v>
                </c:pt>
                <c:pt idx="1">
                  <c:v>808.43</c:v>
                </c:pt>
              </c:numCache>
            </c:numRef>
          </c:val>
        </c:ser>
        <c:dLbls>
          <c:showLegendKey val="0"/>
          <c:showVal val="1"/>
          <c:showCatName val="0"/>
          <c:showSerName val="0"/>
          <c:showPercent val="0"/>
          <c:showBubbleSize val="0"/>
        </c:dLbls>
        <c:gapWidth val="150"/>
        <c:axId val="133066112"/>
        <c:axId val="133084288"/>
      </c:barChart>
      <c:catAx>
        <c:axId val="133066112"/>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084288"/>
        <c:crosses val="autoZero"/>
        <c:auto val="1"/>
        <c:lblAlgn val="ctr"/>
        <c:lblOffset val="100"/>
        <c:noMultiLvlLbl val="0"/>
      </c:catAx>
      <c:valAx>
        <c:axId val="1330842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066112"/>
        <c:crosses val="autoZero"/>
        <c:crossBetween val="between"/>
      </c:valAx>
    </c:plotArea>
    <c:legend>
      <c:legendPos val="r"/>
      <c:layout>
        <c:manualLayout>
          <c:xMode val="edge"/>
          <c:yMode val="edge"/>
          <c:x val="0.763154199475066"/>
          <c:y val="0.360343394575678"/>
          <c:w val="0.220179133858268"/>
          <c:h val="0.27931321084864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8d650280-fda6-49bd-9ae3-7ac1882dcd97}"/>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571741032371"/>
          <c:y val="0.168676727909011"/>
          <c:w val="0.606249125109361"/>
          <c:h val="0.679911417322835"/>
        </c:manualLayout>
      </c:layout>
      <c:barChart>
        <c:barDir val="col"/>
        <c:grouping val="clustered"/>
        <c:varyColors val="0"/>
        <c:ser>
          <c:idx val="0"/>
          <c:order val="0"/>
          <c:invertIfNegative val="0"/>
          <c:dPt>
            <c:idx val="1"/>
            <c:invertIfNegative val="0"/>
            <c:bubble3D val="0"/>
            <c:spPr>
              <a:solidFill>
                <a:srgbClr val="FF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[决算公开插图制作示例.xlsx]图5!$A$1:$B$1</c:f>
              <c:strCache>
                <c:ptCount val="2"/>
                <c:pt idx="0">
                  <c:v>2021年</c:v>
                </c:pt>
                <c:pt idx="1">
                  <c:v>2022年</c:v>
                </c:pt>
              </c:strCache>
            </c:strRef>
          </c:cat>
          <c:val>
            <c:numRef>
              <c:f>[决算公开插图制作示例.xlsx]图5!$A$2:$B$2</c:f>
              <c:numCache>
                <c:formatCode>General</c:formatCode>
                <c:ptCount val="2"/>
                <c:pt idx="0">
                  <c:v>841.83</c:v>
                </c:pt>
                <c:pt idx="1">
                  <c:v>808.43</c:v>
                </c:pt>
              </c:numCache>
            </c:numRef>
          </c:val>
        </c:ser>
        <c:dLbls>
          <c:showLegendKey val="0"/>
          <c:showVal val="1"/>
          <c:showCatName val="0"/>
          <c:showSerName val="0"/>
          <c:showPercent val="0"/>
          <c:showBubbleSize val="0"/>
        </c:dLbls>
        <c:gapWidth val="150"/>
        <c:axId val="133142016"/>
        <c:axId val="133143552"/>
      </c:barChart>
      <c:catAx>
        <c:axId val="133142016"/>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143552"/>
        <c:crosses val="autoZero"/>
        <c:auto val="1"/>
        <c:lblAlgn val="ctr"/>
        <c:lblOffset val="100"/>
        <c:noMultiLvlLbl val="0"/>
      </c:catAx>
      <c:valAx>
        <c:axId val="1331435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142016"/>
        <c:crosses val="autoZero"/>
        <c:crossBetween val="between"/>
      </c:valAx>
    </c:plotArea>
    <c:legend>
      <c:legendPos val="tr"/>
      <c:layout>
        <c:manualLayout>
          <c:xMode val="edge"/>
          <c:yMode val="edge"/>
          <c:x val="0.765931977252843"/>
          <c:y val="0.236111111111111"/>
          <c:w val="0.211845800524934"/>
          <c:h val="0.4552391367745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b02eb545-4233-4e2e-8adc-45b0f31fdeca}"/>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tx2">
                  <a:lumMod val="40000"/>
                  <a:lumOff val="60000"/>
                </a:schemeClr>
              </a:solidFill>
            </c:spPr>
          </c:dPt>
          <c:dPt>
            <c:idx val="1"/>
            <c:bubble3D val="0"/>
          </c:dPt>
          <c:dPt>
            <c:idx val="2"/>
            <c:bubble3D val="0"/>
          </c:dPt>
          <c:dPt>
            <c:idx val="3"/>
            <c:bubble3D val="0"/>
          </c:dPt>
          <c:dLbls>
            <c:dLbl>
              <c:idx val="0"/>
              <c:layout>
                <c:manualLayout>
                  <c:x val="0.0483216316710411"/>
                  <c:y val="0.097738043161271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46208442694663"/>
                  <c:y val="-0.035963108778069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00951443569554"/>
                  <c:y val="-0.13227836103820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66543197725284"/>
                  <c:y val="-0.10867344706911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[决算公开插图制作示例.xlsx]图6!$A$2:$A$5</c:f>
              <c:strCache>
                <c:ptCount val="4"/>
                <c:pt idx="0">
                  <c:v>一般公共服务（类）支出</c:v>
                </c:pt>
                <c:pt idx="1">
                  <c:v>社会保障和就业（类）支出</c:v>
                </c:pt>
                <c:pt idx="2">
                  <c:v>卫生健康(类)支出</c:v>
                </c:pt>
                <c:pt idx="3">
                  <c:v>住房保障（类）支出</c:v>
                </c:pt>
              </c:strCache>
            </c:strRef>
          </c:cat>
          <c:val>
            <c:numRef>
              <c:f>[决算公开插图制作示例.xlsx]图6!$B$2:$B$5</c:f>
              <c:numCache>
                <c:formatCode>General</c:formatCode>
                <c:ptCount val="4"/>
                <c:pt idx="0">
                  <c:v>680.49</c:v>
                </c:pt>
                <c:pt idx="1">
                  <c:v>56.86</c:v>
                </c:pt>
                <c:pt idx="2">
                  <c:v>28.43</c:v>
                </c:pt>
                <c:pt idx="3">
                  <c:v>42.64</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9bd12067-d8ec-4097-98ed-b976b11a159e}"/>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Lbls>
            <c:dLbl>
              <c:idx val="0"/>
              <c:layout>
                <c:manualLayout>
                  <c:x val="-0.0677309711286089"/>
                  <c:y val="-0.06258967629046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12130139982502"/>
                  <c:y val="-0.04985819480898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79491251093613"/>
                  <c:y val="0.054969743365412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[决算公开插图制作示例.xlsx]图7!$A$2:$A$4</c:f>
              <c:strCache>
                <c:ptCount val="3"/>
                <c:pt idx="0">
                  <c:v>因公出国（境）费支出</c:v>
                </c:pt>
                <c:pt idx="1">
                  <c:v>公务用车购置及运行维护费支出</c:v>
                </c:pt>
                <c:pt idx="2">
                  <c:v>公务接待费支出</c:v>
                </c:pt>
              </c:strCache>
            </c:strRef>
          </c:cat>
          <c:val>
            <c:numRef>
              <c:f>[决算公开插图制作示例.xlsx]图7!$B$2:$B$4</c:f>
              <c:numCache>
                <c:formatCode>General</c:formatCode>
                <c:ptCount val="3"/>
                <c:pt idx="0">
                  <c:v>0</c:v>
                </c:pt>
                <c:pt idx="1">
                  <c:v>0</c:v>
                </c:pt>
                <c:pt idx="2">
                  <c:v>9.11</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664920094314907"/>
          <c:y val="0.34151738973956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09419d87-f399-4f97-8533-02b54e293b1d}"/>
      </c:ext>
    </c:extLst>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31</Pages>
  <Words>1230</Words>
  <Characters>7012</Characters>
  <Lines>58</Lines>
  <Paragraphs>16</Paragraphs>
  <TotalTime>18</TotalTime>
  <ScaleCrop>false</ScaleCrop>
  <LinksUpToDate>false</LinksUpToDate>
  <CharactersWithSpaces>8226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user</cp:lastModifiedBy>
  <cp:lastPrinted>2023-07-31T18:35:00Z</cp:lastPrinted>
  <dcterms:modified xsi:type="dcterms:W3CDTF">2025-07-17T10:38:24Z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C0FB375135F84392A708703B529FE5C4_13</vt:lpwstr>
  </property>
</Properties>
</file>