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1" w:name="_GoBack"/>
      <w:bookmarkEnd w:id="1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剑阁县普安镇工业园区详细规划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（公示稿）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eastAsia="仿宋_GB2312" w:hAnsiTheme="minor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sz w:val="32"/>
          <w:szCs w:val="32"/>
        </w:rPr>
        <w:t>、规划编制背景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根据《自然资源部关于加强国土空间详细规划工作的通知》(自然资发〔2023〕43号)《四川省建立国土空间规划体系并监督实施的实施方案》(川委厅〔2020〕8号)要求，详细规划是核发建设项目规划许可、进行各项建设等的法定依据,是优化园区空间结构、完善功能配置、激发发展活力的实施性政策工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二、规划范围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本次详细规划编制范围依据《剑阁县国土空间总体规划(2021-2035)》划定城镇开发边界确定，园区四至范围:东至四川川老头食品科技有限公司,西至剑南路与剑苍路交叉口,南至光荣村集中居民点,北至剑苍路，面积为9</w:t>
      </w:r>
      <w:r>
        <w:rPr>
          <w:rFonts w:ascii="仿宋_GB2312" w:eastAsia="仿宋_GB2312" w:hAnsiTheme="minorEastAsia"/>
          <w:sz w:val="32"/>
          <w:szCs w:val="32"/>
        </w:rPr>
        <w:t>1.70</w:t>
      </w:r>
      <w:r>
        <w:rPr>
          <w:rFonts w:hint="eastAsia" w:ascii="仿宋_GB2312" w:eastAsia="仿宋_GB2312" w:hAnsiTheme="minorEastAsia"/>
          <w:sz w:val="32"/>
          <w:szCs w:val="32"/>
        </w:rPr>
        <w:t>公顷。</w:t>
      </w: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177165</wp:posOffset>
            </wp:positionH>
            <wp:positionV relativeFrom="paragraph">
              <wp:posOffset>227965</wp:posOffset>
            </wp:positionV>
            <wp:extent cx="5443220" cy="7078980"/>
            <wp:effectExtent l="0" t="0" r="5080" b="7620"/>
            <wp:wrapNone/>
            <wp:docPr id="1" name="图片 1" descr="E:\00-2019年后规划\2023年项目\8-剑阁县普安工业园控规\3-普安控规中间成果\普安成果-9.28\05-图件\01区位关系图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00-2019年后规划\2023年项目\8-剑阁县普安工业园控规\3-普安控规中间成果\普安成果-9.28\05-图件\01区位关系图.jpg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60482" t="6820" r="1917" b="60272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_GB2312" w:eastAsia="仿宋_GB2312" w:hAnsiTheme="minorEastAsia"/>
          <w:sz w:val="32"/>
          <w:szCs w:val="32"/>
          <w:lang w:eastAsia="zh-CN"/>
        </w:rPr>
      </w:pPr>
      <w:r>
        <w:rPr>
          <w:rFonts w:hint="eastAsia" w:ascii="仿宋_GB2312" w:eastAsia="仿宋_GB2312" w:hAnsiTheme="minorEastAsia"/>
          <w:sz w:val="32"/>
          <w:szCs w:val="32"/>
          <w:lang w:eastAsia="zh-CN"/>
        </w:rPr>
        <w:t>规划区在剑阁县位置</w:t>
      </w: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5357495" cy="4903470"/>
            <wp:effectExtent l="0" t="0" r="14605" b="11430"/>
            <wp:wrapNone/>
            <wp:docPr id="2" name="图片 2" descr="E:\00-2019年后规划\2023年项目\8-剑阁县普安工业园控规\3-普安控规中间成果\普安成果-9.28\05-图件\01区位关系图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00-2019年后规划\2023年项目\8-剑阁县普安工业园控规\3-普安控规中间成果\普安成果-9.28\05-图件\01区位关系图.jpg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1688" t="39714" r="56365" b="24558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_GB2312" w:eastAsia="仿宋_GB2312" w:hAnsiTheme="minorEastAsia"/>
          <w:sz w:val="32"/>
          <w:szCs w:val="32"/>
          <w:lang w:eastAsia="zh-CN"/>
        </w:rPr>
      </w:pPr>
      <w:r>
        <w:rPr>
          <w:rFonts w:hint="eastAsia" w:ascii="仿宋_GB2312" w:eastAsia="仿宋_GB2312" w:hAnsiTheme="minorEastAsia"/>
          <w:sz w:val="32"/>
          <w:szCs w:val="32"/>
          <w:lang w:eastAsia="zh-CN"/>
        </w:rPr>
        <w:t>规划区在普安镇位置</w:t>
      </w: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sz w:val="32"/>
          <w:szCs w:val="32"/>
        </w:rPr>
        <w:t>、分区结构</w:t>
      </w: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园区总体结构功能为“一心、一轴、两区”</w:t>
      </w:r>
      <w:bookmarkStart w:id="0" w:name="_Hlk141708563"/>
      <w:r>
        <w:rPr>
          <w:rFonts w:hint="eastAsia" w:ascii="仿宋_GB2312" w:eastAsia="仿宋_GB2312" w:hAnsiTheme="minorEastAsia"/>
          <w:sz w:val="32"/>
          <w:szCs w:val="32"/>
        </w:rPr>
        <w:t>。“一心”</w:t>
      </w:r>
      <w:r>
        <w:rPr>
          <w:rFonts w:ascii="仿宋_GB2312" w:eastAsia="仿宋_GB2312" w:hAnsiTheme="minorEastAsia"/>
          <w:sz w:val="32"/>
          <w:szCs w:val="32"/>
        </w:rPr>
        <w:t>—</w:t>
      </w:r>
      <w:r>
        <w:rPr>
          <w:rFonts w:hint="eastAsia" w:ascii="仿宋_GB2312" w:eastAsia="仿宋_GB2312" w:hAnsiTheme="minorEastAsia"/>
          <w:sz w:val="32"/>
          <w:szCs w:val="32"/>
        </w:rPr>
        <w:t>中小企业孵化中心</w:t>
      </w:r>
      <w:bookmarkEnd w:id="0"/>
      <w:r>
        <w:rPr>
          <w:rFonts w:hint="eastAsia" w:ascii="仿宋_GB2312" w:eastAsia="仿宋_GB2312" w:hAnsiTheme="minorEastAsia"/>
          <w:sz w:val="32"/>
          <w:szCs w:val="32"/>
        </w:rPr>
        <w:t>，“一轴”</w:t>
      </w:r>
      <w:r>
        <w:rPr>
          <w:rFonts w:ascii="仿宋_GB2312" w:eastAsia="仿宋_GB2312" w:hAnsiTheme="minorEastAsia"/>
          <w:sz w:val="32"/>
          <w:szCs w:val="32"/>
        </w:rPr>
        <w:t>—</w:t>
      </w:r>
      <w:r>
        <w:rPr>
          <w:rFonts w:hint="eastAsia" w:ascii="仿宋_GB2312" w:eastAsia="仿宋_GB2312" w:hAnsiTheme="minorEastAsia"/>
          <w:sz w:val="32"/>
          <w:szCs w:val="32"/>
        </w:rPr>
        <w:t>产业发展轴，“两区”</w:t>
      </w:r>
      <w:r>
        <w:rPr>
          <w:rFonts w:ascii="仿宋_GB2312" w:eastAsia="仿宋_GB2312" w:hAnsiTheme="minorEastAsia"/>
          <w:sz w:val="32"/>
          <w:szCs w:val="32"/>
        </w:rPr>
        <w:t>—</w:t>
      </w:r>
      <w:r>
        <w:rPr>
          <w:rFonts w:hint="eastAsia" w:ascii="仿宋_GB2312" w:eastAsia="仿宋_GB2312" w:hAnsiTheme="minorEastAsia"/>
          <w:sz w:val="32"/>
          <w:szCs w:val="32"/>
        </w:rPr>
        <w:t>包括居住配套区和加工生产及物流配套区。</w:t>
      </w: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56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asciiTheme="minorEastAsia" w:hAnsiTheme="minor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401320</wp:posOffset>
            </wp:positionH>
            <wp:positionV relativeFrom="paragraph">
              <wp:posOffset>62865</wp:posOffset>
            </wp:positionV>
            <wp:extent cx="4967605" cy="5842635"/>
            <wp:effectExtent l="0" t="0" r="4445" b="5715"/>
            <wp:wrapNone/>
            <wp:docPr id="11" name="图片 11" descr="E:\00-2019年后规划\2023年项目\8-剑阁县普安工业园控规\3-普安控规中间成果\普安成果-9.28\05-图件\06功能结构规划图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00-2019年后规划\2023年项目\8-剑阁县普安工业园控规\3-普安控规中间成果\普安成果-9.28\05-图件\06功能结构规划图.jp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6935" t="6716" r="14028" b="32303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_GB2312" w:eastAsia="仿宋_GB2312" w:hAnsiTheme="minorEastAsia"/>
          <w:sz w:val="32"/>
          <w:szCs w:val="32"/>
          <w:lang w:eastAsia="zh-CN"/>
        </w:rPr>
      </w:pPr>
      <w:r>
        <w:rPr>
          <w:rFonts w:hint="eastAsia" w:ascii="仿宋_GB2312" w:eastAsia="仿宋_GB2312" w:hAnsiTheme="minorEastAsia"/>
          <w:sz w:val="32"/>
          <w:szCs w:val="32"/>
          <w:lang w:eastAsia="zh-CN"/>
        </w:rPr>
        <w:t>剑阁县普安镇工业园区分区结构图</w:t>
      </w: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、用地布局</w:t>
      </w:r>
    </w:p>
    <w:p>
      <w:pPr>
        <w:spacing w:line="360" w:lineRule="auto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(一)居住用地</w:t>
      </w: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为保障园区住房需求，在保留现状住宅基础上适当拓展，规划面积3.59公顷，占比3.91%。</w:t>
      </w:r>
    </w:p>
    <w:p>
      <w:pPr>
        <w:spacing w:line="360" w:lineRule="auto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(二)公共管理与公共服务用地</w:t>
      </w: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因园区面积较小，且位于中心城区（普安镇）15分钟生活圈辐射范围内，普安镇城区的公共服务设施完备，可有效辐射园区，为集约节约利用土地，园区未规划公共管理与公共服务用地。</w:t>
      </w:r>
    </w:p>
    <w:p>
      <w:pPr>
        <w:spacing w:line="360" w:lineRule="auto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(三)商业服务业用地</w:t>
      </w: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保留园区机动车检测站及驾考中心，规划面积2.48公顷，占比2.70%。</w:t>
      </w:r>
    </w:p>
    <w:p>
      <w:pPr>
        <w:spacing w:line="360" w:lineRule="auto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(四)工业用地</w:t>
      </w: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园区规划均为二类工业用地，以发展农副食品加工为主。规划面积70</w:t>
      </w:r>
      <w:r>
        <w:rPr>
          <w:rFonts w:ascii="仿宋_GB2312" w:eastAsia="仿宋_GB2312" w:hAnsiTheme="minorEastAsia"/>
          <w:sz w:val="32"/>
          <w:szCs w:val="32"/>
        </w:rPr>
        <w:t>.</w:t>
      </w:r>
      <w:r>
        <w:rPr>
          <w:rFonts w:hint="eastAsia" w:ascii="仿宋_GB2312" w:eastAsia="仿宋_GB2312" w:hAnsiTheme="minorEastAsia"/>
          <w:sz w:val="32"/>
          <w:szCs w:val="32"/>
        </w:rPr>
        <w:t>21公顷，占比</w:t>
      </w:r>
      <w:r>
        <w:rPr>
          <w:rFonts w:ascii="仿宋_GB2312" w:eastAsia="仿宋_GB2312" w:hAnsiTheme="minorEastAsia"/>
          <w:sz w:val="32"/>
          <w:szCs w:val="32"/>
        </w:rPr>
        <w:t>7</w:t>
      </w:r>
      <w:r>
        <w:rPr>
          <w:rFonts w:hint="eastAsia" w:ascii="仿宋_GB2312" w:eastAsia="仿宋_GB2312" w:hAnsiTheme="minorEastAsia"/>
          <w:sz w:val="32"/>
          <w:szCs w:val="32"/>
        </w:rPr>
        <w:t>6</w:t>
      </w:r>
      <w:r>
        <w:rPr>
          <w:rFonts w:ascii="仿宋_GB2312" w:eastAsia="仿宋_GB2312" w:hAnsiTheme="minorEastAsia"/>
          <w:sz w:val="32"/>
          <w:szCs w:val="32"/>
        </w:rPr>
        <w:t>.</w:t>
      </w:r>
      <w:r>
        <w:rPr>
          <w:rFonts w:hint="eastAsia" w:ascii="仿宋_GB2312" w:eastAsia="仿宋_GB2312" w:hAnsiTheme="minorEastAsia"/>
          <w:sz w:val="32"/>
          <w:szCs w:val="32"/>
        </w:rPr>
        <w:t>56%。</w:t>
      </w:r>
    </w:p>
    <w:p>
      <w:pPr>
        <w:spacing w:line="360" w:lineRule="auto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(五)仓储用地</w:t>
      </w: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园区中部规划二类仓储用地，为园区货物集散、储存用地。规划面积3.27公顷，占比3.57%。</w:t>
      </w:r>
    </w:p>
    <w:p>
      <w:pPr>
        <w:spacing w:line="360" w:lineRule="auto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（六）交通运输用地</w:t>
      </w: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规划面积9</w:t>
      </w:r>
      <w:r>
        <w:rPr>
          <w:rFonts w:ascii="仿宋_GB2312" w:eastAsia="仿宋_GB2312" w:hAnsiTheme="minorEastAsia"/>
          <w:sz w:val="32"/>
          <w:szCs w:val="32"/>
        </w:rPr>
        <w:t>.</w:t>
      </w:r>
      <w:r>
        <w:rPr>
          <w:rFonts w:hint="eastAsia" w:ascii="仿宋_GB2312" w:eastAsia="仿宋_GB2312" w:hAnsiTheme="minorEastAsia"/>
          <w:sz w:val="32"/>
          <w:szCs w:val="32"/>
        </w:rPr>
        <w:t>75公顷，占比10</w:t>
      </w:r>
      <w:r>
        <w:rPr>
          <w:rFonts w:ascii="仿宋_GB2312" w:eastAsia="仿宋_GB2312" w:hAnsiTheme="minorEastAsia"/>
          <w:sz w:val="32"/>
          <w:szCs w:val="32"/>
        </w:rPr>
        <w:t>.</w:t>
      </w:r>
      <w:r>
        <w:rPr>
          <w:rFonts w:hint="eastAsia" w:ascii="仿宋_GB2312" w:eastAsia="仿宋_GB2312" w:hAnsiTheme="minorEastAsia"/>
          <w:sz w:val="32"/>
          <w:szCs w:val="32"/>
        </w:rPr>
        <w:t>63%。其中城镇村道路用地面积</w:t>
      </w:r>
      <w:r>
        <w:rPr>
          <w:rFonts w:ascii="仿宋_GB2312" w:eastAsia="仿宋_GB2312" w:hAnsiTheme="minorEastAsia"/>
          <w:sz w:val="32"/>
          <w:szCs w:val="32"/>
        </w:rPr>
        <w:t>8.</w:t>
      </w:r>
      <w:r>
        <w:rPr>
          <w:rFonts w:hint="eastAsia" w:ascii="仿宋_GB2312" w:eastAsia="仿宋_GB2312" w:hAnsiTheme="minorEastAsia"/>
          <w:sz w:val="32"/>
          <w:szCs w:val="32"/>
        </w:rPr>
        <w:t>47公顷，公共交通场站（公交首末站）用地面积</w:t>
      </w:r>
      <w:r>
        <w:rPr>
          <w:rFonts w:ascii="仿宋_GB2312" w:eastAsia="仿宋_GB2312" w:hAnsiTheme="minorEastAsia"/>
          <w:sz w:val="32"/>
          <w:szCs w:val="32"/>
        </w:rPr>
        <w:t>0.</w:t>
      </w:r>
      <w:r>
        <w:rPr>
          <w:rFonts w:hint="eastAsia" w:ascii="仿宋_GB2312" w:eastAsia="仿宋_GB2312" w:hAnsiTheme="minorEastAsia"/>
          <w:sz w:val="32"/>
          <w:szCs w:val="32"/>
        </w:rPr>
        <w:t>32公顷，社会停车场用地面积0.96公顷，占比1.05%。</w:t>
      </w:r>
    </w:p>
    <w:p>
      <w:pPr>
        <w:spacing w:line="360" w:lineRule="auto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（七）公用设施用地</w:t>
      </w:r>
    </w:p>
    <w:p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规划面积0.60公顷，占比0.66%。其中供燃气用地面积0.17公顷</w:t>
      </w:r>
      <w:r>
        <w:rPr>
          <w:rFonts w:hint="eastAsia" w:ascii="仿宋_GB2312" w:eastAsia="仿宋_GB2312" w:hAnsiTheme="minorEastAsia"/>
          <w:spacing w:val="-11"/>
          <w:sz w:val="32"/>
          <w:szCs w:val="32"/>
        </w:rPr>
        <w:t>，排水用地面积0.23公顷，森林防火设施用地面积0.20公顷。</w:t>
      </w:r>
    </w:p>
    <w:p>
      <w:pPr>
        <w:spacing w:line="360" w:lineRule="auto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(八)绿地与开敞空间用地</w:t>
      </w: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规划面积1</w:t>
      </w:r>
      <w:r>
        <w:rPr>
          <w:rFonts w:ascii="仿宋_GB2312" w:eastAsia="仿宋_GB2312" w:hAnsiTheme="minorEastAsia"/>
          <w:sz w:val="32"/>
          <w:szCs w:val="32"/>
        </w:rPr>
        <w:t>.</w:t>
      </w:r>
      <w:r>
        <w:rPr>
          <w:rFonts w:hint="eastAsia" w:ascii="仿宋_GB2312" w:eastAsia="仿宋_GB2312" w:hAnsiTheme="minorEastAsia"/>
          <w:sz w:val="32"/>
          <w:szCs w:val="32"/>
        </w:rPr>
        <w:t>80公顷，占比1</w:t>
      </w:r>
      <w:r>
        <w:rPr>
          <w:rFonts w:ascii="仿宋_GB2312" w:eastAsia="仿宋_GB2312" w:hAnsiTheme="minorEastAsia"/>
          <w:sz w:val="32"/>
          <w:szCs w:val="32"/>
        </w:rPr>
        <w:t>.</w:t>
      </w:r>
      <w:r>
        <w:rPr>
          <w:rFonts w:hint="eastAsia" w:ascii="仿宋_GB2312" w:eastAsia="仿宋_GB2312" w:hAnsiTheme="minorEastAsia"/>
          <w:sz w:val="32"/>
          <w:szCs w:val="32"/>
        </w:rPr>
        <w:t>96%。其中公园绿地面积0</w:t>
      </w:r>
      <w:r>
        <w:rPr>
          <w:rFonts w:ascii="仿宋_GB2312" w:eastAsia="仿宋_GB2312" w:hAnsiTheme="minorEastAsia"/>
          <w:sz w:val="32"/>
          <w:szCs w:val="32"/>
        </w:rPr>
        <w:t>.</w:t>
      </w:r>
      <w:r>
        <w:rPr>
          <w:rFonts w:hint="eastAsia" w:ascii="仿宋_GB2312" w:eastAsia="仿宋_GB2312" w:hAnsiTheme="minorEastAsia"/>
          <w:sz w:val="32"/>
          <w:szCs w:val="32"/>
        </w:rPr>
        <w:t>32公顷，防护绿地面积1</w:t>
      </w:r>
      <w:r>
        <w:rPr>
          <w:rFonts w:ascii="仿宋_GB2312" w:eastAsia="仿宋_GB2312" w:hAnsiTheme="minorEastAsia"/>
          <w:sz w:val="32"/>
          <w:szCs w:val="32"/>
        </w:rPr>
        <w:t>.</w:t>
      </w:r>
      <w:r>
        <w:rPr>
          <w:rFonts w:hint="eastAsia" w:ascii="仿宋_GB2312" w:eastAsia="仿宋_GB2312" w:hAnsiTheme="minorEastAsia"/>
          <w:sz w:val="32"/>
          <w:szCs w:val="32"/>
        </w:rPr>
        <w:t>48公顷。</w:t>
      </w:r>
    </w:p>
    <w:p>
      <w:pPr>
        <w:spacing w:line="360" w:lineRule="auto"/>
        <w:ind w:firstLine="420" w:firstLineChars="200"/>
        <w:rPr>
          <w:rFonts w:hint="eastAsia" w:ascii="仿宋_GB2312" w:eastAsia="仿宋_GB2312" w:hAnsiTheme="minorEastAsia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237490</wp:posOffset>
            </wp:positionH>
            <wp:positionV relativeFrom="paragraph">
              <wp:posOffset>187325</wp:posOffset>
            </wp:positionV>
            <wp:extent cx="5283835" cy="5624195"/>
            <wp:effectExtent l="0" t="0" r="0" b="0"/>
            <wp:wrapNone/>
            <wp:docPr id="4" name="图片 4" descr="C:\Users\dell\Desktop\07土地利用规划图-普安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Desktop\07土地利用规划图-普安.jpg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3316" t="6717" r="8446" b="16223"/>
                    <a:stretch>
                      <a:fillRect/>
                    </a:stretch>
                  </pic:blipFill>
                  <pic:spPr>
                    <a:xfrm>
                      <a:off x="0" y="0"/>
                      <a:ext cx="5283782" cy="56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剑阁县普安镇工业园区用地布局规划图</w:t>
      </w:r>
    </w:p>
    <w:p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7" w:header="851" w:footer="1701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A8TPSHQIAACkEAAAOAAAAZHJz&#10;L2Uyb0RvYy54bWytU82O0zAQviPxDpbvNGlRV1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9eT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IDxM9I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Q5ZDA3NWE3MzIwYmIzZjBmOWRhNGNmZTQ1ZDE4M2IifQ=="/>
    <w:docVar w:name="KSO_WPS_MARK_KEY" w:val="28d3c57d-0869-4c53-bcda-8a2cf51edfbe"/>
  </w:docVars>
  <w:rsids>
    <w:rsidRoot w:val="00477DE2"/>
    <w:rsid w:val="00010CCD"/>
    <w:rsid w:val="000255F0"/>
    <w:rsid w:val="00025C2E"/>
    <w:rsid w:val="00030071"/>
    <w:rsid w:val="00045F26"/>
    <w:rsid w:val="00057939"/>
    <w:rsid w:val="00070BA0"/>
    <w:rsid w:val="00097B22"/>
    <w:rsid w:val="000D506C"/>
    <w:rsid w:val="00125827"/>
    <w:rsid w:val="001317A9"/>
    <w:rsid w:val="00131AE5"/>
    <w:rsid w:val="00132FF6"/>
    <w:rsid w:val="00150DD7"/>
    <w:rsid w:val="001A0F0A"/>
    <w:rsid w:val="001B3B6F"/>
    <w:rsid w:val="001C2DF4"/>
    <w:rsid w:val="001D2D67"/>
    <w:rsid w:val="00205A8A"/>
    <w:rsid w:val="00212EDB"/>
    <w:rsid w:val="002271FE"/>
    <w:rsid w:val="0024010B"/>
    <w:rsid w:val="00246599"/>
    <w:rsid w:val="0025050B"/>
    <w:rsid w:val="00270CF0"/>
    <w:rsid w:val="002801A4"/>
    <w:rsid w:val="002C1E0C"/>
    <w:rsid w:val="002F38FC"/>
    <w:rsid w:val="002F7808"/>
    <w:rsid w:val="00305916"/>
    <w:rsid w:val="00307FAB"/>
    <w:rsid w:val="003105BD"/>
    <w:rsid w:val="003621F6"/>
    <w:rsid w:val="0038292E"/>
    <w:rsid w:val="0038294E"/>
    <w:rsid w:val="003A5C97"/>
    <w:rsid w:val="003F43AA"/>
    <w:rsid w:val="00415B01"/>
    <w:rsid w:val="004270D7"/>
    <w:rsid w:val="00465A8B"/>
    <w:rsid w:val="00477DE2"/>
    <w:rsid w:val="004A4945"/>
    <w:rsid w:val="00520C83"/>
    <w:rsid w:val="0052436D"/>
    <w:rsid w:val="00534037"/>
    <w:rsid w:val="00535D5F"/>
    <w:rsid w:val="00543DBC"/>
    <w:rsid w:val="00572568"/>
    <w:rsid w:val="005811E9"/>
    <w:rsid w:val="005874C7"/>
    <w:rsid w:val="00591B80"/>
    <w:rsid w:val="005A12AC"/>
    <w:rsid w:val="005A7179"/>
    <w:rsid w:val="005B2206"/>
    <w:rsid w:val="00602D37"/>
    <w:rsid w:val="006079CE"/>
    <w:rsid w:val="00607B5D"/>
    <w:rsid w:val="006167A8"/>
    <w:rsid w:val="0065274D"/>
    <w:rsid w:val="00652A55"/>
    <w:rsid w:val="00665203"/>
    <w:rsid w:val="00694581"/>
    <w:rsid w:val="006A0A79"/>
    <w:rsid w:val="006C42E8"/>
    <w:rsid w:val="006E18B2"/>
    <w:rsid w:val="00702375"/>
    <w:rsid w:val="007207A4"/>
    <w:rsid w:val="007216C7"/>
    <w:rsid w:val="00734E11"/>
    <w:rsid w:val="0074218C"/>
    <w:rsid w:val="007650C7"/>
    <w:rsid w:val="00773085"/>
    <w:rsid w:val="00774E81"/>
    <w:rsid w:val="00785D5A"/>
    <w:rsid w:val="007A0A74"/>
    <w:rsid w:val="007A59EC"/>
    <w:rsid w:val="007B1DC5"/>
    <w:rsid w:val="007E5483"/>
    <w:rsid w:val="00816B8D"/>
    <w:rsid w:val="00847FBD"/>
    <w:rsid w:val="008559C9"/>
    <w:rsid w:val="00866D8E"/>
    <w:rsid w:val="00875D40"/>
    <w:rsid w:val="00894A01"/>
    <w:rsid w:val="008A767B"/>
    <w:rsid w:val="00957F29"/>
    <w:rsid w:val="00971C74"/>
    <w:rsid w:val="00983230"/>
    <w:rsid w:val="009857A2"/>
    <w:rsid w:val="009D022D"/>
    <w:rsid w:val="009F1779"/>
    <w:rsid w:val="00A12378"/>
    <w:rsid w:val="00AB5AE2"/>
    <w:rsid w:val="00AE058E"/>
    <w:rsid w:val="00B31E61"/>
    <w:rsid w:val="00B3235F"/>
    <w:rsid w:val="00B323C6"/>
    <w:rsid w:val="00B914C3"/>
    <w:rsid w:val="00BA113D"/>
    <w:rsid w:val="00BB59BA"/>
    <w:rsid w:val="00BE34F2"/>
    <w:rsid w:val="00BF40EC"/>
    <w:rsid w:val="00C13DA3"/>
    <w:rsid w:val="00C26988"/>
    <w:rsid w:val="00C64BDE"/>
    <w:rsid w:val="00C672C9"/>
    <w:rsid w:val="00C85FBB"/>
    <w:rsid w:val="00C92B56"/>
    <w:rsid w:val="00C96B30"/>
    <w:rsid w:val="00CD07C7"/>
    <w:rsid w:val="00D31812"/>
    <w:rsid w:val="00D3516B"/>
    <w:rsid w:val="00D438AB"/>
    <w:rsid w:val="00D54A2C"/>
    <w:rsid w:val="00D55C12"/>
    <w:rsid w:val="00D56F43"/>
    <w:rsid w:val="00D72F44"/>
    <w:rsid w:val="00D86AC8"/>
    <w:rsid w:val="00DA7F16"/>
    <w:rsid w:val="00DC6ED7"/>
    <w:rsid w:val="00DE4FCF"/>
    <w:rsid w:val="00E00861"/>
    <w:rsid w:val="00E2504C"/>
    <w:rsid w:val="00E35B2C"/>
    <w:rsid w:val="00E8449B"/>
    <w:rsid w:val="00F1031E"/>
    <w:rsid w:val="00F32371"/>
    <w:rsid w:val="00FA3D50"/>
    <w:rsid w:val="00FB5117"/>
    <w:rsid w:val="00FC07EB"/>
    <w:rsid w:val="0B4474F0"/>
    <w:rsid w:val="0BD7170D"/>
    <w:rsid w:val="11BD75F7"/>
    <w:rsid w:val="121719EF"/>
    <w:rsid w:val="1AD03EF7"/>
    <w:rsid w:val="3341378C"/>
    <w:rsid w:val="471E634B"/>
    <w:rsid w:val="4E2224C7"/>
    <w:rsid w:val="5DE548F0"/>
    <w:rsid w:val="5E0A2DD7"/>
    <w:rsid w:val="7BAB5214"/>
    <w:rsid w:val="7DE4601A"/>
    <w:rsid w:val="FFCE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1015</Words>
  <Characters>1129</Characters>
  <Lines>7</Lines>
  <Paragraphs>2</Paragraphs>
  <TotalTime>5</TotalTime>
  <ScaleCrop>false</ScaleCrop>
  <LinksUpToDate>false</LinksUpToDate>
  <CharactersWithSpaces>1129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2025-05-19T15:48:00Z</dcterms:created>
  <dc:creator>dell</dc:creator>
  <cp:lastModifiedBy>user</cp:lastModifiedBy>
  <dcterms:modified xsi:type="dcterms:W3CDTF">2025-05-27T15:57:13Z</dcterms:modified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eyJoZGlkIjoiZDY3MTE1Nzg2YmYxNDVlYzkyNDY2ZDk2OWM4MDFjOTQiLCJ1c2VySWQiOiIzMDM4NzAyNDcifQ==</vt:lpwstr>
  </property>
  <property fmtid="{D5CDD505-2E9C-101B-9397-08002B2CF9AE}" pid="3" name="KSOProductBuildVer">
    <vt:lpwstr>2052-11.8.2.9980</vt:lpwstr>
  </property>
  <property fmtid="{D5CDD505-2E9C-101B-9397-08002B2CF9AE}" pid="4" name="ICV">
    <vt:lpwstr>16C29B3F2376497D9A3EC1062D938CF7_13</vt:lpwstr>
  </property>
</Properties>
</file>