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overflowPunct/>
        <w:bidi w:val="0"/>
        <w:spacing w:line="560" w:lineRule="exact"/>
        <w:ind w:left="0" w:leftChars="0" w:right="0" w:firstLine="1440" w:firstLineChars="200"/>
        <w:jc w:val="center"/>
        <w:outlineLvl w:val="0"/>
        <w:rPr>
          <w:rFonts w:ascii="方正小标宋简体" w:hAnsi="宋体" w:eastAsia="方正小标宋简体"/>
          <w:sz w:val="72"/>
          <w:szCs w:val="72"/>
        </w:rPr>
      </w:pPr>
      <w:bookmarkStart w:id="0" w:name="_Toc15377425"/>
      <w:bookmarkStart w:id="1" w:name="_Toc15377193"/>
      <w:bookmarkStart w:id="2" w:name="_Toc15396597"/>
      <w:bookmarkStart w:id="3" w:name="_Toc15396475"/>
      <w:bookmarkStart w:id="4" w:name="_Toc15378441"/>
      <w:bookmarkStart w:id="5" w:name="_Toc15306267"/>
    </w:p>
    <w:p>
      <w:pPr>
        <w:pageBreakBefore w:val="0"/>
        <w:wordWrap/>
        <w:overflowPunct/>
        <w:bidi w:val="0"/>
        <w:spacing w:line="560" w:lineRule="exact"/>
        <w:ind w:left="0" w:leftChars="0" w:right="0" w:firstLine="1440" w:firstLineChars="200"/>
        <w:jc w:val="center"/>
        <w:outlineLvl w:val="0"/>
        <w:rPr>
          <w:rFonts w:ascii="方正小标宋简体" w:hAnsi="宋体" w:eastAsia="方正小标宋简体"/>
          <w:sz w:val="72"/>
          <w:szCs w:val="72"/>
        </w:rPr>
      </w:pPr>
    </w:p>
    <w:p>
      <w:pPr>
        <w:pageBreakBefore w:val="0"/>
        <w:wordWrap/>
        <w:overflowPunct/>
        <w:bidi w:val="0"/>
        <w:spacing w:line="560" w:lineRule="exact"/>
        <w:ind w:left="0" w:leftChars="0" w:right="0" w:firstLine="1440" w:firstLineChars="200"/>
        <w:jc w:val="center"/>
        <w:outlineLvl w:val="0"/>
        <w:rPr>
          <w:rFonts w:ascii="方正小标宋简体" w:hAnsi="宋体" w:eastAsia="方正小标宋简体"/>
          <w:sz w:val="72"/>
          <w:szCs w:val="72"/>
        </w:rPr>
      </w:pPr>
    </w:p>
    <w:p>
      <w:pPr>
        <w:pageBreakBefore w:val="0"/>
        <w:wordWrap/>
        <w:overflowPunct/>
        <w:bidi w:val="0"/>
        <w:spacing w:line="560" w:lineRule="exact"/>
        <w:ind w:left="0" w:leftChars="0" w:right="0" w:firstLine="1440" w:firstLineChars="200"/>
        <w:jc w:val="center"/>
        <w:outlineLvl w:val="0"/>
        <w:rPr>
          <w:rFonts w:ascii="方正小标宋简体" w:hAnsi="宋体" w:eastAsia="方正小标宋简体"/>
          <w:sz w:val="72"/>
          <w:szCs w:val="72"/>
        </w:rPr>
      </w:pPr>
    </w:p>
    <w:p>
      <w:pPr>
        <w:keepNext w:val="0"/>
        <w:keepLines w:val="0"/>
        <w:pageBreakBefore w:val="0"/>
        <w:kinsoku/>
        <w:wordWrap/>
        <w:overflowPunct/>
        <w:topLinePunct w:val="0"/>
        <w:autoSpaceDE/>
        <w:autoSpaceDN/>
        <w:bidi w:val="0"/>
        <w:adjustRightInd w:val="0"/>
        <w:snapToGrid w:val="0"/>
        <w:spacing w:line="1000" w:lineRule="exact"/>
        <w:ind w:right="0"/>
        <w:jc w:val="center"/>
        <w:textAlignment w:val="auto"/>
        <w:outlineLvl w:val="0"/>
        <w:rPr>
          <w:rFonts w:hint="eastAsia" w:ascii="方正小标宋简体" w:hAnsi="方正小标宋简体" w:eastAsia="方正小标宋简体" w:cs="方正小标宋简体"/>
          <w:sz w:val="72"/>
          <w:szCs w:val="72"/>
          <w:lang w:eastAsia="zh-CN"/>
        </w:rPr>
      </w:pPr>
      <w:bookmarkStart w:id="68" w:name="_GoBack"/>
      <w:r>
        <w:rPr>
          <w:rFonts w:hint="eastAsia" w:ascii="方正小标宋简体" w:hAnsi="方正小标宋简体" w:eastAsia="方正小标宋简体" w:cs="方正小标宋简体"/>
          <w:sz w:val="72"/>
          <w:szCs w:val="72"/>
          <w:lang w:eastAsia="zh-CN"/>
        </w:rPr>
        <w:t>202</w:t>
      </w:r>
      <w:r>
        <w:rPr>
          <w:rFonts w:hint="eastAsia" w:ascii="方正小标宋简体" w:hAnsi="方正小标宋简体" w:eastAsia="方正小标宋简体" w:cs="方正小标宋简体"/>
          <w:sz w:val="72"/>
          <w:szCs w:val="72"/>
          <w:lang w:val="en-US" w:eastAsia="zh-CN"/>
        </w:rPr>
        <w:t>2</w:t>
      </w:r>
      <w:r>
        <w:rPr>
          <w:rFonts w:hint="eastAsia" w:ascii="方正小标宋简体" w:hAnsi="方正小标宋简体" w:eastAsia="方正小标宋简体" w:cs="方正小标宋简体"/>
          <w:sz w:val="72"/>
          <w:szCs w:val="72"/>
          <w:lang w:eastAsia="zh-CN"/>
        </w:rPr>
        <w:t>年度</w:t>
      </w:r>
      <w:bookmarkEnd w:id="0"/>
      <w:bookmarkEnd w:id="1"/>
      <w:bookmarkEnd w:id="2"/>
      <w:bookmarkEnd w:id="3"/>
      <w:bookmarkEnd w:id="4"/>
    </w:p>
    <w:p>
      <w:pPr>
        <w:keepNext w:val="0"/>
        <w:keepLines w:val="0"/>
        <w:pageBreakBefore w:val="0"/>
        <w:kinsoku/>
        <w:wordWrap/>
        <w:overflowPunct/>
        <w:topLinePunct w:val="0"/>
        <w:autoSpaceDE/>
        <w:autoSpaceDN/>
        <w:bidi w:val="0"/>
        <w:adjustRightInd w:val="0"/>
        <w:snapToGrid w:val="0"/>
        <w:spacing w:line="1000" w:lineRule="exact"/>
        <w:ind w:right="0"/>
        <w:jc w:val="center"/>
        <w:textAlignment w:val="auto"/>
        <w:outlineLvl w:val="0"/>
        <w:rPr>
          <w:rFonts w:hint="eastAsia" w:ascii="方正小标宋简体" w:hAnsi="方正小标宋简体" w:eastAsia="方正小标宋简体" w:cs="方正小标宋简体"/>
          <w:sz w:val="72"/>
          <w:szCs w:val="72"/>
          <w:lang w:eastAsia="zh-CN"/>
        </w:rPr>
      </w:pPr>
      <w:bookmarkStart w:id="6" w:name="_Toc15377426"/>
      <w:bookmarkStart w:id="7" w:name="_Toc15378442"/>
      <w:bookmarkStart w:id="8" w:name="_Toc15396476"/>
      <w:bookmarkStart w:id="9" w:name="_Toc15377194"/>
      <w:bookmarkStart w:id="10" w:name="_Toc15396598"/>
      <w:r>
        <w:rPr>
          <w:rFonts w:hint="eastAsia" w:ascii="方正小标宋简体" w:hAnsi="方正小标宋简体" w:eastAsia="方正小标宋简体" w:cs="方正小标宋简体"/>
          <w:sz w:val="72"/>
          <w:szCs w:val="72"/>
          <w:lang w:eastAsia="zh-CN"/>
        </w:rPr>
        <w:t>中共</w:t>
      </w:r>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lang w:eastAsia="zh-CN"/>
        </w:rPr>
        <w:t>委政法委员会</w:t>
      </w:r>
    </w:p>
    <w:p>
      <w:pPr>
        <w:keepNext w:val="0"/>
        <w:keepLines w:val="0"/>
        <w:pageBreakBefore w:val="0"/>
        <w:kinsoku/>
        <w:wordWrap/>
        <w:overflowPunct/>
        <w:topLinePunct w:val="0"/>
        <w:autoSpaceDE/>
        <w:autoSpaceDN/>
        <w:bidi w:val="0"/>
        <w:adjustRightInd w:val="0"/>
        <w:snapToGrid w:val="0"/>
        <w:spacing w:line="1000" w:lineRule="exact"/>
        <w:ind w:right="0"/>
        <w:jc w:val="center"/>
        <w:textAlignment w:val="auto"/>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bookmarkEnd w:id="68"/>
    <w:p>
      <w:pPr>
        <w:keepNext w:val="0"/>
        <w:keepLines w:val="0"/>
        <w:pageBreakBefore w:val="0"/>
        <w:widowControl/>
        <w:kinsoku/>
        <w:wordWrap/>
        <w:overflowPunct/>
        <w:topLinePunct w:val="0"/>
        <w:autoSpaceDE/>
        <w:autoSpaceDN/>
        <w:bidi w:val="0"/>
        <w:spacing w:line="1000" w:lineRule="exact"/>
        <w:ind w:right="0"/>
        <w:jc w:val="center"/>
        <w:textAlignment w:val="auto"/>
        <w:rPr>
          <w:rFonts w:ascii="方正小标宋简体" w:hAnsi="宋体" w:eastAsia="方正小标宋简体"/>
          <w:sz w:val="84"/>
          <w:szCs w:val="84"/>
        </w:rPr>
        <w:sectPr>
          <w:headerReference r:id="rId3" w:type="default"/>
          <w:footerReference r:id="rId4" w:type="default"/>
          <w:pgSz w:w="11906" w:h="16838"/>
          <w:pgMar w:top="2098" w:right="1531" w:bottom="1984" w:left="1531" w:header="851" w:footer="1701" w:gutter="0"/>
          <w:pgNumType w:fmt="decimal" w:start="1"/>
          <w:cols w:space="0" w:num="1"/>
          <w:titlePg/>
          <w:rtlGutter w:val="0"/>
          <w:docGrid w:type="lines" w:linePitch="312" w:charSpace="0"/>
        </w:sectPr>
      </w:pPr>
    </w:p>
    <w:p>
      <w:pPr>
        <w:keepNext w:val="0"/>
        <w:keepLines w:val="0"/>
        <w:pageBreakBefore w:val="0"/>
        <w:widowControl/>
        <w:kinsoku/>
        <w:wordWrap/>
        <w:overflowPunct/>
        <w:topLinePunct w:val="0"/>
        <w:autoSpaceDE/>
        <w:autoSpaceDN/>
        <w:bidi w:val="0"/>
        <w:spacing w:line="1000" w:lineRule="exact"/>
        <w:ind w:right="0"/>
        <w:jc w:val="center"/>
        <w:textAlignment w:val="auto"/>
        <w:rPr>
          <w:rFonts w:ascii="方正小标宋简体" w:hAnsi="宋体" w:eastAsia="方正小标宋简体"/>
          <w:sz w:val="84"/>
          <w:szCs w:val="84"/>
        </w:rPr>
      </w:pPr>
    </w:p>
    <w:p>
      <w:pPr>
        <w:keepNext w:val="0"/>
        <w:keepLines w:val="0"/>
        <w:pageBreakBefore w:val="0"/>
        <w:widowControl/>
        <w:kinsoku/>
        <w:wordWrap/>
        <w:overflowPunct/>
        <w:topLinePunct w:val="0"/>
        <w:autoSpaceDE/>
        <w:autoSpaceDN/>
        <w:bidi w:val="0"/>
        <w:spacing w:line="1000" w:lineRule="exact"/>
        <w:ind w:right="0"/>
        <w:jc w:val="center"/>
        <w:textAlignment w:val="auto"/>
        <w:rPr>
          <w:rFonts w:ascii="方正小标宋简体" w:hAnsi="宋体" w:eastAsia="方正小标宋简体"/>
          <w:sz w:val="84"/>
          <w:szCs w:val="84"/>
        </w:rPr>
      </w:pPr>
    </w:p>
    <w:p>
      <w:pPr>
        <w:keepNext w:val="0"/>
        <w:keepLines w:val="0"/>
        <w:pageBreakBefore w:val="0"/>
        <w:widowControl/>
        <w:kinsoku/>
        <w:wordWrap/>
        <w:overflowPunct/>
        <w:topLinePunct w:val="0"/>
        <w:autoSpaceDE/>
        <w:autoSpaceDN/>
        <w:bidi w:val="0"/>
        <w:spacing w:line="1000" w:lineRule="exact"/>
        <w:ind w:right="0"/>
        <w:jc w:val="center"/>
        <w:textAlignment w:val="auto"/>
        <w:rPr>
          <w:rFonts w:ascii="方正小标宋简体" w:hAnsi="宋体" w:eastAsia="方正小标宋简体"/>
          <w:sz w:val="84"/>
          <w:szCs w:val="84"/>
        </w:rPr>
      </w:pPr>
    </w:p>
    <w:p>
      <w:pPr>
        <w:keepNext w:val="0"/>
        <w:keepLines w:val="0"/>
        <w:pageBreakBefore w:val="0"/>
        <w:widowControl/>
        <w:kinsoku/>
        <w:wordWrap/>
        <w:overflowPunct/>
        <w:topLinePunct w:val="0"/>
        <w:autoSpaceDE/>
        <w:autoSpaceDN/>
        <w:bidi w:val="0"/>
        <w:spacing w:line="1000" w:lineRule="exact"/>
        <w:ind w:right="0"/>
        <w:jc w:val="center"/>
        <w:textAlignment w:val="auto"/>
        <w:rPr>
          <w:rFonts w:ascii="方正小标宋简体" w:hAnsi="宋体" w:eastAsia="方正小标宋简体"/>
          <w:sz w:val="84"/>
          <w:szCs w:val="84"/>
        </w:rPr>
      </w:pPr>
    </w:p>
    <w:p>
      <w:pPr>
        <w:keepNext w:val="0"/>
        <w:keepLines w:val="0"/>
        <w:pageBreakBefore w:val="0"/>
        <w:widowControl/>
        <w:kinsoku/>
        <w:wordWrap/>
        <w:overflowPunct/>
        <w:topLinePunct w:val="0"/>
        <w:autoSpaceDE/>
        <w:autoSpaceDN/>
        <w:bidi w:val="0"/>
        <w:spacing w:line="1000" w:lineRule="exact"/>
        <w:ind w:right="0"/>
        <w:jc w:val="center"/>
        <w:textAlignment w:val="auto"/>
        <w:rPr>
          <w:rFonts w:ascii="方正小标宋简体" w:hAnsi="宋体" w:eastAsia="方正小标宋简体"/>
          <w:sz w:val="84"/>
          <w:szCs w:val="84"/>
        </w:rPr>
      </w:pPr>
    </w:p>
    <w:p>
      <w:pPr>
        <w:keepNext w:val="0"/>
        <w:keepLines w:val="0"/>
        <w:pageBreakBefore w:val="0"/>
        <w:widowControl/>
        <w:kinsoku/>
        <w:wordWrap/>
        <w:overflowPunct/>
        <w:topLinePunct w:val="0"/>
        <w:autoSpaceDE/>
        <w:autoSpaceDN/>
        <w:bidi w:val="0"/>
        <w:spacing w:line="1000" w:lineRule="exact"/>
        <w:ind w:right="0"/>
        <w:jc w:val="center"/>
        <w:textAlignment w:val="auto"/>
        <w:rPr>
          <w:rFonts w:ascii="方正小标宋简体" w:hAnsi="宋体" w:eastAsia="方正小标宋简体"/>
          <w:sz w:val="84"/>
          <w:szCs w:val="84"/>
        </w:rPr>
      </w:pPr>
    </w:p>
    <w:p>
      <w:pPr>
        <w:keepNext w:val="0"/>
        <w:keepLines w:val="0"/>
        <w:pageBreakBefore w:val="0"/>
        <w:widowControl/>
        <w:kinsoku/>
        <w:wordWrap/>
        <w:overflowPunct/>
        <w:topLinePunct w:val="0"/>
        <w:autoSpaceDE/>
        <w:autoSpaceDN/>
        <w:bidi w:val="0"/>
        <w:spacing w:line="1000" w:lineRule="exact"/>
        <w:ind w:right="0"/>
        <w:jc w:val="center"/>
        <w:textAlignment w:val="auto"/>
        <w:rPr>
          <w:rFonts w:ascii="方正小标宋简体" w:hAnsi="宋体" w:eastAsia="方正小标宋简体"/>
          <w:sz w:val="84"/>
          <w:szCs w:val="84"/>
        </w:rPr>
      </w:pPr>
    </w:p>
    <w:p>
      <w:pPr>
        <w:keepNext w:val="0"/>
        <w:keepLines w:val="0"/>
        <w:pageBreakBefore w:val="0"/>
        <w:widowControl/>
        <w:kinsoku/>
        <w:wordWrap/>
        <w:overflowPunct/>
        <w:topLinePunct w:val="0"/>
        <w:autoSpaceDE/>
        <w:autoSpaceDN/>
        <w:bidi w:val="0"/>
        <w:spacing w:line="1000" w:lineRule="exact"/>
        <w:ind w:right="0"/>
        <w:jc w:val="center"/>
        <w:textAlignment w:val="auto"/>
        <w:rPr>
          <w:rFonts w:ascii="方正小标宋简体" w:hAnsi="宋体" w:eastAsia="方正小标宋简体"/>
          <w:sz w:val="84"/>
          <w:szCs w:val="84"/>
        </w:rPr>
      </w:pPr>
    </w:p>
    <w:p>
      <w:pPr>
        <w:keepNext w:val="0"/>
        <w:keepLines w:val="0"/>
        <w:pageBreakBefore w:val="0"/>
        <w:widowControl/>
        <w:kinsoku/>
        <w:wordWrap/>
        <w:overflowPunct/>
        <w:topLinePunct w:val="0"/>
        <w:autoSpaceDE/>
        <w:autoSpaceDN/>
        <w:bidi w:val="0"/>
        <w:spacing w:line="1000" w:lineRule="exact"/>
        <w:ind w:right="0"/>
        <w:jc w:val="center"/>
        <w:textAlignment w:val="auto"/>
        <w:rPr>
          <w:rFonts w:ascii="方正小标宋简体" w:hAnsi="宋体" w:eastAsia="方正小标宋简体"/>
          <w:sz w:val="84"/>
          <w:szCs w:val="84"/>
        </w:rPr>
      </w:pPr>
    </w:p>
    <w:p>
      <w:pPr>
        <w:keepNext w:val="0"/>
        <w:keepLines w:val="0"/>
        <w:pageBreakBefore w:val="0"/>
        <w:widowControl/>
        <w:kinsoku/>
        <w:wordWrap/>
        <w:overflowPunct/>
        <w:topLinePunct w:val="0"/>
        <w:autoSpaceDE/>
        <w:autoSpaceDN/>
        <w:bidi w:val="0"/>
        <w:spacing w:line="1000" w:lineRule="exact"/>
        <w:ind w:right="0"/>
        <w:jc w:val="center"/>
        <w:textAlignment w:val="auto"/>
        <w:rPr>
          <w:rFonts w:ascii="方正小标宋简体" w:hAnsi="宋体" w:eastAsia="方正小标宋简体"/>
          <w:sz w:val="84"/>
          <w:szCs w:val="84"/>
        </w:rPr>
      </w:pPr>
    </w:p>
    <w:p>
      <w:pPr>
        <w:keepNext w:val="0"/>
        <w:keepLines w:val="0"/>
        <w:pageBreakBefore w:val="0"/>
        <w:widowControl/>
        <w:kinsoku/>
        <w:wordWrap/>
        <w:overflowPunct/>
        <w:topLinePunct w:val="0"/>
        <w:autoSpaceDE/>
        <w:autoSpaceDN/>
        <w:bidi w:val="0"/>
        <w:spacing w:line="1000" w:lineRule="exact"/>
        <w:ind w:right="0"/>
        <w:jc w:val="center"/>
        <w:textAlignment w:val="auto"/>
        <w:rPr>
          <w:rFonts w:ascii="方正小标宋简体" w:hAnsi="宋体" w:eastAsia="方正小标宋简体"/>
          <w:sz w:val="84"/>
          <w:szCs w:val="84"/>
        </w:rPr>
      </w:pPr>
    </w:p>
    <w:p>
      <w:pPr>
        <w:keepNext w:val="0"/>
        <w:keepLines w:val="0"/>
        <w:pageBreakBefore w:val="0"/>
        <w:widowControl/>
        <w:kinsoku/>
        <w:wordWrap/>
        <w:overflowPunct/>
        <w:topLinePunct w:val="0"/>
        <w:autoSpaceDE/>
        <w:autoSpaceDN/>
        <w:bidi w:val="0"/>
        <w:spacing w:line="1000" w:lineRule="exact"/>
        <w:ind w:right="0"/>
        <w:jc w:val="center"/>
        <w:textAlignment w:val="auto"/>
        <w:rPr>
          <w:rFonts w:hint="eastAsia" w:ascii="方正小标宋简体" w:hAnsi="方正小标宋简体" w:eastAsia="方正小标宋简体" w:cs="方正小标宋简体"/>
          <w:sz w:val="44"/>
          <w:szCs w:val="44"/>
        </w:rPr>
        <w:sectPr>
          <w:footerReference r:id="rId6" w:type="first"/>
          <w:footerReference r:id="rId5" w:type="default"/>
          <w:pgSz w:w="11906" w:h="16838"/>
          <w:pgMar w:top="2098" w:right="1531" w:bottom="1984" w:left="1531" w:header="851" w:footer="1701" w:gutter="0"/>
          <w:pgNumType w:fmt="decimal" w:start="1"/>
          <w:cols w:space="0" w:num="1"/>
          <w:rtlGutter w:val="0"/>
          <w:docGrid w:type="lines" w:linePitch="312" w:charSpace="0"/>
        </w:sectPr>
      </w:pPr>
    </w:p>
    <w:p>
      <w:pPr>
        <w:keepNext w:val="0"/>
        <w:keepLines w:val="0"/>
        <w:pageBreakBefore w:val="0"/>
        <w:widowControl/>
        <w:kinsoku/>
        <w:wordWrap/>
        <w:overflowPunct/>
        <w:topLinePunct w:val="0"/>
        <w:autoSpaceDE/>
        <w:autoSpaceDN/>
        <w:bidi w:val="0"/>
        <w:spacing w:line="100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ageBreakBefore w:val="0"/>
        <w:widowControl/>
        <w:wordWrap/>
        <w:overflowPunct/>
        <w:bidi w:val="0"/>
        <w:spacing w:line="560" w:lineRule="exact"/>
        <w:ind w:left="0" w:leftChars="0" w:right="0" w:firstLine="560" w:firstLineChars="200"/>
        <w:jc w:val="center"/>
        <w:rPr>
          <w:rFonts w:ascii="黑体" w:hAnsi="黑体" w:eastAsia="黑体" w:cstheme="minorBidi"/>
          <w:sz w:val="28"/>
          <w:szCs w:val="28"/>
        </w:rPr>
      </w:pPr>
    </w:p>
    <w:p>
      <w:pPr>
        <w:keepNext w:val="0"/>
        <w:keepLines w:val="0"/>
        <w:pageBreakBefore w:val="0"/>
        <w:kinsoku w:val="0"/>
        <w:wordWrap/>
        <w:overflowPunct/>
        <w:topLinePunct/>
        <w:autoSpaceDE/>
        <w:autoSpaceDN/>
        <w:bidi w:val="0"/>
        <w:adjustRightInd/>
        <w:spacing w:line="560" w:lineRule="exact"/>
        <w:ind w:right="0"/>
        <w:jc w:val="center"/>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公开时间：202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年</w:t>
      </w:r>
      <w:r>
        <w:rPr>
          <w:rFonts w:hint="eastAsia" w:ascii="仿宋" w:hAnsi="仿宋" w:eastAsia="仿宋" w:cs="仿宋"/>
          <w:b w:val="0"/>
          <w:bCs w:val="0"/>
          <w:color w:val="auto"/>
          <w:sz w:val="32"/>
          <w:szCs w:val="32"/>
          <w:lang w:val="en-US" w:eastAsia="zh-CN"/>
        </w:rPr>
        <w:t>10</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16</w:t>
      </w:r>
      <w:r>
        <w:rPr>
          <w:rFonts w:hint="eastAsia" w:ascii="仿宋" w:hAnsi="仿宋" w:eastAsia="仿宋" w:cs="仿宋"/>
          <w:b w:val="0"/>
          <w:bCs w:val="0"/>
          <w:color w:val="auto"/>
          <w:sz w:val="32"/>
          <w:szCs w:val="32"/>
        </w:rPr>
        <w:t>日</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第一部分 部门概况</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w:t>
      </w:r>
      <w:r>
        <w:rPr>
          <w:rFonts w:hint="eastAsia" w:ascii="仿宋" w:hAnsi="仿宋" w:eastAsia="仿宋" w:cs="仿宋"/>
          <w:b w:val="0"/>
          <w:bCs w:val="0"/>
          <w:color w:val="auto"/>
          <w:sz w:val="32"/>
          <w:szCs w:val="32"/>
          <w:lang w:eastAsia="zh-CN"/>
        </w:rPr>
        <w:t>部门</w:t>
      </w:r>
      <w:r>
        <w:rPr>
          <w:rFonts w:hint="eastAsia" w:ascii="仿宋" w:hAnsi="仿宋" w:eastAsia="仿宋" w:cs="仿宋"/>
          <w:b w:val="0"/>
          <w:bCs w:val="0"/>
          <w:color w:val="auto"/>
          <w:sz w:val="32"/>
          <w:szCs w:val="32"/>
        </w:rPr>
        <w:t>职能及</w:t>
      </w:r>
      <w:r>
        <w:rPr>
          <w:rFonts w:hint="eastAsia" w:ascii="仿宋" w:hAnsi="仿宋" w:eastAsia="仿宋" w:cs="仿宋"/>
          <w:b w:val="0"/>
          <w:bCs w:val="0"/>
          <w:color w:val="auto"/>
          <w:sz w:val="32"/>
          <w:szCs w:val="32"/>
          <w:lang w:eastAsia="zh-CN"/>
        </w:rPr>
        <w:t>重点</w:t>
      </w:r>
      <w:r>
        <w:rPr>
          <w:rFonts w:hint="eastAsia" w:ascii="仿宋" w:hAnsi="仿宋" w:eastAsia="仿宋" w:cs="仿宋"/>
          <w:b w:val="0"/>
          <w:bCs w:val="0"/>
          <w:color w:val="auto"/>
          <w:sz w:val="32"/>
          <w:szCs w:val="32"/>
        </w:rPr>
        <w:t>工作</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（一）部门职责</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（二）</w:t>
      </w:r>
      <w:r>
        <w:rPr>
          <w:rFonts w:hint="eastAsia" w:ascii="仿宋" w:hAnsi="仿宋" w:eastAsia="仿宋" w:cs="仿宋"/>
          <w:b w:val="0"/>
          <w:bCs w:val="0"/>
          <w:color w:val="auto"/>
          <w:sz w:val="32"/>
          <w:szCs w:val="32"/>
          <w:lang w:val="en-US" w:eastAsia="zh-CN"/>
        </w:rPr>
        <w:t>2022年重点工作完成情况</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二、机构设置</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第二部分 202</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年度部门决算情况说明</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一、收入支出决算总体情况说明</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二、收入决算情况说明</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三、支出决算情况说明</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四、财政拨款收入支出决算总体情况说明</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五、一般公共预算财政拨款支出决算情况说明</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六、一般公共预算财政拨款基本支出决算情况说明</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七、财政拨款“三公”经费支出决算情况说明</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八、政府性基金预算支出决算情况说明</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九、国有资本经营预算支出决算情况说明</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十、其他重要事项的情况说明</w:t>
      </w:r>
      <w:r>
        <w:rPr>
          <w:rFonts w:hint="eastAsia" w:ascii="仿宋" w:hAnsi="仿宋" w:eastAsia="仿宋" w:cs="仿宋"/>
          <w:b w:val="0"/>
          <w:bCs w:val="0"/>
          <w:color w:val="auto"/>
          <w:sz w:val="32"/>
          <w:szCs w:val="32"/>
        </w:rPr>
        <w:tab/>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第三部分 名词解释</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第四部分 附件</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第五部分 附表</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一、收入支出决算总表</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二、收入决算表</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三、支出决算表</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四、财政拨款收入支出决算总表</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五、财政拨款支出决算明细表</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六、一般公共预算财政拨款支出决算表</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七、一般公共预算财政拨款支出决算明细表</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八、一般公共预算财政拨款基本支出决算表</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九、一般公共预算财政拨款项目支出决算表</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十、政府性基金预算财政拨款收入支出决算表</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w:t>
      </w:r>
      <w:r>
        <w:rPr>
          <w:rFonts w:hint="eastAsia" w:ascii="仿宋" w:hAnsi="仿宋" w:eastAsia="仿宋" w:cs="仿宋"/>
          <w:b w:val="0"/>
          <w:bCs w:val="0"/>
          <w:color w:val="auto"/>
          <w:sz w:val="32"/>
          <w:szCs w:val="32"/>
          <w:lang w:eastAsia="zh-CN"/>
        </w:rPr>
        <w:t>一</w:t>
      </w:r>
      <w:r>
        <w:rPr>
          <w:rFonts w:hint="eastAsia" w:ascii="仿宋" w:hAnsi="仿宋" w:eastAsia="仿宋" w:cs="仿宋"/>
          <w:b w:val="0"/>
          <w:bCs w:val="0"/>
          <w:color w:val="auto"/>
          <w:sz w:val="32"/>
          <w:szCs w:val="32"/>
        </w:rPr>
        <w:t>、国有资本经营预算财政拨款收入支出决算表</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w:t>
      </w:r>
      <w:r>
        <w:rPr>
          <w:rFonts w:hint="eastAsia" w:ascii="仿宋" w:hAnsi="仿宋" w:eastAsia="仿宋" w:cs="仿宋"/>
          <w:b w:val="0"/>
          <w:bCs w:val="0"/>
          <w:color w:val="auto"/>
          <w:sz w:val="32"/>
          <w:szCs w:val="32"/>
          <w:lang w:eastAsia="zh-CN"/>
        </w:rPr>
        <w:t>二</w:t>
      </w:r>
      <w:r>
        <w:rPr>
          <w:rFonts w:hint="eastAsia" w:ascii="仿宋" w:hAnsi="仿宋" w:eastAsia="仿宋" w:cs="仿宋"/>
          <w:b w:val="0"/>
          <w:bCs w:val="0"/>
          <w:color w:val="auto"/>
          <w:sz w:val="32"/>
          <w:szCs w:val="32"/>
        </w:rPr>
        <w:t>、国有资本经营预算财政拨款支出决算表</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w:t>
      </w:r>
      <w:r>
        <w:rPr>
          <w:rFonts w:hint="eastAsia" w:ascii="仿宋" w:hAnsi="仿宋" w:eastAsia="仿宋" w:cs="仿宋"/>
          <w:b w:val="0"/>
          <w:bCs w:val="0"/>
          <w:color w:val="auto"/>
          <w:sz w:val="32"/>
          <w:szCs w:val="32"/>
          <w:lang w:eastAsia="zh-CN"/>
        </w:rPr>
        <w:t>三</w:t>
      </w:r>
      <w:r>
        <w:rPr>
          <w:rFonts w:hint="eastAsia" w:ascii="仿宋" w:hAnsi="仿宋" w:eastAsia="仿宋" w:cs="仿宋"/>
          <w:b w:val="0"/>
          <w:bCs w:val="0"/>
          <w:color w:val="auto"/>
          <w:sz w:val="32"/>
          <w:szCs w:val="32"/>
        </w:rPr>
        <w:t>、财政拨款“三公”经费支出决算表</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bookmarkStart w:id="12" w:name="_Toc15377196"/>
      <w:bookmarkStart w:id="13" w:name="_Toc15396599"/>
      <w:r>
        <w:rPr>
          <w:rFonts w:hint="eastAsia" w:ascii="仿宋" w:hAnsi="仿宋" w:eastAsia="仿宋" w:cs="仿宋"/>
          <w:b w:val="0"/>
          <w:bCs w:val="0"/>
          <w:color w:val="auto"/>
          <w:sz w:val="32"/>
          <w:szCs w:val="32"/>
        </w:rPr>
        <w:br w:type="page"/>
      </w:r>
    </w:p>
    <w:p>
      <w:pPr>
        <w:pStyle w:val="2"/>
        <w:pageBreakBefore w:val="0"/>
        <w:wordWrap/>
        <w:overflowPunct/>
        <w:bidi w:val="0"/>
        <w:spacing w:before="0" w:after="0" w:line="560" w:lineRule="exact"/>
        <w:ind w:left="0" w:leftChars="0" w:right="0" w:firstLine="880" w:firstLineChars="200"/>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pageBreakBefore w:val="0"/>
        <w:widowControl/>
        <w:wordWrap/>
        <w:overflowPunct/>
        <w:bidi w:val="0"/>
        <w:spacing w:line="560" w:lineRule="exact"/>
        <w:ind w:left="0" w:leftChars="0" w:right="0" w:firstLine="640" w:firstLineChars="200"/>
        <w:jc w:val="left"/>
        <w:rPr>
          <w:rFonts w:ascii="黑体" w:eastAsia="黑体"/>
          <w:sz w:val="32"/>
          <w:szCs w:val="32"/>
        </w:rPr>
      </w:pPr>
    </w:p>
    <w:p>
      <w:pPr>
        <w:pStyle w:val="3"/>
        <w:pageBreakBefore w:val="0"/>
        <w:wordWrap/>
        <w:overflowPunct/>
        <w:bidi w:val="0"/>
        <w:spacing w:before="0" w:after="0" w:line="560" w:lineRule="exact"/>
        <w:ind w:left="0" w:leftChars="0" w:right="0" w:firstLine="640" w:firstLineChars="200"/>
        <w:rPr>
          <w:rStyle w:val="30"/>
          <w:rFonts w:ascii="仿宋" w:hAnsi="仿宋" w:eastAsia="仿宋"/>
          <w:b w:val="0"/>
          <w:bCs w:val="0"/>
        </w:rPr>
      </w:pPr>
      <w:bookmarkStart w:id="14" w:name="_Toc15396600"/>
      <w:bookmarkStart w:id="15" w:name="_Toc15377197"/>
      <w:r>
        <w:rPr>
          <w:rFonts w:hint="eastAsia" w:ascii="黑体" w:hAnsi="黑体" w:eastAsia="黑体"/>
          <w:b w:val="0"/>
        </w:rPr>
        <w:t>一、</w:t>
      </w:r>
      <w:r>
        <w:rPr>
          <w:rFonts w:hint="eastAsia" w:ascii="黑体" w:hAnsi="黑体" w:eastAsia="黑体"/>
          <w:b w:val="0"/>
          <w:lang w:eastAsia="zh-CN"/>
        </w:rPr>
        <w:t>部门</w:t>
      </w:r>
      <w:r>
        <w:rPr>
          <w:rStyle w:val="30"/>
          <w:rFonts w:hint="eastAsia" w:ascii="黑体" w:hAnsi="黑体" w:eastAsia="黑体"/>
          <w:b w:val="0"/>
          <w:bCs w:val="0"/>
        </w:rPr>
        <w:t>职能及</w:t>
      </w:r>
      <w:r>
        <w:rPr>
          <w:rStyle w:val="30"/>
          <w:rFonts w:hint="eastAsia" w:ascii="黑体" w:hAnsi="黑体" w:eastAsia="黑体"/>
          <w:b w:val="0"/>
          <w:bCs w:val="0"/>
          <w:lang w:eastAsia="zh-CN"/>
        </w:rPr>
        <w:t>重点</w:t>
      </w:r>
      <w:r>
        <w:rPr>
          <w:rStyle w:val="30"/>
          <w:rFonts w:hint="eastAsia" w:ascii="黑体" w:hAnsi="黑体" w:eastAsia="黑体"/>
          <w:b w:val="0"/>
          <w:bCs w:val="0"/>
        </w:rPr>
        <w:t>工作</w:t>
      </w:r>
      <w:bookmarkEnd w:id="14"/>
      <w:bookmarkEnd w:id="15"/>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ascii="仿宋" w:hAnsi="仿宋" w:eastAsia="仿宋"/>
          <w:bCs/>
          <w:sz w:val="32"/>
          <w:szCs w:val="32"/>
        </w:rPr>
      </w:pPr>
      <w:bookmarkStart w:id="16" w:name="_Toc15377198"/>
      <w:bookmarkStart w:id="17" w:name="_Toc15378445"/>
      <w:r>
        <w:rPr>
          <w:rFonts w:hint="eastAsia" w:ascii="楷体" w:hAnsi="楷体" w:eastAsia="楷体" w:cs="楷体"/>
          <w:bCs/>
          <w:sz w:val="32"/>
          <w:szCs w:val="32"/>
        </w:rPr>
        <w:t>（一）主要职能。</w:t>
      </w:r>
      <w:bookmarkEnd w:id="16"/>
      <w:bookmarkEnd w:id="17"/>
      <w:r>
        <w:rPr>
          <w:rFonts w:hint="eastAsia" w:ascii="仿宋" w:hAnsi="仿宋" w:eastAsia="仿宋" w:cs="仿宋"/>
          <w:b w:val="0"/>
          <w:bCs w:val="0"/>
          <w:color w:val="auto"/>
          <w:sz w:val="32"/>
          <w:szCs w:val="32"/>
          <w:lang w:eastAsia="zh-CN"/>
        </w:rPr>
        <w:t>一是</w:t>
      </w:r>
      <w:r>
        <w:rPr>
          <w:rFonts w:hint="eastAsia" w:ascii="仿宋" w:hAnsi="仿宋" w:eastAsia="仿宋" w:cs="仿宋"/>
          <w:b w:val="0"/>
          <w:bCs w:val="0"/>
          <w:color w:val="auto"/>
          <w:sz w:val="32"/>
          <w:szCs w:val="32"/>
        </w:rPr>
        <w:t>贯彻落实中央和省、市委有关政法工作、政法干部队伍建设和社会治安综合治理工作的方针、政策、指示，根据上级政法委员会和县委、县政府的部署，指导政法各部门的工作。</w:t>
      </w:r>
      <w:r>
        <w:rPr>
          <w:rFonts w:hint="eastAsia" w:ascii="仿宋" w:hAnsi="仿宋" w:eastAsia="仿宋" w:cs="仿宋"/>
          <w:b w:val="0"/>
          <w:bCs w:val="0"/>
          <w:color w:val="auto"/>
          <w:sz w:val="32"/>
          <w:szCs w:val="32"/>
          <w:lang w:eastAsia="zh-CN"/>
        </w:rPr>
        <w:t>二是</w:t>
      </w:r>
      <w:r>
        <w:rPr>
          <w:rFonts w:hint="eastAsia" w:ascii="仿宋" w:hAnsi="仿宋" w:eastAsia="仿宋" w:cs="仿宋"/>
          <w:b w:val="0"/>
          <w:bCs w:val="0"/>
          <w:color w:val="auto"/>
          <w:sz w:val="32"/>
          <w:szCs w:val="32"/>
        </w:rPr>
        <w:t>围绕县委、县政府改革和发展的中心工作，对一定时期内的政法工作作出部署，并督促贯彻落实；参与依法治县方针的实施。</w:t>
      </w:r>
      <w:r>
        <w:rPr>
          <w:rFonts w:hint="eastAsia" w:ascii="仿宋" w:hAnsi="仿宋" w:eastAsia="仿宋" w:cs="仿宋"/>
          <w:b w:val="0"/>
          <w:bCs w:val="0"/>
          <w:color w:val="auto"/>
          <w:sz w:val="32"/>
          <w:szCs w:val="32"/>
          <w:lang w:eastAsia="zh-CN"/>
        </w:rPr>
        <w:t>三是</w:t>
      </w:r>
      <w:r>
        <w:rPr>
          <w:rFonts w:hint="eastAsia" w:ascii="仿宋" w:hAnsi="仿宋" w:eastAsia="仿宋" w:cs="仿宋"/>
          <w:b w:val="0"/>
          <w:bCs w:val="0"/>
          <w:color w:val="auto"/>
          <w:sz w:val="32"/>
          <w:szCs w:val="32"/>
        </w:rPr>
        <w:t>协调、指导维护社会稳定工作，督促有关部门抓好落实。</w:t>
      </w:r>
      <w:r>
        <w:rPr>
          <w:rFonts w:hint="eastAsia" w:ascii="仿宋" w:hAnsi="仿宋" w:eastAsia="仿宋" w:cs="仿宋"/>
          <w:b w:val="0"/>
          <w:bCs w:val="0"/>
          <w:color w:val="auto"/>
          <w:sz w:val="32"/>
          <w:szCs w:val="32"/>
          <w:lang w:eastAsia="zh-CN"/>
        </w:rPr>
        <w:t>四是</w:t>
      </w:r>
      <w:r>
        <w:rPr>
          <w:rFonts w:hint="eastAsia" w:ascii="仿宋" w:hAnsi="仿宋" w:eastAsia="仿宋" w:cs="仿宋"/>
          <w:b w:val="0"/>
          <w:bCs w:val="0"/>
          <w:color w:val="auto"/>
          <w:sz w:val="32"/>
          <w:szCs w:val="32"/>
        </w:rPr>
        <w:t xml:space="preserve">组织开展政法工作,强化调查研究，提出政法工作改革的意见。 </w:t>
      </w:r>
      <w:r>
        <w:rPr>
          <w:rFonts w:hint="eastAsia" w:ascii="仿宋" w:hAnsi="仿宋" w:eastAsia="仿宋" w:cs="仿宋"/>
          <w:b w:val="0"/>
          <w:bCs w:val="0"/>
          <w:color w:val="auto"/>
          <w:sz w:val="32"/>
          <w:szCs w:val="32"/>
          <w:lang w:eastAsia="zh-CN"/>
        </w:rPr>
        <w:t>五是</w:t>
      </w:r>
      <w:r>
        <w:rPr>
          <w:rFonts w:hint="eastAsia" w:ascii="仿宋" w:hAnsi="仿宋" w:eastAsia="仿宋" w:cs="仿宋"/>
          <w:b w:val="0"/>
          <w:bCs w:val="0"/>
          <w:color w:val="auto"/>
          <w:sz w:val="32"/>
          <w:szCs w:val="32"/>
        </w:rPr>
        <w:t>检查监督政法部门执行法律法规和党的方针政策的情况，研究制定严肃执法、公正司法和落实党的方针政策的具体措施，督促纠正执法中存在的问题，协助有关部门查处执法中的违法违纪问题。</w:t>
      </w:r>
      <w:r>
        <w:rPr>
          <w:rFonts w:hint="eastAsia" w:ascii="仿宋" w:hAnsi="仿宋" w:eastAsia="仿宋" w:cs="仿宋"/>
          <w:b w:val="0"/>
          <w:bCs w:val="0"/>
          <w:color w:val="auto"/>
          <w:sz w:val="32"/>
          <w:szCs w:val="32"/>
          <w:lang w:eastAsia="zh-CN"/>
        </w:rPr>
        <w:t>六是</w:t>
      </w:r>
      <w:r>
        <w:rPr>
          <w:rFonts w:hint="eastAsia" w:ascii="仿宋" w:hAnsi="仿宋" w:eastAsia="仿宋" w:cs="仿宋"/>
          <w:b w:val="0"/>
          <w:bCs w:val="0"/>
          <w:color w:val="auto"/>
          <w:sz w:val="32"/>
          <w:szCs w:val="32"/>
        </w:rPr>
        <w:t>支持、监督政法各部门依法行使职权，组织查处地方和部门保护主义及非法干涉、干预和影响政法干警依法执行公务的事件；督促、协调政法各部门密切配合查处大案要案，研究、协调有争议的重大、疑难案件；指导全县政法部门信访工作。</w:t>
      </w:r>
      <w:r>
        <w:rPr>
          <w:rFonts w:hint="eastAsia" w:ascii="仿宋" w:hAnsi="仿宋" w:eastAsia="仿宋" w:cs="仿宋"/>
          <w:b w:val="0"/>
          <w:bCs w:val="0"/>
          <w:color w:val="auto"/>
          <w:sz w:val="32"/>
          <w:szCs w:val="32"/>
          <w:lang w:eastAsia="zh-CN"/>
        </w:rPr>
        <w:t>七是</w:t>
      </w:r>
      <w:r>
        <w:rPr>
          <w:rFonts w:hint="eastAsia" w:ascii="仿宋" w:hAnsi="仿宋" w:eastAsia="仿宋" w:cs="仿宋"/>
          <w:b w:val="0"/>
          <w:bCs w:val="0"/>
          <w:color w:val="auto"/>
          <w:sz w:val="32"/>
          <w:szCs w:val="32"/>
        </w:rPr>
        <w:t>协调、指导社会治安综合治理工作，研究制定并督促落实社会治安综合治理的有关政策和措施。</w:t>
      </w:r>
      <w:r>
        <w:rPr>
          <w:rFonts w:hint="eastAsia" w:ascii="仿宋" w:hAnsi="仿宋" w:eastAsia="仿宋" w:cs="仿宋"/>
          <w:b w:val="0"/>
          <w:bCs w:val="0"/>
          <w:color w:val="auto"/>
          <w:sz w:val="32"/>
          <w:szCs w:val="32"/>
          <w:lang w:eastAsia="zh-CN"/>
        </w:rPr>
        <w:t>八是</w:t>
      </w:r>
      <w:r>
        <w:rPr>
          <w:rFonts w:hint="eastAsia" w:ascii="仿宋" w:hAnsi="仿宋" w:eastAsia="仿宋" w:cs="仿宋"/>
          <w:b w:val="0"/>
          <w:bCs w:val="0"/>
          <w:color w:val="auto"/>
          <w:sz w:val="32"/>
          <w:szCs w:val="32"/>
        </w:rPr>
        <w:t>研究制定加强政法干部队伍建设的措施；协助县委组织部考察、管理政法部门的领导班子和领导干部，组织指导政法部门干部队伍的教育管理和培训工作。</w:t>
      </w:r>
      <w:r>
        <w:rPr>
          <w:rFonts w:hint="eastAsia" w:ascii="仿宋" w:hAnsi="仿宋" w:eastAsia="仿宋" w:cs="仿宋"/>
          <w:b w:val="0"/>
          <w:bCs w:val="0"/>
          <w:color w:val="auto"/>
          <w:sz w:val="32"/>
          <w:szCs w:val="32"/>
          <w:lang w:eastAsia="zh-CN"/>
        </w:rPr>
        <w:t>九是</w:t>
      </w:r>
      <w:r>
        <w:rPr>
          <w:rFonts w:hint="eastAsia" w:ascii="仿宋" w:hAnsi="仿宋" w:eastAsia="仿宋" w:cs="仿宋"/>
          <w:b w:val="0"/>
          <w:bCs w:val="0"/>
          <w:color w:val="auto"/>
          <w:sz w:val="32"/>
          <w:szCs w:val="32"/>
        </w:rPr>
        <w:t>组织、指导有关部门开展政法、综治宣传工作，推广政法、综合治理工作的先进经验，表彰政法、综合治理工作的先进单位和先进个人。</w:t>
      </w:r>
    </w:p>
    <w:p>
      <w:pPr>
        <w:pageBreakBefore w:val="0"/>
        <w:wordWrap/>
        <w:overflowPunct/>
        <w:bidi w:val="0"/>
        <w:spacing w:line="560" w:lineRule="exact"/>
        <w:ind w:left="0" w:leftChars="0" w:right="0" w:firstLine="640" w:firstLineChars="200"/>
        <w:rPr>
          <w:rFonts w:hint="eastAsia" w:ascii="楷体" w:hAnsi="楷体" w:eastAsia="楷体" w:cs="楷体"/>
          <w:bCs/>
          <w:sz w:val="32"/>
          <w:szCs w:val="32"/>
        </w:rPr>
      </w:pPr>
      <w:bookmarkStart w:id="18" w:name="_Toc15377199"/>
      <w:bookmarkStart w:id="19" w:name="_Toc15378446"/>
      <w:r>
        <w:rPr>
          <w:rFonts w:hint="eastAsia" w:ascii="楷体" w:hAnsi="楷体" w:eastAsia="楷体" w:cs="楷体"/>
          <w:bCs/>
          <w:sz w:val="32"/>
          <w:szCs w:val="32"/>
        </w:rPr>
        <w:t>（二）202</w:t>
      </w:r>
      <w:r>
        <w:rPr>
          <w:rFonts w:hint="eastAsia" w:ascii="楷体" w:hAnsi="楷体" w:eastAsia="楷体" w:cs="楷体"/>
          <w:bCs/>
          <w:sz w:val="32"/>
          <w:szCs w:val="32"/>
          <w:lang w:val="en-US" w:eastAsia="zh-CN"/>
        </w:rPr>
        <w:t>2</w:t>
      </w:r>
      <w:r>
        <w:rPr>
          <w:rFonts w:hint="eastAsia" w:ascii="楷体" w:hAnsi="楷体" w:eastAsia="楷体" w:cs="楷体"/>
          <w:bCs/>
          <w:sz w:val="32"/>
          <w:szCs w:val="32"/>
        </w:rPr>
        <w:t>年重点工作完成情况。</w:t>
      </w:r>
      <w:bookmarkEnd w:id="18"/>
      <w:bookmarkEnd w:id="19"/>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bookmarkStart w:id="20" w:name="_Toc15377200"/>
      <w:bookmarkStart w:id="21" w:name="_Toc15396601"/>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加强队伍建设，持续筑牢政治忠诚。一是坚持党对政法工作的绝对领导。认真学习贯彻习近平法治思想和习近平总书记来川视察重要讲话精神，深入开展《中国共产党政法工作条例》及四川省《实施细则》贯彻落实情况专项督查。二是巩固政法干警的思想政治根基。把持续开展党史学习教育、纪律作风整顿、巩固政法队伍教育整顿成果与学习贯彻条例、细则深度融合，加强政法干警思想动态分析，及时解决倾向性、苗头性问题。三是开展“忠诚铸魂、铁纪担当”专项活动。印发《全县政法系统“忠诚铸魂、铁纪担当”专项活动方案》，明确专项活动总要求、总目标</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时间节点和重点任务，统筹推进专项活动落地落实。全县政法系统开展理论学习52次、撰写心得体会180余份、学习笔记520余份，分层级全覆盖谈心谈话500余次，完善规章制度42项。四是强化领导干部交流轮岗。2022年，县级政法机关领导干部共交流轮岗46人。五是全面落实意识形态责任制。对政法各单位贯彻落实意识形态责任制强化督促指导，把意识形态工作纳入党建工作责任制、领导干部目标管理的重要内容。</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坚持服务大局，维护社会和谐稳定。认真执行</w:t>
      </w:r>
      <w:r>
        <w:rPr>
          <w:rFonts w:hint="eastAsia" w:ascii="仿宋" w:hAnsi="仿宋" w:eastAsia="仿宋" w:cs="仿宋"/>
          <w:b w:val="0"/>
          <w:bCs w:val="0"/>
          <w:color w:val="auto"/>
          <w:sz w:val="32"/>
          <w:szCs w:val="32"/>
          <w:lang w:val="zh-CN"/>
        </w:rPr>
        <w:t>重点敏感时期每日滚动排查、</w:t>
      </w:r>
      <w:r>
        <w:rPr>
          <w:rFonts w:hint="eastAsia" w:ascii="仿宋" w:hAnsi="仿宋" w:eastAsia="仿宋" w:cs="仿宋"/>
          <w:b w:val="0"/>
          <w:bCs w:val="0"/>
          <w:color w:val="auto"/>
          <w:sz w:val="32"/>
          <w:szCs w:val="32"/>
        </w:rPr>
        <w:t>“动态排查化解清单管理”工作机制，建立台账清单，实行销号管理。共排查梳理突出涉稳问题9件，对27个重大事项开展了风险评估。成功化解了魏某某、王某某等突出信访积案，稳妥处置了汉阳镇犬只捕杀网络舆情、涉疫等突发涉稳事件。在省第十二次党代会、党的二十大期间，3+X专班实行集中办公，每日滚动摸排全县重点人员情况和动向，圆满实现“五不”和“六个不发生”目标。</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聚焦平安建设，全力保障人民安宁。 一是持续推进综治中心提档升级。大力推进县、乡镇、村（社区）综治中心建设，按照11个中心镇和其他18个乡镇两个层面明确了2022年的创建任务和创建标准，村社区综治中心实行以点带面、梯次推进、全面铺开的工作要求全力实施。2022年创建任务已全面完成。二是深入开展平安创建活动。落实“有进有出”动态管理制度</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年，我县命名表扬“六无”平安村（社区）84个，拟推荐争取省级命名表扬4个、市级9个。累计创建省级12个、市级48个、县级111个六无平安村（社区）。三是特殊人群管理持续加强。加大风险隐患和重点人员排查，落实领导包案责任，开展2轮次专项工作督导，特殊人群源头管控得到进一步加强。四是养老诈骗专项行动全面开展。印发专项行动实施方案、整治工作方案、线索核查管理规定等系列文件</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发布线索举报方式，各乡镇、各成员单位利用微信、led显示屏、村村通广播、发放宣传资料、张贴通告等方式广泛开展宣传发动工作。目前召开全县专项行动会议5次、开展现场活动54场次、发放纸质宣传册6520份，发布微信公众号36条，累计覆盖人群51万人次。五是常态化推进扫黑除恶。对6条涉黑涉恶线索进行全面核查并查否。认真宣传贯彻落实《反有组织犯罪法》，开展系列学习宣传活动30余场次。持续深化信息网络、自然资源、交通运输、工程建设四大行业领域专项整治，完善常态化监管机制。六是加强见义勇为评选工作。县政府授予王敏同志“见义勇为公民”荣誉称号，市政府授予王敏全市“见义勇为勇士”称号。省政府授予李勇明同志省级见义勇为先进个人。全年开展见义勇为人员慰问活动2次，看望慰问4人。</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深化社会治理，着力提升治理水平。审定印发《建立推行“雄关护学”护校安园模式实施方案》《建立健全建筑行业调解组织预防和化解纠纷机制实施方案》《设点建站聘员联户”网格化民生检察实施方案》创新项目实施方案，“雄关护学”护校安园模式、“设点建站聘员联户”网格化民生检察模式、建筑行业调解组织预防和化解纠纷机制3个创新项目获得市级审定，取得初步成效。“雄关义警”志愿服务队工作机制进一步完善，全县29个乡镇均已建立“雄关义警”队伍，30个社区建立义警分队，常态化开展治安巡逻工作，在疫情防控、秩序维护、纠纷化解等方面取得了显著成效，得到群众普遍认可。</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着眼办案平台，推进执法监督工作。一是推进全省政法系统跨部门办案平台建设应用。组建工作专班，强化业务培训，统筹协作配合，有序推进跨部门办案平台建设应用，自2022年3月平台上线运行以来，全县政法单位非涉密案件流转率达90%以上，确保了非涉密案件“应转尽转”。二是加强执法监督力量建设。为适应新时代执法监督工作发展趋势，加强执法监督专业人才培养和使用，在全县行政执法部门的业务骨干、律师以及法学专家中推荐评选了15名优秀政法干警，组建了剑阁县执法监督专家库。三是扎实开展“万案大评查”回头看。督促政法单位多层次开展专题培训，进一步规范了评查工作程序。对2021年“万案大评查”评查出的9件问题案件整改情况进行逐案审核验收，确保了问责、整改到位。四是深入开展全省“百案督办”专项活动。对政法单位办理过程中具有典型性、代表性、社会关切度高的6件案件进行了督办。截止2022年12月31日，所有督办案件均已办结。</w:t>
      </w:r>
      <w:r>
        <w:rPr>
          <w:rFonts w:hint="eastAsia" w:ascii="仿宋" w:hAnsi="仿宋" w:eastAsia="仿宋" w:cs="仿宋"/>
          <w:b w:val="0"/>
          <w:bCs w:val="0"/>
          <w:color w:val="auto"/>
          <w:sz w:val="32"/>
          <w:szCs w:val="32"/>
          <w:lang w:eastAsia="zh-CN"/>
        </w:rPr>
        <w:t>五</w:t>
      </w:r>
      <w:r>
        <w:rPr>
          <w:rFonts w:hint="eastAsia" w:ascii="仿宋" w:hAnsi="仿宋" w:eastAsia="仿宋" w:cs="仿宋"/>
          <w:b w:val="0"/>
          <w:bCs w:val="0"/>
          <w:color w:val="auto"/>
          <w:sz w:val="32"/>
          <w:szCs w:val="32"/>
        </w:rPr>
        <w:t>是组织开展“百佳案件”评选。组织县级政法单位积极参加全省“百佳案件”评选，由县人民检察院选送的“公益诉讼检察守护剑门蜀道千年古柏”案已进入四川政法“五年百佳”案件（2018-2022）</w:t>
      </w:r>
      <w:r>
        <w:rPr>
          <w:rFonts w:hint="eastAsia" w:ascii="仿宋" w:hAnsi="仿宋" w:eastAsia="仿宋" w:cs="仿宋"/>
          <w:b w:val="0"/>
          <w:bCs w:val="0"/>
          <w:color w:val="auto"/>
          <w:sz w:val="32"/>
          <w:szCs w:val="32"/>
          <w:lang w:eastAsia="zh-CN"/>
        </w:rPr>
        <w:t>候</w:t>
      </w:r>
      <w:r>
        <w:rPr>
          <w:rFonts w:hint="eastAsia" w:ascii="仿宋" w:hAnsi="仿宋" w:eastAsia="仿宋" w:cs="仿宋"/>
          <w:b w:val="0"/>
          <w:bCs w:val="0"/>
          <w:color w:val="auto"/>
          <w:sz w:val="32"/>
          <w:szCs w:val="32"/>
        </w:rPr>
        <w:t>选案例网评环节。</w:t>
      </w:r>
    </w:p>
    <w:p>
      <w:pPr>
        <w:keepNext w:val="0"/>
        <w:keepLines w:val="0"/>
        <w:pageBreakBefore w:val="0"/>
        <w:widowControl w:val="0"/>
        <w:kinsoku/>
        <w:wordWrap/>
        <w:topLinePunct w:val="0"/>
        <w:bidi w:val="0"/>
        <w:snapToGrid w:val="0"/>
        <w:spacing w:line="576" w:lineRule="exact"/>
        <w:ind w:firstLine="640" w:firstLineChars="200"/>
        <w:textAlignment w:val="auto"/>
        <w:rPr>
          <w:rStyle w:val="30"/>
          <w:rFonts w:hint="eastAsia" w:ascii="黑体" w:hAnsi="黑体" w:eastAsia="黑体"/>
          <w:b w:val="0"/>
          <w:bCs w:val="0"/>
        </w:rPr>
      </w:pPr>
      <w:r>
        <w:rPr>
          <w:rStyle w:val="30"/>
          <w:rFonts w:hint="eastAsia" w:ascii="黑体" w:hAnsi="黑体" w:eastAsia="黑体"/>
          <w:b w:val="0"/>
          <w:bCs w:val="0"/>
        </w:rPr>
        <w:t>二、机构设置</w:t>
      </w:r>
      <w:bookmarkEnd w:id="20"/>
      <w:bookmarkEnd w:id="21"/>
    </w:p>
    <w:p>
      <w:pPr>
        <w:pageBreakBefore w:val="0"/>
        <w:wordWrap/>
        <w:overflowPunct/>
        <w:bidi w:val="0"/>
        <w:spacing w:line="560" w:lineRule="exact"/>
        <w:ind w:left="0" w:leftChars="0" w:right="0" w:firstLine="640" w:firstLineChars="200"/>
        <w:rPr>
          <w:rFonts w:ascii="仿宋" w:hAnsi="仿宋" w:eastAsia="仿宋"/>
          <w:sz w:val="32"/>
          <w:szCs w:val="32"/>
        </w:rPr>
      </w:pPr>
      <w:r>
        <w:rPr>
          <w:rFonts w:hint="eastAsia" w:ascii="仿宋" w:hAnsi="仿宋" w:eastAsia="仿宋"/>
          <w:sz w:val="32"/>
          <w:szCs w:val="32"/>
          <w:lang w:eastAsia="zh-CN"/>
        </w:rPr>
        <w:t>县委政法委</w:t>
      </w:r>
      <w:r>
        <w:rPr>
          <w:rFonts w:hint="eastAsia" w:ascii="仿宋" w:hAnsi="仿宋" w:eastAsia="仿宋" w:cs="仿宋"/>
          <w:b w:val="0"/>
          <w:bCs w:val="0"/>
          <w:color w:val="auto"/>
          <w:sz w:val="32"/>
          <w:szCs w:val="32"/>
          <w:lang w:eastAsia="zh-CN"/>
        </w:rPr>
        <w:t>属于一级预算行政单位</w:t>
      </w:r>
      <w:r>
        <w:rPr>
          <w:rFonts w:hint="eastAsia" w:ascii="仿宋" w:hAnsi="仿宋" w:eastAsia="仿宋" w:cs="仿宋"/>
          <w:b w:val="0"/>
          <w:bCs w:val="0"/>
          <w:color w:val="auto"/>
          <w:sz w:val="32"/>
          <w:szCs w:val="32"/>
        </w:rPr>
        <w:t>，无下属</w:t>
      </w:r>
      <w:r>
        <w:rPr>
          <w:rFonts w:hint="eastAsia" w:ascii="仿宋" w:hAnsi="仿宋" w:eastAsia="仿宋" w:cs="仿宋"/>
          <w:b w:val="0"/>
          <w:bCs w:val="0"/>
          <w:color w:val="auto"/>
          <w:sz w:val="32"/>
          <w:szCs w:val="32"/>
          <w:lang w:eastAsia="zh-CN"/>
        </w:rPr>
        <w:t>二级</w:t>
      </w:r>
      <w:r>
        <w:rPr>
          <w:rFonts w:hint="eastAsia" w:ascii="仿宋" w:hAnsi="仿宋" w:eastAsia="仿宋" w:cs="仿宋"/>
          <w:b w:val="0"/>
          <w:bCs w:val="0"/>
          <w:color w:val="auto"/>
          <w:sz w:val="32"/>
          <w:szCs w:val="32"/>
        </w:rPr>
        <w:t>预算单位</w:t>
      </w:r>
      <w:r>
        <w:rPr>
          <w:rFonts w:hint="eastAsia" w:ascii="仿宋" w:hAnsi="仿宋" w:eastAsia="仿宋"/>
          <w:sz w:val="32"/>
          <w:szCs w:val="32"/>
        </w:rPr>
        <w:t>。</w:t>
      </w:r>
    </w:p>
    <w:p>
      <w:pPr>
        <w:pageBreakBefore w:val="0"/>
        <w:widowControl/>
        <w:wordWrap/>
        <w:overflowPunct/>
        <w:bidi w:val="0"/>
        <w:spacing w:line="560" w:lineRule="exact"/>
        <w:ind w:left="0" w:leftChars="0" w:right="0" w:firstLine="640" w:firstLineChars="200"/>
        <w:jc w:val="left"/>
        <w:rPr>
          <w:rFonts w:ascii="仿宋" w:hAnsi="仿宋" w:eastAsia="仿宋"/>
          <w:kern w:val="0"/>
          <w:sz w:val="32"/>
          <w:szCs w:val="32"/>
        </w:rPr>
      </w:pPr>
      <w:r>
        <w:rPr>
          <w:rFonts w:ascii="仿宋" w:hAnsi="仿宋" w:eastAsia="仿宋"/>
          <w:sz w:val="32"/>
          <w:szCs w:val="32"/>
        </w:rPr>
        <w:br w:type="page"/>
      </w:r>
    </w:p>
    <w:p>
      <w:pPr>
        <w:pStyle w:val="2"/>
        <w:pageBreakBefore w:val="0"/>
        <w:widowControl w:val="0"/>
        <w:kinsoku/>
        <w:wordWrap/>
        <w:overflowPunct/>
        <w:topLinePunct w:val="0"/>
        <w:autoSpaceDE/>
        <w:autoSpaceDN/>
        <w:bidi w:val="0"/>
        <w:adjustRightInd/>
        <w:snapToGrid/>
        <w:spacing w:before="0" w:after="0" w:line="500" w:lineRule="exact"/>
        <w:ind w:left="0" w:leftChars="0" w:right="0" w:firstLine="880" w:firstLineChars="200"/>
        <w:jc w:val="center"/>
        <w:textAlignment w:val="auto"/>
        <w:rPr>
          <w:rStyle w:val="29"/>
          <w:rFonts w:ascii="黑体" w:hAnsi="黑体" w:eastAsia="黑体"/>
          <w:b w:val="0"/>
          <w:bCs/>
        </w:rPr>
      </w:pPr>
      <w:bookmarkStart w:id="22" w:name="_Toc15377204"/>
      <w:bookmarkStart w:id="23" w:name="_Toc15396602"/>
      <w:r>
        <w:rPr>
          <w:rFonts w:hint="eastAsia" w:ascii="黑体" w:hAnsi="黑体" w:eastAsia="黑体"/>
          <w:b w:val="0"/>
        </w:rPr>
        <w:t>第二部分 202</w:t>
      </w:r>
      <w:r>
        <w:rPr>
          <w:rFonts w:hint="eastAsia" w:ascii="黑体" w:hAnsi="黑体" w:eastAsia="黑体"/>
          <w:b w:val="0"/>
          <w:lang w:val="en-US" w:eastAsia="zh-CN"/>
        </w:rPr>
        <w:t>2</w:t>
      </w:r>
      <w:r>
        <w:rPr>
          <w:rFonts w:hint="eastAsia" w:ascii="黑体" w:hAnsi="黑体" w:eastAsia="黑体"/>
          <w:b w:val="0"/>
        </w:rPr>
        <w:t>年度</w:t>
      </w:r>
      <w:r>
        <w:rPr>
          <w:rStyle w:val="29"/>
          <w:rFonts w:hint="eastAsia" w:ascii="黑体" w:hAnsi="黑体" w:eastAsia="黑体"/>
          <w:b w:val="0"/>
          <w:bCs/>
        </w:rPr>
        <w:t>部门决算情况说明</w:t>
      </w:r>
      <w:bookmarkEnd w:id="22"/>
      <w:bookmarkEnd w:id="23"/>
    </w:p>
    <w:p>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pPr>
    </w:p>
    <w:p>
      <w:pPr>
        <w:pStyle w:val="28"/>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textAlignment w:val="auto"/>
        <w:outlineLvl w:val="1"/>
        <w:rPr>
          <w:rFonts w:hint="default" w:ascii="仿宋" w:hAnsi="仿宋" w:eastAsia="黑体"/>
          <w:sz w:val="32"/>
          <w:szCs w:val="32"/>
          <w:lang w:val="en-US" w:eastAsia="zh-CN"/>
        </w:rPr>
      </w:pPr>
      <w:bookmarkStart w:id="24" w:name="_Toc15377205"/>
      <w:bookmarkStart w:id="25" w:name="_Toc15396603"/>
      <w:r>
        <w:rPr>
          <w:rFonts w:hint="eastAsia" w:ascii="黑体" w:hAnsi="黑体" w:eastAsia="黑体"/>
          <w:sz w:val="32"/>
          <w:szCs w:val="32"/>
          <w:lang w:eastAsia="zh-CN"/>
        </w:rPr>
        <w:t>一、</w:t>
      </w:r>
      <w:r>
        <w:rPr>
          <w:rFonts w:hint="eastAsia" w:ascii="黑体" w:hAnsi="黑体" w:eastAsia="黑体"/>
          <w:sz w:val="32"/>
          <w:szCs w:val="32"/>
        </w:rPr>
        <w:t>收</w:t>
      </w:r>
      <w:r>
        <w:rPr>
          <w:rStyle w:val="30"/>
          <w:rFonts w:hint="eastAsia" w:ascii="黑体" w:hAnsi="黑体" w:eastAsia="黑体"/>
          <w:b w:val="0"/>
        </w:rPr>
        <w:t>入支出决算总体情况说明</w:t>
      </w:r>
      <w:bookmarkEnd w:id="24"/>
      <w:bookmarkEnd w:id="25"/>
    </w:p>
    <w:p>
      <w:pPr>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年度收、支总计</w:t>
      </w:r>
      <w:r>
        <w:rPr>
          <w:rFonts w:hint="eastAsia" w:ascii="仿宋" w:hAnsi="仿宋" w:eastAsia="仿宋" w:cs="仿宋"/>
          <w:b w:val="0"/>
          <w:bCs w:val="0"/>
          <w:color w:val="auto"/>
          <w:sz w:val="32"/>
          <w:szCs w:val="32"/>
          <w:lang w:val="en-US" w:eastAsia="zh-CN"/>
        </w:rPr>
        <w:t>770.63</w:t>
      </w:r>
      <w:r>
        <w:rPr>
          <w:rFonts w:hint="eastAsia" w:ascii="仿宋" w:hAnsi="仿宋" w:eastAsia="仿宋"/>
          <w:color w:val="000000"/>
          <w:sz w:val="32"/>
          <w:szCs w:val="32"/>
          <w:lang w:val="en-US" w:eastAsia="zh-CN"/>
        </w:rPr>
        <w:t>万元</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年相比，</w:t>
      </w:r>
      <w:r>
        <w:rPr>
          <w:rFonts w:hint="eastAsia" w:ascii="仿宋" w:hAnsi="仿宋" w:eastAsia="仿宋" w:cs="仿宋"/>
          <w:b w:val="0"/>
          <w:bCs w:val="0"/>
          <w:color w:val="auto"/>
          <w:sz w:val="32"/>
          <w:szCs w:val="32"/>
          <w:lang w:eastAsia="zh-CN"/>
        </w:rPr>
        <w:t>减少</w:t>
      </w:r>
      <w:r>
        <w:rPr>
          <w:rFonts w:hint="eastAsia" w:ascii="仿宋" w:hAnsi="仿宋" w:eastAsia="仿宋" w:cs="仿宋"/>
          <w:b w:val="0"/>
          <w:bCs w:val="0"/>
          <w:color w:val="auto"/>
          <w:sz w:val="32"/>
          <w:szCs w:val="32"/>
          <w:lang w:val="en-US" w:eastAsia="zh-CN"/>
        </w:rPr>
        <w:t>62.31</w:t>
      </w:r>
      <w:r>
        <w:rPr>
          <w:rFonts w:hint="eastAsia" w:ascii="仿宋" w:hAnsi="仿宋" w:eastAsia="仿宋" w:cs="仿宋"/>
          <w:b w:val="0"/>
          <w:bCs w:val="0"/>
          <w:color w:val="auto"/>
          <w:sz w:val="32"/>
          <w:szCs w:val="32"/>
        </w:rPr>
        <w:t>万元，</w:t>
      </w:r>
      <w:r>
        <w:rPr>
          <w:rFonts w:hint="eastAsia" w:ascii="仿宋" w:hAnsi="仿宋" w:eastAsia="仿宋" w:cs="仿宋"/>
          <w:b w:val="0"/>
          <w:bCs w:val="0"/>
          <w:color w:val="auto"/>
          <w:sz w:val="32"/>
          <w:szCs w:val="32"/>
          <w:lang w:eastAsia="zh-CN"/>
        </w:rPr>
        <w:t>下降</w:t>
      </w:r>
      <w:r>
        <w:rPr>
          <w:rFonts w:hint="eastAsia" w:ascii="仿宋" w:hAnsi="仿宋" w:eastAsia="仿宋" w:cs="仿宋"/>
          <w:b w:val="0"/>
          <w:bCs w:val="0"/>
          <w:color w:val="auto"/>
          <w:sz w:val="32"/>
          <w:szCs w:val="32"/>
          <w:lang w:val="en-US" w:eastAsia="zh-CN"/>
        </w:rPr>
        <w:t>8.09</w:t>
      </w:r>
      <w:r>
        <w:rPr>
          <w:rFonts w:hint="eastAsia" w:ascii="仿宋" w:hAnsi="仿宋" w:eastAsia="仿宋" w:cs="仿宋"/>
          <w:b w:val="0"/>
          <w:bCs w:val="0"/>
          <w:color w:val="auto"/>
          <w:sz w:val="32"/>
          <w:szCs w:val="32"/>
        </w:rPr>
        <w:t>%。变动的主要</w:t>
      </w:r>
      <w:r>
        <w:rPr>
          <w:rFonts w:hint="eastAsia" w:ascii="仿宋" w:hAnsi="仿宋" w:eastAsia="仿宋" w:cs="仿宋"/>
          <w:b w:val="0"/>
          <w:bCs w:val="0"/>
          <w:color w:val="auto"/>
          <w:sz w:val="32"/>
          <w:szCs w:val="32"/>
          <w:lang w:eastAsia="zh-CN"/>
        </w:rPr>
        <w:t>原因是</w:t>
      </w:r>
      <w:r>
        <w:rPr>
          <w:rFonts w:hint="eastAsia" w:ascii="仿宋" w:hAnsi="仿宋" w:eastAsia="仿宋" w:cs="仿宋"/>
          <w:b w:val="0"/>
          <w:bCs w:val="0"/>
          <w:color w:val="auto"/>
          <w:sz w:val="32"/>
          <w:szCs w:val="32"/>
          <w:lang w:val="en-US" w:eastAsia="zh-CN"/>
        </w:rPr>
        <w:t>2020年年末结转项目资金170.53万元，而2021年年末结转只有27.98万元，从而导致收入支出总计减少</w:t>
      </w:r>
      <w:r>
        <w:rPr>
          <w:rFonts w:hint="eastAsia" w:ascii="仿宋" w:hAnsi="仿宋" w:eastAsia="仿宋" w:cs="仿宋"/>
          <w:b w:val="0"/>
          <w:bCs w:val="0"/>
          <w:color w:val="auto"/>
          <w:sz w:val="32"/>
          <w:szCs w:val="32"/>
        </w:rPr>
        <w:t>。</w:t>
      </w:r>
    </w:p>
    <w:p>
      <w:pPr>
        <w:pStyle w:val="28"/>
        <w:pageBreakBefore w:val="0"/>
        <w:numPr>
          <w:ilvl w:val="0"/>
          <w:numId w:val="0"/>
        </w:numPr>
        <w:wordWrap/>
        <w:overflowPunct/>
        <w:bidi w:val="0"/>
        <w:spacing w:line="560" w:lineRule="exact"/>
        <w:ind w:right="0" w:rightChars="0" w:firstLine="640" w:firstLineChars="200"/>
        <w:outlineLvl w:val="1"/>
        <w:rPr>
          <w:rStyle w:val="30"/>
          <w:rFonts w:ascii="黑体" w:hAnsi="黑体" w:eastAsia="黑体"/>
          <w:b w:val="0"/>
        </w:rPr>
      </w:pPr>
      <w:bookmarkStart w:id="26" w:name="_Toc15396604"/>
      <w:bookmarkStart w:id="27" w:name="_Toc15377206"/>
      <w:r>
        <w:rPr>
          <w:rFonts w:hint="eastAsia" w:ascii="黑体" w:hAnsi="黑体" w:eastAsia="黑体"/>
          <w:sz w:val="32"/>
          <w:szCs w:val="32"/>
          <w:lang w:eastAsia="zh-CN"/>
        </w:rPr>
        <w:t>二、</w:t>
      </w:r>
      <w:r>
        <w:rPr>
          <w:rFonts w:hint="eastAsia" w:ascii="黑体" w:hAnsi="黑体" w:eastAsia="黑体"/>
          <w:sz w:val="32"/>
          <w:szCs w:val="32"/>
        </w:rPr>
        <w:t>收</w:t>
      </w:r>
      <w:r>
        <w:rPr>
          <w:rStyle w:val="30"/>
          <w:rFonts w:hint="eastAsia" w:ascii="黑体" w:hAnsi="黑体" w:eastAsia="黑体"/>
          <w:b w:val="0"/>
        </w:rPr>
        <w:t>入决算情况说明</w:t>
      </w:r>
      <w:bookmarkEnd w:id="26"/>
      <w:bookmarkEnd w:id="27"/>
    </w:p>
    <w:p>
      <w:pPr>
        <w:pageBreakBefore w:val="0"/>
        <w:wordWrap/>
        <w:overflowPunct/>
        <w:bidi w:val="0"/>
        <w:spacing w:line="560" w:lineRule="exact"/>
        <w:ind w:left="0" w:leftChars="0" w:right="0"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年本年收入合计</w:t>
      </w:r>
      <w:r>
        <w:rPr>
          <w:rFonts w:hint="eastAsia" w:ascii="仿宋" w:hAnsi="仿宋" w:eastAsia="仿宋"/>
          <w:sz w:val="32"/>
          <w:szCs w:val="32"/>
          <w:lang w:val="en-US" w:eastAsia="zh-CN"/>
        </w:rPr>
        <w:t>743.21</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618.21</w:t>
      </w:r>
      <w:r>
        <w:rPr>
          <w:rFonts w:hint="eastAsia" w:ascii="仿宋" w:hAnsi="仿宋" w:eastAsia="仿宋"/>
          <w:sz w:val="32"/>
          <w:szCs w:val="32"/>
        </w:rPr>
        <w:t>万元，占</w:t>
      </w:r>
      <w:r>
        <w:rPr>
          <w:rFonts w:hint="eastAsia" w:ascii="仿宋" w:hAnsi="仿宋" w:eastAsia="仿宋"/>
          <w:sz w:val="32"/>
          <w:szCs w:val="32"/>
          <w:lang w:val="en-US" w:eastAsia="zh-CN"/>
        </w:rPr>
        <w:t>88.18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其他收入</w:t>
      </w:r>
      <w:r>
        <w:rPr>
          <w:rFonts w:hint="eastAsia" w:ascii="仿宋" w:hAnsi="仿宋" w:eastAsia="仿宋"/>
          <w:sz w:val="32"/>
          <w:szCs w:val="32"/>
          <w:lang w:val="en-US" w:eastAsia="zh-CN"/>
        </w:rPr>
        <w:t>125万元，占16.82</w:t>
      </w:r>
      <w:r>
        <w:rPr>
          <w:rFonts w:ascii="仿宋" w:hAnsi="仿宋" w:eastAsia="仿宋"/>
          <w:sz w:val="32"/>
          <w:szCs w:val="32"/>
        </w:rPr>
        <w:t>%</w:t>
      </w:r>
      <w:r>
        <w:rPr>
          <w:rFonts w:hint="eastAsia" w:ascii="仿宋" w:hAnsi="仿宋" w:eastAsia="仿宋"/>
          <w:sz w:val="32"/>
          <w:szCs w:val="32"/>
        </w:rPr>
        <w:t>。</w:t>
      </w:r>
    </w:p>
    <w:p>
      <w:pPr>
        <w:pStyle w:val="28"/>
        <w:pageBreakBefore w:val="0"/>
        <w:numPr>
          <w:ilvl w:val="0"/>
          <w:numId w:val="0"/>
        </w:numPr>
        <w:wordWrap/>
        <w:overflowPunct/>
        <w:bidi w:val="0"/>
        <w:spacing w:line="560" w:lineRule="exact"/>
        <w:ind w:right="0" w:rightChars="0" w:firstLine="640" w:firstLineChars="200"/>
        <w:outlineLvl w:val="1"/>
        <w:rPr>
          <w:rStyle w:val="30"/>
          <w:rFonts w:ascii="黑体" w:hAnsi="黑体" w:eastAsia="黑体"/>
          <w:b w:val="0"/>
        </w:rPr>
      </w:pPr>
      <w:bookmarkStart w:id="28" w:name="_Toc15377207"/>
      <w:bookmarkStart w:id="29" w:name="_Toc15396605"/>
      <w:r>
        <w:rPr>
          <w:rFonts w:hint="eastAsia" w:ascii="黑体" w:hAnsi="黑体" w:eastAsia="黑体"/>
          <w:sz w:val="32"/>
          <w:szCs w:val="32"/>
          <w:lang w:eastAsia="zh-CN"/>
        </w:rPr>
        <w:t>三、</w:t>
      </w:r>
      <w:r>
        <w:rPr>
          <w:rFonts w:hint="eastAsia" w:ascii="黑体" w:hAnsi="黑体" w:eastAsia="黑体"/>
          <w:sz w:val="32"/>
          <w:szCs w:val="32"/>
        </w:rPr>
        <w:t>支</w:t>
      </w:r>
      <w:r>
        <w:rPr>
          <w:rStyle w:val="30"/>
          <w:rFonts w:hint="eastAsia" w:ascii="黑体" w:hAnsi="黑体" w:eastAsia="黑体"/>
          <w:b w:val="0"/>
        </w:rPr>
        <w:t>出决算情况说明</w:t>
      </w:r>
      <w:bookmarkEnd w:id="28"/>
      <w:bookmarkEnd w:id="29"/>
    </w:p>
    <w:p>
      <w:pPr>
        <w:pageBreakBefore w:val="0"/>
        <w:wordWrap/>
        <w:overflowPunct/>
        <w:bidi w:val="0"/>
        <w:spacing w:line="560" w:lineRule="exact"/>
        <w:ind w:left="0" w:leftChars="0" w:right="0"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cs="仿宋"/>
          <w:b w:val="0"/>
          <w:bCs w:val="0"/>
          <w:color w:val="auto"/>
          <w:sz w:val="32"/>
          <w:szCs w:val="32"/>
          <w:lang w:val="en-US" w:eastAsia="zh-CN"/>
        </w:rPr>
        <w:t>770.63</w:t>
      </w:r>
      <w:r>
        <w:rPr>
          <w:rFonts w:hint="eastAsia" w:ascii="仿宋" w:hAnsi="仿宋" w:eastAsia="仿宋"/>
          <w:sz w:val="32"/>
          <w:szCs w:val="32"/>
        </w:rPr>
        <w:t>万元，其中：基本支出</w:t>
      </w:r>
      <w:r>
        <w:rPr>
          <w:rFonts w:hint="eastAsia" w:ascii="仿宋" w:hAnsi="仿宋" w:eastAsia="仿宋"/>
          <w:sz w:val="32"/>
          <w:szCs w:val="32"/>
          <w:lang w:val="en-US" w:eastAsia="zh-CN"/>
        </w:rPr>
        <w:t>430.50</w:t>
      </w:r>
      <w:r>
        <w:rPr>
          <w:rFonts w:hint="eastAsia" w:ascii="仿宋" w:hAnsi="仿宋" w:eastAsia="仿宋"/>
          <w:sz w:val="32"/>
          <w:szCs w:val="32"/>
        </w:rPr>
        <w:t>万元，占</w:t>
      </w:r>
      <w:r>
        <w:rPr>
          <w:rFonts w:hint="eastAsia" w:ascii="仿宋" w:hAnsi="仿宋" w:eastAsia="仿宋"/>
          <w:sz w:val="32"/>
          <w:szCs w:val="32"/>
          <w:lang w:val="en-US" w:eastAsia="zh-CN"/>
        </w:rPr>
        <w:t>55.86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340.13</w:t>
      </w:r>
      <w:r>
        <w:rPr>
          <w:rFonts w:hint="eastAsia" w:ascii="仿宋" w:hAnsi="仿宋" w:eastAsia="仿宋"/>
          <w:sz w:val="32"/>
          <w:szCs w:val="32"/>
        </w:rPr>
        <w:t>万元，占</w:t>
      </w:r>
      <w:r>
        <w:rPr>
          <w:rFonts w:hint="eastAsia" w:ascii="仿宋" w:hAnsi="仿宋" w:eastAsia="仿宋"/>
          <w:sz w:val="32"/>
          <w:szCs w:val="32"/>
          <w:lang w:val="en-US" w:eastAsia="zh-CN"/>
        </w:rPr>
        <w:t>44.14</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ageBreakBefore w:val="0"/>
        <w:wordWrap/>
        <w:overflowPunct/>
        <w:bidi w:val="0"/>
        <w:spacing w:line="560" w:lineRule="exact"/>
        <w:ind w:left="0" w:leftChars="0" w:right="0" w:firstLine="640" w:firstLineChars="200"/>
        <w:outlineLvl w:val="1"/>
        <w:rPr>
          <w:rStyle w:val="30"/>
          <w:rFonts w:hint="default" w:ascii="黑体" w:hAnsi="黑体" w:eastAsia="黑体"/>
          <w:b w:val="0"/>
          <w:lang w:val="en-US"/>
        </w:rPr>
      </w:pPr>
      <w:bookmarkStart w:id="30" w:name="_Toc15396606"/>
      <w:bookmarkStart w:id="31"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0"/>
      <w:bookmarkEnd w:id="31"/>
    </w:p>
    <w:p>
      <w:pPr>
        <w:pageBreakBefore w:val="0"/>
        <w:wordWrap/>
        <w:overflowPunct/>
        <w:bidi w:val="0"/>
        <w:spacing w:line="560" w:lineRule="exact"/>
        <w:ind w:left="0" w:leftChars="0" w:right="0" w:firstLine="640" w:firstLineChars="200"/>
        <w:rPr>
          <w:rFonts w:hint="eastAsia" w:ascii="仿宋" w:hAnsi="仿宋" w:eastAsia="仿宋" w:cs="仿宋"/>
          <w:b w:val="0"/>
          <w:bCs w:val="0"/>
          <w:color w:val="auto"/>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年财政拨款收、支总</w:t>
      </w:r>
      <w:r>
        <w:rPr>
          <w:rFonts w:hint="eastAsia" w:ascii="仿宋" w:hAnsi="仿宋" w:eastAsia="仿宋"/>
          <w:sz w:val="32"/>
          <w:szCs w:val="32"/>
          <w:lang w:eastAsia="zh-CN"/>
        </w:rPr>
        <w:t>计</w:t>
      </w:r>
      <w:r>
        <w:rPr>
          <w:rFonts w:hint="eastAsia" w:ascii="仿宋" w:hAnsi="仿宋" w:eastAsia="仿宋"/>
          <w:sz w:val="32"/>
          <w:szCs w:val="32"/>
          <w:lang w:val="en-US" w:eastAsia="zh-CN"/>
        </w:rPr>
        <w:t>645.63万元</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w:t>
      </w:r>
      <w:r>
        <w:rPr>
          <w:rFonts w:hint="eastAsia" w:ascii="仿宋_GB2312" w:hAnsi="仿宋_GB2312" w:eastAsia="仿宋_GB2312" w:cs="仿宋_GB2312"/>
          <w:sz w:val="32"/>
          <w:szCs w:val="32"/>
          <w:lang w:eastAsia="zh-CN"/>
        </w:rPr>
        <w:t>财政拨款收</w:t>
      </w:r>
      <w:r>
        <w:rPr>
          <w:rFonts w:hint="eastAsia" w:ascii="仿宋" w:hAnsi="仿宋" w:eastAsia="仿宋" w:cs="仿宋"/>
          <w:b w:val="0"/>
          <w:bCs w:val="0"/>
          <w:color w:val="auto"/>
          <w:sz w:val="32"/>
          <w:szCs w:val="32"/>
          <w:lang w:eastAsia="zh-CN"/>
        </w:rPr>
        <w:t>支总计减少</w:t>
      </w:r>
      <w:r>
        <w:rPr>
          <w:rFonts w:hint="eastAsia" w:ascii="仿宋" w:hAnsi="仿宋" w:eastAsia="仿宋" w:cs="仿宋"/>
          <w:b w:val="0"/>
          <w:bCs w:val="0"/>
          <w:color w:val="auto"/>
          <w:sz w:val="32"/>
          <w:szCs w:val="32"/>
          <w:lang w:val="en-US" w:eastAsia="zh-CN"/>
        </w:rPr>
        <w:t>159.33</w:t>
      </w:r>
      <w:r>
        <w:rPr>
          <w:rFonts w:hint="eastAsia" w:ascii="仿宋" w:hAnsi="仿宋" w:eastAsia="仿宋" w:cs="仿宋"/>
          <w:b w:val="0"/>
          <w:bCs w:val="0"/>
          <w:color w:val="auto"/>
          <w:sz w:val="32"/>
          <w:szCs w:val="32"/>
        </w:rPr>
        <w:t>万元，</w:t>
      </w:r>
      <w:r>
        <w:rPr>
          <w:rFonts w:hint="eastAsia" w:ascii="仿宋" w:hAnsi="仿宋" w:eastAsia="仿宋" w:cs="仿宋"/>
          <w:b w:val="0"/>
          <w:bCs w:val="0"/>
          <w:color w:val="auto"/>
          <w:sz w:val="32"/>
          <w:szCs w:val="32"/>
          <w:lang w:eastAsia="zh-CN"/>
        </w:rPr>
        <w:t>下降</w:t>
      </w:r>
      <w:r>
        <w:rPr>
          <w:rFonts w:hint="eastAsia" w:ascii="仿宋" w:hAnsi="仿宋" w:eastAsia="仿宋" w:cs="仿宋"/>
          <w:b w:val="0"/>
          <w:bCs w:val="0"/>
          <w:color w:val="auto"/>
          <w:sz w:val="32"/>
          <w:szCs w:val="32"/>
          <w:lang w:val="en-US" w:eastAsia="zh-CN"/>
        </w:rPr>
        <w:t>19.79</w:t>
      </w:r>
      <w:r>
        <w:rPr>
          <w:rFonts w:hint="eastAsia" w:ascii="仿宋" w:hAnsi="仿宋" w:eastAsia="仿宋" w:cs="仿宋"/>
          <w:b w:val="0"/>
          <w:bCs w:val="0"/>
          <w:color w:val="auto"/>
          <w:sz w:val="32"/>
          <w:szCs w:val="32"/>
        </w:rPr>
        <w:t>%。变动的主要原因</w:t>
      </w:r>
      <w:r>
        <w:rPr>
          <w:rFonts w:hint="eastAsia" w:ascii="仿宋" w:hAnsi="仿宋" w:eastAsia="仿宋" w:cs="仿宋"/>
          <w:b w:val="0"/>
          <w:bCs w:val="0"/>
          <w:color w:val="auto"/>
          <w:sz w:val="32"/>
          <w:szCs w:val="32"/>
          <w:lang w:eastAsia="zh-CN"/>
        </w:rPr>
        <w:t>是</w:t>
      </w:r>
      <w:r>
        <w:rPr>
          <w:rFonts w:hint="eastAsia" w:ascii="仿宋" w:hAnsi="仿宋" w:eastAsia="仿宋" w:cs="仿宋"/>
          <w:b w:val="0"/>
          <w:bCs w:val="0"/>
          <w:color w:val="auto"/>
          <w:sz w:val="32"/>
          <w:szCs w:val="32"/>
          <w:lang w:val="en-US" w:eastAsia="zh-CN"/>
        </w:rPr>
        <w:t>2020年年末结转项目资金170.53万元，而2021年年末结转27.98万元，从而导致财政拨款收支总计减少</w:t>
      </w:r>
      <w:r>
        <w:rPr>
          <w:rFonts w:hint="eastAsia" w:ascii="仿宋" w:hAnsi="仿宋" w:eastAsia="仿宋" w:cs="仿宋"/>
          <w:b w:val="0"/>
          <w:bCs w:val="0"/>
          <w:color w:val="auto"/>
          <w:sz w:val="32"/>
          <w:szCs w:val="32"/>
        </w:rPr>
        <w:t>。</w:t>
      </w:r>
    </w:p>
    <w:p>
      <w:pPr>
        <w:pageBreakBefore w:val="0"/>
        <w:wordWrap/>
        <w:overflowPunct/>
        <w:bidi w:val="0"/>
        <w:spacing w:line="560" w:lineRule="exact"/>
        <w:ind w:left="0" w:leftChars="0" w:right="0" w:firstLine="640" w:firstLineChars="200"/>
        <w:outlineLvl w:val="1"/>
        <w:rPr>
          <w:rStyle w:val="30"/>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2"/>
      <w:bookmarkEnd w:id="33"/>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楷体" w:hAnsi="楷体" w:eastAsia="楷体" w:cs="楷体"/>
          <w:bCs/>
          <w:sz w:val="32"/>
          <w:szCs w:val="32"/>
        </w:rPr>
      </w:pPr>
      <w:bookmarkStart w:id="34" w:name="_Toc15377210"/>
      <w:r>
        <w:rPr>
          <w:rFonts w:hint="eastAsia" w:ascii="楷体" w:hAnsi="楷体" w:eastAsia="楷体" w:cs="楷体"/>
          <w:bCs/>
          <w:sz w:val="32"/>
          <w:szCs w:val="32"/>
        </w:rPr>
        <w:t>（一）一般公共预算财政拨款支出决算总体情况</w:t>
      </w:r>
      <w:bookmarkEnd w:id="34"/>
    </w:p>
    <w:p>
      <w:pPr>
        <w:pageBreakBefore w:val="0"/>
        <w:wordWrap/>
        <w:overflowPunct/>
        <w:bidi w:val="0"/>
        <w:spacing w:line="560" w:lineRule="exact"/>
        <w:ind w:left="0" w:leftChars="0" w:right="0"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645.63</w:t>
      </w:r>
      <w:r>
        <w:rPr>
          <w:rFonts w:hint="eastAsia" w:ascii="仿宋" w:hAnsi="仿宋" w:eastAsia="仿宋"/>
          <w:sz w:val="32"/>
          <w:szCs w:val="32"/>
        </w:rPr>
        <w:t>万元，占本年支出合计的</w:t>
      </w:r>
      <w:r>
        <w:rPr>
          <w:rFonts w:hint="eastAsia" w:ascii="仿宋" w:hAnsi="仿宋" w:eastAsia="仿宋"/>
          <w:sz w:val="32"/>
          <w:szCs w:val="32"/>
          <w:lang w:val="en-US" w:eastAsia="zh-CN"/>
        </w:rPr>
        <w:t>83.78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w:t>
      </w:r>
      <w:r>
        <w:rPr>
          <w:rFonts w:hint="eastAsia" w:ascii="仿宋" w:hAnsi="仿宋" w:eastAsia="仿宋"/>
          <w:sz w:val="32"/>
          <w:szCs w:val="32"/>
          <w:lang w:eastAsia="zh-CN"/>
        </w:rPr>
        <w:t>减少</w:t>
      </w:r>
      <w:r>
        <w:rPr>
          <w:rFonts w:hint="eastAsia" w:ascii="仿宋" w:hAnsi="仿宋" w:eastAsia="仿宋" w:cs="仿宋"/>
          <w:b w:val="0"/>
          <w:bCs w:val="0"/>
          <w:color w:val="auto"/>
          <w:sz w:val="32"/>
          <w:szCs w:val="32"/>
          <w:lang w:val="en-US" w:eastAsia="zh-CN"/>
        </w:rPr>
        <w:t>159.33</w:t>
      </w:r>
      <w:r>
        <w:rPr>
          <w:rFonts w:hint="eastAsia" w:ascii="仿宋" w:hAnsi="仿宋" w:eastAsia="仿宋" w:cs="仿宋"/>
          <w:b w:val="0"/>
          <w:bCs w:val="0"/>
          <w:color w:val="auto"/>
          <w:sz w:val="32"/>
          <w:szCs w:val="32"/>
        </w:rPr>
        <w:t>万元，</w:t>
      </w:r>
      <w:r>
        <w:rPr>
          <w:rFonts w:hint="eastAsia" w:ascii="仿宋" w:hAnsi="仿宋" w:eastAsia="仿宋" w:cs="仿宋"/>
          <w:b w:val="0"/>
          <w:bCs w:val="0"/>
          <w:color w:val="auto"/>
          <w:sz w:val="32"/>
          <w:szCs w:val="32"/>
          <w:lang w:eastAsia="zh-CN"/>
        </w:rPr>
        <w:t>下降</w:t>
      </w:r>
      <w:r>
        <w:rPr>
          <w:rFonts w:hint="eastAsia" w:ascii="仿宋" w:hAnsi="仿宋" w:eastAsia="仿宋" w:cs="仿宋"/>
          <w:b w:val="0"/>
          <w:bCs w:val="0"/>
          <w:color w:val="auto"/>
          <w:sz w:val="32"/>
          <w:szCs w:val="32"/>
          <w:lang w:val="en-US" w:eastAsia="zh-CN"/>
        </w:rPr>
        <w:t>19.79</w:t>
      </w:r>
      <w:r>
        <w:rPr>
          <w:rFonts w:hint="eastAsia" w:ascii="仿宋" w:hAnsi="仿宋" w:eastAsia="仿宋" w:cs="仿宋"/>
          <w:b w:val="0"/>
          <w:bCs w:val="0"/>
          <w:color w:val="auto"/>
          <w:sz w:val="32"/>
          <w:szCs w:val="32"/>
        </w:rPr>
        <w:t>%。变动的主要原因是</w:t>
      </w:r>
      <w:r>
        <w:rPr>
          <w:rFonts w:hint="eastAsia" w:ascii="仿宋" w:hAnsi="仿宋" w:eastAsia="仿宋" w:cs="仿宋"/>
          <w:b w:val="0"/>
          <w:bCs w:val="0"/>
          <w:color w:val="auto"/>
          <w:sz w:val="32"/>
          <w:szCs w:val="32"/>
          <w:lang w:val="en-US" w:eastAsia="zh-CN"/>
        </w:rPr>
        <w:t>2020年年末结转项目资金170.53万元，而2021年年末结转27.98万元，从而导致一般公共预算财政拨款支出减少</w:t>
      </w:r>
      <w:r>
        <w:rPr>
          <w:rFonts w:hint="eastAsia" w:ascii="仿宋" w:hAnsi="仿宋" w:eastAsia="仿宋" w:cs="仿宋"/>
          <w:b w:val="0"/>
          <w:bCs w:val="0"/>
          <w:color w:val="auto"/>
          <w:sz w:val="32"/>
          <w:szCs w:val="32"/>
        </w:rPr>
        <w:t>。</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楷体" w:hAnsi="楷体" w:eastAsia="楷体" w:cs="楷体"/>
          <w:bCs/>
          <w:sz w:val="32"/>
          <w:szCs w:val="32"/>
        </w:rPr>
      </w:pPr>
      <w:bookmarkStart w:id="35" w:name="_Toc15377211"/>
      <w:r>
        <w:rPr>
          <w:rFonts w:hint="eastAsia" w:ascii="楷体" w:hAnsi="楷体" w:eastAsia="楷体" w:cs="楷体"/>
          <w:bCs/>
          <w:sz w:val="32"/>
          <w:szCs w:val="32"/>
        </w:rPr>
        <w:t>（二）一般公共预算财政拨款支出决算结构情况</w:t>
      </w:r>
      <w:bookmarkEnd w:id="35"/>
    </w:p>
    <w:p>
      <w:pPr>
        <w:pageBreakBefore w:val="0"/>
        <w:kinsoku/>
        <w:wordWrap/>
        <w:overflowPunct/>
        <w:topLinePunct w:val="0"/>
        <w:bidi w:val="0"/>
        <w:spacing w:line="556" w:lineRule="exact"/>
        <w:ind w:left="0" w:leftChars="0" w:right="0" w:firstLine="640" w:firstLineChars="200"/>
        <w:outlineLvl w:val="2"/>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645.63</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val="0"/>
          <w:bCs w:val="0"/>
          <w:color w:val="000000"/>
          <w:sz w:val="32"/>
          <w:szCs w:val="32"/>
        </w:rPr>
        <w:t>公共</w:t>
      </w:r>
      <w:r>
        <w:rPr>
          <w:rFonts w:hint="eastAsia" w:ascii="仿宋" w:hAnsi="仿宋" w:eastAsia="仿宋"/>
          <w:b w:val="0"/>
          <w:bCs w:val="0"/>
          <w:color w:val="000000"/>
          <w:sz w:val="32"/>
          <w:szCs w:val="32"/>
          <w:lang w:eastAsia="zh-CN"/>
        </w:rPr>
        <w:t>安全支出</w:t>
      </w:r>
      <w:r>
        <w:rPr>
          <w:rFonts w:hint="eastAsia" w:ascii="仿宋" w:hAnsi="仿宋" w:eastAsia="仿宋"/>
          <w:b w:val="0"/>
          <w:bCs w:val="0"/>
          <w:color w:val="000000"/>
          <w:sz w:val="32"/>
          <w:szCs w:val="32"/>
        </w:rPr>
        <w:t>（类）支出</w:t>
      </w:r>
      <w:r>
        <w:rPr>
          <w:rFonts w:hint="eastAsia" w:ascii="仿宋" w:hAnsi="仿宋" w:eastAsia="仿宋"/>
          <w:b w:val="0"/>
          <w:bCs w:val="0"/>
          <w:color w:val="000000"/>
          <w:sz w:val="32"/>
          <w:szCs w:val="32"/>
          <w:lang w:val="en-US" w:eastAsia="zh-CN"/>
        </w:rPr>
        <w:t>583.76</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90.42</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；社会保障和就业（类）支出</w:t>
      </w:r>
      <w:r>
        <w:rPr>
          <w:rFonts w:hint="eastAsia" w:ascii="仿宋" w:hAnsi="仿宋" w:eastAsia="仿宋"/>
          <w:b w:val="0"/>
          <w:bCs w:val="0"/>
          <w:color w:val="000000"/>
          <w:sz w:val="32"/>
          <w:szCs w:val="32"/>
          <w:lang w:val="en-US" w:eastAsia="zh-CN"/>
        </w:rPr>
        <w:t>27.50</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4.26</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；卫生健康支出</w:t>
      </w:r>
      <w:r>
        <w:rPr>
          <w:rFonts w:hint="eastAsia" w:ascii="仿宋" w:hAnsi="仿宋" w:eastAsia="仿宋"/>
          <w:b w:val="0"/>
          <w:bCs w:val="0"/>
          <w:color w:val="000000"/>
          <w:sz w:val="32"/>
          <w:szCs w:val="32"/>
          <w:lang w:val="en-US" w:eastAsia="zh-CN"/>
        </w:rPr>
        <w:t>13.75</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2.13</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；住房保障支出</w:t>
      </w:r>
      <w:r>
        <w:rPr>
          <w:rFonts w:hint="eastAsia" w:ascii="仿宋" w:hAnsi="仿宋" w:eastAsia="仿宋"/>
          <w:b w:val="0"/>
          <w:bCs w:val="0"/>
          <w:color w:val="000000"/>
          <w:sz w:val="32"/>
          <w:szCs w:val="32"/>
          <w:lang w:val="en-US" w:eastAsia="zh-CN"/>
        </w:rPr>
        <w:t>20.62</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3.19</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楷体" w:hAnsi="楷体" w:eastAsia="楷体" w:cs="楷体"/>
          <w:bCs/>
          <w:sz w:val="32"/>
          <w:szCs w:val="32"/>
        </w:rPr>
      </w:pPr>
      <w:bookmarkStart w:id="36" w:name="_Toc15377212"/>
      <w:r>
        <w:rPr>
          <w:rFonts w:hint="eastAsia" w:ascii="楷体" w:hAnsi="楷体" w:eastAsia="楷体" w:cs="楷体"/>
          <w:bCs/>
          <w:sz w:val="32"/>
          <w:szCs w:val="32"/>
        </w:rPr>
        <w:t>（三）一般公共预算财政拨款支出决算具体情况</w:t>
      </w:r>
      <w:bookmarkEnd w:id="36"/>
    </w:p>
    <w:p>
      <w:pPr>
        <w:pageBreakBefore w:val="0"/>
        <w:kinsoku/>
        <w:wordWrap/>
        <w:overflowPunct/>
        <w:topLinePunct w:val="0"/>
        <w:bidi w:val="0"/>
        <w:spacing w:line="556" w:lineRule="exact"/>
        <w:ind w:left="0" w:leftChars="0" w:right="0" w:firstLine="640" w:firstLineChars="200"/>
        <w:outlineLvl w:val="2"/>
        <w:rPr>
          <w:rFonts w:ascii="仿宋" w:hAnsi="仿宋" w:eastAsia="仿宋"/>
          <w:b w:val="0"/>
          <w:bCs w:val="0"/>
          <w:color w:val="FF0000"/>
          <w:sz w:val="32"/>
          <w:szCs w:val="32"/>
        </w:rPr>
      </w:pPr>
      <w:r>
        <w:rPr>
          <w:rFonts w:ascii="仿宋" w:hAnsi="仿宋" w:eastAsia="仿宋"/>
          <w:b w:val="0"/>
          <w:bCs w:val="0"/>
          <w:color w:val="000000"/>
          <w:sz w:val="32"/>
          <w:szCs w:val="32"/>
        </w:rPr>
        <w:t>202</w:t>
      </w:r>
      <w:r>
        <w:rPr>
          <w:rFonts w:hint="eastAsia" w:ascii="仿宋" w:hAnsi="仿宋" w:eastAsia="仿宋"/>
          <w:b w:val="0"/>
          <w:bCs w:val="0"/>
          <w:color w:val="000000"/>
          <w:sz w:val="32"/>
          <w:szCs w:val="32"/>
          <w:lang w:val="en-US" w:eastAsia="zh-CN"/>
        </w:rPr>
        <w:t>2</w:t>
      </w:r>
      <w:r>
        <w:rPr>
          <w:rFonts w:hint="eastAsia" w:ascii="仿宋" w:hAnsi="仿宋" w:eastAsia="仿宋"/>
          <w:b w:val="0"/>
          <w:bCs w:val="0"/>
          <w:color w:val="000000"/>
          <w:sz w:val="32"/>
          <w:szCs w:val="32"/>
        </w:rPr>
        <w:t>年一般公共预算支出决算数为</w:t>
      </w:r>
      <w:r>
        <w:rPr>
          <w:rFonts w:hint="eastAsia" w:ascii="仿宋" w:hAnsi="仿宋" w:eastAsia="仿宋"/>
          <w:b w:val="0"/>
          <w:bCs w:val="0"/>
          <w:color w:val="000000"/>
          <w:sz w:val="32"/>
          <w:szCs w:val="32"/>
          <w:lang w:val="en-US" w:eastAsia="zh-CN"/>
        </w:rPr>
        <w:t>645.63万元</w:t>
      </w:r>
      <w:r>
        <w:rPr>
          <w:rFonts w:hint="eastAsia" w:ascii="仿宋" w:hAnsi="仿宋" w:eastAsia="仿宋"/>
          <w:b w:val="0"/>
          <w:bCs w:val="0"/>
          <w:color w:val="000000"/>
          <w:sz w:val="32"/>
          <w:szCs w:val="32"/>
        </w:rPr>
        <w:t>，</w:t>
      </w:r>
      <w:r>
        <w:rPr>
          <w:rStyle w:val="19"/>
          <w:rFonts w:hint="eastAsia" w:ascii="仿宋" w:hAnsi="仿宋" w:eastAsia="仿宋"/>
          <w:b w:val="0"/>
          <w:bCs w:val="0"/>
          <w:color w:val="000000"/>
          <w:sz w:val="32"/>
          <w:szCs w:val="32"/>
        </w:rPr>
        <w:t>完成预算</w:t>
      </w:r>
      <w:r>
        <w:rPr>
          <w:rStyle w:val="19"/>
          <w:rFonts w:hint="eastAsia" w:ascii="仿宋" w:hAnsi="仿宋" w:eastAsia="仿宋"/>
          <w:b w:val="0"/>
          <w:bCs w:val="0"/>
          <w:color w:val="000000"/>
          <w:sz w:val="32"/>
          <w:szCs w:val="32"/>
          <w:lang w:val="en-US" w:eastAsia="zh-CN"/>
        </w:rPr>
        <w:t>100</w:t>
      </w:r>
      <w:r>
        <w:rPr>
          <w:rStyle w:val="19"/>
          <w:rFonts w:ascii="仿宋" w:hAnsi="仿宋" w:eastAsia="仿宋"/>
          <w:b w:val="0"/>
          <w:bCs w:val="0"/>
          <w:color w:val="000000"/>
          <w:sz w:val="32"/>
          <w:szCs w:val="32"/>
        </w:rPr>
        <w:t>%</w:t>
      </w:r>
      <w:r>
        <w:rPr>
          <w:rStyle w:val="19"/>
          <w:rFonts w:hint="eastAsia" w:ascii="仿宋" w:hAnsi="仿宋" w:eastAsia="仿宋"/>
          <w:b w:val="0"/>
          <w:bCs w:val="0"/>
          <w:color w:val="000000"/>
          <w:sz w:val="32"/>
          <w:szCs w:val="32"/>
        </w:rPr>
        <w:t>。其中：</w:t>
      </w:r>
    </w:p>
    <w:p>
      <w:pPr>
        <w:pageBreakBefore w:val="0"/>
        <w:kinsoku/>
        <w:wordWrap/>
        <w:overflowPunct/>
        <w:topLinePunct w:val="0"/>
        <w:bidi w:val="0"/>
        <w:spacing w:line="556" w:lineRule="exact"/>
        <w:ind w:left="0" w:leftChars="0" w:right="0" w:firstLine="640" w:firstLineChars="200"/>
        <w:rPr>
          <w:rStyle w:val="19"/>
          <w:rFonts w:hint="eastAsia" w:ascii="仿宋" w:hAnsi="仿宋" w:eastAsia="仿宋"/>
          <w:b w:val="0"/>
          <w:bCs w:val="0"/>
          <w:color w:val="000000"/>
          <w:sz w:val="32"/>
          <w:szCs w:val="32"/>
          <w:lang w:eastAsia="zh-CN"/>
        </w:rPr>
      </w:pPr>
      <w:r>
        <w:rPr>
          <w:rStyle w:val="19"/>
          <w:rFonts w:ascii="仿宋" w:hAnsi="仿宋" w:eastAsia="仿宋"/>
          <w:b w:val="0"/>
          <w:bCs w:val="0"/>
          <w:color w:val="000000"/>
          <w:sz w:val="32"/>
          <w:szCs w:val="32"/>
        </w:rPr>
        <w:t>1</w:t>
      </w:r>
      <w:r>
        <w:rPr>
          <w:rStyle w:val="19"/>
          <w:rFonts w:hint="eastAsia" w:ascii="仿宋" w:hAnsi="仿宋" w:eastAsia="仿宋"/>
          <w:b w:val="0"/>
          <w:bCs w:val="0"/>
          <w:color w:val="000000"/>
          <w:sz w:val="32"/>
          <w:szCs w:val="32"/>
          <w:lang w:eastAsia="zh-CN"/>
        </w:rPr>
        <w:t>、公共安全支出</w:t>
      </w:r>
      <w:r>
        <w:rPr>
          <w:rStyle w:val="19"/>
          <w:rFonts w:hint="eastAsia" w:ascii="仿宋" w:hAnsi="仿宋" w:eastAsia="仿宋"/>
          <w:b w:val="0"/>
          <w:bCs w:val="0"/>
          <w:color w:val="000000"/>
          <w:sz w:val="32"/>
          <w:szCs w:val="32"/>
        </w:rPr>
        <w:t>（类）</w:t>
      </w:r>
      <w:r>
        <w:rPr>
          <w:rStyle w:val="19"/>
          <w:rFonts w:hint="eastAsia" w:ascii="仿宋" w:hAnsi="仿宋" w:eastAsia="仿宋"/>
          <w:b w:val="0"/>
          <w:bCs w:val="0"/>
          <w:color w:val="000000"/>
          <w:sz w:val="32"/>
          <w:szCs w:val="32"/>
          <w:lang w:eastAsia="zh-CN"/>
        </w:rPr>
        <w:t>公安</w:t>
      </w:r>
      <w:r>
        <w:rPr>
          <w:rStyle w:val="19"/>
          <w:rFonts w:hint="eastAsia" w:ascii="仿宋" w:hAnsi="仿宋" w:eastAsia="仿宋"/>
          <w:b w:val="0"/>
          <w:bCs w:val="0"/>
          <w:color w:val="000000"/>
          <w:sz w:val="32"/>
          <w:szCs w:val="32"/>
        </w:rPr>
        <w:t>（款）</w:t>
      </w:r>
      <w:r>
        <w:rPr>
          <w:rStyle w:val="19"/>
          <w:rFonts w:hint="eastAsia" w:ascii="仿宋" w:hAnsi="仿宋" w:eastAsia="仿宋"/>
          <w:b w:val="0"/>
          <w:bCs w:val="0"/>
          <w:color w:val="000000"/>
          <w:sz w:val="32"/>
          <w:szCs w:val="32"/>
          <w:lang w:eastAsia="zh-CN"/>
        </w:rPr>
        <w:t>行政运行</w:t>
      </w:r>
      <w:r>
        <w:rPr>
          <w:rStyle w:val="19"/>
          <w:rFonts w:hint="eastAsia" w:ascii="仿宋" w:hAnsi="仿宋" w:eastAsia="仿宋"/>
          <w:b w:val="0"/>
          <w:bCs w:val="0"/>
          <w:color w:val="000000"/>
          <w:sz w:val="32"/>
          <w:szCs w:val="32"/>
          <w:lang w:val="en-US" w:eastAsia="zh-CN"/>
        </w:rPr>
        <w:t>(项)：</w:t>
      </w:r>
      <w:r>
        <w:rPr>
          <w:rStyle w:val="19"/>
          <w:rFonts w:hint="eastAsia" w:ascii="仿宋" w:hAnsi="仿宋" w:eastAsia="仿宋"/>
          <w:b w:val="0"/>
          <w:bCs w:val="0"/>
          <w:color w:val="000000"/>
          <w:sz w:val="32"/>
          <w:szCs w:val="32"/>
        </w:rPr>
        <w:t>支出决算为</w:t>
      </w:r>
      <w:r>
        <w:rPr>
          <w:rStyle w:val="19"/>
          <w:rFonts w:hint="eastAsia" w:ascii="仿宋" w:hAnsi="仿宋" w:eastAsia="仿宋"/>
          <w:b w:val="0"/>
          <w:bCs w:val="0"/>
          <w:color w:val="000000"/>
          <w:sz w:val="32"/>
          <w:szCs w:val="32"/>
          <w:lang w:val="en-US" w:eastAsia="zh-CN"/>
        </w:rPr>
        <w:t>302.62</w:t>
      </w:r>
      <w:r>
        <w:rPr>
          <w:rStyle w:val="19"/>
          <w:rFonts w:hint="eastAsia" w:ascii="仿宋" w:hAnsi="仿宋" w:eastAsia="仿宋"/>
          <w:b w:val="0"/>
          <w:bCs w:val="0"/>
          <w:color w:val="000000"/>
          <w:sz w:val="32"/>
          <w:szCs w:val="32"/>
        </w:rPr>
        <w:t>万元，完成预算</w:t>
      </w:r>
      <w:r>
        <w:rPr>
          <w:rStyle w:val="19"/>
          <w:rFonts w:hint="eastAsia" w:ascii="仿宋" w:hAnsi="仿宋" w:eastAsia="仿宋"/>
          <w:b w:val="0"/>
          <w:bCs w:val="0"/>
          <w:color w:val="000000"/>
          <w:sz w:val="32"/>
          <w:szCs w:val="32"/>
          <w:lang w:val="en-US" w:eastAsia="zh-CN"/>
        </w:rPr>
        <w:t>100</w:t>
      </w:r>
      <w:r>
        <w:rPr>
          <w:rStyle w:val="19"/>
          <w:rFonts w:ascii="仿宋" w:hAnsi="仿宋" w:eastAsia="仿宋"/>
          <w:b w:val="0"/>
          <w:bCs w:val="0"/>
          <w:color w:val="000000"/>
          <w:sz w:val="32"/>
          <w:szCs w:val="32"/>
        </w:rPr>
        <w:t>%</w:t>
      </w:r>
      <w:r>
        <w:rPr>
          <w:rStyle w:val="19"/>
          <w:rFonts w:hint="eastAsia" w:ascii="仿宋" w:hAnsi="仿宋" w:eastAsia="仿宋"/>
          <w:b w:val="0"/>
          <w:bCs w:val="0"/>
          <w:color w:val="000000"/>
          <w:sz w:val="32"/>
          <w:szCs w:val="32"/>
          <w:lang w:eastAsia="zh-CN"/>
        </w:rPr>
        <w:t>。</w:t>
      </w:r>
    </w:p>
    <w:p>
      <w:pPr>
        <w:pageBreakBefore w:val="0"/>
        <w:kinsoku/>
        <w:wordWrap/>
        <w:overflowPunct/>
        <w:topLinePunct w:val="0"/>
        <w:bidi w:val="0"/>
        <w:spacing w:line="556" w:lineRule="exact"/>
        <w:ind w:left="0" w:leftChars="0" w:right="0" w:firstLine="640" w:firstLineChars="200"/>
        <w:rPr>
          <w:rStyle w:val="19"/>
          <w:rFonts w:hint="eastAsia" w:ascii="仿宋" w:hAnsi="仿宋" w:eastAsia="仿宋"/>
          <w:b w:val="0"/>
          <w:bCs w:val="0"/>
          <w:color w:val="000000"/>
          <w:sz w:val="32"/>
          <w:szCs w:val="32"/>
          <w:lang w:eastAsia="zh-CN"/>
        </w:rPr>
      </w:pPr>
      <w:r>
        <w:rPr>
          <w:rStyle w:val="19"/>
          <w:rFonts w:hint="eastAsia" w:ascii="仿宋" w:hAnsi="仿宋" w:eastAsia="仿宋"/>
          <w:b w:val="0"/>
          <w:bCs w:val="0"/>
          <w:color w:val="000000"/>
          <w:sz w:val="32"/>
          <w:szCs w:val="32"/>
          <w:lang w:val="en-US" w:eastAsia="zh-CN"/>
        </w:rPr>
        <w:t>2、</w:t>
      </w:r>
      <w:r>
        <w:rPr>
          <w:rStyle w:val="19"/>
          <w:rFonts w:hint="eastAsia" w:ascii="仿宋" w:hAnsi="仿宋" w:eastAsia="仿宋"/>
          <w:b w:val="0"/>
          <w:bCs w:val="0"/>
          <w:color w:val="000000"/>
          <w:sz w:val="32"/>
          <w:szCs w:val="32"/>
          <w:lang w:eastAsia="zh-CN"/>
        </w:rPr>
        <w:t>公共安全支出</w:t>
      </w:r>
      <w:r>
        <w:rPr>
          <w:rStyle w:val="19"/>
          <w:rFonts w:hint="eastAsia" w:ascii="仿宋" w:hAnsi="仿宋" w:eastAsia="仿宋"/>
          <w:b w:val="0"/>
          <w:bCs w:val="0"/>
          <w:color w:val="000000"/>
          <w:sz w:val="32"/>
          <w:szCs w:val="32"/>
        </w:rPr>
        <w:t>（类）</w:t>
      </w:r>
      <w:r>
        <w:rPr>
          <w:rStyle w:val="19"/>
          <w:rFonts w:hint="eastAsia" w:ascii="仿宋" w:hAnsi="仿宋" w:eastAsia="仿宋"/>
          <w:b w:val="0"/>
          <w:bCs w:val="0"/>
          <w:color w:val="000000"/>
          <w:sz w:val="32"/>
          <w:szCs w:val="32"/>
          <w:lang w:eastAsia="zh-CN"/>
        </w:rPr>
        <w:t>公安</w:t>
      </w:r>
      <w:r>
        <w:rPr>
          <w:rStyle w:val="19"/>
          <w:rFonts w:hint="eastAsia" w:ascii="仿宋" w:hAnsi="仿宋" w:eastAsia="仿宋"/>
          <w:b w:val="0"/>
          <w:bCs w:val="0"/>
          <w:color w:val="000000"/>
          <w:sz w:val="32"/>
          <w:szCs w:val="32"/>
        </w:rPr>
        <w:t>（款）</w:t>
      </w:r>
      <w:r>
        <w:rPr>
          <w:rStyle w:val="19"/>
          <w:rFonts w:hint="eastAsia" w:ascii="仿宋" w:hAnsi="仿宋" w:eastAsia="仿宋"/>
          <w:b w:val="0"/>
          <w:bCs w:val="0"/>
          <w:color w:val="000000"/>
          <w:sz w:val="32"/>
          <w:szCs w:val="32"/>
          <w:lang w:eastAsia="zh-CN"/>
        </w:rPr>
        <w:t>一般行政管理事务</w:t>
      </w:r>
      <w:r>
        <w:rPr>
          <w:rStyle w:val="19"/>
          <w:rFonts w:hint="eastAsia" w:ascii="仿宋" w:hAnsi="仿宋" w:eastAsia="仿宋"/>
          <w:b w:val="0"/>
          <w:bCs w:val="0"/>
          <w:color w:val="000000"/>
          <w:sz w:val="32"/>
          <w:szCs w:val="32"/>
          <w:lang w:val="en-US" w:eastAsia="zh-CN"/>
        </w:rPr>
        <w:t>(项)：</w:t>
      </w:r>
      <w:r>
        <w:rPr>
          <w:rStyle w:val="19"/>
          <w:rFonts w:hint="eastAsia" w:ascii="仿宋" w:hAnsi="仿宋" w:eastAsia="仿宋"/>
          <w:b w:val="0"/>
          <w:bCs w:val="0"/>
          <w:color w:val="000000"/>
          <w:sz w:val="32"/>
          <w:szCs w:val="32"/>
          <w:lang w:eastAsia="zh-CN"/>
        </w:rPr>
        <w:t>支出决算</w:t>
      </w:r>
      <w:r>
        <w:rPr>
          <w:rStyle w:val="19"/>
          <w:rFonts w:hint="eastAsia" w:ascii="仿宋" w:hAnsi="仿宋" w:eastAsia="仿宋"/>
          <w:b w:val="0"/>
          <w:bCs w:val="0"/>
          <w:color w:val="000000"/>
          <w:sz w:val="32"/>
          <w:szCs w:val="32"/>
          <w:lang w:val="en-US" w:eastAsia="zh-CN"/>
        </w:rPr>
        <w:t>14.5万元，</w:t>
      </w:r>
      <w:r>
        <w:rPr>
          <w:rStyle w:val="19"/>
          <w:rFonts w:hint="eastAsia" w:ascii="仿宋" w:hAnsi="仿宋" w:eastAsia="仿宋"/>
          <w:b w:val="0"/>
          <w:bCs w:val="0"/>
          <w:color w:val="000000"/>
          <w:sz w:val="32"/>
          <w:szCs w:val="32"/>
        </w:rPr>
        <w:t>完成预算</w:t>
      </w:r>
      <w:r>
        <w:rPr>
          <w:rStyle w:val="19"/>
          <w:rFonts w:hint="eastAsia" w:ascii="仿宋" w:hAnsi="仿宋" w:eastAsia="仿宋"/>
          <w:b w:val="0"/>
          <w:bCs w:val="0"/>
          <w:color w:val="000000"/>
          <w:sz w:val="32"/>
          <w:szCs w:val="32"/>
          <w:lang w:val="en-US" w:eastAsia="zh-CN"/>
        </w:rPr>
        <w:t>100</w:t>
      </w:r>
      <w:r>
        <w:rPr>
          <w:rStyle w:val="19"/>
          <w:rFonts w:ascii="仿宋" w:hAnsi="仿宋" w:eastAsia="仿宋"/>
          <w:b w:val="0"/>
          <w:bCs w:val="0"/>
          <w:color w:val="000000"/>
          <w:sz w:val="32"/>
          <w:szCs w:val="32"/>
        </w:rPr>
        <w:t>%</w:t>
      </w:r>
      <w:r>
        <w:rPr>
          <w:rStyle w:val="19"/>
          <w:rFonts w:hint="eastAsia" w:ascii="仿宋" w:hAnsi="仿宋" w:eastAsia="仿宋"/>
          <w:b w:val="0"/>
          <w:bCs w:val="0"/>
          <w:color w:val="000000"/>
          <w:sz w:val="32"/>
          <w:szCs w:val="32"/>
          <w:lang w:eastAsia="zh-CN"/>
        </w:rPr>
        <w:t>。</w:t>
      </w:r>
    </w:p>
    <w:p>
      <w:pPr>
        <w:pageBreakBefore w:val="0"/>
        <w:kinsoku/>
        <w:wordWrap/>
        <w:overflowPunct/>
        <w:topLinePunct w:val="0"/>
        <w:bidi w:val="0"/>
        <w:spacing w:line="556" w:lineRule="exact"/>
        <w:ind w:left="0" w:leftChars="0" w:right="0" w:firstLine="640" w:firstLineChars="200"/>
        <w:rPr>
          <w:rStyle w:val="19"/>
          <w:rFonts w:hint="eastAsia" w:ascii="仿宋" w:hAnsi="仿宋" w:eastAsia="仿宋"/>
          <w:b w:val="0"/>
          <w:bCs w:val="0"/>
          <w:color w:val="000000"/>
          <w:sz w:val="32"/>
          <w:szCs w:val="32"/>
          <w:lang w:eastAsia="zh-CN"/>
        </w:rPr>
      </w:pPr>
      <w:r>
        <w:rPr>
          <w:rStyle w:val="19"/>
          <w:rFonts w:hint="eastAsia" w:ascii="仿宋" w:hAnsi="仿宋" w:eastAsia="仿宋"/>
          <w:b w:val="0"/>
          <w:bCs w:val="0"/>
          <w:color w:val="000000"/>
          <w:sz w:val="32"/>
          <w:szCs w:val="32"/>
          <w:lang w:val="en-US" w:eastAsia="zh-CN"/>
        </w:rPr>
        <w:t>3、</w:t>
      </w:r>
      <w:r>
        <w:rPr>
          <w:rStyle w:val="19"/>
          <w:rFonts w:hint="eastAsia" w:ascii="仿宋" w:hAnsi="仿宋" w:eastAsia="仿宋"/>
          <w:b w:val="0"/>
          <w:bCs w:val="0"/>
          <w:color w:val="000000"/>
          <w:sz w:val="32"/>
          <w:szCs w:val="32"/>
          <w:lang w:eastAsia="zh-CN"/>
        </w:rPr>
        <w:t>公共安全支出</w:t>
      </w:r>
      <w:r>
        <w:rPr>
          <w:rStyle w:val="19"/>
          <w:rFonts w:hint="eastAsia" w:ascii="仿宋" w:hAnsi="仿宋" w:eastAsia="仿宋"/>
          <w:b w:val="0"/>
          <w:bCs w:val="0"/>
          <w:color w:val="000000"/>
          <w:sz w:val="32"/>
          <w:szCs w:val="32"/>
        </w:rPr>
        <w:t>（类）</w:t>
      </w:r>
      <w:r>
        <w:rPr>
          <w:rStyle w:val="19"/>
          <w:rFonts w:hint="eastAsia" w:ascii="仿宋" w:hAnsi="仿宋" w:eastAsia="仿宋"/>
          <w:b w:val="0"/>
          <w:bCs w:val="0"/>
          <w:color w:val="000000"/>
          <w:sz w:val="32"/>
          <w:szCs w:val="32"/>
          <w:lang w:eastAsia="zh-CN"/>
        </w:rPr>
        <w:t>公安</w:t>
      </w:r>
      <w:r>
        <w:rPr>
          <w:rStyle w:val="19"/>
          <w:rFonts w:hint="eastAsia" w:ascii="仿宋" w:hAnsi="仿宋" w:eastAsia="仿宋"/>
          <w:b w:val="0"/>
          <w:bCs w:val="0"/>
          <w:color w:val="000000"/>
          <w:sz w:val="32"/>
          <w:szCs w:val="32"/>
        </w:rPr>
        <w:t>（款）</w:t>
      </w:r>
      <w:r>
        <w:rPr>
          <w:rStyle w:val="19"/>
          <w:rFonts w:hint="eastAsia" w:ascii="仿宋" w:hAnsi="仿宋" w:eastAsia="仿宋"/>
          <w:b w:val="0"/>
          <w:bCs w:val="0"/>
          <w:color w:val="000000"/>
          <w:sz w:val="32"/>
          <w:szCs w:val="32"/>
          <w:lang w:eastAsia="zh-CN"/>
        </w:rPr>
        <w:t>信息化建设</w:t>
      </w:r>
      <w:r>
        <w:rPr>
          <w:rStyle w:val="19"/>
          <w:rFonts w:hint="eastAsia" w:ascii="仿宋" w:hAnsi="仿宋" w:eastAsia="仿宋"/>
          <w:b w:val="0"/>
          <w:bCs w:val="0"/>
          <w:color w:val="000000"/>
          <w:sz w:val="32"/>
          <w:szCs w:val="32"/>
          <w:lang w:val="en-US" w:eastAsia="zh-CN"/>
        </w:rPr>
        <w:t>(项)：支出决算为120.77万元，</w:t>
      </w:r>
      <w:r>
        <w:rPr>
          <w:rStyle w:val="19"/>
          <w:rFonts w:hint="eastAsia" w:ascii="仿宋" w:hAnsi="仿宋" w:eastAsia="仿宋"/>
          <w:b w:val="0"/>
          <w:bCs w:val="0"/>
          <w:color w:val="000000"/>
          <w:sz w:val="32"/>
          <w:szCs w:val="32"/>
        </w:rPr>
        <w:t>完成预算</w:t>
      </w:r>
      <w:r>
        <w:rPr>
          <w:rStyle w:val="19"/>
          <w:rFonts w:hint="eastAsia" w:ascii="仿宋" w:hAnsi="仿宋" w:eastAsia="仿宋"/>
          <w:b w:val="0"/>
          <w:bCs w:val="0"/>
          <w:color w:val="000000"/>
          <w:sz w:val="32"/>
          <w:szCs w:val="32"/>
          <w:lang w:val="en-US" w:eastAsia="zh-CN"/>
        </w:rPr>
        <w:t>100</w:t>
      </w:r>
      <w:r>
        <w:rPr>
          <w:rStyle w:val="19"/>
          <w:rFonts w:ascii="仿宋" w:hAnsi="仿宋" w:eastAsia="仿宋"/>
          <w:b w:val="0"/>
          <w:bCs w:val="0"/>
          <w:color w:val="000000"/>
          <w:sz w:val="32"/>
          <w:szCs w:val="32"/>
        </w:rPr>
        <w:t>%</w:t>
      </w:r>
      <w:r>
        <w:rPr>
          <w:rStyle w:val="19"/>
          <w:rFonts w:hint="eastAsia" w:ascii="仿宋" w:hAnsi="仿宋" w:eastAsia="仿宋"/>
          <w:b w:val="0"/>
          <w:bCs w:val="0"/>
          <w:color w:val="000000"/>
          <w:sz w:val="32"/>
          <w:szCs w:val="32"/>
          <w:lang w:eastAsia="zh-CN"/>
        </w:rPr>
        <w:t>。</w:t>
      </w:r>
    </w:p>
    <w:p>
      <w:pPr>
        <w:pageBreakBefore w:val="0"/>
        <w:kinsoku/>
        <w:wordWrap/>
        <w:overflowPunct/>
        <w:topLinePunct w:val="0"/>
        <w:bidi w:val="0"/>
        <w:spacing w:line="556" w:lineRule="exact"/>
        <w:ind w:left="0" w:leftChars="0" w:right="0" w:firstLine="640" w:firstLineChars="200"/>
        <w:rPr>
          <w:rStyle w:val="19"/>
          <w:rFonts w:hint="eastAsia" w:ascii="仿宋" w:hAnsi="仿宋" w:eastAsia="仿宋"/>
          <w:b w:val="0"/>
          <w:bCs w:val="0"/>
          <w:color w:val="000000"/>
          <w:sz w:val="32"/>
          <w:szCs w:val="32"/>
          <w:lang w:eastAsia="zh-CN"/>
        </w:rPr>
      </w:pPr>
      <w:r>
        <w:rPr>
          <w:rStyle w:val="19"/>
          <w:rFonts w:hint="eastAsia" w:ascii="仿宋" w:hAnsi="仿宋" w:eastAsia="仿宋"/>
          <w:b w:val="0"/>
          <w:bCs w:val="0"/>
          <w:color w:val="000000"/>
          <w:sz w:val="32"/>
          <w:szCs w:val="32"/>
          <w:lang w:val="en-US" w:eastAsia="zh-CN"/>
        </w:rPr>
        <w:t>4、</w:t>
      </w:r>
      <w:r>
        <w:rPr>
          <w:rStyle w:val="19"/>
          <w:rFonts w:hint="eastAsia" w:ascii="仿宋" w:hAnsi="仿宋" w:eastAsia="仿宋"/>
          <w:b w:val="0"/>
          <w:bCs w:val="0"/>
          <w:color w:val="000000"/>
          <w:sz w:val="32"/>
          <w:szCs w:val="32"/>
          <w:lang w:eastAsia="zh-CN"/>
        </w:rPr>
        <w:t>公共安全支出</w:t>
      </w:r>
      <w:r>
        <w:rPr>
          <w:rStyle w:val="19"/>
          <w:rFonts w:hint="eastAsia" w:ascii="仿宋" w:hAnsi="仿宋" w:eastAsia="仿宋"/>
          <w:b w:val="0"/>
          <w:bCs w:val="0"/>
          <w:color w:val="000000"/>
          <w:sz w:val="32"/>
          <w:szCs w:val="32"/>
        </w:rPr>
        <w:t>（类）</w:t>
      </w:r>
      <w:r>
        <w:rPr>
          <w:rStyle w:val="19"/>
          <w:rFonts w:hint="eastAsia" w:ascii="仿宋" w:hAnsi="仿宋" w:eastAsia="仿宋"/>
          <w:b w:val="0"/>
          <w:bCs w:val="0"/>
          <w:color w:val="000000"/>
          <w:sz w:val="32"/>
          <w:szCs w:val="32"/>
          <w:lang w:eastAsia="zh-CN"/>
        </w:rPr>
        <w:t>公安</w:t>
      </w:r>
      <w:r>
        <w:rPr>
          <w:rStyle w:val="19"/>
          <w:rFonts w:hint="eastAsia" w:ascii="仿宋" w:hAnsi="仿宋" w:eastAsia="仿宋"/>
          <w:b w:val="0"/>
          <w:bCs w:val="0"/>
          <w:color w:val="000000"/>
          <w:sz w:val="32"/>
          <w:szCs w:val="32"/>
        </w:rPr>
        <w:t>（款）</w:t>
      </w:r>
      <w:r>
        <w:rPr>
          <w:rStyle w:val="19"/>
          <w:rFonts w:hint="eastAsia" w:ascii="仿宋" w:hAnsi="仿宋" w:eastAsia="仿宋"/>
          <w:b w:val="0"/>
          <w:bCs w:val="0"/>
          <w:color w:val="000000"/>
          <w:sz w:val="32"/>
          <w:szCs w:val="32"/>
          <w:lang w:eastAsia="zh-CN"/>
        </w:rPr>
        <w:t>其他公安支出</w:t>
      </w:r>
      <w:r>
        <w:rPr>
          <w:rStyle w:val="19"/>
          <w:rFonts w:hint="eastAsia" w:ascii="仿宋" w:hAnsi="仿宋" w:eastAsia="仿宋"/>
          <w:b w:val="0"/>
          <w:bCs w:val="0"/>
          <w:color w:val="000000"/>
          <w:sz w:val="32"/>
          <w:szCs w:val="32"/>
          <w:lang w:val="en-US" w:eastAsia="zh-CN"/>
        </w:rPr>
        <w:t>(项)：支出</w:t>
      </w:r>
      <w:r>
        <w:rPr>
          <w:rStyle w:val="19"/>
          <w:rFonts w:hint="eastAsia" w:ascii="仿宋" w:hAnsi="仿宋" w:eastAsia="仿宋"/>
          <w:b w:val="0"/>
          <w:bCs w:val="0"/>
          <w:color w:val="000000"/>
          <w:sz w:val="32"/>
          <w:szCs w:val="32"/>
          <w:lang w:eastAsia="zh-CN"/>
        </w:rPr>
        <w:t>决算为</w:t>
      </w:r>
      <w:r>
        <w:rPr>
          <w:rStyle w:val="19"/>
          <w:rFonts w:hint="eastAsia" w:ascii="仿宋" w:hAnsi="仿宋" w:eastAsia="仿宋"/>
          <w:b w:val="0"/>
          <w:bCs w:val="0"/>
          <w:color w:val="000000"/>
          <w:sz w:val="32"/>
          <w:szCs w:val="32"/>
          <w:lang w:val="en-US" w:eastAsia="zh-CN"/>
        </w:rPr>
        <w:t>79.86万元，完成预算100%</w:t>
      </w:r>
      <w:r>
        <w:rPr>
          <w:rStyle w:val="19"/>
          <w:rFonts w:hint="eastAsia" w:ascii="仿宋" w:hAnsi="仿宋" w:eastAsia="仿宋"/>
          <w:b w:val="0"/>
          <w:bCs w:val="0"/>
          <w:color w:val="000000"/>
          <w:sz w:val="32"/>
          <w:szCs w:val="32"/>
          <w:lang w:eastAsia="zh-CN"/>
        </w:rPr>
        <w:t>。</w:t>
      </w:r>
    </w:p>
    <w:p>
      <w:pPr>
        <w:pageBreakBefore w:val="0"/>
        <w:kinsoku/>
        <w:wordWrap/>
        <w:overflowPunct/>
        <w:topLinePunct w:val="0"/>
        <w:bidi w:val="0"/>
        <w:spacing w:line="556" w:lineRule="exact"/>
        <w:ind w:left="0" w:leftChars="0" w:right="0" w:firstLine="640" w:firstLineChars="200"/>
        <w:rPr>
          <w:rStyle w:val="19"/>
          <w:rFonts w:hint="eastAsia" w:ascii="仿宋" w:hAnsi="仿宋" w:eastAsia="仿宋"/>
          <w:b w:val="0"/>
          <w:bCs w:val="0"/>
          <w:color w:val="000000"/>
          <w:sz w:val="32"/>
          <w:szCs w:val="32"/>
          <w:lang w:val="en-US" w:eastAsia="zh-CN"/>
        </w:rPr>
      </w:pPr>
      <w:r>
        <w:rPr>
          <w:rStyle w:val="19"/>
          <w:rFonts w:hint="eastAsia" w:ascii="仿宋" w:hAnsi="仿宋" w:eastAsia="仿宋"/>
          <w:b w:val="0"/>
          <w:bCs w:val="0"/>
          <w:color w:val="000000"/>
          <w:sz w:val="32"/>
          <w:szCs w:val="32"/>
          <w:lang w:val="en-US" w:eastAsia="zh-CN"/>
        </w:rPr>
        <w:t>5、</w:t>
      </w:r>
      <w:r>
        <w:rPr>
          <w:rStyle w:val="19"/>
          <w:rFonts w:hint="eastAsia" w:ascii="仿宋" w:hAnsi="仿宋" w:eastAsia="仿宋"/>
          <w:b w:val="0"/>
          <w:bCs w:val="0"/>
          <w:color w:val="000000"/>
          <w:sz w:val="32"/>
          <w:szCs w:val="32"/>
          <w:lang w:eastAsia="zh-CN"/>
        </w:rPr>
        <w:t>公共安全支出</w:t>
      </w:r>
      <w:r>
        <w:rPr>
          <w:rStyle w:val="19"/>
          <w:rFonts w:hint="eastAsia" w:ascii="仿宋" w:hAnsi="仿宋" w:eastAsia="仿宋"/>
          <w:b w:val="0"/>
          <w:bCs w:val="0"/>
          <w:color w:val="000000"/>
          <w:sz w:val="32"/>
          <w:szCs w:val="32"/>
        </w:rPr>
        <w:t>（类）</w:t>
      </w:r>
      <w:r>
        <w:rPr>
          <w:rStyle w:val="19"/>
          <w:rFonts w:hint="eastAsia" w:ascii="仿宋" w:hAnsi="仿宋" w:eastAsia="仿宋"/>
          <w:b w:val="0"/>
          <w:bCs w:val="0"/>
          <w:color w:val="000000"/>
          <w:sz w:val="32"/>
          <w:szCs w:val="32"/>
          <w:lang w:eastAsia="zh-CN"/>
        </w:rPr>
        <w:t>公安</w:t>
      </w:r>
      <w:r>
        <w:rPr>
          <w:rStyle w:val="19"/>
          <w:rFonts w:hint="eastAsia" w:ascii="仿宋" w:hAnsi="仿宋" w:eastAsia="仿宋"/>
          <w:b w:val="0"/>
          <w:bCs w:val="0"/>
          <w:color w:val="000000"/>
          <w:sz w:val="32"/>
          <w:szCs w:val="32"/>
        </w:rPr>
        <w:t>（款）</w:t>
      </w:r>
      <w:r>
        <w:rPr>
          <w:rStyle w:val="19"/>
          <w:rFonts w:hint="eastAsia" w:ascii="仿宋" w:hAnsi="仿宋" w:eastAsia="仿宋"/>
          <w:b w:val="0"/>
          <w:bCs w:val="0"/>
          <w:color w:val="000000"/>
          <w:sz w:val="32"/>
          <w:szCs w:val="32"/>
          <w:lang w:eastAsia="zh-CN"/>
        </w:rPr>
        <w:t>事业运行</w:t>
      </w:r>
      <w:r>
        <w:rPr>
          <w:rStyle w:val="19"/>
          <w:rFonts w:hint="eastAsia" w:ascii="仿宋" w:hAnsi="仿宋" w:eastAsia="仿宋"/>
          <w:b w:val="0"/>
          <w:bCs w:val="0"/>
          <w:color w:val="000000"/>
          <w:sz w:val="32"/>
          <w:szCs w:val="32"/>
          <w:lang w:val="en-US" w:eastAsia="zh-CN"/>
        </w:rPr>
        <w:t>(项)：</w:t>
      </w:r>
      <w:r>
        <w:rPr>
          <w:rStyle w:val="19"/>
          <w:rFonts w:hint="eastAsia" w:ascii="仿宋" w:hAnsi="仿宋" w:eastAsia="仿宋"/>
          <w:b w:val="0"/>
          <w:bCs w:val="0"/>
          <w:color w:val="000000"/>
          <w:sz w:val="32"/>
          <w:szCs w:val="32"/>
          <w:lang w:eastAsia="zh-CN"/>
        </w:rPr>
        <w:t>出决算</w:t>
      </w:r>
      <w:r>
        <w:rPr>
          <w:rStyle w:val="19"/>
          <w:rFonts w:hint="eastAsia" w:ascii="仿宋" w:hAnsi="仿宋" w:eastAsia="仿宋"/>
          <w:b w:val="0"/>
          <w:bCs w:val="0"/>
          <w:color w:val="000000"/>
          <w:sz w:val="32"/>
          <w:szCs w:val="32"/>
          <w:lang w:val="en-US" w:eastAsia="zh-CN"/>
        </w:rPr>
        <w:t>66.01万元，完成预算100%。</w:t>
      </w:r>
    </w:p>
    <w:p>
      <w:pPr>
        <w:pageBreakBefore w:val="0"/>
        <w:kinsoku/>
        <w:wordWrap/>
        <w:overflowPunct/>
        <w:topLinePunct w:val="0"/>
        <w:bidi w:val="0"/>
        <w:spacing w:line="556" w:lineRule="exact"/>
        <w:ind w:left="0" w:right="0" w:firstLine="640" w:firstLineChars="200"/>
        <w:textAlignment w:val="auto"/>
        <w:rPr>
          <w:rFonts w:ascii="仿宋" w:hAnsi="仿宋" w:eastAsia="仿宋"/>
          <w:b w:val="0"/>
          <w:bCs w:val="0"/>
          <w:color w:val="000000"/>
          <w:sz w:val="32"/>
          <w:szCs w:val="32"/>
        </w:rPr>
      </w:pPr>
      <w:r>
        <w:rPr>
          <w:rStyle w:val="19"/>
          <w:rFonts w:hint="eastAsia" w:ascii="仿宋" w:hAnsi="仿宋" w:eastAsia="仿宋"/>
          <w:b w:val="0"/>
          <w:bCs w:val="0"/>
          <w:color w:val="000000"/>
          <w:sz w:val="32"/>
          <w:szCs w:val="32"/>
          <w:lang w:val="en-US" w:eastAsia="zh-CN"/>
        </w:rPr>
        <w:t>6、</w:t>
      </w:r>
      <w:r>
        <w:rPr>
          <w:rStyle w:val="19"/>
          <w:rFonts w:hint="eastAsia" w:ascii="仿宋" w:hAnsi="仿宋" w:eastAsia="仿宋" w:cs="仿宋"/>
          <w:b w:val="0"/>
          <w:bCs w:val="0"/>
          <w:color w:val="000000"/>
          <w:sz w:val="32"/>
          <w:szCs w:val="32"/>
        </w:rPr>
        <w:t>社会保障和就业（类）</w:t>
      </w:r>
      <w:r>
        <w:rPr>
          <w:rStyle w:val="19"/>
          <w:rFonts w:hint="eastAsia" w:ascii="仿宋" w:hAnsi="仿宋" w:eastAsia="仿宋" w:cs="仿宋"/>
          <w:b w:val="0"/>
          <w:bCs w:val="0"/>
          <w:color w:val="000000"/>
          <w:sz w:val="32"/>
          <w:szCs w:val="32"/>
          <w:lang w:eastAsia="zh-CN"/>
        </w:rPr>
        <w:t>行政事业单位离退休</w:t>
      </w:r>
      <w:r>
        <w:rPr>
          <w:rStyle w:val="19"/>
          <w:rFonts w:hint="eastAsia" w:ascii="仿宋" w:hAnsi="仿宋" w:eastAsia="仿宋" w:cs="仿宋"/>
          <w:b w:val="0"/>
          <w:bCs w:val="0"/>
          <w:color w:val="000000"/>
          <w:sz w:val="32"/>
          <w:szCs w:val="32"/>
        </w:rPr>
        <w:t>（款）</w:t>
      </w:r>
      <w:r>
        <w:rPr>
          <w:rStyle w:val="19"/>
          <w:rFonts w:hint="eastAsia" w:ascii="仿宋" w:hAnsi="仿宋" w:eastAsia="仿宋" w:cs="仿宋"/>
          <w:b w:val="0"/>
          <w:bCs w:val="0"/>
          <w:color w:val="000000"/>
          <w:sz w:val="32"/>
          <w:szCs w:val="32"/>
          <w:lang w:eastAsia="zh-CN"/>
        </w:rPr>
        <w:t>机关事业单位基本养老保险缴费支出</w:t>
      </w:r>
      <w:r>
        <w:rPr>
          <w:rStyle w:val="19"/>
          <w:rFonts w:hint="eastAsia" w:ascii="仿宋" w:hAnsi="仿宋" w:eastAsia="仿宋" w:cs="仿宋"/>
          <w:b w:val="0"/>
          <w:bCs w:val="0"/>
          <w:color w:val="000000"/>
          <w:sz w:val="32"/>
          <w:szCs w:val="32"/>
        </w:rPr>
        <w:t>（项）</w:t>
      </w:r>
      <w:r>
        <w:rPr>
          <w:rStyle w:val="19"/>
          <w:rFonts w:ascii="仿宋" w:hAnsi="仿宋" w:eastAsia="仿宋" w:cs="仿宋"/>
          <w:b w:val="0"/>
          <w:bCs w:val="0"/>
          <w:color w:val="000000"/>
          <w:sz w:val="32"/>
          <w:szCs w:val="32"/>
        </w:rPr>
        <w:t xml:space="preserve">: </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27.50</w:t>
      </w:r>
      <w:r>
        <w:rPr>
          <w:rStyle w:val="19"/>
          <w:rFonts w:hint="eastAsia" w:ascii="仿宋" w:hAnsi="仿宋" w:eastAsia="仿宋" w:cs="仿宋"/>
          <w:b w:val="0"/>
          <w:bCs w:val="0"/>
          <w:color w:val="000000"/>
          <w:sz w:val="32"/>
          <w:szCs w:val="32"/>
        </w:rPr>
        <w:t>万元，完成预算</w:t>
      </w:r>
      <w:r>
        <w:rPr>
          <w:rStyle w:val="19"/>
          <w:rFonts w:hint="eastAsia" w:ascii="仿宋" w:hAnsi="仿宋" w:eastAsia="仿宋" w:cs="仿宋"/>
          <w:b w:val="0"/>
          <w:bCs w:val="0"/>
          <w:color w:val="000000"/>
          <w:sz w:val="32"/>
          <w:szCs w:val="32"/>
          <w:lang w:val="en-US" w:eastAsia="zh-CN"/>
        </w:rPr>
        <w:t>100%</w:t>
      </w:r>
      <w:r>
        <w:rPr>
          <w:rStyle w:val="19"/>
          <w:rFonts w:hint="eastAsia" w:ascii="仿宋" w:hAnsi="仿宋" w:eastAsia="仿宋" w:cs="仿宋"/>
          <w:b w:val="0"/>
          <w:bCs w:val="0"/>
          <w:color w:val="000000"/>
          <w:sz w:val="32"/>
          <w:szCs w:val="32"/>
        </w:rPr>
        <w:t>。</w:t>
      </w:r>
    </w:p>
    <w:p>
      <w:pPr>
        <w:pageBreakBefore w:val="0"/>
        <w:kinsoku/>
        <w:wordWrap/>
        <w:overflowPunct/>
        <w:topLinePunct w:val="0"/>
        <w:bidi w:val="0"/>
        <w:spacing w:line="556" w:lineRule="exact"/>
        <w:ind w:left="0" w:right="0" w:firstLine="640" w:firstLineChars="200"/>
        <w:textAlignment w:val="auto"/>
        <w:rPr>
          <w:rFonts w:ascii="仿宋" w:hAnsi="仿宋" w:eastAsia="仿宋"/>
          <w:b w:val="0"/>
          <w:bCs w:val="0"/>
          <w:color w:val="000000"/>
          <w:sz w:val="32"/>
          <w:szCs w:val="32"/>
        </w:rPr>
      </w:pPr>
      <w:r>
        <w:rPr>
          <w:rStyle w:val="19"/>
          <w:rFonts w:hint="eastAsia" w:ascii="仿宋" w:hAnsi="仿宋" w:eastAsia="仿宋" w:cs="仿宋"/>
          <w:b w:val="0"/>
          <w:bCs w:val="0"/>
          <w:color w:val="000000"/>
          <w:sz w:val="32"/>
          <w:szCs w:val="32"/>
          <w:lang w:val="en-US" w:eastAsia="zh-CN"/>
        </w:rPr>
        <w:t>7</w:t>
      </w:r>
      <w:r>
        <w:rPr>
          <w:rStyle w:val="19"/>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卫生健康</w:t>
      </w:r>
      <w:r>
        <w:rPr>
          <w:rStyle w:val="19"/>
          <w:rFonts w:hint="eastAsia" w:ascii="仿宋" w:hAnsi="仿宋" w:eastAsia="仿宋" w:cs="仿宋"/>
          <w:b w:val="0"/>
          <w:bCs w:val="0"/>
          <w:color w:val="000000"/>
          <w:sz w:val="32"/>
          <w:szCs w:val="32"/>
        </w:rPr>
        <w:t>（类）</w:t>
      </w:r>
      <w:r>
        <w:rPr>
          <w:rStyle w:val="19"/>
          <w:rFonts w:hint="eastAsia" w:ascii="仿宋" w:hAnsi="仿宋" w:eastAsia="仿宋" w:cs="仿宋"/>
          <w:b w:val="0"/>
          <w:bCs w:val="0"/>
          <w:color w:val="000000"/>
          <w:sz w:val="32"/>
          <w:szCs w:val="32"/>
          <w:lang w:eastAsia="zh-CN"/>
        </w:rPr>
        <w:t>行政事业单位医疗</w:t>
      </w:r>
      <w:r>
        <w:rPr>
          <w:rStyle w:val="19"/>
          <w:rFonts w:hint="eastAsia" w:ascii="仿宋" w:hAnsi="仿宋" w:eastAsia="仿宋" w:cs="仿宋"/>
          <w:b w:val="0"/>
          <w:bCs w:val="0"/>
          <w:color w:val="000000"/>
          <w:sz w:val="32"/>
          <w:szCs w:val="32"/>
        </w:rPr>
        <w:t>（款）</w:t>
      </w:r>
      <w:r>
        <w:rPr>
          <w:rStyle w:val="19"/>
          <w:rFonts w:hint="eastAsia" w:ascii="仿宋" w:hAnsi="仿宋" w:eastAsia="仿宋" w:cs="仿宋"/>
          <w:b w:val="0"/>
          <w:bCs w:val="0"/>
          <w:color w:val="000000"/>
          <w:sz w:val="32"/>
          <w:szCs w:val="32"/>
          <w:lang w:eastAsia="zh-CN"/>
        </w:rPr>
        <w:t>行政单位医疗</w:t>
      </w:r>
      <w:r>
        <w:rPr>
          <w:rStyle w:val="19"/>
          <w:rFonts w:hint="eastAsia" w:ascii="仿宋" w:hAnsi="仿宋" w:eastAsia="仿宋" w:cs="仿宋"/>
          <w:b w:val="0"/>
          <w:bCs w:val="0"/>
          <w:color w:val="000000"/>
          <w:sz w:val="32"/>
          <w:szCs w:val="32"/>
        </w:rPr>
        <w:t>（项）</w:t>
      </w:r>
      <w:r>
        <w:rPr>
          <w:rStyle w:val="19"/>
          <w:rFonts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13.75</w:t>
      </w:r>
      <w:r>
        <w:rPr>
          <w:rStyle w:val="19"/>
          <w:rFonts w:hint="eastAsia" w:ascii="仿宋" w:hAnsi="仿宋" w:eastAsia="仿宋" w:cs="仿宋"/>
          <w:b w:val="0"/>
          <w:bCs w:val="0"/>
          <w:color w:val="000000"/>
          <w:sz w:val="32"/>
          <w:szCs w:val="32"/>
        </w:rPr>
        <w:t>万元，完成预算</w:t>
      </w:r>
      <w:r>
        <w:rPr>
          <w:rStyle w:val="19"/>
          <w:rFonts w:hint="eastAsia" w:ascii="仿宋" w:hAnsi="仿宋" w:eastAsia="仿宋" w:cs="仿宋"/>
          <w:b w:val="0"/>
          <w:bCs w:val="0"/>
          <w:color w:val="000000"/>
          <w:sz w:val="32"/>
          <w:szCs w:val="32"/>
          <w:lang w:val="en-US" w:eastAsia="zh-CN"/>
        </w:rPr>
        <w:t>100</w:t>
      </w:r>
      <w:r>
        <w:rPr>
          <w:rStyle w:val="19"/>
          <w:rFonts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rPr>
        <w:t>。</w:t>
      </w:r>
    </w:p>
    <w:p>
      <w:pPr>
        <w:pageBreakBefore w:val="0"/>
        <w:kinsoku/>
        <w:wordWrap/>
        <w:overflowPunct/>
        <w:topLinePunct w:val="0"/>
        <w:bidi w:val="0"/>
        <w:spacing w:line="556" w:lineRule="exact"/>
        <w:ind w:left="0" w:leftChars="0" w:right="0" w:firstLine="640" w:firstLineChars="200"/>
        <w:rPr>
          <w:rFonts w:ascii="仿宋" w:hAnsi="仿宋" w:eastAsia="仿宋"/>
          <w:b w:val="0"/>
          <w:bCs w:val="0"/>
          <w:color w:val="000000"/>
          <w:sz w:val="32"/>
          <w:szCs w:val="32"/>
        </w:rPr>
      </w:pPr>
      <w:r>
        <w:rPr>
          <w:rStyle w:val="19"/>
          <w:rFonts w:hint="eastAsia" w:ascii="仿宋" w:hAnsi="仿宋" w:eastAsia="仿宋" w:cs="仿宋"/>
          <w:b w:val="0"/>
          <w:bCs w:val="0"/>
          <w:color w:val="000000"/>
          <w:sz w:val="32"/>
          <w:szCs w:val="32"/>
          <w:lang w:val="en-US" w:eastAsia="zh-CN"/>
        </w:rPr>
        <w:t>8、</w:t>
      </w:r>
      <w:r>
        <w:rPr>
          <w:rStyle w:val="19"/>
          <w:rFonts w:hint="eastAsia" w:ascii="仿宋" w:hAnsi="仿宋" w:eastAsia="仿宋" w:cs="仿宋"/>
          <w:b w:val="0"/>
          <w:bCs w:val="0"/>
          <w:color w:val="000000"/>
          <w:sz w:val="32"/>
          <w:szCs w:val="32"/>
          <w:lang w:eastAsia="zh-CN"/>
        </w:rPr>
        <w:t>住房保障支出</w:t>
      </w:r>
      <w:r>
        <w:rPr>
          <w:rStyle w:val="19"/>
          <w:rFonts w:hint="eastAsia" w:ascii="仿宋" w:hAnsi="仿宋" w:eastAsia="仿宋" w:cs="仿宋"/>
          <w:b w:val="0"/>
          <w:bCs w:val="0"/>
          <w:color w:val="000000"/>
          <w:sz w:val="32"/>
          <w:szCs w:val="32"/>
        </w:rPr>
        <w:t>（类）</w:t>
      </w:r>
      <w:r>
        <w:rPr>
          <w:rStyle w:val="19"/>
          <w:rFonts w:hint="eastAsia" w:ascii="仿宋" w:hAnsi="仿宋" w:eastAsia="仿宋" w:cs="仿宋"/>
          <w:b w:val="0"/>
          <w:bCs w:val="0"/>
          <w:color w:val="000000"/>
          <w:sz w:val="32"/>
          <w:szCs w:val="32"/>
          <w:lang w:eastAsia="zh-CN"/>
        </w:rPr>
        <w:t>住房改革支出</w:t>
      </w:r>
      <w:r>
        <w:rPr>
          <w:rStyle w:val="19"/>
          <w:rFonts w:hint="eastAsia" w:ascii="仿宋" w:hAnsi="仿宋" w:eastAsia="仿宋" w:cs="仿宋"/>
          <w:b w:val="0"/>
          <w:bCs w:val="0"/>
          <w:color w:val="000000"/>
          <w:sz w:val="32"/>
          <w:szCs w:val="32"/>
        </w:rPr>
        <w:t>（款）</w:t>
      </w:r>
      <w:r>
        <w:rPr>
          <w:rStyle w:val="19"/>
          <w:rFonts w:hint="eastAsia" w:ascii="仿宋" w:hAnsi="仿宋" w:eastAsia="仿宋" w:cs="仿宋"/>
          <w:b w:val="0"/>
          <w:bCs w:val="0"/>
          <w:color w:val="000000"/>
          <w:sz w:val="32"/>
          <w:szCs w:val="32"/>
          <w:lang w:eastAsia="zh-CN"/>
        </w:rPr>
        <w:t>住房公积金</w:t>
      </w:r>
      <w:r>
        <w:rPr>
          <w:rStyle w:val="19"/>
          <w:rFonts w:hint="eastAsia" w:ascii="仿宋" w:hAnsi="仿宋" w:eastAsia="仿宋" w:cs="仿宋"/>
          <w:b w:val="0"/>
          <w:bCs w:val="0"/>
          <w:color w:val="000000"/>
          <w:sz w:val="32"/>
          <w:szCs w:val="32"/>
        </w:rPr>
        <w:t>（项）</w:t>
      </w:r>
      <w:r>
        <w:rPr>
          <w:rStyle w:val="19"/>
          <w:rFonts w:ascii="仿宋" w:hAnsi="仿宋" w:eastAsia="仿宋" w:cs="仿宋"/>
          <w:b w:val="0"/>
          <w:bCs w:val="0"/>
          <w:color w:val="000000"/>
          <w:sz w:val="32"/>
          <w:szCs w:val="32"/>
        </w:rPr>
        <w:t xml:space="preserve">: </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20.62</w:t>
      </w:r>
      <w:r>
        <w:rPr>
          <w:rStyle w:val="19"/>
          <w:rFonts w:hint="eastAsia" w:ascii="仿宋" w:hAnsi="仿宋" w:eastAsia="仿宋" w:cs="仿宋"/>
          <w:b w:val="0"/>
          <w:bCs w:val="0"/>
          <w:color w:val="000000"/>
          <w:sz w:val="32"/>
          <w:szCs w:val="32"/>
        </w:rPr>
        <w:t>万元，完成预算</w:t>
      </w:r>
      <w:r>
        <w:rPr>
          <w:rStyle w:val="19"/>
          <w:rFonts w:hint="eastAsia" w:ascii="仿宋" w:hAnsi="仿宋" w:eastAsia="仿宋" w:cs="仿宋"/>
          <w:b w:val="0"/>
          <w:bCs w:val="0"/>
          <w:color w:val="000000"/>
          <w:sz w:val="32"/>
          <w:szCs w:val="32"/>
          <w:lang w:val="en-US" w:eastAsia="zh-CN"/>
        </w:rPr>
        <w:t>100</w:t>
      </w:r>
      <w:r>
        <w:rPr>
          <w:rStyle w:val="19"/>
          <w:rFonts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rPr>
        <w:t>。</w:t>
      </w:r>
    </w:p>
    <w:p>
      <w:pPr>
        <w:pageBreakBefore w:val="0"/>
        <w:tabs>
          <w:tab w:val="right" w:pos="8306"/>
        </w:tabs>
        <w:wordWrap/>
        <w:overflowPunct/>
        <w:bidi w:val="0"/>
        <w:spacing w:line="560" w:lineRule="exact"/>
        <w:ind w:left="0" w:leftChars="0" w:right="0" w:firstLine="640" w:firstLineChars="200"/>
        <w:outlineLvl w:val="1"/>
        <w:rPr>
          <w:rStyle w:val="30"/>
        </w:rPr>
      </w:pPr>
      <w:bookmarkStart w:id="37" w:name="_Toc15377214"/>
      <w:bookmarkStart w:id="38"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7"/>
      <w:bookmarkEnd w:id="38"/>
      <w:r>
        <w:rPr>
          <w:rStyle w:val="30"/>
          <w:rFonts w:ascii="黑体" w:hAnsi="黑体" w:eastAsia="黑体"/>
          <w:b w:val="0"/>
        </w:rPr>
        <w:tab/>
      </w:r>
    </w:p>
    <w:p>
      <w:pPr>
        <w:pageBreakBefore w:val="0"/>
        <w:wordWrap/>
        <w:overflowPunct/>
        <w:bidi w:val="0"/>
        <w:spacing w:line="560" w:lineRule="exact"/>
        <w:ind w:left="0" w:leftChars="0" w:right="0"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430.50</w:t>
      </w:r>
      <w:r>
        <w:rPr>
          <w:rFonts w:hint="eastAsia" w:ascii="仿宋" w:hAnsi="仿宋" w:eastAsia="仿宋"/>
          <w:sz w:val="32"/>
          <w:szCs w:val="32"/>
        </w:rPr>
        <w:t>万元，其中：</w:t>
      </w:r>
    </w:p>
    <w:p>
      <w:pPr>
        <w:pageBreakBefore w:val="0"/>
        <w:wordWrap/>
        <w:overflowPunct/>
        <w:bidi w:val="0"/>
        <w:spacing w:line="560" w:lineRule="exact"/>
        <w:ind w:left="0" w:leftChars="0" w:right="0"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363.83</w:t>
      </w:r>
      <w:r>
        <w:rPr>
          <w:rFonts w:hint="eastAsia" w:ascii="仿宋" w:hAnsi="仿宋" w:eastAsia="仿宋"/>
          <w:sz w:val="32"/>
          <w:szCs w:val="32"/>
        </w:rPr>
        <w:t>万元，主要包括：基本工资、津贴补贴、奖金、绩效工资、机关事业单位基本养老保险缴费、其他社会保障缴费、其他工资福利支出、</w:t>
      </w:r>
      <w:r>
        <w:rPr>
          <w:rFonts w:hint="eastAsia" w:ascii="仿宋" w:hAnsi="仿宋" w:eastAsia="仿宋"/>
          <w:sz w:val="32"/>
          <w:szCs w:val="32"/>
          <w:lang w:eastAsia="zh-CN"/>
        </w:rPr>
        <w:t>生活补助</w:t>
      </w:r>
      <w:r>
        <w:rPr>
          <w:rFonts w:hint="eastAsia" w:ascii="仿宋" w:hAnsi="仿宋" w:eastAsia="仿宋"/>
          <w:sz w:val="32"/>
          <w:szCs w:val="32"/>
        </w:rPr>
        <w:t>、奖励金、住房公积金、其他对个人和家庭的补助支出等。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62.81</w:t>
      </w:r>
      <w:r>
        <w:rPr>
          <w:rFonts w:hint="eastAsia" w:ascii="仿宋" w:hAnsi="仿宋" w:eastAsia="仿宋"/>
          <w:sz w:val="32"/>
          <w:szCs w:val="32"/>
        </w:rPr>
        <w:t>万元，主要包括：办公费、印刷费、水费、电费、邮电费、物业管理费、</w:t>
      </w:r>
      <w:r>
        <w:rPr>
          <w:rFonts w:hint="eastAsia" w:ascii="仿宋" w:hAnsi="仿宋" w:eastAsia="仿宋"/>
          <w:sz w:val="32"/>
          <w:szCs w:val="32"/>
          <w:lang w:eastAsia="zh-CN"/>
        </w:rPr>
        <w:t>维护费、</w:t>
      </w:r>
      <w:r>
        <w:rPr>
          <w:rFonts w:hint="eastAsia" w:ascii="仿宋" w:hAnsi="仿宋" w:eastAsia="仿宋"/>
          <w:sz w:val="32"/>
          <w:szCs w:val="32"/>
        </w:rPr>
        <w:t>差旅费、会议费、公务接待费、工会经费、福利费、其他交通费、其他商品和服务支出等。</w:t>
      </w:r>
    </w:p>
    <w:p>
      <w:pPr>
        <w:pageBreakBefore w:val="0"/>
        <w:wordWrap/>
        <w:overflowPunct/>
        <w:bidi w:val="0"/>
        <w:spacing w:line="560" w:lineRule="exact"/>
        <w:ind w:left="0" w:leftChars="0" w:right="0" w:firstLine="640" w:firstLineChars="200"/>
        <w:outlineLvl w:val="1"/>
        <w:rPr>
          <w:rStyle w:val="30"/>
          <w:rFonts w:ascii="黑体" w:hAnsi="黑体" w:eastAsia="黑体"/>
          <w:b w:val="0"/>
        </w:rPr>
      </w:pPr>
      <w:bookmarkStart w:id="39" w:name="_Toc15377215"/>
      <w:bookmarkStart w:id="40" w:name="_Toc15396609"/>
      <w:r>
        <w:rPr>
          <w:rFonts w:hint="eastAsia" w:ascii="黑体" w:eastAsia="黑体"/>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39"/>
      <w:bookmarkEnd w:id="40"/>
    </w:p>
    <w:p>
      <w:pPr>
        <w:pageBreakBefore w:val="0"/>
        <w:wordWrap/>
        <w:overflowPunct/>
        <w:bidi w:val="0"/>
        <w:spacing w:line="560" w:lineRule="exact"/>
        <w:ind w:left="0" w:leftChars="0" w:right="0" w:firstLine="640" w:firstLineChars="200"/>
        <w:outlineLvl w:val="2"/>
        <w:rPr>
          <w:rFonts w:ascii="仿宋" w:hAnsi="仿宋" w:eastAsia="仿宋"/>
          <w:b/>
          <w:sz w:val="32"/>
          <w:szCs w:val="32"/>
        </w:rPr>
      </w:pPr>
      <w:bookmarkStart w:id="41" w:name="_Toc15377216"/>
      <w:r>
        <w:rPr>
          <w:rFonts w:hint="eastAsia" w:ascii="楷体" w:hAnsi="楷体" w:eastAsia="楷体" w:cs="楷体"/>
          <w:bCs/>
          <w:sz w:val="32"/>
          <w:szCs w:val="32"/>
        </w:rPr>
        <w:t>（一）“三公”经费财政拨款支出决算总体情况说明</w:t>
      </w:r>
      <w:bookmarkEnd w:id="41"/>
    </w:p>
    <w:p>
      <w:pPr>
        <w:pageBreakBefore w:val="0"/>
        <w:wordWrap/>
        <w:overflowPunct/>
        <w:bidi w:val="0"/>
        <w:spacing w:line="560" w:lineRule="exact"/>
        <w:ind w:left="0" w:leftChars="0" w:right="0" w:firstLine="640" w:firstLineChars="20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8.96</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楷体" w:hAnsi="楷体" w:eastAsia="楷体" w:cs="楷体"/>
          <w:bCs/>
          <w:sz w:val="32"/>
          <w:szCs w:val="32"/>
        </w:rPr>
      </w:pPr>
      <w:bookmarkStart w:id="42" w:name="_Toc15377217"/>
      <w:r>
        <w:rPr>
          <w:rFonts w:hint="eastAsia" w:ascii="楷体" w:hAnsi="楷体" w:eastAsia="楷体" w:cs="楷体"/>
          <w:bCs/>
          <w:sz w:val="32"/>
          <w:szCs w:val="32"/>
        </w:rPr>
        <w:t>（二）“三公”经费财政拨款支出决算具体情况说明</w:t>
      </w:r>
      <w:bookmarkEnd w:id="42"/>
    </w:p>
    <w:p>
      <w:pPr>
        <w:pageBreakBefore w:val="0"/>
        <w:wordWrap/>
        <w:overflowPunct/>
        <w:bidi w:val="0"/>
        <w:spacing w:line="560" w:lineRule="exact"/>
        <w:ind w:left="0" w:leftChars="0" w:right="0"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8.96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ageBreakBefore w:val="0"/>
        <w:wordWrap/>
        <w:overflowPunct/>
        <w:bidi w:val="0"/>
        <w:spacing w:line="560" w:lineRule="exact"/>
        <w:ind w:left="0" w:leftChars="0" w:right="0" w:firstLine="640" w:firstLineChars="200"/>
        <w:rPr>
          <w:rFonts w:ascii="仿宋_GB2312" w:eastAsia="仿宋_GB2312"/>
          <w:b w:val="0"/>
          <w:bCs/>
          <w:sz w:val="32"/>
          <w:szCs w:val="32"/>
        </w:rPr>
      </w:pPr>
      <w:r>
        <w:rPr>
          <w:rFonts w:hint="eastAsia" w:ascii="仿宋_GB2312" w:eastAsia="仿宋_GB2312"/>
          <w:b w:val="0"/>
          <w:bCs/>
          <w:sz w:val="32"/>
          <w:szCs w:val="32"/>
        </w:rPr>
        <w:t>公务接待费支出</w:t>
      </w:r>
      <w:r>
        <w:rPr>
          <w:rFonts w:hint="eastAsia" w:ascii="仿宋_GB2312" w:eastAsia="仿宋_GB2312"/>
          <w:b w:val="0"/>
          <w:bCs/>
          <w:sz w:val="32"/>
          <w:szCs w:val="32"/>
          <w:lang w:val="en-US" w:eastAsia="zh-CN"/>
        </w:rPr>
        <w:t>8.96</w:t>
      </w:r>
      <w:r>
        <w:rPr>
          <w:rFonts w:hint="eastAsia" w:ascii="仿宋_GB2312" w:eastAsia="仿宋_GB2312"/>
          <w:b w:val="0"/>
          <w:bCs/>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b w:val="0"/>
          <w:bCs/>
          <w:sz w:val="32"/>
          <w:szCs w:val="32"/>
        </w:rPr>
        <w:t>公务接待费支出决算比</w:t>
      </w:r>
      <w:r>
        <w:rPr>
          <w:rFonts w:ascii="仿宋_GB2312" w:eastAsia="仿宋_GB2312"/>
          <w:b w:val="0"/>
          <w:bCs/>
          <w:sz w:val="32"/>
          <w:szCs w:val="32"/>
        </w:rPr>
        <w:t>20</w:t>
      </w:r>
      <w:r>
        <w:rPr>
          <w:rFonts w:hint="eastAsia" w:ascii="仿宋_GB2312" w:eastAsia="仿宋_GB2312"/>
          <w:b w:val="0"/>
          <w:bCs/>
          <w:sz w:val="32"/>
          <w:szCs w:val="32"/>
        </w:rPr>
        <w:t>2</w:t>
      </w:r>
      <w:r>
        <w:rPr>
          <w:rFonts w:hint="eastAsia" w:ascii="仿宋_GB2312" w:eastAsia="仿宋_GB2312"/>
          <w:b w:val="0"/>
          <w:bCs/>
          <w:sz w:val="32"/>
          <w:szCs w:val="32"/>
          <w:lang w:val="en-US" w:eastAsia="zh-CN"/>
        </w:rPr>
        <w:t>1</w:t>
      </w:r>
      <w:r>
        <w:rPr>
          <w:rFonts w:hint="eastAsia" w:ascii="仿宋_GB2312" w:eastAsia="仿宋_GB2312"/>
          <w:b w:val="0"/>
          <w:bCs/>
          <w:sz w:val="32"/>
          <w:szCs w:val="32"/>
        </w:rPr>
        <w:t>年</w:t>
      </w:r>
      <w:r>
        <w:rPr>
          <w:rFonts w:hint="eastAsia" w:ascii="仿宋_GB2312" w:eastAsia="仿宋_GB2312"/>
          <w:b w:val="0"/>
          <w:bCs/>
          <w:sz w:val="32"/>
          <w:szCs w:val="32"/>
          <w:lang w:eastAsia="zh-CN"/>
        </w:rPr>
        <w:t>增加</w:t>
      </w:r>
      <w:r>
        <w:rPr>
          <w:rFonts w:hint="eastAsia" w:ascii="仿宋_GB2312" w:eastAsia="仿宋_GB2312"/>
          <w:b w:val="0"/>
          <w:bCs/>
          <w:sz w:val="32"/>
          <w:szCs w:val="32"/>
          <w:lang w:val="en-US" w:eastAsia="zh-CN"/>
        </w:rPr>
        <w:t>0.06</w:t>
      </w:r>
      <w:r>
        <w:rPr>
          <w:rFonts w:hint="eastAsia" w:ascii="仿宋_GB2312" w:eastAsia="仿宋_GB2312"/>
          <w:b w:val="0"/>
          <w:bCs/>
          <w:sz w:val="32"/>
          <w:szCs w:val="32"/>
        </w:rPr>
        <w:t>万元，</w:t>
      </w:r>
      <w:r>
        <w:rPr>
          <w:rFonts w:hint="eastAsia" w:ascii="仿宋_GB2312" w:eastAsia="仿宋_GB2312"/>
          <w:b w:val="0"/>
          <w:bCs/>
          <w:sz w:val="32"/>
          <w:szCs w:val="32"/>
          <w:lang w:eastAsia="zh-CN"/>
        </w:rPr>
        <w:t>增长</w:t>
      </w:r>
      <w:r>
        <w:rPr>
          <w:rFonts w:hint="eastAsia" w:ascii="仿宋_GB2312" w:eastAsia="仿宋_GB2312"/>
          <w:b w:val="0"/>
          <w:bCs/>
          <w:sz w:val="32"/>
          <w:szCs w:val="32"/>
          <w:lang w:val="en-US" w:eastAsia="zh-CN"/>
        </w:rPr>
        <w:t>0.67</w:t>
      </w:r>
      <w:r>
        <w:rPr>
          <w:rFonts w:ascii="仿宋_GB2312" w:eastAsia="仿宋_GB2312"/>
          <w:b w:val="0"/>
          <w:bCs/>
          <w:sz w:val="32"/>
          <w:szCs w:val="32"/>
        </w:rPr>
        <w:t>%</w:t>
      </w:r>
      <w:r>
        <w:rPr>
          <w:rFonts w:hint="eastAsia" w:ascii="仿宋_GB2312" w:eastAsia="仿宋_GB2312"/>
          <w:b w:val="0"/>
          <w:bCs/>
          <w:sz w:val="32"/>
          <w:szCs w:val="32"/>
        </w:rPr>
        <w:t>。其中：</w:t>
      </w:r>
    </w:p>
    <w:p>
      <w:pPr>
        <w:pageBreakBefore w:val="0"/>
        <w:wordWrap/>
        <w:overflowPunct/>
        <w:bidi w:val="0"/>
        <w:spacing w:line="560" w:lineRule="exact"/>
        <w:ind w:left="0" w:leftChars="0" w:right="0" w:firstLine="640" w:firstLineChars="200"/>
        <w:rPr>
          <w:rFonts w:ascii="仿宋_GB2312" w:eastAsia="仿宋_GB2312"/>
          <w:sz w:val="32"/>
          <w:szCs w:val="32"/>
        </w:rPr>
      </w:pPr>
      <w:r>
        <w:rPr>
          <w:rFonts w:hint="eastAsia" w:ascii="仿宋" w:hAnsi="仿宋" w:eastAsia="仿宋"/>
          <w:b w:val="0"/>
          <w:bCs/>
          <w:sz w:val="32"/>
          <w:szCs w:val="32"/>
        </w:rPr>
        <w:t>国内公务接待支出</w:t>
      </w:r>
      <w:r>
        <w:rPr>
          <w:rFonts w:hint="eastAsia" w:ascii="仿宋" w:hAnsi="仿宋" w:eastAsia="仿宋"/>
          <w:sz w:val="32"/>
          <w:szCs w:val="32"/>
          <w:lang w:val="en-US" w:eastAsia="zh-CN"/>
        </w:rPr>
        <w:t>8.96</w:t>
      </w:r>
      <w:r>
        <w:rPr>
          <w:rFonts w:hint="eastAsia" w:ascii="仿宋_GB2312" w:eastAsia="仿宋_GB2312"/>
          <w:sz w:val="32"/>
          <w:szCs w:val="32"/>
        </w:rPr>
        <w:t>万元，主要用于</w:t>
      </w:r>
      <w:r>
        <w:rPr>
          <w:rFonts w:hint="eastAsia" w:ascii="仿宋_GB2312" w:eastAsia="仿宋_GB2312" w:cs="仿宋_GB2312"/>
          <w:b w:val="0"/>
          <w:bCs/>
          <w:color w:val="000000"/>
          <w:sz w:val="32"/>
          <w:szCs w:val="32"/>
        </w:rPr>
        <w:t>主要用于</w:t>
      </w:r>
      <w:r>
        <w:rPr>
          <w:rFonts w:hint="eastAsia" w:ascii="仿宋_GB2312" w:eastAsia="仿宋_GB2312" w:cs="仿宋_GB2312"/>
          <w:b w:val="0"/>
          <w:bCs/>
          <w:color w:val="000000"/>
          <w:sz w:val="32"/>
          <w:szCs w:val="32"/>
          <w:lang w:eastAsia="zh-CN"/>
        </w:rPr>
        <w:t>扫黑除恶斗争、综治维稳工作、国家安全、政治安全及政法工作等</w:t>
      </w:r>
      <w:r>
        <w:rPr>
          <w:rFonts w:hint="eastAsia" w:ascii="仿宋_GB2312" w:eastAsia="仿宋_GB2312" w:cs="仿宋_GB2312"/>
          <w:b w:val="0"/>
          <w:bCs/>
          <w:color w:val="000000"/>
          <w:sz w:val="32"/>
          <w:szCs w:val="32"/>
        </w:rPr>
        <w:t>执行公务、开展业务活动</w:t>
      </w:r>
      <w:r>
        <w:rPr>
          <w:rFonts w:hint="eastAsia" w:ascii="仿宋_GB2312" w:eastAsia="仿宋_GB2312" w:cs="仿宋_GB2312"/>
          <w:b w:val="0"/>
          <w:bCs/>
          <w:color w:val="000000"/>
          <w:sz w:val="32"/>
          <w:szCs w:val="32"/>
          <w:lang w:eastAsia="zh-CN"/>
        </w:rPr>
        <w:t>过程中</w:t>
      </w:r>
      <w:r>
        <w:rPr>
          <w:rFonts w:hint="eastAsia" w:ascii="仿宋_GB2312" w:eastAsia="仿宋_GB2312" w:cs="仿宋_GB2312"/>
          <w:b w:val="0"/>
          <w:bCs/>
          <w:color w:val="000000"/>
          <w:sz w:val="32"/>
          <w:szCs w:val="32"/>
        </w:rPr>
        <w:t>开支的交通费、住宿费、用餐费等。国内公务接待</w:t>
      </w:r>
      <w:r>
        <w:rPr>
          <w:rFonts w:hint="eastAsia" w:ascii="仿宋_GB2312" w:eastAsia="仿宋_GB2312" w:cs="仿宋_GB2312"/>
          <w:b w:val="0"/>
          <w:bCs/>
          <w:color w:val="000000"/>
          <w:sz w:val="32"/>
          <w:szCs w:val="32"/>
          <w:lang w:val="en-US" w:eastAsia="zh-CN"/>
        </w:rPr>
        <w:t>109</w:t>
      </w:r>
      <w:r>
        <w:rPr>
          <w:rFonts w:hint="eastAsia" w:ascii="仿宋_GB2312" w:eastAsia="仿宋_GB2312" w:cs="仿宋_GB2312"/>
          <w:b w:val="0"/>
          <w:bCs/>
          <w:color w:val="000000"/>
          <w:sz w:val="32"/>
          <w:szCs w:val="32"/>
        </w:rPr>
        <w:t>批次，</w:t>
      </w:r>
      <w:r>
        <w:rPr>
          <w:rFonts w:hint="eastAsia" w:ascii="仿宋_GB2312" w:eastAsia="仿宋_GB2312" w:cs="仿宋_GB2312"/>
          <w:b w:val="0"/>
          <w:bCs/>
          <w:color w:val="000000"/>
          <w:sz w:val="32"/>
          <w:szCs w:val="32"/>
          <w:lang w:val="en-US" w:eastAsia="zh-CN"/>
        </w:rPr>
        <w:t>1256</w:t>
      </w:r>
      <w:r>
        <w:rPr>
          <w:rFonts w:hint="eastAsia" w:ascii="仿宋_GB2312" w:eastAsia="仿宋_GB2312" w:cs="仿宋_GB2312"/>
          <w:b w:val="0"/>
          <w:bCs/>
          <w:color w:val="000000"/>
          <w:sz w:val="32"/>
          <w:szCs w:val="32"/>
        </w:rPr>
        <w:t>人次（不包括陪同人员），共计支出</w:t>
      </w:r>
      <w:r>
        <w:rPr>
          <w:rFonts w:hint="eastAsia" w:ascii="仿宋_GB2312" w:eastAsia="仿宋_GB2312" w:cs="仿宋_GB2312"/>
          <w:b w:val="0"/>
          <w:bCs/>
          <w:color w:val="000000"/>
          <w:sz w:val="32"/>
          <w:szCs w:val="32"/>
          <w:lang w:val="en-US" w:eastAsia="zh-CN"/>
        </w:rPr>
        <w:t>8.96</w:t>
      </w:r>
      <w:r>
        <w:rPr>
          <w:rFonts w:hint="eastAsia" w:ascii="仿宋_GB2312" w:eastAsia="仿宋_GB2312" w:cs="仿宋_GB2312"/>
          <w:b w:val="0"/>
          <w:bCs/>
          <w:color w:val="000000"/>
          <w:sz w:val="32"/>
          <w:szCs w:val="32"/>
        </w:rPr>
        <w:t>万元，具体内容包括：</w:t>
      </w:r>
      <w:r>
        <w:rPr>
          <w:rFonts w:hint="eastAsia" w:ascii="仿宋_GB2312" w:eastAsia="仿宋_GB2312" w:cs="仿宋_GB2312"/>
          <w:b w:val="0"/>
          <w:bCs/>
          <w:color w:val="000000"/>
          <w:sz w:val="32"/>
          <w:szCs w:val="32"/>
          <w:lang w:eastAsia="zh-CN"/>
        </w:rPr>
        <w:t>扫黑除恶专项斗争、综治维稳工作、国家安全及政法工作等</w:t>
      </w:r>
      <w:r>
        <w:rPr>
          <w:rFonts w:hint="eastAsia" w:ascii="仿宋_GB2312" w:eastAsia="仿宋_GB2312" w:cs="仿宋_GB2312"/>
          <w:b w:val="0"/>
          <w:bCs/>
          <w:color w:val="000000"/>
          <w:sz w:val="32"/>
          <w:szCs w:val="32"/>
        </w:rPr>
        <w:t>执行公务开展业务</w:t>
      </w:r>
      <w:r>
        <w:rPr>
          <w:rFonts w:hint="eastAsia" w:ascii="仿宋_GB2312" w:eastAsia="仿宋_GB2312" w:cs="仿宋_GB2312"/>
          <w:b w:val="0"/>
          <w:bCs/>
          <w:color w:val="000000"/>
          <w:sz w:val="32"/>
          <w:szCs w:val="32"/>
          <w:lang w:eastAsia="zh-CN"/>
        </w:rPr>
        <w:t>过程中</w:t>
      </w:r>
      <w:r>
        <w:rPr>
          <w:rFonts w:hint="eastAsia" w:ascii="仿宋_GB2312" w:eastAsia="仿宋_GB2312" w:cs="仿宋_GB2312"/>
          <w:b w:val="0"/>
          <w:bCs/>
          <w:color w:val="000000"/>
          <w:sz w:val="32"/>
          <w:szCs w:val="32"/>
        </w:rPr>
        <w:t>开支的交通费、住宿费、用餐费等</w:t>
      </w:r>
      <w:r>
        <w:rPr>
          <w:rFonts w:hint="eastAsia" w:ascii="仿宋_GB2312" w:eastAsia="仿宋_GB2312"/>
          <w:sz w:val="32"/>
          <w:szCs w:val="32"/>
        </w:rPr>
        <w:t>。</w:t>
      </w:r>
    </w:p>
    <w:p>
      <w:pPr>
        <w:pageBreakBefore w:val="0"/>
        <w:wordWrap/>
        <w:overflowPunct/>
        <w:bidi w:val="0"/>
        <w:spacing w:line="560" w:lineRule="exact"/>
        <w:ind w:left="0" w:leftChars="0" w:right="0" w:firstLine="640" w:firstLineChars="200"/>
        <w:outlineLvl w:val="1"/>
        <w:rPr>
          <w:rStyle w:val="30"/>
          <w:rFonts w:ascii="黑体" w:hAnsi="黑体" w:eastAsia="黑体"/>
        </w:rPr>
      </w:pPr>
      <w:bookmarkStart w:id="43" w:name="_Toc15396610"/>
      <w:bookmarkStart w:id="44" w:name="_Toc15377218"/>
      <w:r>
        <w:rPr>
          <w:rFonts w:hint="eastAsia" w:ascii="黑体" w:eastAsia="黑体"/>
          <w:sz w:val="32"/>
          <w:szCs w:val="32"/>
        </w:rPr>
        <w:t>八、</w:t>
      </w:r>
      <w:r>
        <w:rPr>
          <w:rStyle w:val="30"/>
          <w:rFonts w:hint="eastAsia" w:ascii="黑体" w:hAnsi="黑体" w:eastAsia="黑体"/>
          <w:b w:val="0"/>
        </w:rPr>
        <w:t>政府性基金预算支出决算情况说明</w:t>
      </w:r>
      <w:bookmarkEnd w:id="43"/>
      <w:bookmarkEnd w:id="44"/>
    </w:p>
    <w:p>
      <w:pPr>
        <w:pageBreakBefore w:val="0"/>
        <w:wordWrap/>
        <w:overflowPunct/>
        <w:bidi w:val="0"/>
        <w:spacing w:line="560" w:lineRule="exact"/>
        <w:ind w:left="0" w:leftChars="0" w:right="0"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ageBreakBefore w:val="0"/>
        <w:numPr>
          <w:ilvl w:val="0"/>
          <w:numId w:val="1"/>
        </w:numPr>
        <w:wordWrap/>
        <w:overflowPunct/>
        <w:bidi w:val="0"/>
        <w:spacing w:line="560" w:lineRule="exact"/>
        <w:ind w:left="0" w:leftChars="0" w:right="0" w:firstLine="640" w:firstLineChars="200"/>
        <w:outlineLvl w:val="1"/>
        <w:rPr>
          <w:rStyle w:val="30"/>
          <w:rFonts w:ascii="黑体" w:hAnsi="黑体" w:eastAsia="黑体"/>
          <w:b w:val="0"/>
        </w:rPr>
      </w:pPr>
      <w:bookmarkStart w:id="45" w:name="_Toc15377219"/>
      <w:bookmarkStart w:id="46" w:name="_Toc15396611"/>
      <w:r>
        <w:rPr>
          <w:rStyle w:val="30"/>
          <w:rFonts w:hint="eastAsia" w:ascii="黑体" w:hAnsi="黑体" w:eastAsia="黑体"/>
          <w:b w:val="0"/>
        </w:rPr>
        <w:t>国有资本经营预算支出决算情况说明</w:t>
      </w:r>
      <w:bookmarkEnd w:id="45"/>
      <w:bookmarkEnd w:id="46"/>
    </w:p>
    <w:p>
      <w:pPr>
        <w:pageBreakBefore w:val="0"/>
        <w:wordWrap/>
        <w:overflowPunct/>
        <w:bidi w:val="0"/>
        <w:spacing w:line="560" w:lineRule="exact"/>
        <w:ind w:left="0" w:leftChars="0" w:right="0" w:firstLine="640" w:firstLineChars="20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ageBreakBefore w:val="0"/>
        <w:numPr>
          <w:ilvl w:val="0"/>
          <w:numId w:val="1"/>
        </w:numPr>
        <w:wordWrap/>
        <w:overflowPunct/>
        <w:bidi w:val="0"/>
        <w:spacing w:line="560" w:lineRule="exact"/>
        <w:ind w:left="0" w:leftChars="0" w:right="0" w:firstLine="640" w:firstLineChars="200"/>
        <w:outlineLvl w:val="1"/>
        <w:rPr>
          <w:rStyle w:val="30"/>
          <w:rFonts w:ascii="黑体" w:hAnsi="黑体" w:eastAsia="黑体"/>
          <w:b w:val="0"/>
        </w:rPr>
      </w:pPr>
      <w:bookmarkStart w:id="47" w:name="_Toc15396612"/>
      <w:bookmarkStart w:id="48" w:name="_Toc15377221"/>
      <w:r>
        <w:rPr>
          <w:rStyle w:val="30"/>
          <w:rFonts w:hint="eastAsia" w:ascii="黑体" w:hAnsi="黑体" w:eastAsia="黑体"/>
          <w:b w:val="0"/>
        </w:rPr>
        <w:t>其他重要事项的情况说明</w:t>
      </w:r>
      <w:bookmarkEnd w:id="47"/>
      <w:bookmarkEnd w:id="48"/>
      <w:r>
        <w:rPr>
          <w:rFonts w:hint="eastAsia" w:ascii="仿宋_GB2312" w:eastAsia="仿宋_GB2312"/>
          <w:sz w:val="32"/>
          <w:szCs w:val="32"/>
          <w:lang w:val="en-US" w:eastAsia="zh-CN"/>
        </w:rPr>
        <w:t>49.24</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楷体" w:hAnsi="楷体" w:eastAsia="楷体" w:cs="楷体"/>
          <w:bCs/>
          <w:sz w:val="32"/>
          <w:szCs w:val="32"/>
        </w:rPr>
      </w:pPr>
      <w:bookmarkStart w:id="49" w:name="_Toc15377222"/>
      <w:r>
        <w:rPr>
          <w:rFonts w:hint="eastAsia" w:ascii="楷体" w:hAnsi="楷体" w:eastAsia="楷体" w:cs="楷体"/>
          <w:bCs/>
          <w:sz w:val="32"/>
          <w:szCs w:val="32"/>
        </w:rPr>
        <w:t>（一）机关运行经费支出情况</w:t>
      </w:r>
      <w:bookmarkEnd w:id="49"/>
    </w:p>
    <w:p>
      <w:pPr>
        <w:pageBreakBefore w:val="0"/>
        <w:wordWrap/>
        <w:overflowPunct/>
        <w:bidi w:val="0"/>
        <w:spacing w:line="560" w:lineRule="exact"/>
        <w:ind w:left="0" w:leftChars="0" w:right="0"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县委政法委</w:t>
      </w:r>
      <w:r>
        <w:rPr>
          <w:rFonts w:hint="eastAsia" w:ascii="仿宋_GB2312" w:eastAsia="仿宋_GB2312"/>
          <w:sz w:val="32"/>
          <w:szCs w:val="32"/>
        </w:rPr>
        <w:t>机关运行经费支出</w:t>
      </w:r>
      <w:r>
        <w:rPr>
          <w:rFonts w:hint="eastAsia" w:ascii="仿宋_GB2312" w:eastAsia="仿宋_GB2312"/>
          <w:sz w:val="32"/>
          <w:szCs w:val="32"/>
          <w:lang w:val="en-US" w:eastAsia="zh-CN"/>
        </w:rPr>
        <w:t>62.81</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年增加</w:t>
      </w:r>
      <w:r>
        <w:rPr>
          <w:rFonts w:hint="eastAsia" w:ascii="仿宋_GB2312" w:eastAsia="仿宋_GB2312"/>
          <w:sz w:val="32"/>
          <w:szCs w:val="32"/>
          <w:lang w:val="en-US" w:eastAsia="zh-CN"/>
        </w:rPr>
        <w:t>13.57</w:t>
      </w:r>
      <w:r>
        <w:rPr>
          <w:rFonts w:hint="eastAsia" w:ascii="仿宋_GB2312" w:eastAsia="仿宋_GB2312"/>
          <w:sz w:val="32"/>
          <w:szCs w:val="32"/>
        </w:rPr>
        <w:t>万元，增长</w:t>
      </w:r>
      <w:r>
        <w:rPr>
          <w:rFonts w:hint="eastAsia" w:ascii="仿宋_GB2312" w:eastAsia="仿宋_GB2312"/>
          <w:sz w:val="32"/>
          <w:szCs w:val="32"/>
          <w:lang w:val="en-US" w:eastAsia="zh-CN"/>
        </w:rPr>
        <w:t>27.56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公务员交通补贴计入机关运行经费增加支出。</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楷体" w:hAnsi="楷体" w:eastAsia="楷体" w:cs="楷体"/>
          <w:bCs/>
          <w:sz w:val="32"/>
          <w:szCs w:val="32"/>
        </w:rPr>
      </w:pPr>
      <w:bookmarkStart w:id="50" w:name="_Toc15377223"/>
      <w:r>
        <w:rPr>
          <w:rFonts w:hint="eastAsia" w:ascii="楷体" w:hAnsi="楷体" w:eastAsia="楷体" w:cs="楷体"/>
          <w:bCs/>
          <w:sz w:val="32"/>
          <w:szCs w:val="32"/>
        </w:rPr>
        <w:t>（二）政府采购支出情况</w:t>
      </w:r>
      <w:bookmarkEnd w:id="50"/>
    </w:p>
    <w:p>
      <w:pPr>
        <w:pageBreakBefore w:val="0"/>
        <w:wordWrap/>
        <w:overflowPunct/>
        <w:bidi w:val="0"/>
        <w:spacing w:line="560" w:lineRule="exact"/>
        <w:ind w:left="0" w:leftChars="0" w:right="0"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县委政法委</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楷体" w:hAnsi="楷体" w:eastAsia="楷体" w:cs="楷体"/>
          <w:bCs/>
          <w:sz w:val="32"/>
          <w:szCs w:val="32"/>
        </w:rPr>
      </w:pPr>
      <w:bookmarkStart w:id="51" w:name="_Toc15377224"/>
      <w:r>
        <w:rPr>
          <w:rFonts w:hint="eastAsia" w:ascii="楷体" w:hAnsi="楷体" w:eastAsia="楷体" w:cs="楷体"/>
          <w:bCs/>
          <w:sz w:val="32"/>
          <w:szCs w:val="32"/>
        </w:rPr>
        <w:t>（三）国有资产占有使用情况</w:t>
      </w:r>
      <w:bookmarkEnd w:id="51"/>
    </w:p>
    <w:p>
      <w:pPr>
        <w:pageBreakBefore w:val="0"/>
        <w:wordWrap/>
        <w:overflowPunct/>
        <w:autoSpaceDE w:val="0"/>
        <w:autoSpaceDN w:val="0"/>
        <w:bidi w:val="0"/>
        <w:adjustRightInd w:val="0"/>
        <w:spacing w:line="560" w:lineRule="exact"/>
        <w:ind w:left="0" w:leftChars="0" w:right="0"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县委政法委</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eepNext w:val="0"/>
        <w:keepLines w:val="0"/>
        <w:pageBreakBefore w:val="0"/>
        <w:kinsoku w:val="0"/>
        <w:wordWrap/>
        <w:overflowPunct/>
        <w:topLinePunct/>
        <w:autoSpaceDE/>
        <w:autoSpaceDN/>
        <w:bidi w:val="0"/>
        <w:adjustRightInd/>
        <w:spacing w:line="560" w:lineRule="exact"/>
        <w:ind w:left="0" w:leftChars="0" w:right="0" w:firstLine="640" w:firstLineChars="200"/>
        <w:rPr>
          <w:rFonts w:hint="eastAsia" w:ascii="楷体" w:hAnsi="楷体" w:eastAsia="楷体" w:cs="楷体"/>
          <w:bCs/>
          <w:sz w:val="32"/>
          <w:szCs w:val="32"/>
        </w:rPr>
      </w:pPr>
      <w:r>
        <w:rPr>
          <w:rFonts w:hint="eastAsia" w:ascii="楷体" w:hAnsi="楷体" w:eastAsia="楷体" w:cs="楷体"/>
          <w:bCs/>
          <w:sz w:val="32"/>
          <w:szCs w:val="32"/>
        </w:rPr>
        <w:t>（四）预算绩效管理情况</w:t>
      </w:r>
    </w:p>
    <w:p>
      <w:pPr>
        <w:pageBreakBefore w:val="0"/>
        <w:kinsoku/>
        <w:wordWrap/>
        <w:overflowPunct/>
        <w:topLinePunct w:val="0"/>
        <w:bidi w:val="0"/>
        <w:spacing w:line="556" w:lineRule="exact"/>
        <w:ind w:left="0" w:leftChars="0" w:right="0" w:firstLine="640" w:firstLineChars="200"/>
        <w:outlineLvl w:val="2"/>
        <w:rPr>
          <w:rFonts w:ascii="仿宋_GB2312" w:hAnsi="仿宋_GB2312" w:eastAsia="仿宋_GB2312"/>
          <w:b w:val="0"/>
          <w:bCs/>
          <w:sz w:val="32"/>
          <w:szCs w:val="32"/>
        </w:rPr>
      </w:pPr>
      <w:r>
        <w:rPr>
          <w:rFonts w:hint="eastAsia" w:ascii="仿宋_GB2312" w:hAnsi="仿宋_GB2312" w:eastAsia="仿宋_GB2312" w:cs="仿宋_GB2312"/>
          <w:b w:val="0"/>
          <w:bCs/>
          <w:sz w:val="32"/>
          <w:szCs w:val="32"/>
        </w:rPr>
        <w:t>根据预算绩效管理要求，本部门（单位）在年初预算编制阶段，组织对</w:t>
      </w:r>
      <w:r>
        <w:rPr>
          <w:rFonts w:hint="eastAsia" w:ascii="仿宋_GB2312" w:hAnsi="仿宋_GB2312" w:eastAsia="仿宋_GB2312" w:cs="仿宋_GB2312"/>
          <w:b w:val="0"/>
          <w:bCs/>
          <w:sz w:val="32"/>
          <w:szCs w:val="32"/>
          <w:lang w:eastAsia="zh-CN"/>
        </w:rPr>
        <w:t>扫黑除恶斗争经费、信访维稳基金、雪亮工程网格化经费、政法三级网络费、多元化解法学会工作经费、严重精神障碍患者以奖代补等</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项目开展了预算事前绩效评估，对</w:t>
      </w: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rPr>
        <w:t>个项目编制了绩效目标，预算执行过程中，选取</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个项目开展绩效监控，年终执行完毕后，对</w:t>
      </w:r>
      <w:r>
        <w:rPr>
          <w:rFonts w:hint="eastAsia" w:ascii="仿宋_GB2312" w:hAnsi="仿宋_GB2312" w:eastAsia="仿宋_GB2312" w:cs="仿宋_GB2312"/>
          <w:b w:val="0"/>
          <w:bCs/>
          <w:sz w:val="32"/>
          <w:szCs w:val="32"/>
          <w:lang w:eastAsia="zh-CN"/>
        </w:rPr>
        <w:t>雪亮工程、网格化</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个项目开展了绩效目标完成情况自评。</w:t>
      </w:r>
    </w:p>
    <w:p>
      <w:pPr>
        <w:pageBreakBefore w:val="0"/>
        <w:kinsoku/>
        <w:wordWrap/>
        <w:overflowPunct/>
        <w:topLinePunct w:val="0"/>
        <w:bidi w:val="0"/>
        <w:spacing w:line="556" w:lineRule="exact"/>
        <w:ind w:left="0" w:right="0" w:firstLine="640" w:firstLineChars="200"/>
        <w:textAlignment w:val="auto"/>
        <w:rPr>
          <w:rFonts w:ascii="仿宋_GB2312" w:hAnsi="仿宋_GB2312" w:eastAsia="仿宋_GB2312"/>
          <w:b w:val="0"/>
          <w:bCs/>
          <w:sz w:val="32"/>
          <w:szCs w:val="32"/>
        </w:rPr>
      </w:pPr>
      <w:r>
        <w:rPr>
          <w:rFonts w:hint="eastAsia" w:ascii="仿宋_GB2312" w:hAnsi="仿宋_GB2312" w:eastAsia="仿宋_GB2312" w:cs="仿宋_GB2312"/>
          <w:b w:val="0"/>
          <w:bCs/>
          <w:sz w:val="32"/>
          <w:szCs w:val="32"/>
        </w:rPr>
        <w:t>本部门按要求对</w:t>
      </w:r>
      <w:r>
        <w:rPr>
          <w:rFonts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lang w:val="en-US" w:eastAsia="zh-CN"/>
        </w:rPr>
        <w:t>22</w:t>
      </w:r>
      <w:r>
        <w:rPr>
          <w:rFonts w:hint="eastAsia" w:ascii="仿宋_GB2312" w:hAnsi="仿宋_GB2312" w:eastAsia="仿宋_GB2312" w:cs="仿宋_GB2312"/>
          <w:b w:val="0"/>
          <w:bCs/>
          <w:sz w:val="32"/>
          <w:szCs w:val="32"/>
        </w:rPr>
        <w:t>年部门整体支出开展绩效自评，从评价情况来看</w:t>
      </w:r>
      <w:r>
        <w:rPr>
          <w:rFonts w:hint="eastAsia" w:ascii="仿宋" w:hAnsi="仿宋" w:eastAsia="仿宋" w:cs="Times New Roman"/>
          <w:b w:val="0"/>
          <w:bCs/>
          <w:sz w:val="32"/>
          <w:szCs w:val="32"/>
        </w:rPr>
        <w:t>通过绩效自评，</w:t>
      </w:r>
      <w:r>
        <w:rPr>
          <w:rFonts w:ascii="仿宋" w:hAnsi="仿宋" w:eastAsia="仿宋" w:cs="Times New Roman"/>
          <w:b w:val="0"/>
          <w:bCs/>
          <w:sz w:val="32"/>
          <w:szCs w:val="32"/>
        </w:rPr>
        <w:t>20</w:t>
      </w:r>
      <w:r>
        <w:rPr>
          <w:rFonts w:hint="eastAsia" w:ascii="仿宋" w:hAnsi="仿宋" w:eastAsia="仿宋" w:cs="Times New Roman"/>
          <w:b w:val="0"/>
          <w:bCs/>
          <w:sz w:val="32"/>
          <w:szCs w:val="32"/>
          <w:lang w:val="en-US" w:eastAsia="zh-CN"/>
        </w:rPr>
        <w:t>22</w:t>
      </w:r>
      <w:r>
        <w:rPr>
          <w:rFonts w:hint="eastAsia" w:ascii="仿宋" w:hAnsi="仿宋" w:eastAsia="仿宋" w:cs="Times New Roman"/>
          <w:b w:val="0"/>
          <w:bCs/>
          <w:sz w:val="32"/>
          <w:szCs w:val="32"/>
        </w:rPr>
        <w:t>年</w:t>
      </w:r>
      <w:r>
        <w:rPr>
          <w:rFonts w:hint="eastAsia" w:ascii="仿宋" w:hAnsi="仿宋" w:eastAsia="仿宋"/>
          <w:b w:val="0"/>
          <w:bCs/>
          <w:sz w:val="32"/>
          <w:szCs w:val="32"/>
        </w:rPr>
        <w:t>县委政法委</w:t>
      </w:r>
      <w:r>
        <w:rPr>
          <w:rFonts w:hint="eastAsia" w:ascii="仿宋" w:hAnsi="仿宋" w:eastAsia="仿宋" w:cs="Times New Roman"/>
          <w:b w:val="0"/>
          <w:bCs/>
          <w:sz w:val="32"/>
          <w:szCs w:val="32"/>
        </w:rPr>
        <w:t>目标制定明确，完成数量和质量均得到有效控制，认真贯彻落实中央、省市县委全面推进高质量发展的决定，着力抓好</w:t>
      </w:r>
      <w:r>
        <w:rPr>
          <w:rFonts w:hint="eastAsia" w:ascii="仿宋" w:hAnsi="仿宋" w:eastAsia="仿宋"/>
          <w:b w:val="0"/>
          <w:bCs/>
          <w:sz w:val="32"/>
          <w:szCs w:val="32"/>
        </w:rPr>
        <w:t>维护稳定、社会治理、扫黑除恶斗争、司法改革创新</w:t>
      </w:r>
      <w:r>
        <w:rPr>
          <w:rFonts w:hint="eastAsia" w:ascii="仿宋" w:hAnsi="仿宋" w:eastAsia="仿宋" w:cs="Times New Roman"/>
          <w:b w:val="0"/>
          <w:bCs/>
          <w:sz w:val="32"/>
          <w:szCs w:val="32"/>
        </w:rPr>
        <w:t>等重点工作，</w:t>
      </w:r>
      <w:r>
        <w:rPr>
          <w:rFonts w:ascii="仿宋" w:hAnsi="仿宋" w:eastAsia="仿宋"/>
          <w:b w:val="0"/>
          <w:bCs/>
          <w:sz w:val="32"/>
          <w:szCs w:val="32"/>
        </w:rPr>
        <w:t>扫黑除恶斗争</w:t>
      </w:r>
      <w:r>
        <w:rPr>
          <w:rFonts w:hint="eastAsia" w:ascii="仿宋" w:hAnsi="仿宋" w:eastAsia="仿宋"/>
          <w:b w:val="0"/>
          <w:bCs/>
          <w:sz w:val="32"/>
          <w:szCs w:val="32"/>
          <w:lang w:eastAsia="zh-CN"/>
        </w:rPr>
        <w:t>常态开展</w:t>
      </w:r>
      <w:r>
        <w:rPr>
          <w:rFonts w:ascii="仿宋" w:hAnsi="仿宋" w:eastAsia="仿宋"/>
          <w:b w:val="0"/>
          <w:bCs/>
          <w:sz w:val="32"/>
          <w:szCs w:val="32"/>
        </w:rPr>
        <w:t>，维护政治安全和社会稳定坚定有力，平安</w:t>
      </w:r>
      <w:r>
        <w:rPr>
          <w:rFonts w:hint="eastAsia" w:ascii="仿宋" w:hAnsi="仿宋" w:eastAsia="仿宋"/>
          <w:b w:val="0"/>
          <w:bCs/>
          <w:sz w:val="32"/>
          <w:szCs w:val="32"/>
        </w:rPr>
        <w:t>剑阁</w:t>
      </w:r>
      <w:r>
        <w:rPr>
          <w:rFonts w:ascii="仿宋" w:hAnsi="仿宋" w:eastAsia="仿宋"/>
          <w:b w:val="0"/>
          <w:bCs/>
          <w:sz w:val="32"/>
          <w:szCs w:val="32"/>
        </w:rPr>
        <w:t>建设根基不断夯实，服务大局精准有效，执法司法公信力持续有进，法治</w:t>
      </w:r>
      <w:r>
        <w:rPr>
          <w:rFonts w:hint="eastAsia" w:ascii="仿宋" w:hAnsi="仿宋" w:eastAsia="仿宋"/>
          <w:b w:val="0"/>
          <w:bCs/>
          <w:sz w:val="32"/>
          <w:szCs w:val="32"/>
        </w:rPr>
        <w:t>剑阁</w:t>
      </w:r>
      <w:r>
        <w:rPr>
          <w:rFonts w:ascii="仿宋" w:hAnsi="仿宋" w:eastAsia="仿宋"/>
          <w:b w:val="0"/>
          <w:bCs/>
          <w:sz w:val="32"/>
          <w:szCs w:val="32"/>
        </w:rPr>
        <w:t>建设务实有为，过硬队伍建设持续加强。</w:t>
      </w:r>
      <w:r>
        <w:rPr>
          <w:rFonts w:hint="eastAsia" w:ascii="仿宋" w:hAnsi="仿宋" w:eastAsia="仿宋" w:cs="Times New Roman"/>
          <w:b w:val="0"/>
          <w:bCs/>
          <w:sz w:val="32"/>
          <w:szCs w:val="32"/>
        </w:rPr>
        <w:t>认真抓好基层组织建设、党风廉政建设、作风纪律建设、意识形态及宣传思想文化、统一战线等党的建设工作，</w:t>
      </w:r>
      <w:r>
        <w:rPr>
          <w:rFonts w:hint="eastAsia" w:ascii="仿宋" w:hAnsi="仿宋" w:eastAsia="仿宋"/>
          <w:b w:val="0"/>
          <w:bCs/>
          <w:sz w:val="32"/>
          <w:szCs w:val="32"/>
        </w:rPr>
        <w:t>强</w:t>
      </w:r>
      <w:r>
        <w:rPr>
          <w:rFonts w:hint="eastAsia" w:ascii="仿宋" w:hAnsi="仿宋" w:eastAsia="仿宋" w:cs="Times New Roman"/>
          <w:b w:val="0"/>
          <w:bCs/>
          <w:sz w:val="32"/>
          <w:szCs w:val="32"/>
        </w:rPr>
        <w:t>力推动落实脱贫攻坚</w:t>
      </w:r>
      <w:r>
        <w:rPr>
          <w:rFonts w:hint="eastAsia" w:ascii="仿宋" w:hAnsi="仿宋" w:eastAsia="仿宋" w:cs="Times New Roman"/>
          <w:b w:val="0"/>
          <w:bCs/>
          <w:sz w:val="32"/>
          <w:szCs w:val="32"/>
          <w:lang w:eastAsia="zh-CN"/>
        </w:rPr>
        <w:t>与乡村振兴有效衔接</w:t>
      </w:r>
      <w:r>
        <w:rPr>
          <w:rFonts w:hint="eastAsia" w:ascii="仿宋" w:hAnsi="仿宋" w:eastAsia="仿宋" w:cs="Times New Roman"/>
          <w:b w:val="0"/>
          <w:bCs/>
          <w:sz w:val="32"/>
          <w:szCs w:val="32"/>
        </w:rPr>
        <w:t>帮扶工作，完成了县委县政府交办的各项任务。部门整体支出绩效达到了预期目的，确保了目标任务完成。</w:t>
      </w:r>
    </w:p>
    <w:p>
      <w:pPr>
        <w:pageBreakBefore w:val="0"/>
        <w:wordWrap/>
        <w:overflowPunct/>
        <w:bidi w:val="0"/>
        <w:spacing w:line="560" w:lineRule="exact"/>
        <w:ind w:left="0" w:leftChars="0"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同时，本部门对202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年部门整体开展绩效自评，《202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县委政法委</w:t>
      </w:r>
      <w:r>
        <w:rPr>
          <w:rFonts w:hint="eastAsia" w:ascii="仿宋_GB2312" w:hAnsi="仿宋_GB2312" w:eastAsia="仿宋_GB2312" w:cs="仿宋_GB2312"/>
          <w:sz w:val="32"/>
          <w:szCs w:val="32"/>
        </w:rPr>
        <w:t>部门整体绩效评价报告》见附件（第四部分）。</w:t>
      </w:r>
    </w:p>
    <w:p>
      <w:pPr>
        <w:pageBreakBefore w:val="0"/>
        <w:widowControl/>
        <w:wordWrap/>
        <w:overflowPunct/>
        <w:bidi w:val="0"/>
        <w:spacing w:line="560" w:lineRule="exact"/>
        <w:ind w:left="0" w:leftChars="0" w:right="0" w:firstLine="642" w:firstLineChars="200"/>
        <w:jc w:val="left"/>
        <w:rPr>
          <w:rFonts w:ascii="仿宋_GB2312" w:eastAsia="仿宋_GB2312"/>
          <w:b/>
          <w:sz w:val="32"/>
          <w:szCs w:val="32"/>
        </w:rPr>
      </w:pPr>
      <w:r>
        <w:rPr>
          <w:rFonts w:ascii="仿宋_GB2312" w:eastAsia="仿宋_GB2312"/>
          <w:b/>
          <w:sz w:val="32"/>
          <w:szCs w:val="32"/>
        </w:rPr>
        <w:br w:type="page"/>
      </w:r>
    </w:p>
    <w:p>
      <w:pPr>
        <w:pageBreakBefore w:val="0"/>
        <w:widowControl/>
        <w:kinsoku/>
        <w:wordWrap/>
        <w:overflowPunct/>
        <w:topLinePunct w:val="0"/>
        <w:bidi w:val="0"/>
        <w:spacing w:line="556" w:lineRule="exact"/>
        <w:ind w:right="0"/>
        <w:jc w:val="center"/>
        <w:rPr>
          <w:rStyle w:val="29"/>
          <w:rFonts w:ascii="黑体" w:hAnsi="黑体" w:eastAsia="黑体"/>
          <w:b w:val="0"/>
        </w:rPr>
      </w:pPr>
      <w:r>
        <w:rPr>
          <w:rFonts w:hint="eastAsia" w:ascii="黑体" w:hAnsi="黑体" w:eastAsia="黑体"/>
          <w:color w:val="000000"/>
          <w:sz w:val="44"/>
          <w:szCs w:val="44"/>
        </w:rPr>
        <w:t>第</w:t>
      </w:r>
      <w:r>
        <w:rPr>
          <w:rFonts w:hint="eastAsia" w:ascii="黑体" w:hAnsi="黑体" w:eastAsia="黑体"/>
          <w:color w:val="000000"/>
          <w:sz w:val="44"/>
          <w:szCs w:val="44"/>
          <w:lang w:eastAsia="zh-CN"/>
        </w:rPr>
        <w:t>三</w:t>
      </w:r>
      <w:r>
        <w:rPr>
          <w:rFonts w:hint="eastAsia" w:ascii="黑体" w:hAnsi="黑体" w:eastAsia="黑体"/>
          <w:color w:val="000000"/>
          <w:sz w:val="44"/>
          <w:szCs w:val="44"/>
        </w:rPr>
        <w:t>部分</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名</w:t>
      </w:r>
      <w:r>
        <w:rPr>
          <w:rStyle w:val="29"/>
          <w:rFonts w:hint="eastAsia" w:ascii="黑体" w:hAnsi="黑体" w:eastAsia="黑体"/>
          <w:b w:val="0"/>
        </w:rPr>
        <w:t>词解释</w:t>
      </w:r>
    </w:p>
    <w:p>
      <w:pPr>
        <w:pageBreakBefore w:val="0"/>
        <w:kinsoku/>
        <w:wordWrap/>
        <w:overflowPunct/>
        <w:topLinePunct w:val="0"/>
        <w:bidi w:val="0"/>
        <w:spacing w:line="556" w:lineRule="exact"/>
        <w:ind w:left="0" w:leftChars="0" w:right="0" w:firstLine="883" w:firstLineChars="200"/>
        <w:jc w:val="left"/>
        <w:rPr>
          <w:rFonts w:ascii="宋体"/>
          <w:b/>
          <w:color w:val="000000"/>
          <w:sz w:val="44"/>
          <w:szCs w:val="44"/>
        </w:rPr>
      </w:pPr>
    </w:p>
    <w:p>
      <w:pPr>
        <w:pStyle w:val="21"/>
        <w:pageBreakBefore w:val="0"/>
        <w:kinsoku/>
        <w:wordWrap/>
        <w:overflowPunct/>
        <w:topLinePunct w:val="0"/>
        <w:bidi w:val="0"/>
        <w:spacing w:line="556" w:lineRule="exact"/>
        <w:ind w:left="0" w:firstLine="640" w:firstLineChars="200"/>
        <w:textAlignment w:val="auto"/>
        <w:rPr>
          <w:rFonts w:ascii="仿宋_GB2312" w:eastAsia="仿宋_GB2312" w:cs="Times New Roman"/>
          <w:spacing w:val="-11"/>
          <w:sz w:val="32"/>
          <w:szCs w:val="32"/>
        </w:rPr>
      </w:pPr>
      <w:r>
        <w:rPr>
          <w:rFonts w:hint="eastAsia" w:ascii="楷体_GB2312" w:hAnsi="楷体_GB2312" w:eastAsia="楷体_GB2312" w:cs="楷体_GB2312"/>
          <w:b w:val="0"/>
          <w:bCs w:val="0"/>
          <w:color w:val="auto"/>
          <w:kern w:val="2"/>
          <w:sz w:val="32"/>
          <w:szCs w:val="32"/>
          <w:lang w:val="en-US" w:eastAsia="zh-CN" w:bidi="ar-SA"/>
        </w:rPr>
        <w:t>1.财政拨款收入：</w:t>
      </w:r>
      <w:r>
        <w:rPr>
          <w:rFonts w:hint="eastAsia" w:ascii="仿宋_GB2312" w:eastAsia="仿宋_GB2312" w:cs="仿宋_GB2312"/>
          <w:spacing w:val="-11"/>
          <w:sz w:val="32"/>
          <w:szCs w:val="32"/>
        </w:rPr>
        <w:t>指单位从同级财政部门取得的财政预算资金。</w:t>
      </w:r>
    </w:p>
    <w:p>
      <w:pPr>
        <w:pStyle w:val="21"/>
        <w:pageBreakBefore w:val="0"/>
        <w:kinsoku/>
        <w:wordWrap/>
        <w:overflowPunct/>
        <w:topLinePunct w:val="0"/>
        <w:bidi w:val="0"/>
        <w:spacing w:line="556" w:lineRule="exact"/>
        <w:ind w:left="0" w:firstLine="640" w:firstLineChars="200"/>
        <w:textAlignment w:val="auto"/>
        <w:rPr>
          <w:rFonts w:ascii="仿宋_GB2312" w:eastAsia="仿宋_GB2312" w:cs="Times New Roman"/>
          <w:sz w:val="32"/>
          <w:szCs w:val="32"/>
        </w:rPr>
      </w:pPr>
      <w:r>
        <w:rPr>
          <w:rFonts w:hint="eastAsia" w:ascii="楷体_GB2312" w:hAnsi="楷体_GB2312" w:eastAsia="楷体_GB2312" w:cs="楷体_GB2312"/>
          <w:b w:val="0"/>
          <w:bCs w:val="0"/>
          <w:color w:val="auto"/>
          <w:kern w:val="2"/>
          <w:sz w:val="32"/>
          <w:szCs w:val="32"/>
          <w:lang w:val="en-US" w:eastAsia="zh-CN" w:bidi="ar-SA"/>
        </w:rPr>
        <w:t>2.事业收入：</w:t>
      </w:r>
      <w:r>
        <w:rPr>
          <w:rFonts w:hint="eastAsia" w:ascii="仿宋_GB2312" w:eastAsia="仿宋_GB2312" w:cs="仿宋_GB2312"/>
          <w:sz w:val="32"/>
          <w:szCs w:val="32"/>
        </w:rPr>
        <w:t>指事业单位开展专业业务活动及辅助活动取得的收入。</w:t>
      </w:r>
    </w:p>
    <w:p>
      <w:pPr>
        <w:pStyle w:val="21"/>
        <w:pageBreakBefore w:val="0"/>
        <w:kinsoku/>
        <w:wordWrap/>
        <w:overflowPunct/>
        <w:topLinePunct w:val="0"/>
        <w:bidi w:val="0"/>
        <w:spacing w:line="556" w:lineRule="exact"/>
        <w:ind w:left="0" w:firstLine="640" w:firstLineChars="200"/>
        <w:textAlignment w:val="auto"/>
        <w:rPr>
          <w:rFonts w:ascii="仿宋_GB2312" w:eastAsia="仿宋_GB2312" w:cs="Times New Roman"/>
          <w:sz w:val="32"/>
          <w:szCs w:val="32"/>
        </w:rPr>
      </w:pPr>
      <w:r>
        <w:rPr>
          <w:rFonts w:hint="eastAsia" w:ascii="楷体_GB2312" w:hAnsi="楷体_GB2312" w:eastAsia="楷体_GB2312" w:cs="楷体_GB2312"/>
          <w:b w:val="0"/>
          <w:bCs w:val="0"/>
          <w:color w:val="auto"/>
          <w:kern w:val="2"/>
          <w:sz w:val="32"/>
          <w:szCs w:val="32"/>
          <w:lang w:val="en-US" w:eastAsia="zh-CN" w:bidi="ar-SA"/>
        </w:rPr>
        <w:t>3.经营收入：</w:t>
      </w:r>
      <w:r>
        <w:rPr>
          <w:rFonts w:hint="eastAsia" w:ascii="仿宋_GB2312" w:eastAsia="仿宋_GB2312" w:cs="仿宋_GB2312"/>
          <w:sz w:val="32"/>
          <w:szCs w:val="32"/>
        </w:rPr>
        <w:t>指事业单位在专业业务活动及其辅助活动之外开展非独立核算经营活动取得的收入。</w:t>
      </w:r>
    </w:p>
    <w:p>
      <w:pPr>
        <w:pStyle w:val="21"/>
        <w:pageBreakBefore w:val="0"/>
        <w:kinsoku/>
        <w:wordWrap/>
        <w:overflowPunct/>
        <w:topLinePunct w:val="0"/>
        <w:bidi w:val="0"/>
        <w:spacing w:line="556" w:lineRule="exact"/>
        <w:ind w:left="0" w:firstLine="640" w:firstLineChars="200"/>
        <w:textAlignment w:val="auto"/>
        <w:rPr>
          <w:rFonts w:ascii="仿宋_GB2312" w:eastAsia="仿宋_GB2312" w:cs="Times New Roman"/>
          <w:sz w:val="32"/>
          <w:szCs w:val="32"/>
        </w:rPr>
      </w:pPr>
      <w:r>
        <w:rPr>
          <w:rFonts w:hint="eastAsia" w:ascii="楷体_GB2312" w:hAnsi="楷体_GB2312" w:eastAsia="楷体_GB2312" w:cs="楷体_GB2312"/>
          <w:b w:val="0"/>
          <w:bCs w:val="0"/>
          <w:color w:val="auto"/>
          <w:kern w:val="2"/>
          <w:sz w:val="32"/>
          <w:szCs w:val="32"/>
          <w:lang w:val="en-US" w:eastAsia="zh-CN" w:bidi="ar-SA"/>
        </w:rPr>
        <w:t>4.其他收入：</w:t>
      </w:r>
      <w:r>
        <w:rPr>
          <w:rFonts w:hint="eastAsia" w:ascii="仿宋_GB2312" w:eastAsia="仿宋_GB2312" w:cs="仿宋_GB2312"/>
          <w:sz w:val="32"/>
          <w:szCs w:val="32"/>
        </w:rPr>
        <w:t>指单位取得的除上述收入以外的各项收入。</w:t>
      </w:r>
    </w:p>
    <w:p>
      <w:pPr>
        <w:pageBreakBefore w:val="0"/>
        <w:kinsoku/>
        <w:wordWrap/>
        <w:overflowPunct/>
        <w:topLinePunct w:val="0"/>
        <w:bidi w:val="0"/>
        <w:spacing w:line="556"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5</w:t>
      </w:r>
      <w:r>
        <w:rPr>
          <w:rFonts w:hint="eastAsia" w:ascii="楷体_GB2312" w:hAnsi="楷体_GB2312" w:eastAsia="楷体_GB2312" w:cs="楷体_GB2312"/>
          <w:b w:val="0"/>
          <w:bCs w:val="0"/>
          <w:sz w:val="32"/>
          <w:szCs w:val="32"/>
        </w:rPr>
        <w:t>.一般公共预算拨款收入：</w:t>
      </w:r>
      <w:r>
        <w:rPr>
          <w:rFonts w:hint="eastAsia" w:ascii="仿宋_GB2312" w:hAnsi="仿宋_GB2312" w:eastAsia="仿宋_GB2312" w:cs="仿宋_GB2312"/>
          <w:b w:val="0"/>
          <w:bCs w:val="0"/>
          <w:sz w:val="32"/>
          <w:szCs w:val="32"/>
        </w:rPr>
        <w:t>指县级财政当年拨付的资金。</w:t>
      </w:r>
    </w:p>
    <w:p>
      <w:pPr>
        <w:pageBreakBefore w:val="0"/>
        <w:kinsoku/>
        <w:wordWrap/>
        <w:overflowPunct/>
        <w:topLinePunct w:val="0"/>
        <w:bidi w:val="0"/>
        <w:spacing w:line="556"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6</w:t>
      </w:r>
      <w:r>
        <w:rPr>
          <w:rFonts w:hint="eastAsia" w:ascii="楷体_GB2312" w:hAnsi="楷体_GB2312" w:eastAsia="楷体_GB2312" w:cs="楷体_GB2312"/>
          <w:b w:val="0"/>
          <w:bCs w:val="0"/>
          <w:sz w:val="32"/>
          <w:szCs w:val="32"/>
        </w:rPr>
        <w:t>.公共安全支出(类)公安(款)行政运行(项)：</w:t>
      </w:r>
      <w:r>
        <w:rPr>
          <w:rFonts w:hint="eastAsia" w:ascii="仿宋_GB2312" w:hAnsi="仿宋_GB2312" w:eastAsia="仿宋_GB2312" w:cs="仿宋_GB2312"/>
          <w:b w:val="0"/>
          <w:bCs w:val="0"/>
          <w:sz w:val="32"/>
          <w:szCs w:val="32"/>
        </w:rPr>
        <w:t>指本单位用于保障机构正常运行、开展日常工作的基本支出。</w:t>
      </w:r>
    </w:p>
    <w:p>
      <w:pPr>
        <w:pageBreakBefore w:val="0"/>
        <w:kinsoku/>
        <w:wordWrap/>
        <w:overflowPunct/>
        <w:topLinePunct w:val="0"/>
        <w:bidi w:val="0"/>
        <w:spacing w:line="556"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7</w:t>
      </w:r>
      <w:r>
        <w:rPr>
          <w:rFonts w:hint="eastAsia" w:ascii="楷体_GB2312" w:hAnsi="楷体_GB2312" w:eastAsia="楷体_GB2312" w:cs="楷体_GB2312"/>
          <w:b w:val="0"/>
          <w:bCs w:val="0"/>
          <w:sz w:val="32"/>
          <w:szCs w:val="32"/>
        </w:rPr>
        <w:t>.公共安全支出(类)公安(款)一般行政管理事务(项)：</w:t>
      </w:r>
      <w:r>
        <w:rPr>
          <w:rFonts w:hint="eastAsia" w:ascii="仿宋_GB2312" w:hAnsi="仿宋_GB2312" w:eastAsia="仿宋_GB2312" w:cs="仿宋_GB2312"/>
          <w:b w:val="0"/>
          <w:bCs w:val="0"/>
          <w:sz w:val="32"/>
          <w:szCs w:val="32"/>
        </w:rPr>
        <w:t>指本单位开展政法、综治、维稳、多调等管理工作的项目支出。</w:t>
      </w:r>
    </w:p>
    <w:p>
      <w:pPr>
        <w:pageBreakBefore w:val="0"/>
        <w:kinsoku/>
        <w:wordWrap/>
        <w:overflowPunct/>
        <w:topLinePunct w:val="0"/>
        <w:bidi w:val="0"/>
        <w:spacing w:line="556"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8</w:t>
      </w:r>
      <w:r>
        <w:rPr>
          <w:rFonts w:hint="eastAsia" w:ascii="楷体_GB2312" w:hAnsi="楷体_GB2312" w:eastAsia="楷体_GB2312" w:cs="楷体_GB2312"/>
          <w:b w:val="0"/>
          <w:bCs w:val="0"/>
          <w:sz w:val="32"/>
          <w:szCs w:val="32"/>
        </w:rPr>
        <w:t>.公共安全支出(类)公安(款)其他公安支出(项)：</w:t>
      </w:r>
      <w:r>
        <w:rPr>
          <w:rFonts w:hint="eastAsia" w:ascii="仿宋_GB2312" w:hAnsi="仿宋_GB2312" w:eastAsia="仿宋_GB2312" w:cs="仿宋_GB2312"/>
          <w:b w:val="0"/>
          <w:bCs w:val="0"/>
          <w:sz w:val="32"/>
          <w:szCs w:val="32"/>
        </w:rPr>
        <w:t>指开展司法救助、见义勇为、重度精神障碍患者监护人、涉案财务管理等相关工作的救助、补助和房屋租赁等支出。</w:t>
      </w:r>
    </w:p>
    <w:p>
      <w:pPr>
        <w:pageBreakBefore w:val="0"/>
        <w:kinsoku/>
        <w:wordWrap/>
        <w:overflowPunct/>
        <w:topLinePunct w:val="0"/>
        <w:bidi w:val="0"/>
        <w:spacing w:line="556"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9</w:t>
      </w:r>
      <w:r>
        <w:rPr>
          <w:rFonts w:hint="eastAsia" w:ascii="楷体_GB2312" w:hAnsi="楷体_GB2312" w:eastAsia="楷体_GB2312" w:cs="楷体_GB2312"/>
          <w:b w:val="0"/>
          <w:bCs w:val="0"/>
          <w:sz w:val="32"/>
          <w:szCs w:val="32"/>
        </w:rPr>
        <w:t>.公共安全支出(类)公安(款)网络运行及维护(项)：</w:t>
      </w:r>
      <w:r>
        <w:rPr>
          <w:rFonts w:hint="eastAsia" w:ascii="仿宋_GB2312" w:hAnsi="仿宋_GB2312" w:eastAsia="仿宋_GB2312" w:cs="仿宋_GB2312"/>
          <w:b w:val="0"/>
          <w:bCs w:val="0"/>
          <w:sz w:val="32"/>
          <w:szCs w:val="32"/>
        </w:rPr>
        <w:t>指按照国家统一要求，实施网格化管理、雪亮工程建设运行维护等项目支出。</w:t>
      </w:r>
    </w:p>
    <w:p>
      <w:pPr>
        <w:pageBreakBefore w:val="0"/>
        <w:kinsoku/>
        <w:wordWrap/>
        <w:overflowPunct/>
        <w:topLinePunct w:val="0"/>
        <w:bidi w:val="0"/>
        <w:spacing w:line="556"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10</w:t>
      </w:r>
      <w:r>
        <w:rPr>
          <w:rFonts w:hint="eastAsia" w:ascii="楷体_GB2312" w:hAnsi="楷体_GB2312" w:eastAsia="楷体_GB2312" w:cs="楷体_GB2312"/>
          <w:b w:val="0"/>
          <w:bCs w:val="0"/>
          <w:sz w:val="32"/>
          <w:szCs w:val="32"/>
        </w:rPr>
        <w:t>.社会保障和就业(类)行政事业单位离退休(款)机关事业单位基本养老保险缴费支出(项)：</w:t>
      </w:r>
      <w:r>
        <w:rPr>
          <w:rFonts w:hint="eastAsia" w:ascii="仿宋_GB2312" w:hAnsi="仿宋_GB2312" w:eastAsia="仿宋_GB2312" w:cs="仿宋_GB2312"/>
          <w:b w:val="0"/>
          <w:bCs w:val="0"/>
          <w:sz w:val="32"/>
          <w:szCs w:val="32"/>
        </w:rPr>
        <w:t>指部门实施养老保险制度由单位缴纳的养老保险费的支出。</w:t>
      </w:r>
    </w:p>
    <w:p>
      <w:pPr>
        <w:pageBreakBefore w:val="0"/>
        <w:kinsoku/>
        <w:wordWrap/>
        <w:overflowPunct/>
        <w:topLinePunct w:val="0"/>
        <w:bidi w:val="0"/>
        <w:spacing w:line="556"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11</w:t>
      </w:r>
      <w:r>
        <w:rPr>
          <w:rFonts w:hint="eastAsia" w:ascii="楷体_GB2312" w:hAnsi="楷体_GB2312" w:eastAsia="楷体_GB2312" w:cs="楷体_GB2312"/>
          <w:b w:val="0"/>
          <w:bCs w:val="0"/>
          <w:sz w:val="32"/>
          <w:szCs w:val="32"/>
        </w:rPr>
        <w:t>.医疗卫生与计划生育(类)行政事业单位医疗(款)行政单位医疗(项)：</w:t>
      </w:r>
      <w:r>
        <w:rPr>
          <w:rFonts w:hint="eastAsia" w:ascii="仿宋_GB2312" w:hAnsi="仿宋_GB2312" w:eastAsia="仿宋_GB2312" w:cs="仿宋_GB2312"/>
          <w:b w:val="0"/>
          <w:bCs w:val="0"/>
          <w:sz w:val="32"/>
          <w:szCs w:val="32"/>
        </w:rPr>
        <w:t>指单位基本医疗保险缴费支出。</w:t>
      </w:r>
    </w:p>
    <w:p>
      <w:pPr>
        <w:pageBreakBefore w:val="0"/>
        <w:kinsoku/>
        <w:wordWrap/>
        <w:overflowPunct/>
        <w:topLinePunct w:val="0"/>
        <w:bidi w:val="0"/>
        <w:spacing w:line="556"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12</w:t>
      </w:r>
      <w:r>
        <w:rPr>
          <w:rFonts w:hint="eastAsia" w:ascii="楷体_GB2312" w:hAnsi="楷体_GB2312" w:eastAsia="楷体_GB2312" w:cs="楷体_GB2312"/>
          <w:b w:val="0"/>
          <w:bCs w:val="0"/>
          <w:sz w:val="32"/>
          <w:szCs w:val="32"/>
        </w:rPr>
        <w:t>.住房保障(类)住房改革支出(款)住房公积金(项)：</w:t>
      </w:r>
      <w:r>
        <w:rPr>
          <w:rFonts w:hint="eastAsia" w:ascii="仿宋_GB2312" w:hAnsi="仿宋_GB2312" w:eastAsia="仿宋_GB2312" w:cs="仿宋_GB2312"/>
          <w:b w:val="0"/>
          <w:bCs w:val="0"/>
          <w:sz w:val="32"/>
          <w:szCs w:val="32"/>
        </w:rPr>
        <w:t>指按照《住房公积金管理条例》的规定，由单位及其在职职工缴存的长期住房储金。</w:t>
      </w:r>
    </w:p>
    <w:p>
      <w:pPr>
        <w:pageBreakBefore w:val="0"/>
        <w:kinsoku/>
        <w:wordWrap/>
        <w:overflowPunct/>
        <w:topLinePunct w:val="0"/>
        <w:bidi w:val="0"/>
        <w:spacing w:line="556"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lang w:val="en-US" w:eastAsia="zh-CN"/>
        </w:rPr>
        <w:t>3</w:t>
      </w:r>
      <w:r>
        <w:rPr>
          <w:rFonts w:hint="eastAsia" w:ascii="楷体_GB2312" w:hAnsi="楷体_GB2312" w:eastAsia="楷体_GB2312" w:cs="楷体_GB2312"/>
          <w:b w:val="0"/>
          <w:bCs w:val="0"/>
          <w:sz w:val="32"/>
          <w:szCs w:val="32"/>
        </w:rPr>
        <w:t>.农林水支出(类)扶贫(款)其他扶贫支出(项):</w:t>
      </w:r>
      <w:r>
        <w:rPr>
          <w:rFonts w:hint="eastAsia" w:ascii="仿宋_GB2312" w:hAnsi="仿宋_GB2312" w:eastAsia="仿宋_GB2312" w:cs="仿宋_GB2312"/>
          <w:b w:val="0"/>
          <w:bCs w:val="0"/>
          <w:sz w:val="32"/>
          <w:szCs w:val="32"/>
        </w:rPr>
        <w:t>指用于精准扶贫帮扶及驻村队员补助等支出。</w:t>
      </w:r>
    </w:p>
    <w:p>
      <w:pPr>
        <w:pageBreakBefore w:val="0"/>
        <w:kinsoku/>
        <w:wordWrap/>
        <w:overflowPunct/>
        <w:topLinePunct w:val="0"/>
        <w:bidi w:val="0"/>
        <w:spacing w:line="556"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.基本支出：</w:t>
      </w:r>
      <w:r>
        <w:rPr>
          <w:rFonts w:hint="eastAsia" w:ascii="仿宋_GB2312" w:hAnsi="仿宋_GB2312" w:eastAsia="仿宋_GB2312" w:cs="仿宋_GB2312"/>
          <w:b w:val="0"/>
          <w:bCs w:val="0"/>
          <w:sz w:val="32"/>
          <w:szCs w:val="32"/>
        </w:rPr>
        <w:t>指为保证机构正常运转，完成日常工作任务而发生的人员支出和公用支出。</w:t>
      </w:r>
    </w:p>
    <w:p>
      <w:pPr>
        <w:pageBreakBefore w:val="0"/>
        <w:kinsoku/>
        <w:wordWrap/>
        <w:overflowPunct/>
        <w:topLinePunct w:val="0"/>
        <w:bidi w:val="0"/>
        <w:spacing w:line="556"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lang w:val="en-US" w:eastAsia="zh-CN"/>
        </w:rPr>
        <w:t>5</w:t>
      </w:r>
      <w:r>
        <w:rPr>
          <w:rFonts w:hint="eastAsia" w:ascii="楷体_GB2312" w:hAnsi="楷体_GB2312" w:eastAsia="楷体_GB2312" w:cs="楷体_GB2312"/>
          <w:b w:val="0"/>
          <w:bCs w:val="0"/>
          <w:sz w:val="32"/>
          <w:szCs w:val="32"/>
        </w:rPr>
        <w:t>.项目支出：</w:t>
      </w:r>
      <w:r>
        <w:rPr>
          <w:rFonts w:hint="eastAsia" w:ascii="仿宋_GB2312" w:hAnsi="仿宋_GB2312" w:eastAsia="仿宋_GB2312" w:cs="仿宋_GB2312"/>
          <w:b w:val="0"/>
          <w:bCs w:val="0"/>
          <w:sz w:val="32"/>
          <w:szCs w:val="32"/>
        </w:rPr>
        <w:t>指在基本支出之外为完成特定行政任务和事业发展目标所发生的支出。</w:t>
      </w:r>
    </w:p>
    <w:p>
      <w:pPr>
        <w:pageBreakBefore w:val="0"/>
        <w:kinsoku/>
        <w:wordWrap/>
        <w:overflowPunct/>
        <w:topLinePunct w:val="0"/>
        <w:bidi w:val="0"/>
        <w:spacing w:line="556"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lang w:val="en-US" w:eastAsia="zh-CN"/>
        </w:rPr>
        <w:t>6</w:t>
      </w:r>
      <w:r>
        <w:rPr>
          <w:rFonts w:hint="eastAsia" w:ascii="楷体_GB2312" w:hAnsi="楷体_GB2312" w:eastAsia="楷体_GB2312" w:cs="楷体_GB2312"/>
          <w:b w:val="0"/>
          <w:bCs w:val="0"/>
          <w:sz w:val="32"/>
          <w:szCs w:val="32"/>
        </w:rPr>
        <w:t>.“三公”经费：</w:t>
      </w:r>
      <w:r>
        <w:rPr>
          <w:rFonts w:hint="eastAsia" w:ascii="仿宋_GB2312" w:hAnsi="仿宋_GB2312" w:eastAsia="仿宋_GB2312" w:cs="仿宋_GB2312"/>
          <w:b w:val="0"/>
          <w:bCs w:val="0"/>
          <w:sz w:val="32"/>
          <w:szCs w:val="32"/>
        </w:rPr>
        <w:t>纳入县委政法委预决算管理的“三公”经费，是指部门用财政拨款安排的因公出国(境)费用、公务用车购置及运行费和公务接待费。其中公务接待费反映单位按规定开支的各类公务接待支出。</w:t>
      </w:r>
    </w:p>
    <w:p>
      <w:pPr>
        <w:pStyle w:val="21"/>
        <w:pageBreakBefore w:val="0"/>
        <w:kinsoku/>
        <w:wordWrap/>
        <w:overflowPunct/>
        <w:topLinePunct w:val="0"/>
        <w:bidi w:val="0"/>
        <w:spacing w:line="556" w:lineRule="exact"/>
        <w:ind w:left="0" w:firstLine="640" w:firstLineChars="200"/>
        <w:textAlignment w:val="auto"/>
        <w:rPr>
          <w:rFonts w:hint="eastAsia" w:ascii="仿宋_GB2312" w:eastAsia="仿宋_GB2312" w:cs="仿宋_GB2312"/>
          <w:b w:val="0"/>
          <w:bCs w:val="0"/>
          <w:sz w:val="32"/>
          <w:szCs w:val="32"/>
        </w:rPr>
      </w:pPr>
      <w:r>
        <w:rPr>
          <w:rFonts w:hint="eastAsia" w:ascii="楷体_GB2312" w:hAnsi="楷体_GB2312" w:eastAsia="楷体_GB2312" w:cs="楷体_GB2312"/>
          <w:b w:val="0"/>
          <w:bCs w:val="0"/>
          <w:color w:val="auto"/>
          <w:kern w:val="2"/>
          <w:sz w:val="32"/>
          <w:szCs w:val="32"/>
          <w:lang w:val="en-US" w:eastAsia="zh-CN" w:bidi="ar-SA"/>
        </w:rPr>
        <w:t>17.机关运行经费：</w:t>
      </w:r>
      <w:r>
        <w:rPr>
          <w:rFonts w:hint="eastAsia" w:ascii="仿宋_GB2312" w:eastAsia="仿宋_GB2312" w:cs="仿宋_GB2312"/>
          <w:b w:val="0"/>
          <w:bCs w:val="0"/>
          <w:sz w:val="32"/>
          <w:szCs w:val="32"/>
        </w:rPr>
        <w:t>为保障单位运行用于购买货物和服务的各项资金，包括办公及印刷费、邮电费、差旅费、会议费、福利费、日常维修费、办公用房水电费、办公用房物业管理费以及其他费用。</w:t>
      </w:r>
    </w:p>
    <w:p>
      <w:pPr>
        <w:pageBreakBefore w:val="0"/>
        <w:wordWrap/>
        <w:overflowPunct/>
        <w:bidi w:val="0"/>
        <w:spacing w:line="560" w:lineRule="exact"/>
        <w:ind w:left="0" w:leftChars="0" w:right="0" w:firstLine="883" w:firstLineChars="200"/>
        <w:jc w:val="center"/>
        <w:outlineLvl w:val="0"/>
        <w:rPr>
          <w:rFonts w:ascii="方正小标宋简体" w:hAnsi="方正小标宋简体" w:eastAsia="方正小标宋简体" w:cs="方正小标宋简体"/>
          <w:sz w:val="44"/>
          <w:szCs w:val="44"/>
        </w:rPr>
      </w:pPr>
      <w:bookmarkStart w:id="52" w:name="_Toc15377226"/>
      <w:r>
        <w:rPr>
          <w:rFonts w:ascii="宋体"/>
          <w:b/>
          <w:sz w:val="44"/>
          <w:szCs w:val="44"/>
        </w:rPr>
        <w:br w:type="page"/>
      </w:r>
      <w:bookmarkStart w:id="53" w:name="_Toc15396614"/>
      <w:r>
        <w:rPr>
          <w:rFonts w:hint="eastAsia" w:ascii="黑体" w:hAnsi="黑体" w:eastAsia="黑体"/>
          <w:sz w:val="44"/>
          <w:szCs w:val="44"/>
        </w:rPr>
        <w:t>第</w:t>
      </w:r>
      <w:r>
        <w:rPr>
          <w:rStyle w:val="29"/>
          <w:rFonts w:hint="eastAsia" w:ascii="黑体" w:hAnsi="黑体" w:eastAsia="黑体"/>
          <w:b w:val="0"/>
        </w:rPr>
        <w:t>四部分 附件</w:t>
      </w:r>
      <w:bookmarkEnd w:id="53"/>
    </w:p>
    <w:p>
      <w:pPr>
        <w:pageBreakBefore w:val="0"/>
        <w:widowControl/>
        <w:wordWrap/>
        <w:overflowPunct/>
        <w:bidi w:val="0"/>
        <w:adjustRightInd w:val="0"/>
        <w:snapToGrid w:val="0"/>
        <w:spacing w:line="560" w:lineRule="exact"/>
        <w:ind w:left="0" w:leftChars="0" w:right="0" w:firstLine="480" w:firstLineChars="200"/>
        <w:contextualSpacing/>
        <w:jc w:val="left"/>
        <w:rPr>
          <w:rFonts w:ascii="黑体" w:hAnsi="宋体" w:eastAsia="黑体" w:cs="宋体"/>
          <w:kern w:val="0"/>
          <w:sz w:val="24"/>
          <w:szCs w:val="32"/>
          <w:shd w:val="clear" w:color="auto" w:fill="FFFFFF"/>
        </w:rPr>
      </w:pPr>
    </w:p>
    <w:p>
      <w:pPr>
        <w:spacing w:line="576" w:lineRule="exact"/>
        <w:jc w:val="center"/>
        <w:rPr>
          <w:rFonts w:ascii="方正小标宋简体" w:hAnsi="方正小标宋简体" w:eastAsia="方正小标宋简体"/>
          <w:bCs/>
          <w:color w:val="auto"/>
          <w:sz w:val="40"/>
          <w:szCs w:val="40"/>
          <w:shd w:val="clear" w:color="auto" w:fill="FFFFFF"/>
        </w:rPr>
      </w:pPr>
      <w:r>
        <w:rPr>
          <w:rFonts w:hint="eastAsia" w:ascii="方正小标宋简体" w:hAnsi="方正小标宋简体" w:eastAsia="方正小标宋简体" w:cs="方正小标宋简体"/>
          <w:bCs/>
          <w:color w:val="auto"/>
          <w:sz w:val="40"/>
          <w:szCs w:val="40"/>
          <w:shd w:val="clear" w:color="auto" w:fill="FFFFFF"/>
        </w:rPr>
        <w:t>中共剑阁县委政法委员会</w:t>
      </w:r>
    </w:p>
    <w:p>
      <w:pPr>
        <w:spacing w:line="576" w:lineRule="exact"/>
        <w:jc w:val="center"/>
        <w:rPr>
          <w:rFonts w:ascii="方正小标宋简体" w:hAnsi="方正小标宋简体" w:eastAsia="方正小标宋简体"/>
          <w:bCs/>
          <w:color w:val="auto"/>
          <w:sz w:val="40"/>
          <w:szCs w:val="40"/>
          <w:shd w:val="clear" w:color="auto" w:fill="FFFFFF"/>
        </w:rPr>
      </w:pPr>
      <w:r>
        <w:rPr>
          <w:rFonts w:ascii="方正小标宋简体" w:hAnsi="方正小标宋简体" w:eastAsia="方正小标宋简体" w:cs="方正小标宋简体"/>
          <w:bCs/>
          <w:color w:val="auto"/>
          <w:sz w:val="40"/>
          <w:szCs w:val="40"/>
          <w:shd w:val="clear" w:color="auto" w:fill="FFFFFF"/>
        </w:rPr>
        <w:t>20</w:t>
      </w:r>
      <w:r>
        <w:rPr>
          <w:rFonts w:hint="eastAsia" w:ascii="方正小标宋简体" w:hAnsi="方正小标宋简体" w:eastAsia="方正小标宋简体" w:cs="方正小标宋简体"/>
          <w:bCs/>
          <w:color w:val="auto"/>
          <w:sz w:val="40"/>
          <w:szCs w:val="40"/>
          <w:shd w:val="clear" w:color="auto" w:fill="FFFFFF"/>
          <w:lang w:val="en-US" w:eastAsia="zh-CN"/>
        </w:rPr>
        <w:t>22</w:t>
      </w:r>
      <w:r>
        <w:rPr>
          <w:rFonts w:hint="eastAsia" w:ascii="方正小标宋简体" w:hAnsi="方正小标宋简体" w:eastAsia="方正小标宋简体" w:cs="方正小标宋简体"/>
          <w:bCs/>
          <w:color w:val="auto"/>
          <w:sz w:val="40"/>
          <w:szCs w:val="40"/>
          <w:shd w:val="clear" w:color="auto" w:fill="FFFFFF"/>
        </w:rPr>
        <w:t>年部门整体支出绩效评价报告</w:t>
      </w:r>
    </w:p>
    <w:p>
      <w:pPr>
        <w:adjustRightInd w:val="0"/>
        <w:snapToGrid w:val="0"/>
        <w:spacing w:line="576" w:lineRule="exact"/>
        <w:ind w:firstLine="640" w:firstLineChars="200"/>
        <w:rPr>
          <w:rFonts w:ascii="仿宋_GB2312" w:hAnsi="仿宋" w:eastAsia="仿宋_GB2312"/>
          <w:color w:val="auto"/>
          <w:kern w:val="0"/>
          <w:sz w:val="32"/>
          <w:szCs w:val="32"/>
          <w:shd w:val="clear" w:color="auto" w:fill="FFFFFF"/>
        </w:rPr>
      </w:pPr>
    </w:p>
    <w:p>
      <w:pPr>
        <w:adjustRightInd w:val="0"/>
        <w:snapToGrid w:val="0"/>
        <w:spacing w:line="576" w:lineRule="exact"/>
        <w:ind w:firstLine="640" w:firstLineChars="200"/>
        <w:rPr>
          <w:rFonts w:ascii="黑体" w:hAnsi="黑体" w:eastAsia="黑体"/>
          <w:bCs/>
          <w:color w:val="auto"/>
          <w:kern w:val="0"/>
          <w:sz w:val="32"/>
          <w:szCs w:val="32"/>
          <w:shd w:val="clear" w:color="auto" w:fill="FFFFFF"/>
          <w:lang w:val="zh-CN"/>
        </w:rPr>
      </w:pPr>
      <w:r>
        <w:rPr>
          <w:rFonts w:hint="eastAsia" w:ascii="黑体" w:hAnsi="黑体" w:eastAsia="黑体" w:cs="黑体"/>
          <w:bCs/>
          <w:color w:val="auto"/>
          <w:kern w:val="0"/>
          <w:sz w:val="32"/>
          <w:szCs w:val="32"/>
          <w:shd w:val="clear" w:color="auto" w:fill="FFFFFF"/>
        </w:rPr>
        <w:t>一、</w:t>
      </w:r>
      <w:r>
        <w:rPr>
          <w:rFonts w:hint="eastAsia" w:ascii="黑体" w:hAnsi="黑体" w:eastAsia="黑体" w:cs="黑体"/>
          <w:bCs/>
          <w:color w:val="auto"/>
          <w:kern w:val="0"/>
          <w:sz w:val="32"/>
          <w:szCs w:val="32"/>
          <w:shd w:val="clear" w:color="auto" w:fill="FFFFFF"/>
          <w:lang w:val="zh-CN"/>
        </w:rPr>
        <w:t>部门概况</w:t>
      </w:r>
    </w:p>
    <w:p>
      <w:pPr>
        <w:spacing w:line="576" w:lineRule="exact"/>
        <w:ind w:firstLine="640" w:firstLineChars="200"/>
        <w:rPr>
          <w:rFonts w:hint="eastAsia" w:ascii="仿宋_GB2312" w:hAnsi="仿宋_GB2312" w:eastAsia="仿宋_GB2312" w:cs="仿宋_GB2312"/>
          <w:bCs/>
          <w:color w:val="auto"/>
          <w:kern w:val="0"/>
          <w:sz w:val="32"/>
          <w:szCs w:val="32"/>
          <w:shd w:val="clear" w:color="auto" w:fill="FFFFFF"/>
          <w:lang w:val="zh-CN"/>
        </w:rPr>
      </w:pPr>
      <w:r>
        <w:rPr>
          <w:rFonts w:hint="eastAsia" w:ascii="楷体" w:hAnsi="楷体" w:eastAsia="楷体" w:cs="楷体_GB2312"/>
          <w:bCs/>
          <w:color w:val="auto"/>
          <w:kern w:val="0"/>
          <w:sz w:val="32"/>
          <w:szCs w:val="32"/>
          <w:shd w:val="clear" w:color="auto" w:fill="FFFFFF"/>
          <w:lang w:val="zh-CN"/>
        </w:rPr>
        <w:t>（一）机构组成</w:t>
      </w:r>
      <w:r>
        <w:rPr>
          <w:rFonts w:hint="eastAsia" w:ascii="楷体" w:hAnsi="楷体" w:eastAsia="楷体"/>
          <w:bCs/>
          <w:color w:val="auto"/>
          <w:kern w:val="0"/>
          <w:sz w:val="32"/>
          <w:szCs w:val="32"/>
          <w:shd w:val="clear" w:color="auto" w:fill="FFFFFF"/>
          <w:lang w:val="zh-CN"/>
        </w:rPr>
        <w:t>。</w:t>
      </w:r>
      <w:r>
        <w:rPr>
          <w:rFonts w:hint="eastAsia" w:ascii="仿宋_GB2312" w:hAnsi="仿宋_GB2312" w:eastAsia="仿宋_GB2312" w:cs="仿宋_GB2312"/>
          <w:color w:val="auto"/>
          <w:sz w:val="32"/>
          <w:szCs w:val="32"/>
        </w:rPr>
        <w:t>中共剑阁县委政法委员会（简称剑阁县委政法委），属党委序列，正科级单位，内设办公室、统筹督查股、政治安全和反邪教指导股、综治督导股、维稳指导股、政治处、社会管理信息中心（事业单位）。</w:t>
      </w:r>
    </w:p>
    <w:p>
      <w:pPr>
        <w:spacing w:line="576" w:lineRule="exact"/>
        <w:ind w:firstLine="640" w:firstLineChars="200"/>
        <w:rPr>
          <w:rFonts w:hint="eastAsia" w:ascii="仿宋_GB2312" w:hAnsi="仿宋_GB2312" w:eastAsia="仿宋_GB2312" w:cs="仿宋_GB2312"/>
          <w:color w:val="auto"/>
          <w:sz w:val="32"/>
          <w:szCs w:val="32"/>
        </w:rPr>
      </w:pPr>
      <w:r>
        <w:rPr>
          <w:rFonts w:hint="eastAsia" w:ascii="楷体" w:hAnsi="楷体" w:eastAsia="楷体" w:cs="楷体_GB2312"/>
          <w:bCs/>
          <w:color w:val="auto"/>
          <w:kern w:val="0"/>
          <w:sz w:val="32"/>
          <w:szCs w:val="32"/>
          <w:shd w:val="clear" w:color="auto" w:fill="FFFFFF"/>
          <w:lang w:val="zh-CN"/>
        </w:rPr>
        <w:t>（二）机构职能。</w:t>
      </w:r>
      <w:r>
        <w:rPr>
          <w:rFonts w:hint="eastAsia" w:ascii="仿宋_GB2312" w:hAnsi="仿宋_GB2312" w:eastAsia="仿宋_GB2312" w:cs="仿宋_GB2312"/>
          <w:color w:val="auto"/>
          <w:sz w:val="32"/>
          <w:szCs w:val="32"/>
        </w:rPr>
        <w:t>一是深入贯彻党的路线方针政策和决策部署，统一政法单位思想和行动，坚持党对政法工作的绝对领导，坚决维护党中央权威和集中统一领导。</w:t>
      </w:r>
      <w:r>
        <w:rPr>
          <w:rFonts w:hint="eastAsia" w:ascii="仿宋_GB2312" w:hAnsi="仿宋_GB2312" w:eastAsia="仿宋_GB2312" w:cs="仿宋_GB2312"/>
          <w:color w:val="auto"/>
          <w:kern w:val="0"/>
          <w:sz w:val="32"/>
          <w:szCs w:val="32"/>
          <w:shd w:val="clear" w:color="auto" w:fill="FFFFFF"/>
          <w:lang w:val="zh-CN"/>
        </w:rPr>
        <w:t>二是</w:t>
      </w:r>
      <w:r>
        <w:rPr>
          <w:rFonts w:hint="eastAsia" w:ascii="仿宋_GB2312" w:hAnsi="仿宋_GB2312" w:eastAsia="仿宋_GB2312" w:cs="仿宋_GB2312"/>
          <w:color w:val="auto"/>
          <w:sz w:val="32"/>
          <w:szCs w:val="32"/>
        </w:rPr>
        <w:t>深入贯彻党中央决定和省委、市委、县委决策，对政法工作研究提出全局性部署，推进平安剑阁、法治剑阁建设，加强过硬队伍建设，深化智能化建设，坚决维护国家政治安全、确保社会大局稳定、促进社会公平正义、保障人民安居乐业、护航经济社会发展。三是了解掌握和分析研判政法工作情况动态和全县社会稳定形势。创新完善多部门参与的综治维稳工作机制，构建矛盾纠纷多元化解体系和机制，协调推动预防、化解影响稳定的社会矛盾和风险，协调应对和处置重大突发事件，统筹推动全县维护稳定工作。四是加强对政法工作的督查，统筹协调维护政治安全、社会治安综合治理、维护社会稳定、反邪教有关法律法规政策的实施工作；指导全县政法单位网络安全和智能化建设工作。五是组织开展政法领域的调查研究，研究拟订全县政法工作的政策措施，及时向县委提出建议；参与有关法规、规章的起草、修改工作，及时提出立法建议。六是掌握分析政法舆情动态，指导协调政法单位媒体网络宣传工作，指导政法单位做好涉及政法工作的重大宣传和舆论引导工作。七是支持和监督政法单位依法行使职权，指导和协调政法单位密切配合，研究和协调重大、疑难案件，推进严格执法、公正司法。八是组织研究政法改革中带有方向性、倾向性和普遍性的重大问题，深化政法改革。九是指导推动政法系统党的建设和政法队伍建设，协同县级有关职能单位管理监督政法领导干部，代管剑阁县法学会。十是完成县委交办的其他任务。</w:t>
      </w:r>
    </w:p>
    <w:p>
      <w:pPr>
        <w:spacing w:line="576" w:lineRule="exact"/>
        <w:ind w:firstLine="640" w:firstLineChars="200"/>
        <w:rPr>
          <w:rFonts w:hint="eastAsia" w:ascii="仿宋_GB2312" w:hAnsi="仿宋_GB2312" w:eastAsia="仿宋_GB2312" w:cs="仿宋_GB2312"/>
          <w:color w:val="auto"/>
          <w:sz w:val="32"/>
          <w:szCs w:val="32"/>
        </w:rPr>
      </w:pPr>
      <w:r>
        <w:rPr>
          <w:rFonts w:hint="eastAsia" w:ascii="楷体" w:hAnsi="楷体" w:eastAsia="楷体" w:cs="楷体_GB2312"/>
          <w:bCs/>
          <w:color w:val="auto"/>
          <w:kern w:val="0"/>
          <w:sz w:val="32"/>
          <w:szCs w:val="32"/>
          <w:shd w:val="clear" w:color="auto" w:fill="FFFFFF"/>
          <w:lang w:val="zh-CN"/>
        </w:rPr>
        <w:t>（三）人员概况。</w:t>
      </w:r>
      <w:r>
        <w:rPr>
          <w:rFonts w:hint="eastAsia" w:ascii="仿宋_GB2312" w:hAnsi="仿宋_GB2312" w:eastAsia="仿宋_GB2312" w:cs="仿宋_GB2312"/>
          <w:color w:val="auto"/>
          <w:sz w:val="32"/>
          <w:szCs w:val="32"/>
        </w:rPr>
        <w:t>中共剑阁县委政法委员会属于财政全额预算行政单位，总编制</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名，其中行政编制13名，事业编制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名，机关工勤编制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名。在职人员总数2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人，其中行政人员1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人，事业人员</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人，机关工勤人员</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人；退休人员</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人。</w:t>
      </w:r>
    </w:p>
    <w:p>
      <w:pPr>
        <w:adjustRightInd w:val="0"/>
        <w:snapToGrid w:val="0"/>
        <w:spacing w:line="576" w:lineRule="exact"/>
        <w:ind w:firstLine="640" w:firstLineChars="200"/>
        <w:rPr>
          <w:rFonts w:ascii="黑体" w:hAnsi="黑体" w:eastAsia="黑体"/>
          <w:bCs/>
          <w:color w:val="auto"/>
          <w:kern w:val="0"/>
          <w:sz w:val="32"/>
          <w:szCs w:val="32"/>
          <w:shd w:val="clear" w:color="auto" w:fill="FFFFFF"/>
        </w:rPr>
      </w:pPr>
      <w:r>
        <w:rPr>
          <w:rFonts w:hint="eastAsia" w:ascii="黑体" w:hAnsi="黑体" w:eastAsia="黑体" w:cs="黑体"/>
          <w:bCs/>
          <w:color w:val="auto"/>
          <w:kern w:val="0"/>
          <w:sz w:val="32"/>
          <w:szCs w:val="32"/>
          <w:shd w:val="clear" w:color="auto" w:fill="FFFFFF"/>
        </w:rPr>
        <w:t>二、部门财政资金收支情况</w:t>
      </w:r>
    </w:p>
    <w:p>
      <w:pPr>
        <w:adjustRightInd w:val="0"/>
        <w:snapToGrid w:val="0"/>
        <w:spacing w:line="576" w:lineRule="exact"/>
        <w:ind w:firstLine="640" w:firstLineChars="200"/>
        <w:rPr>
          <w:rFonts w:ascii="楷体" w:hAnsi="楷体" w:eastAsia="楷体"/>
          <w:color w:val="auto"/>
          <w:kern w:val="0"/>
          <w:sz w:val="32"/>
          <w:szCs w:val="32"/>
          <w:shd w:val="clear" w:color="auto" w:fill="FFFFFF"/>
          <w:lang w:val="zh-CN"/>
        </w:rPr>
      </w:pPr>
      <w:r>
        <w:rPr>
          <w:rFonts w:hint="eastAsia" w:ascii="楷体" w:hAnsi="楷体" w:eastAsia="楷体" w:cs="楷体_GB2312"/>
          <w:bCs/>
          <w:color w:val="auto"/>
          <w:kern w:val="0"/>
          <w:sz w:val="32"/>
          <w:szCs w:val="32"/>
          <w:shd w:val="clear" w:color="auto" w:fill="FFFFFF"/>
          <w:lang w:val="zh-CN"/>
        </w:rPr>
        <w:t>（一）部门财政资金收入情况。</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全年</w:t>
      </w:r>
      <w:r>
        <w:rPr>
          <w:rFonts w:hint="eastAsia" w:ascii="仿宋_GB2312" w:hAnsi="仿宋_GB2312" w:eastAsia="仿宋_GB2312" w:cs="仿宋_GB2312"/>
          <w:color w:val="auto"/>
          <w:sz w:val="32"/>
          <w:szCs w:val="32"/>
        </w:rPr>
        <w:t>收入决算总额为</w:t>
      </w:r>
      <w:r>
        <w:rPr>
          <w:rFonts w:hint="eastAsia" w:ascii="仿宋_GB2312" w:hAnsi="仿宋_GB2312" w:eastAsia="仿宋_GB2312" w:cs="仿宋_GB2312"/>
          <w:color w:val="auto"/>
          <w:sz w:val="32"/>
          <w:szCs w:val="32"/>
          <w:lang w:val="en-US" w:eastAsia="zh-CN"/>
        </w:rPr>
        <w:t>7432057.39</w:t>
      </w:r>
      <w:r>
        <w:rPr>
          <w:rFonts w:hint="eastAsia" w:ascii="仿宋_GB2312" w:hAnsi="仿宋_GB2312" w:eastAsia="仿宋_GB2312" w:cs="仿宋_GB2312"/>
          <w:color w:val="auto"/>
          <w:sz w:val="32"/>
          <w:szCs w:val="32"/>
        </w:rPr>
        <w:t>元，其中一般财政预算拨款收入</w:t>
      </w:r>
      <w:r>
        <w:rPr>
          <w:rFonts w:hint="eastAsia" w:ascii="仿宋_GB2312" w:hAnsi="仿宋_GB2312" w:eastAsia="仿宋_GB2312" w:cs="仿宋_GB2312"/>
          <w:color w:val="auto"/>
          <w:sz w:val="32"/>
          <w:szCs w:val="32"/>
          <w:lang w:val="en-US" w:eastAsia="zh-CN"/>
        </w:rPr>
        <w:t>6182057.39</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其他收入</w:t>
      </w:r>
      <w:r>
        <w:rPr>
          <w:rFonts w:hint="eastAsia" w:ascii="仿宋_GB2312" w:hAnsi="仿宋_GB2312" w:eastAsia="仿宋_GB2312" w:cs="仿宋_GB2312"/>
          <w:color w:val="auto"/>
          <w:sz w:val="32"/>
          <w:szCs w:val="32"/>
          <w:lang w:val="en-US" w:eastAsia="zh-CN"/>
        </w:rPr>
        <w:t>1250000元</w:t>
      </w:r>
      <w:r>
        <w:rPr>
          <w:rFonts w:hint="eastAsia" w:ascii="仿宋_GB2312" w:hAnsi="仿宋_GB2312" w:eastAsia="仿宋_GB2312" w:cs="仿宋_GB2312"/>
          <w:color w:val="auto"/>
          <w:sz w:val="32"/>
          <w:szCs w:val="32"/>
        </w:rPr>
        <w:t>。</w:t>
      </w:r>
    </w:p>
    <w:p>
      <w:pPr>
        <w:adjustRightInd w:val="0"/>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楷体" w:hAnsi="楷体" w:eastAsia="楷体" w:cs="楷体_GB2312"/>
          <w:bCs/>
          <w:color w:val="auto"/>
          <w:kern w:val="0"/>
          <w:sz w:val="32"/>
          <w:szCs w:val="32"/>
          <w:shd w:val="clear" w:color="auto" w:fill="FFFFFF"/>
          <w:lang w:val="zh-CN"/>
        </w:rPr>
        <w:t>（二）部门财政资金支出情况。</w:t>
      </w:r>
      <w:r>
        <w:rPr>
          <w:rFonts w:hint="eastAsia" w:ascii="仿宋_GB2312" w:hAnsi="仿宋_GB2312" w:eastAsia="仿宋_GB2312" w:cs="仿宋_GB2312"/>
          <w:color w:val="auto"/>
          <w:sz w:val="32"/>
          <w:szCs w:val="32"/>
        </w:rPr>
        <w:t>县委政法委20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年支出决算总额为</w:t>
      </w:r>
      <w:r>
        <w:rPr>
          <w:rFonts w:hint="eastAsia" w:ascii="仿宋_GB2312" w:hAnsi="仿宋_GB2312" w:eastAsia="仿宋_GB2312" w:cs="仿宋_GB2312"/>
          <w:color w:val="auto"/>
          <w:sz w:val="32"/>
          <w:szCs w:val="32"/>
          <w:lang w:val="en-US" w:eastAsia="zh-CN"/>
        </w:rPr>
        <w:t>7706315.94</w:t>
      </w:r>
      <w:r>
        <w:rPr>
          <w:rFonts w:hint="eastAsia" w:ascii="仿宋_GB2312" w:hAnsi="仿宋_GB2312" w:eastAsia="仿宋_GB2312" w:cs="仿宋_GB2312"/>
          <w:color w:val="auto"/>
          <w:sz w:val="32"/>
          <w:szCs w:val="32"/>
        </w:rPr>
        <w:t>元，其中：公共安全支出</w:t>
      </w:r>
      <w:r>
        <w:rPr>
          <w:rFonts w:hint="eastAsia" w:ascii="仿宋_GB2312" w:hAnsi="仿宋_GB2312" w:eastAsia="仿宋_GB2312" w:cs="仿宋_GB2312"/>
          <w:color w:val="auto"/>
          <w:sz w:val="32"/>
          <w:szCs w:val="32"/>
          <w:lang w:val="en-US" w:eastAsia="zh-CN"/>
        </w:rPr>
        <w:t>7087615.26</w:t>
      </w:r>
      <w:r>
        <w:rPr>
          <w:rFonts w:hint="eastAsia" w:ascii="仿宋_GB2312" w:hAnsi="仿宋_GB2312" w:eastAsia="仿宋_GB2312" w:cs="仿宋_GB2312"/>
          <w:color w:val="auto"/>
          <w:sz w:val="32"/>
          <w:szCs w:val="32"/>
        </w:rPr>
        <w:t>元、社会保障和就业支出</w:t>
      </w:r>
      <w:r>
        <w:rPr>
          <w:rFonts w:hint="eastAsia" w:ascii="仿宋_GB2312" w:hAnsi="仿宋_GB2312" w:eastAsia="仿宋_GB2312" w:cs="仿宋_GB2312"/>
          <w:color w:val="auto"/>
          <w:sz w:val="32"/>
          <w:szCs w:val="32"/>
          <w:lang w:val="en-US" w:eastAsia="zh-CN"/>
        </w:rPr>
        <w:t>274978.08</w:t>
      </w:r>
      <w:r>
        <w:rPr>
          <w:rFonts w:hint="eastAsia" w:ascii="仿宋_GB2312" w:hAnsi="仿宋_GB2312" w:eastAsia="仿宋_GB2312" w:cs="仿宋_GB2312"/>
          <w:color w:val="auto"/>
          <w:sz w:val="32"/>
          <w:szCs w:val="32"/>
        </w:rPr>
        <w:t>元、卫生健康支出</w:t>
      </w:r>
      <w:r>
        <w:rPr>
          <w:rFonts w:hint="eastAsia" w:ascii="仿宋_GB2312" w:hAnsi="仿宋_GB2312" w:eastAsia="仿宋_GB2312" w:cs="仿宋_GB2312"/>
          <w:color w:val="auto"/>
          <w:sz w:val="32"/>
          <w:szCs w:val="32"/>
          <w:lang w:val="en-US" w:eastAsia="zh-CN"/>
        </w:rPr>
        <w:t>137489.04</w:t>
      </w:r>
      <w:r>
        <w:rPr>
          <w:rFonts w:hint="eastAsia" w:ascii="仿宋_GB2312" w:hAnsi="仿宋_GB2312" w:eastAsia="仿宋_GB2312" w:cs="仿宋_GB2312"/>
          <w:color w:val="auto"/>
          <w:sz w:val="32"/>
          <w:szCs w:val="32"/>
        </w:rPr>
        <w:t>元、住房保障支出</w:t>
      </w:r>
      <w:r>
        <w:rPr>
          <w:rFonts w:hint="eastAsia" w:ascii="仿宋_GB2312" w:hAnsi="仿宋_GB2312" w:eastAsia="仿宋_GB2312" w:cs="仿宋_GB2312"/>
          <w:color w:val="auto"/>
          <w:sz w:val="32"/>
          <w:szCs w:val="32"/>
          <w:lang w:val="en-US" w:eastAsia="zh-CN"/>
        </w:rPr>
        <w:t>206233.56</w:t>
      </w:r>
      <w:r>
        <w:rPr>
          <w:rFonts w:hint="eastAsia" w:ascii="仿宋_GB2312" w:hAnsi="仿宋_GB2312" w:eastAsia="仿宋_GB2312" w:cs="仿宋_GB2312"/>
          <w:color w:val="auto"/>
          <w:sz w:val="32"/>
          <w:szCs w:val="32"/>
        </w:rPr>
        <w:t>元。</w:t>
      </w:r>
    </w:p>
    <w:p>
      <w:pPr>
        <w:adjustRightInd w:val="0"/>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我委属于财政全额预算单位，财政拨款支出主要用于保障本部门机构正常运转、完成日常工作任务。</w:t>
      </w:r>
    </w:p>
    <w:p>
      <w:pPr>
        <w:adjustRightInd w:val="0"/>
        <w:snapToGrid w:val="0"/>
        <w:spacing w:line="576" w:lineRule="exact"/>
        <w:ind w:firstLine="640" w:firstLineChars="200"/>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1、20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年一般公共预算财政拨款基本支出决算</w:t>
      </w:r>
      <w:r>
        <w:rPr>
          <w:rFonts w:hint="eastAsia" w:ascii="仿宋_GB2312" w:hAnsi="仿宋_GB2312" w:eastAsia="仿宋_GB2312" w:cs="仿宋_GB2312"/>
          <w:color w:val="auto"/>
          <w:sz w:val="32"/>
          <w:szCs w:val="32"/>
          <w:lang w:val="en-US" w:eastAsia="zh-CN"/>
        </w:rPr>
        <w:t>4305011.94</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人员经费</w:t>
      </w:r>
      <w:r>
        <w:rPr>
          <w:rFonts w:hint="eastAsia" w:ascii="仿宋_GB2312" w:hAnsi="仿宋_GB2312" w:eastAsia="仿宋_GB2312" w:cs="仿宋_GB2312"/>
          <w:color w:val="auto"/>
          <w:sz w:val="32"/>
          <w:szCs w:val="32"/>
          <w:lang w:val="en-US" w:eastAsia="zh-CN"/>
        </w:rPr>
        <w:t>3638346.03</w:t>
      </w:r>
      <w:r>
        <w:rPr>
          <w:rFonts w:hint="eastAsia" w:ascii="仿宋_GB2312" w:hAnsi="仿宋_GB2312" w:eastAsia="仿宋_GB2312" w:cs="仿宋_GB2312"/>
          <w:color w:val="auto"/>
          <w:sz w:val="32"/>
          <w:szCs w:val="32"/>
        </w:rPr>
        <w:t>元，日常公</w:t>
      </w:r>
      <w:r>
        <w:rPr>
          <w:rFonts w:hint="eastAsia" w:ascii="仿宋_GB2312" w:hAnsi="仿宋_GB2312" w:eastAsia="仿宋_GB2312" w:cs="仿宋_GB2312"/>
          <w:color w:val="auto"/>
          <w:sz w:val="32"/>
          <w:szCs w:val="32"/>
          <w:lang w:eastAsia="zh-CN"/>
        </w:rPr>
        <w:t>用经</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lang w:val="en-US" w:eastAsia="zh-CN"/>
        </w:rPr>
        <w:t>628073.91</w:t>
      </w:r>
      <w:r>
        <w:rPr>
          <w:rFonts w:hint="eastAsia" w:ascii="仿宋_GB2312" w:hAnsi="仿宋_GB2312" w:eastAsia="仿宋_GB2312" w:cs="仿宋_GB2312"/>
          <w:color w:val="auto"/>
          <w:sz w:val="32"/>
          <w:szCs w:val="32"/>
        </w:rPr>
        <w:t>元）主是用于保障单位人员经费和日常公务费用支出，</w:t>
      </w:r>
      <w:r>
        <w:rPr>
          <w:rFonts w:hint="eastAsia" w:ascii="仿宋_GB2312" w:hAnsi="仿宋_GB2312" w:eastAsia="仿宋_GB2312" w:cs="仿宋_GB2312"/>
          <w:color w:val="auto"/>
          <w:sz w:val="32"/>
          <w:szCs w:val="32"/>
          <w:lang w:eastAsia="zh-CN"/>
        </w:rPr>
        <w:t>人员经费</w:t>
      </w:r>
      <w:r>
        <w:rPr>
          <w:rFonts w:hint="eastAsia" w:ascii="仿宋_GB2312" w:hAnsi="仿宋_GB2312" w:eastAsia="仿宋_GB2312" w:cs="仿宋_GB2312"/>
          <w:color w:val="auto"/>
          <w:sz w:val="32"/>
          <w:szCs w:val="32"/>
        </w:rPr>
        <w:t>包括基本工资</w:t>
      </w:r>
      <w:r>
        <w:rPr>
          <w:rFonts w:hint="eastAsia" w:ascii="仿宋_GB2312" w:hAnsi="仿宋_GB2312" w:eastAsia="仿宋_GB2312" w:cs="仿宋_GB2312"/>
          <w:color w:val="auto"/>
          <w:sz w:val="32"/>
          <w:szCs w:val="32"/>
          <w:lang w:val="en-US" w:eastAsia="zh-CN"/>
        </w:rPr>
        <w:t>1115898元</w:t>
      </w:r>
      <w:r>
        <w:rPr>
          <w:rFonts w:hint="eastAsia" w:ascii="仿宋_GB2312" w:hAnsi="仿宋_GB2312" w:eastAsia="仿宋_GB2312" w:cs="仿宋_GB2312"/>
          <w:color w:val="auto"/>
          <w:sz w:val="32"/>
          <w:szCs w:val="32"/>
        </w:rPr>
        <w:t>、津贴补贴</w:t>
      </w:r>
      <w:r>
        <w:rPr>
          <w:rFonts w:hint="eastAsia" w:ascii="仿宋_GB2312" w:hAnsi="仿宋_GB2312" w:eastAsia="仿宋_GB2312" w:cs="仿宋_GB2312"/>
          <w:color w:val="auto"/>
          <w:sz w:val="32"/>
          <w:szCs w:val="32"/>
          <w:lang w:val="en-US" w:eastAsia="zh-CN"/>
        </w:rPr>
        <w:t>770651元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目标绩效</w:t>
      </w:r>
      <w:r>
        <w:rPr>
          <w:rFonts w:hint="eastAsia" w:ascii="仿宋_GB2312" w:hAnsi="仿宋_GB2312" w:eastAsia="仿宋_GB2312" w:cs="仿宋_GB2312"/>
          <w:color w:val="auto"/>
          <w:sz w:val="32"/>
          <w:szCs w:val="32"/>
        </w:rPr>
        <w:t>奖</w:t>
      </w:r>
      <w:r>
        <w:rPr>
          <w:rFonts w:hint="eastAsia" w:ascii="仿宋_GB2312" w:hAnsi="仿宋_GB2312" w:eastAsia="仿宋_GB2312" w:cs="仿宋_GB2312"/>
          <w:color w:val="auto"/>
          <w:sz w:val="32"/>
          <w:szCs w:val="32"/>
          <w:lang w:val="en-US" w:eastAsia="zh-CN"/>
        </w:rPr>
        <w:t>954059元</w:t>
      </w:r>
      <w:r>
        <w:rPr>
          <w:rFonts w:hint="eastAsia" w:ascii="仿宋_GB2312" w:hAnsi="仿宋_GB2312" w:eastAsia="仿宋_GB2312" w:cs="仿宋_GB2312"/>
          <w:color w:val="auto"/>
          <w:sz w:val="32"/>
          <w:szCs w:val="32"/>
        </w:rPr>
        <w:t>、绩效工资</w:t>
      </w:r>
      <w:r>
        <w:rPr>
          <w:rFonts w:hint="eastAsia" w:ascii="仿宋_GB2312" w:hAnsi="仿宋_GB2312" w:eastAsia="仿宋_GB2312" w:cs="仿宋_GB2312"/>
          <w:color w:val="auto"/>
          <w:sz w:val="32"/>
          <w:szCs w:val="32"/>
          <w:lang w:val="en-US" w:eastAsia="zh-CN"/>
        </w:rPr>
        <w:t>168492元</w:t>
      </w:r>
      <w:r>
        <w:rPr>
          <w:rFonts w:hint="eastAsia" w:ascii="仿宋_GB2312" w:hAnsi="仿宋_GB2312" w:eastAsia="仿宋_GB2312" w:cs="仿宋_GB2312"/>
          <w:color w:val="auto"/>
          <w:sz w:val="32"/>
          <w:szCs w:val="32"/>
        </w:rPr>
        <w:t>、职工养老保险缴费</w:t>
      </w:r>
      <w:r>
        <w:rPr>
          <w:rFonts w:hint="eastAsia" w:ascii="仿宋_GB2312" w:hAnsi="仿宋_GB2312" w:eastAsia="仿宋_GB2312" w:cs="仿宋_GB2312"/>
          <w:color w:val="auto"/>
          <w:sz w:val="32"/>
          <w:szCs w:val="32"/>
          <w:lang w:val="en-US" w:eastAsia="zh-CN"/>
        </w:rPr>
        <w:t>274978.08元</w:t>
      </w:r>
      <w:r>
        <w:rPr>
          <w:rFonts w:hint="eastAsia" w:ascii="仿宋_GB2312" w:hAnsi="仿宋_GB2312" w:eastAsia="仿宋_GB2312" w:cs="仿宋_GB2312"/>
          <w:color w:val="auto"/>
          <w:sz w:val="32"/>
          <w:szCs w:val="32"/>
        </w:rPr>
        <w:t>、职工基本医疗保险缴费</w:t>
      </w:r>
      <w:r>
        <w:rPr>
          <w:rFonts w:hint="eastAsia" w:ascii="仿宋_GB2312" w:hAnsi="仿宋_GB2312" w:eastAsia="仿宋_GB2312" w:cs="仿宋_GB2312"/>
          <w:color w:val="auto"/>
          <w:sz w:val="32"/>
          <w:szCs w:val="32"/>
          <w:lang w:val="en-US" w:eastAsia="zh-CN"/>
        </w:rPr>
        <w:t>137489.04元</w:t>
      </w:r>
      <w:r>
        <w:rPr>
          <w:rFonts w:hint="eastAsia" w:ascii="仿宋_GB2312" w:hAnsi="仿宋_GB2312" w:eastAsia="仿宋_GB2312" w:cs="仿宋_GB2312"/>
          <w:color w:val="auto"/>
          <w:sz w:val="32"/>
          <w:szCs w:val="32"/>
        </w:rPr>
        <w:t>、其他社会保障缴费</w:t>
      </w:r>
      <w:r>
        <w:rPr>
          <w:rFonts w:hint="eastAsia" w:ascii="仿宋_GB2312" w:hAnsi="仿宋_GB2312" w:eastAsia="仿宋_GB2312" w:cs="仿宋_GB2312"/>
          <w:color w:val="auto"/>
          <w:sz w:val="32"/>
          <w:szCs w:val="32"/>
          <w:lang w:val="en-US" w:eastAsia="zh-CN"/>
        </w:rPr>
        <w:t>10545.35元</w:t>
      </w:r>
      <w:r>
        <w:rPr>
          <w:rFonts w:hint="eastAsia" w:ascii="仿宋_GB2312" w:hAnsi="仿宋_GB2312" w:eastAsia="仿宋_GB2312" w:cs="仿宋_GB2312"/>
          <w:color w:val="auto"/>
          <w:sz w:val="32"/>
          <w:szCs w:val="32"/>
        </w:rPr>
        <w:t>、住房公积金</w:t>
      </w:r>
      <w:r>
        <w:rPr>
          <w:rFonts w:hint="eastAsia" w:ascii="仿宋_GB2312" w:hAnsi="仿宋_GB2312" w:eastAsia="仿宋_GB2312" w:cs="仿宋_GB2312"/>
          <w:color w:val="auto"/>
          <w:sz w:val="32"/>
          <w:szCs w:val="32"/>
          <w:lang w:val="en-US" w:eastAsia="zh-CN"/>
        </w:rPr>
        <w:t>206233.56元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公用经费包括</w:t>
      </w:r>
      <w:r>
        <w:rPr>
          <w:rFonts w:hint="eastAsia" w:ascii="仿宋_GB2312" w:hAnsi="仿宋_GB2312" w:eastAsia="仿宋_GB2312" w:cs="仿宋_GB2312"/>
          <w:color w:val="auto"/>
          <w:sz w:val="32"/>
          <w:szCs w:val="32"/>
        </w:rPr>
        <w:t>办公费</w:t>
      </w:r>
      <w:r>
        <w:rPr>
          <w:rFonts w:hint="eastAsia" w:ascii="仿宋_GB2312" w:hAnsi="仿宋_GB2312" w:eastAsia="仿宋_GB2312" w:cs="仿宋_GB2312"/>
          <w:color w:val="auto"/>
          <w:sz w:val="32"/>
          <w:szCs w:val="32"/>
          <w:lang w:val="en-US" w:eastAsia="zh-CN"/>
        </w:rPr>
        <w:t>102408.18</w:t>
      </w:r>
      <w:r>
        <w:rPr>
          <w:rFonts w:hint="eastAsia" w:ascii="仿宋_GB2312" w:hAnsi="仿宋_GB2312" w:eastAsia="仿宋_GB2312" w:cs="仿宋_GB2312"/>
          <w:color w:val="auto"/>
          <w:sz w:val="32"/>
          <w:szCs w:val="32"/>
        </w:rPr>
        <w:t>元、印刷费</w:t>
      </w:r>
      <w:r>
        <w:rPr>
          <w:rFonts w:hint="eastAsia" w:ascii="仿宋_GB2312" w:hAnsi="仿宋_GB2312" w:eastAsia="仿宋_GB2312" w:cs="仿宋_GB2312"/>
          <w:color w:val="auto"/>
          <w:sz w:val="32"/>
          <w:szCs w:val="32"/>
          <w:lang w:val="en-US" w:eastAsia="zh-CN"/>
        </w:rPr>
        <w:t>70500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水</w:t>
      </w:r>
      <w:r>
        <w:rPr>
          <w:rFonts w:hint="eastAsia" w:ascii="仿宋_GB2312" w:hAnsi="仿宋_GB2312" w:eastAsia="仿宋_GB2312" w:cs="仿宋_GB2312"/>
          <w:color w:val="auto"/>
          <w:sz w:val="32"/>
          <w:szCs w:val="32"/>
          <w:lang w:eastAsia="zh-CN"/>
        </w:rPr>
        <w:t>费</w:t>
      </w:r>
      <w:r>
        <w:rPr>
          <w:rFonts w:hint="eastAsia" w:ascii="仿宋_GB2312" w:hAnsi="仿宋_GB2312" w:eastAsia="仿宋_GB2312" w:cs="仿宋_GB2312"/>
          <w:color w:val="auto"/>
          <w:sz w:val="32"/>
          <w:szCs w:val="32"/>
          <w:lang w:val="en-US" w:eastAsia="zh-CN"/>
        </w:rPr>
        <w:t>15000元</w:t>
      </w:r>
      <w:r>
        <w:rPr>
          <w:rFonts w:hint="eastAsia" w:ascii="仿宋_GB2312" w:hAnsi="仿宋_GB2312" w:eastAsia="仿宋_GB2312" w:cs="仿宋_GB2312"/>
          <w:color w:val="auto"/>
          <w:sz w:val="32"/>
          <w:szCs w:val="32"/>
        </w:rPr>
        <w:t>、电</w:t>
      </w:r>
      <w:r>
        <w:rPr>
          <w:rFonts w:hint="eastAsia" w:ascii="仿宋_GB2312" w:hAnsi="仿宋_GB2312" w:eastAsia="仿宋_GB2312" w:cs="仿宋_GB2312"/>
          <w:color w:val="auto"/>
          <w:sz w:val="32"/>
          <w:szCs w:val="32"/>
          <w:lang w:eastAsia="zh-CN"/>
        </w:rPr>
        <w:t>费</w:t>
      </w:r>
      <w:r>
        <w:rPr>
          <w:rFonts w:hint="eastAsia" w:ascii="仿宋_GB2312" w:hAnsi="仿宋_GB2312" w:eastAsia="仿宋_GB2312" w:cs="仿宋_GB2312"/>
          <w:color w:val="auto"/>
          <w:sz w:val="32"/>
          <w:szCs w:val="32"/>
          <w:lang w:val="en-US" w:eastAsia="zh-CN"/>
        </w:rPr>
        <w:t>20000元</w:t>
      </w:r>
      <w:r>
        <w:rPr>
          <w:rFonts w:hint="eastAsia" w:ascii="仿宋_GB2312" w:hAnsi="仿宋_GB2312" w:eastAsia="仿宋_GB2312" w:cs="仿宋_GB2312"/>
          <w:color w:val="auto"/>
          <w:sz w:val="32"/>
          <w:szCs w:val="32"/>
        </w:rPr>
        <w:t>、邮电费</w:t>
      </w:r>
      <w:r>
        <w:rPr>
          <w:rFonts w:hint="eastAsia" w:ascii="仿宋_GB2312" w:hAnsi="仿宋_GB2312" w:eastAsia="仿宋_GB2312" w:cs="仿宋_GB2312"/>
          <w:color w:val="auto"/>
          <w:sz w:val="32"/>
          <w:szCs w:val="32"/>
          <w:lang w:val="en-US" w:eastAsia="zh-CN"/>
        </w:rPr>
        <w:t>20000元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物业管理费</w:t>
      </w:r>
      <w:r>
        <w:rPr>
          <w:rFonts w:hint="eastAsia" w:ascii="仿宋_GB2312" w:hAnsi="仿宋_GB2312" w:eastAsia="仿宋_GB2312" w:cs="仿宋_GB2312"/>
          <w:color w:val="auto"/>
          <w:sz w:val="32"/>
          <w:szCs w:val="32"/>
          <w:lang w:val="en-US" w:eastAsia="zh-CN"/>
        </w:rPr>
        <w:t>5000元、</w:t>
      </w:r>
      <w:r>
        <w:rPr>
          <w:rFonts w:hint="eastAsia" w:ascii="仿宋_GB2312" w:hAnsi="仿宋_GB2312" w:eastAsia="仿宋_GB2312" w:cs="仿宋_GB2312"/>
          <w:color w:val="auto"/>
          <w:sz w:val="32"/>
          <w:szCs w:val="32"/>
        </w:rPr>
        <w:t>差旅费</w:t>
      </w:r>
      <w:r>
        <w:rPr>
          <w:rFonts w:hint="eastAsia" w:ascii="仿宋_GB2312" w:hAnsi="仿宋_GB2312" w:eastAsia="仿宋_GB2312" w:cs="仿宋_GB2312"/>
          <w:color w:val="auto"/>
          <w:sz w:val="32"/>
          <w:szCs w:val="32"/>
          <w:lang w:val="en-US" w:eastAsia="zh-CN"/>
        </w:rPr>
        <w:t>45416.23元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维护费</w:t>
      </w:r>
      <w:r>
        <w:rPr>
          <w:rFonts w:hint="eastAsia" w:ascii="仿宋_GB2312" w:hAnsi="仿宋_GB2312" w:eastAsia="仿宋_GB2312" w:cs="仿宋_GB2312"/>
          <w:color w:val="auto"/>
          <w:sz w:val="32"/>
          <w:szCs w:val="32"/>
          <w:lang w:val="en-US" w:eastAsia="zh-CN"/>
        </w:rPr>
        <w:t>50000元、</w:t>
      </w:r>
      <w:r>
        <w:rPr>
          <w:rFonts w:hint="eastAsia" w:ascii="仿宋_GB2312" w:hAnsi="仿宋_GB2312" w:eastAsia="仿宋_GB2312" w:cs="仿宋_GB2312"/>
          <w:color w:val="auto"/>
          <w:sz w:val="32"/>
          <w:szCs w:val="32"/>
        </w:rPr>
        <w:t>会议费</w:t>
      </w:r>
      <w:r>
        <w:rPr>
          <w:rFonts w:hint="eastAsia" w:ascii="仿宋_GB2312" w:hAnsi="仿宋_GB2312" w:eastAsia="仿宋_GB2312" w:cs="仿宋_GB2312"/>
          <w:color w:val="auto"/>
          <w:sz w:val="32"/>
          <w:szCs w:val="32"/>
          <w:lang w:val="en-US" w:eastAsia="zh-CN"/>
        </w:rPr>
        <w:t>10000元</w:t>
      </w:r>
      <w:r>
        <w:rPr>
          <w:rFonts w:hint="eastAsia" w:ascii="仿宋_GB2312" w:hAnsi="仿宋_GB2312" w:eastAsia="仿宋_GB2312" w:cs="仿宋_GB2312"/>
          <w:color w:val="auto"/>
          <w:sz w:val="32"/>
          <w:szCs w:val="32"/>
        </w:rPr>
        <w:t>、工会经费</w:t>
      </w:r>
      <w:r>
        <w:rPr>
          <w:rFonts w:hint="eastAsia" w:ascii="仿宋_GB2312" w:hAnsi="仿宋_GB2312" w:eastAsia="仿宋_GB2312" w:cs="仿宋_GB2312"/>
          <w:color w:val="auto"/>
          <w:sz w:val="32"/>
          <w:szCs w:val="32"/>
          <w:lang w:val="en-US" w:eastAsia="zh-CN"/>
        </w:rPr>
        <w:t>12664.52元</w:t>
      </w:r>
      <w:r>
        <w:rPr>
          <w:rFonts w:hint="eastAsia" w:ascii="仿宋_GB2312" w:hAnsi="仿宋_GB2312" w:eastAsia="仿宋_GB2312" w:cs="仿宋_GB2312"/>
          <w:color w:val="auto"/>
          <w:sz w:val="32"/>
          <w:szCs w:val="32"/>
        </w:rPr>
        <w:t>、福利费</w:t>
      </w:r>
      <w:r>
        <w:rPr>
          <w:rFonts w:hint="eastAsia" w:ascii="仿宋_GB2312" w:hAnsi="仿宋_GB2312" w:eastAsia="仿宋_GB2312" w:cs="仿宋_GB2312"/>
          <w:color w:val="auto"/>
          <w:sz w:val="32"/>
          <w:szCs w:val="32"/>
          <w:lang w:val="en-US" w:eastAsia="zh-CN"/>
        </w:rPr>
        <w:t>21143.62元</w:t>
      </w:r>
      <w:r>
        <w:rPr>
          <w:rFonts w:hint="eastAsia" w:ascii="仿宋_GB2312" w:hAnsi="仿宋_GB2312" w:eastAsia="仿宋_GB2312" w:cs="仿宋_GB2312"/>
          <w:color w:val="auto"/>
          <w:sz w:val="32"/>
          <w:szCs w:val="32"/>
        </w:rPr>
        <w:t>、公务接待费</w:t>
      </w:r>
      <w:r>
        <w:rPr>
          <w:rFonts w:hint="eastAsia" w:ascii="仿宋_GB2312" w:hAnsi="仿宋_GB2312" w:eastAsia="仿宋_GB2312" w:cs="仿宋_GB2312"/>
          <w:color w:val="auto"/>
          <w:sz w:val="32"/>
          <w:szCs w:val="32"/>
          <w:lang w:val="en-US" w:eastAsia="zh-CN"/>
        </w:rPr>
        <w:t>89636.45</w:t>
      </w:r>
      <w:r>
        <w:rPr>
          <w:rFonts w:hint="eastAsia" w:ascii="仿宋_GB2312" w:hAnsi="仿宋_GB2312" w:eastAsia="仿宋_GB2312" w:cs="仿宋_GB2312"/>
          <w:color w:val="auto"/>
          <w:sz w:val="32"/>
          <w:szCs w:val="32"/>
        </w:rPr>
        <w:t>元、其他交通费用</w:t>
      </w:r>
      <w:r>
        <w:rPr>
          <w:rFonts w:hint="eastAsia" w:ascii="仿宋_GB2312" w:hAnsi="仿宋_GB2312" w:eastAsia="仿宋_GB2312" w:cs="仿宋_GB2312"/>
          <w:color w:val="auto"/>
          <w:sz w:val="32"/>
          <w:szCs w:val="32"/>
          <w:lang w:val="en-US" w:eastAsia="zh-CN"/>
        </w:rPr>
        <w:t>164650.62元、其他商品和服务支出1654.29元；对个人和家庭的补助38592元（退休费38592元）。</w:t>
      </w:r>
    </w:p>
    <w:p>
      <w:pPr>
        <w:adjustRightInd w:val="0"/>
        <w:snapToGrid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年一般公共预算财政拨款项目支出决算</w:t>
      </w:r>
      <w:r>
        <w:rPr>
          <w:rFonts w:hint="eastAsia" w:ascii="仿宋_GB2312" w:hAnsi="仿宋_GB2312" w:eastAsia="仿宋_GB2312" w:cs="仿宋_GB2312"/>
          <w:color w:val="auto"/>
          <w:sz w:val="32"/>
          <w:szCs w:val="32"/>
          <w:lang w:val="en-US" w:eastAsia="zh-CN"/>
        </w:rPr>
        <w:t>2151304</w:t>
      </w:r>
      <w:r>
        <w:rPr>
          <w:rFonts w:hint="eastAsia" w:ascii="仿宋_GB2312" w:hAnsi="仿宋_GB2312" w:eastAsia="仿宋_GB2312" w:cs="仿宋_GB2312"/>
          <w:color w:val="auto"/>
          <w:sz w:val="32"/>
          <w:szCs w:val="32"/>
        </w:rPr>
        <w:t>元，包括（1）一般行政管理事务支出</w:t>
      </w:r>
      <w:r>
        <w:rPr>
          <w:rFonts w:hint="eastAsia" w:ascii="仿宋_GB2312" w:hAnsi="仿宋_GB2312" w:eastAsia="仿宋_GB2312" w:cs="仿宋_GB2312"/>
          <w:color w:val="auto"/>
          <w:sz w:val="32"/>
          <w:szCs w:val="32"/>
          <w:lang w:val="en-US" w:eastAsia="zh-CN"/>
        </w:rPr>
        <w:t>145000</w:t>
      </w:r>
      <w:r>
        <w:rPr>
          <w:rFonts w:hint="eastAsia" w:ascii="仿宋_GB2312" w:hAnsi="仿宋_GB2312" w:eastAsia="仿宋_GB2312" w:cs="仿宋_GB2312"/>
          <w:color w:val="auto"/>
          <w:sz w:val="32"/>
          <w:szCs w:val="32"/>
        </w:rPr>
        <w:t>元，主要是防范整治邪教活动经费</w:t>
      </w:r>
      <w:r>
        <w:rPr>
          <w:rFonts w:hint="eastAsia" w:ascii="仿宋_GB2312" w:hAnsi="仿宋_GB2312" w:eastAsia="仿宋_GB2312" w:cs="仿宋_GB2312"/>
          <w:color w:val="auto"/>
          <w:sz w:val="32"/>
          <w:szCs w:val="32"/>
          <w:lang w:val="en-US" w:eastAsia="zh-CN"/>
        </w:rPr>
        <w:t>90000</w:t>
      </w:r>
      <w:r>
        <w:rPr>
          <w:rFonts w:hint="eastAsia" w:ascii="仿宋_GB2312" w:hAnsi="仿宋_GB2312" w:eastAsia="仿宋_GB2312" w:cs="仿宋_GB2312"/>
          <w:color w:val="auto"/>
          <w:sz w:val="32"/>
          <w:szCs w:val="32"/>
        </w:rPr>
        <w:t>元（差旅费</w:t>
      </w:r>
      <w:r>
        <w:rPr>
          <w:rFonts w:hint="eastAsia" w:ascii="仿宋_GB2312" w:hAnsi="仿宋_GB2312" w:eastAsia="仿宋_GB2312" w:cs="仿宋_GB2312"/>
          <w:color w:val="auto"/>
          <w:sz w:val="32"/>
          <w:szCs w:val="32"/>
          <w:lang w:val="en-US" w:eastAsia="zh-CN"/>
        </w:rPr>
        <w:t>20000</w:t>
      </w:r>
      <w:r>
        <w:rPr>
          <w:rFonts w:hint="eastAsia" w:ascii="仿宋_GB2312" w:hAnsi="仿宋_GB2312" w:eastAsia="仿宋_GB2312" w:cs="仿宋_GB2312"/>
          <w:color w:val="auto"/>
          <w:sz w:val="32"/>
          <w:szCs w:val="32"/>
        </w:rPr>
        <w:t>元，印刷费</w:t>
      </w:r>
      <w:r>
        <w:rPr>
          <w:rFonts w:hint="eastAsia" w:ascii="仿宋_GB2312" w:hAnsi="仿宋_GB2312" w:eastAsia="仿宋_GB2312" w:cs="仿宋_GB2312"/>
          <w:color w:val="auto"/>
          <w:sz w:val="32"/>
          <w:szCs w:val="32"/>
          <w:lang w:val="en-US" w:eastAsia="zh-CN"/>
        </w:rPr>
        <w:t>50000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、维护费</w:t>
      </w:r>
      <w:r>
        <w:rPr>
          <w:rFonts w:hint="eastAsia" w:ascii="仿宋_GB2312" w:hAnsi="仿宋_GB2312" w:eastAsia="仿宋_GB2312" w:cs="仿宋_GB2312"/>
          <w:color w:val="auto"/>
          <w:sz w:val="32"/>
          <w:szCs w:val="32"/>
          <w:lang w:val="en-US" w:eastAsia="zh-CN"/>
        </w:rPr>
        <w:t>20000元</w:t>
      </w:r>
      <w:r>
        <w:rPr>
          <w:rFonts w:hint="eastAsia" w:ascii="仿宋_GB2312" w:hAnsi="仿宋_GB2312" w:eastAsia="仿宋_GB2312" w:cs="仿宋_GB2312"/>
          <w:color w:val="auto"/>
          <w:sz w:val="32"/>
          <w:szCs w:val="32"/>
        </w:rPr>
        <w:t>）、扫黑除恶斗争经费</w:t>
      </w:r>
      <w:r>
        <w:rPr>
          <w:rFonts w:hint="eastAsia" w:ascii="仿宋_GB2312" w:hAnsi="仿宋_GB2312" w:eastAsia="仿宋_GB2312" w:cs="仿宋_GB2312"/>
          <w:color w:val="auto"/>
          <w:sz w:val="32"/>
          <w:szCs w:val="32"/>
          <w:lang w:val="en-US" w:eastAsia="zh-CN"/>
        </w:rPr>
        <w:t>50000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办公费</w:t>
      </w:r>
      <w:r>
        <w:rPr>
          <w:rFonts w:hint="eastAsia" w:ascii="仿宋_GB2312" w:hAnsi="仿宋_GB2312" w:eastAsia="仿宋_GB2312" w:cs="仿宋_GB2312"/>
          <w:color w:val="auto"/>
          <w:sz w:val="32"/>
          <w:szCs w:val="32"/>
          <w:lang w:val="en-US" w:eastAsia="zh-CN"/>
        </w:rPr>
        <w:t>5000元、</w:t>
      </w:r>
      <w:r>
        <w:rPr>
          <w:rFonts w:hint="eastAsia" w:ascii="仿宋_GB2312" w:hAnsi="仿宋_GB2312" w:eastAsia="仿宋_GB2312" w:cs="仿宋_GB2312"/>
          <w:color w:val="auto"/>
          <w:sz w:val="32"/>
          <w:szCs w:val="32"/>
        </w:rPr>
        <w:t>印刷费</w:t>
      </w:r>
      <w:r>
        <w:rPr>
          <w:rFonts w:hint="eastAsia" w:ascii="仿宋_GB2312" w:hAnsi="仿宋_GB2312" w:eastAsia="仿宋_GB2312" w:cs="仿宋_GB2312"/>
          <w:color w:val="auto"/>
          <w:sz w:val="32"/>
          <w:szCs w:val="32"/>
          <w:lang w:val="en-US" w:eastAsia="zh-CN"/>
        </w:rPr>
        <w:t>30000</w:t>
      </w:r>
      <w:r>
        <w:rPr>
          <w:rFonts w:hint="eastAsia" w:ascii="仿宋_GB2312" w:hAnsi="仿宋_GB2312" w:eastAsia="仿宋_GB2312" w:cs="仿宋_GB2312"/>
          <w:color w:val="auto"/>
          <w:sz w:val="32"/>
          <w:szCs w:val="32"/>
        </w:rPr>
        <w:t>元、差旅费1</w:t>
      </w:r>
      <w:r>
        <w:rPr>
          <w:rFonts w:hint="eastAsia" w:ascii="仿宋_GB2312" w:hAnsi="仿宋_GB2312" w:eastAsia="仿宋_GB2312" w:cs="仿宋_GB2312"/>
          <w:color w:val="auto"/>
          <w:sz w:val="32"/>
          <w:szCs w:val="32"/>
          <w:lang w:val="en-US" w:eastAsia="zh-CN"/>
        </w:rPr>
        <w:t>5000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党组织活动经费</w:t>
      </w:r>
      <w:r>
        <w:rPr>
          <w:rFonts w:hint="eastAsia" w:ascii="仿宋_GB2312" w:hAnsi="仿宋_GB2312" w:eastAsia="仿宋_GB2312" w:cs="仿宋_GB2312"/>
          <w:color w:val="auto"/>
          <w:sz w:val="32"/>
          <w:szCs w:val="32"/>
          <w:lang w:val="en-US" w:eastAsia="zh-CN"/>
        </w:rPr>
        <w:t>5000元</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信息化建设经费</w:t>
      </w:r>
      <w:r>
        <w:rPr>
          <w:rFonts w:hint="eastAsia" w:ascii="仿宋_GB2312" w:hAnsi="仿宋_GB2312" w:eastAsia="仿宋_GB2312" w:cs="仿宋_GB2312"/>
          <w:color w:val="auto"/>
          <w:sz w:val="32"/>
          <w:szCs w:val="32"/>
          <w:lang w:val="en-US" w:eastAsia="zh-CN"/>
        </w:rPr>
        <w:t>1207708元，主要是网格化工作经费700000元（办公费100000元、维护费500000元、劳务费100000元）、政法三级网络上交市级507708元（维护费507708元）；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）其他公安支出</w:t>
      </w:r>
      <w:r>
        <w:rPr>
          <w:rFonts w:hint="eastAsia" w:ascii="仿宋_GB2312" w:hAnsi="仿宋_GB2312" w:eastAsia="仿宋_GB2312" w:cs="仿宋_GB2312"/>
          <w:color w:val="auto"/>
          <w:sz w:val="32"/>
          <w:szCs w:val="32"/>
          <w:lang w:val="en-US" w:eastAsia="zh-CN"/>
        </w:rPr>
        <w:t>798596</w:t>
      </w:r>
      <w:r>
        <w:rPr>
          <w:rFonts w:hint="eastAsia" w:ascii="仿宋_GB2312" w:hAnsi="仿宋_GB2312" w:eastAsia="仿宋_GB2312" w:cs="仿宋_GB2312"/>
          <w:color w:val="auto"/>
          <w:sz w:val="32"/>
          <w:szCs w:val="32"/>
        </w:rPr>
        <w:t>元，主要是</w:t>
      </w:r>
      <w:r>
        <w:rPr>
          <w:rFonts w:hint="eastAsia" w:ascii="仿宋_GB2312" w:hAnsi="仿宋_GB2312" w:eastAsia="仿宋_GB2312" w:cs="仿宋_GB2312"/>
          <w:color w:val="auto"/>
          <w:sz w:val="32"/>
          <w:szCs w:val="32"/>
          <w:lang w:val="en-US" w:eastAsia="zh-CN"/>
        </w:rPr>
        <w:t>涉案财物管理费56728元、多元化解法学会经费441868元、</w:t>
      </w:r>
      <w:r>
        <w:rPr>
          <w:rFonts w:hint="eastAsia" w:ascii="仿宋_GB2312" w:hAnsi="仿宋_GB2312" w:eastAsia="仿宋_GB2312" w:cs="仿宋_GB2312"/>
          <w:color w:val="auto"/>
          <w:sz w:val="32"/>
          <w:szCs w:val="32"/>
        </w:rPr>
        <w:t>严重精神障碍患者监护人以奖代补经费</w:t>
      </w:r>
      <w:r>
        <w:rPr>
          <w:rFonts w:hint="eastAsia" w:ascii="仿宋_GB2312" w:hAnsi="仿宋_GB2312" w:eastAsia="仿宋_GB2312" w:cs="仿宋_GB2312"/>
          <w:color w:val="auto"/>
          <w:sz w:val="32"/>
          <w:szCs w:val="32"/>
          <w:lang w:val="en-US" w:eastAsia="zh-CN"/>
        </w:rPr>
        <w:t>300000元</w:t>
      </w:r>
      <w:r>
        <w:rPr>
          <w:rFonts w:hint="eastAsia" w:ascii="仿宋_GB2312" w:hAnsi="仿宋_GB2312" w:eastAsia="仿宋_GB2312" w:cs="仿宋_GB2312"/>
          <w:color w:val="auto"/>
          <w:sz w:val="32"/>
          <w:szCs w:val="32"/>
          <w:lang w:eastAsia="zh-CN"/>
        </w:rPr>
        <w:t>。</w:t>
      </w:r>
    </w:p>
    <w:p>
      <w:pPr>
        <w:adjustRightInd w:val="0"/>
        <w:snapToGrid w:val="0"/>
        <w:spacing w:line="576" w:lineRule="exact"/>
        <w:ind w:firstLine="640" w:firstLineChars="200"/>
        <w:rPr>
          <w:rFonts w:hint="default" w:ascii="仿宋_GB2312" w:hAnsi="仿宋_GB2312" w:eastAsia="仿宋_GB2312" w:cs="仿宋_GB2312"/>
          <w:color w:val="auto"/>
          <w:sz w:val="32"/>
          <w:szCs w:val="32"/>
          <w:lang w:val="en-US" w:eastAsia="zh-CN"/>
        </w:rPr>
      </w:pPr>
      <w:r>
        <w:rPr>
          <w:rFonts w:hint="eastAsia" w:ascii="楷体" w:hAnsi="楷体" w:eastAsia="楷体" w:cs="楷体_GB2312"/>
          <w:bCs/>
          <w:color w:val="auto"/>
          <w:kern w:val="0"/>
          <w:sz w:val="32"/>
          <w:szCs w:val="32"/>
          <w:shd w:val="clear" w:color="auto" w:fill="FFFFFF"/>
          <w:lang w:val="zh-CN" w:eastAsia="zh-CN"/>
        </w:rPr>
        <w:t>（三）上年结转支出情况。</w:t>
      </w: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lang w:eastAsia="zh-CN"/>
        </w:rPr>
        <w:t>上年结转</w:t>
      </w:r>
      <w:r>
        <w:rPr>
          <w:rFonts w:hint="eastAsia" w:ascii="仿宋_GB2312" w:hAnsi="仿宋_GB2312" w:eastAsia="仿宋_GB2312" w:cs="仿宋_GB2312"/>
          <w:color w:val="auto"/>
          <w:sz w:val="32"/>
          <w:szCs w:val="32"/>
          <w:lang w:val="en-US" w:eastAsia="zh-CN"/>
        </w:rPr>
        <w:t>274258.55</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，包括（</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）政法三级网络费</w:t>
      </w:r>
      <w:r>
        <w:rPr>
          <w:rFonts w:hint="eastAsia" w:ascii="仿宋_GB2312" w:hAnsi="仿宋_GB2312" w:eastAsia="仿宋_GB2312" w:cs="仿宋_GB2312"/>
          <w:color w:val="auto"/>
          <w:sz w:val="32"/>
          <w:szCs w:val="32"/>
          <w:lang w:val="en-US" w:eastAsia="zh-CN"/>
        </w:rPr>
        <w:t>167708元件；（2）涉案财物管理中心租赁费56728元；（3）办公费49822.55元。</w:t>
      </w:r>
    </w:p>
    <w:p>
      <w:pPr>
        <w:adjustRightInd w:val="0"/>
        <w:snapToGrid w:val="0"/>
        <w:spacing w:line="576" w:lineRule="exact"/>
        <w:ind w:firstLine="640" w:firstLineChars="200"/>
        <w:rPr>
          <w:rFonts w:ascii="黑体" w:hAnsi="黑体" w:eastAsia="黑体"/>
          <w:color w:val="auto"/>
          <w:kern w:val="0"/>
          <w:sz w:val="32"/>
          <w:szCs w:val="32"/>
          <w:shd w:val="clear" w:color="auto" w:fill="FFFFFF"/>
        </w:rPr>
      </w:pPr>
      <w:r>
        <w:rPr>
          <w:rFonts w:hint="eastAsia" w:ascii="黑体" w:hAnsi="黑体" w:eastAsia="黑体" w:cs="黑体"/>
          <w:bCs/>
          <w:color w:val="auto"/>
          <w:kern w:val="0"/>
          <w:sz w:val="32"/>
          <w:szCs w:val="32"/>
          <w:shd w:val="clear" w:color="auto" w:fill="FFFFFF"/>
        </w:rPr>
        <w:t>三、部门整体预算绩效管理情况</w:t>
      </w:r>
    </w:p>
    <w:p>
      <w:pPr>
        <w:spacing w:line="576" w:lineRule="exact"/>
        <w:ind w:firstLine="640" w:firstLineChars="200"/>
        <w:rPr>
          <w:rFonts w:ascii="楷体" w:hAnsi="楷体" w:eastAsia="楷体" w:cs="楷体_GB2312"/>
          <w:bCs/>
          <w:color w:val="auto"/>
          <w:kern w:val="0"/>
          <w:sz w:val="32"/>
          <w:szCs w:val="32"/>
          <w:shd w:val="clear" w:color="auto" w:fill="FFFFFF"/>
          <w:lang w:val="zh-CN"/>
        </w:rPr>
      </w:pPr>
      <w:r>
        <w:rPr>
          <w:rFonts w:hint="eastAsia" w:ascii="楷体" w:hAnsi="楷体" w:eastAsia="楷体" w:cs="楷体_GB2312"/>
          <w:bCs/>
          <w:color w:val="auto"/>
          <w:kern w:val="0"/>
          <w:sz w:val="32"/>
          <w:szCs w:val="32"/>
          <w:shd w:val="clear" w:color="auto" w:fill="FFFFFF"/>
          <w:lang w:val="zh-CN"/>
        </w:rPr>
        <w:t>（一）部门预算项目绩效管理。</w:t>
      </w:r>
    </w:p>
    <w:p>
      <w:pPr>
        <w:adjustRightInd w:val="0"/>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1、任务目标制定情况。20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年，坚持以习近平新时代中国特色社会主义思想为指导，深入学习贯彻党的</w:t>
      </w:r>
      <w:r>
        <w:rPr>
          <w:rFonts w:hint="eastAsia" w:ascii="仿宋_GB2312" w:hAnsi="仿宋_GB2312" w:eastAsia="仿宋_GB2312" w:cs="仿宋_GB2312"/>
          <w:color w:val="auto"/>
          <w:sz w:val="32"/>
          <w:szCs w:val="32"/>
          <w:lang w:eastAsia="zh-CN"/>
        </w:rPr>
        <w:t>二十大</w:t>
      </w:r>
      <w:r>
        <w:rPr>
          <w:rFonts w:hint="eastAsia" w:ascii="仿宋_GB2312" w:hAnsi="仿宋_GB2312" w:eastAsia="仿宋_GB2312" w:cs="仿宋_GB2312"/>
          <w:color w:val="auto"/>
          <w:sz w:val="32"/>
          <w:szCs w:val="32"/>
        </w:rPr>
        <w:t>精神和中央、省委、市委、县委政法工作会议精神，坚持党对政法工作的绝对领导，紧扣以人民为中心的发展思想，深化教育整顿，聚力聚焦“四项任务”、抓紧抓实“三个环节”和“回头看”，着力维护社会稳定、加强社会治理、践行司法为民、打造过硬队伍，大力推进平安剑阁、法治剑阁建设，为保障全县经济社会发展提供了安全的政治环境、稳定的社会环境、公正的法治环境、优质的服务环境。</w:t>
      </w:r>
    </w:p>
    <w:p>
      <w:pPr>
        <w:adjustRightInd w:val="0"/>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（1）维护国家政治安全。深入防范抵御“颜色革命”，深入推进严打暴恐专项行动，加强网络意识形态新情况新动向跟踪监测，牢牢掌握维护意识形态领域政治安全的主动权。</w:t>
      </w:r>
    </w:p>
    <w:p>
      <w:pPr>
        <w:adjustRightInd w:val="0"/>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维护社会和谐稳定。加强常态化预测预警预防工作，重要时段及时启动维稳应急机制，全力筑牢安全防线。深入开展信访矛盾化解攻坚专项行动，指导化解处置特殊利益诉求群体信访问题。抓好社会治安整体防控，优化防控力量布局，提升社会面动态防控能力。健全矛盾纠纷预防化解机制，传承“枫桥经验”，深化矛盾纠纷多元化解，完善“诉非衔接”“检调对接”“公调对接”“访调对接”机制建设。</w:t>
      </w:r>
    </w:p>
    <w:p>
      <w:pPr>
        <w:adjustRightInd w:val="0"/>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纵深推进扫黑除恶斗争。以“黑恶积案清零、问题线索清零”为要求，加大侦破重要案件力度，摧毁黑恶势力经济基础，依法快侦快诉快判黑恶案件。严格落实“两个一律”，对涉黑涉恶犯罪案件，一律深挖其背后腐败问题，对黑恶势力“关系网”“保护伞”一律一查到底、绝不姑息。继续开展社会治安乱点整治，加大社会治安乱点乱象整治力度，推动专项斗争向社会管理相对薄弱的重点场所延伸。</w:t>
      </w:r>
    </w:p>
    <w:p>
      <w:pPr>
        <w:adjustRightInd w:val="0"/>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推进社会治理现代化。深化“法律七进”，强化群众“自治”的基础性作用，充分发挥和调动村社区委员会的自治职能和作用。强化对公民个人基本道德规范和品行素质的教育，压实村(社区)对村(居)民教育引导责任，引导群众积极向上、遵纪守法、健康生活，自觉抵制一切违法犯罪和封建迷信活动。狠抓网格化服务管理，推进网格化服务管理标准化建设，提高规范化精细化水平。积极推进“雪亮工程”平台与综治中心深度融合，实现县、乡镇、村(社)三级平台互联互通。扎实推进“六无”平安村(社区)创建，命名表扬一批“六无”平安村(社区)。加强和改进见义勇为评选表彰工作，让全社会充满正能量。</w:t>
      </w:r>
    </w:p>
    <w:p>
      <w:pPr>
        <w:adjustRightInd w:val="0"/>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坚决打赢新时代禁毒人民战争。开展堵源截流攻坚战，严守毒品北上西进出川通道，组织开展堵截毒品流入城区和切断内流环节的常态化缉毒检查，构建智能防控体系，强化网络制贩毒打击力度，彻底斩断网络贩卖渠道，不断建立健全禁毒委成员单位快速反应联动立体查缉毒品体系，织密“水陆空邮”堵毒的天罗地网。</w:t>
      </w:r>
    </w:p>
    <w:p>
      <w:pPr>
        <w:adjustRightInd w:val="0"/>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深入推进政法领域改革。深化法律政策研究，积极组织参加各类法治论坛，加强本地法律法学人才培养。继续开展好法学会理论调研文章的撰写、评选和汇编工作。妥善防范化解重大风险。深化县委政法委机构改革,对标对表、有序推进各项改革任务。深化法院、检察院机构改革，按照以审判为中心、捕诉一体的模式。深化公安机关机构改革，构建现代警务管理体制。深化司法行政部门改革，优化机构设置、职能配置，统筹做好法律服务等各项工作。</w:t>
      </w:r>
    </w:p>
    <w:p>
      <w:pPr>
        <w:adjustRightInd w:val="0"/>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（7）加强政法干部队伍建设。扎实开展</w:t>
      </w:r>
      <w:r>
        <w:rPr>
          <w:rFonts w:hint="eastAsia" w:ascii="仿宋_GB2312" w:hAnsi="仿宋_GB2312" w:eastAsia="仿宋_GB2312" w:cs="仿宋_GB2312"/>
          <w:color w:val="auto"/>
          <w:sz w:val="32"/>
          <w:szCs w:val="32"/>
          <w:lang w:eastAsia="zh-CN"/>
        </w:rPr>
        <w:t>政法队伍教育整顿</w:t>
      </w:r>
      <w:r>
        <w:rPr>
          <w:rFonts w:hint="eastAsia" w:ascii="仿宋_GB2312" w:hAnsi="仿宋_GB2312" w:eastAsia="仿宋_GB2312" w:cs="仿宋_GB2312"/>
          <w:color w:val="auto"/>
          <w:sz w:val="32"/>
          <w:szCs w:val="32"/>
        </w:rPr>
        <w:t>，从严管理政法队伍，确保对党绝对忠诚。持续开展“作风纪律深化年”活动，防止“前腐后继”。分层分类建立干警岗位素质能力基本标准，开展轮值轮训、实战练兵、技能比武，在执法司法第一线、维稳安保最前沿和服务群众最前列锤炼干警本领。</w:t>
      </w:r>
    </w:p>
    <w:p>
      <w:pPr>
        <w:pStyle w:val="16"/>
        <w:spacing w:after="0" w:line="576" w:lineRule="exact"/>
        <w:ind w:left="0" w:leftChars="0" w:firstLine="627" w:firstLineChars="196"/>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Cs/>
          <w:color w:val="auto"/>
          <w:sz w:val="32"/>
          <w:szCs w:val="32"/>
        </w:rPr>
        <w:t>2、目标实现情况。</w:t>
      </w:r>
      <w:r>
        <w:rPr>
          <w:rFonts w:hint="eastAsia" w:ascii="仿宋_GB2312" w:hAnsi="仿宋_GB2312" w:eastAsia="仿宋_GB2312" w:cs="仿宋_GB2312"/>
          <w:color w:val="auto"/>
          <w:kern w:val="2"/>
          <w:sz w:val="32"/>
          <w:szCs w:val="32"/>
          <w:lang w:val="en-US" w:eastAsia="zh-CN" w:bidi="ar-SA"/>
        </w:rPr>
        <w:t>2022年，县委政法委坚持以习近平新时代中国特色社会主义思想为指导，深入学习党的二十大和省委十二届二次全会精神，按照中央、省委、市委政法工作会议要求，科学谋划、锐意进取，扎实推进市域社会治理现代化试点，深化平安法治建设，切实履行好维护国家政治安全、确保社会大局稳定、促进社会公平正义、保障人民安居乐业的重要职责，各项工作成效明显。</w:t>
      </w:r>
    </w:p>
    <w:p>
      <w:pPr>
        <w:keepNext w:val="0"/>
        <w:keepLines w:val="0"/>
        <w:pageBreakBefore w:val="0"/>
        <w:widowControl w:val="0"/>
        <w:kinsoku/>
        <w:wordWrap/>
        <w:topLinePunct w:val="0"/>
        <w:bidi w:val="0"/>
        <w:spacing w:line="576"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）加强队伍建设，持续筑牢政治忠诚。一是坚持党对政法工作的绝对领导</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认真学习贯彻习近平法治思想和习近平总书记来川视察重要讲话精神，深入开展《中国共产党政法工作条例》及四川省《实施细则》贯彻落实情况专项督查，不断提高党领导政法工作的制度化规范化科学化水平。二是巩固政法干警的思想政治根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把持续开展党史学习教育、纪律作风整顿、巩固政法队伍教育整顿成果与学习贯彻条例、细则深度融合，积极开展集中学习并撰写心得体会，加强政法干警思想动态分析，及时解决倾向性、苗头性问题，夯实政法队伍思想基础。三是大力开展“忠诚铸魂、铁纪担当”专项活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全县政法各单位通过党组专题会、工作推进会等安排部署专项活动16次。全县政法系统开展理论学习52次、撰写心得体会180余份、学习笔记520余份，分层级全覆盖谈心谈话500余次，完善规章制度42项。四</w:t>
      </w:r>
      <w:r>
        <w:rPr>
          <w:rFonts w:hint="eastAsia" w:ascii="仿宋_GB2312" w:hAnsi="仿宋_GB2312" w:eastAsia="仿宋_GB2312" w:cs="仿宋_GB2312"/>
          <w:bCs/>
          <w:sz w:val="32"/>
          <w:szCs w:val="32"/>
          <w:lang w:eastAsia="zh-CN"/>
        </w:rPr>
        <w:t>是</w:t>
      </w:r>
      <w:r>
        <w:rPr>
          <w:rFonts w:hint="eastAsia" w:ascii="仿宋_GB2312" w:hAnsi="仿宋_GB2312" w:eastAsia="仿宋_GB2312" w:cs="仿宋_GB2312"/>
          <w:bCs/>
          <w:sz w:val="32"/>
          <w:szCs w:val="32"/>
        </w:rPr>
        <w:t>压紧压实从严管党治警主体责任</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严格落实领导干部个人有关事项报告、强化干警八小时内外监督，严格执行干警家属“禁业清单”，抓好家庭家教家风建设。全面推进“四查协同”，完善与纪检监察机关双向移送、核查反馈协作机制。</w:t>
      </w:r>
      <w:r>
        <w:rPr>
          <w:rFonts w:hint="eastAsia" w:ascii="仿宋_GB2312" w:hAnsi="仿宋_GB2312" w:eastAsia="仿宋_GB2312" w:cs="仿宋_GB2312"/>
          <w:bCs/>
          <w:sz w:val="32"/>
          <w:szCs w:val="32"/>
          <w:lang w:eastAsia="zh-CN"/>
        </w:rPr>
        <w:t>五</w:t>
      </w:r>
      <w:r>
        <w:rPr>
          <w:rFonts w:hint="eastAsia" w:ascii="仿宋_GB2312" w:hAnsi="仿宋_GB2312" w:eastAsia="仿宋_GB2312" w:cs="仿宋_GB2312"/>
          <w:bCs/>
          <w:sz w:val="32"/>
          <w:szCs w:val="32"/>
        </w:rPr>
        <w:t>是全面落实意识形态责任制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强化政治安全和反邪教工作，严格落实涉政敏感人员管控责任，2022年，我县教育转化邪教人员13人，身份脱离24人。</w:t>
      </w:r>
    </w:p>
    <w:p>
      <w:pPr>
        <w:keepNext w:val="0"/>
        <w:keepLines w:val="0"/>
        <w:pageBreakBefore w:val="0"/>
        <w:widowControl w:val="0"/>
        <w:kinsoku/>
        <w:wordWrap/>
        <w:topLinePunct w:val="0"/>
        <w:bidi w:val="0"/>
        <w:spacing w:line="576"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）坚持服务大局，维护社会和谐稳定。一是常态开展排查化解</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共排查梳理突出涉稳问题9件，人员65人，对27个重大事项开展了风险评估。二是精准搜集情报信息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核查涉稳人员57人次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成功劝返处置欲进京到省关注对象28人。三是成功化解了魏某某、王某某等突出信访积案，稳妥处置了汉阳镇犬只捕杀网络舆情、涉疫等突发涉稳事件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圆满实现“五不”和“六个不发生”目标。</w:t>
      </w:r>
    </w:p>
    <w:p>
      <w:pPr>
        <w:keepNext w:val="0"/>
        <w:keepLines w:val="0"/>
        <w:pageBreakBefore w:val="0"/>
        <w:widowControl w:val="0"/>
        <w:kinsoku/>
        <w:wordWrap/>
        <w:topLinePunct w:val="0"/>
        <w:bidi w:val="0"/>
        <w:spacing w:line="576"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）聚焦平安建设，全力保障人民安宁。一是持续推进综治中心提档升级，大力推进县、乡镇、村（社区）综治中心建设，2022年创建任务已全面完成。二是深入开展平安创建活动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2022年，我县命名表扬“六无”平安村（社区）84个，拟推荐争取省级命名表扬4个、市级9个。累计创建省级12个、市级48个、县级111个六无平安村（社区）。三是特殊人群管理持续加强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加大风险隐患和重点人员排查，落实领导包案责任，开展2轮次专项工作督导，特殊人群源头管控得到进一步加强。四是养老诈骗专项行动全面开展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共召开全县专项行动会议5次、开展现场活动54场次、发放纸质宣传册6520份，发布微信公众号36条，累计覆盖人群51万人次。五是常态化推进扫黑除恶。对6条涉黑涉恶线索进行全面核查并查否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认真宣传贯彻落实《反有组织犯罪法》，开展系列学习宣传活动30余场次。持续深化信息网络、自然资源、交通运输、工程建设四大行业领域专项整治，完善常态化监管机制。六是加强见义勇为评选工作。县政府授予王敏同志“见义勇为公民”荣誉称号，并奖励现金5000元，同时市政府授予王敏全市“见义勇为勇士”称号。省政府授予李勇明同志省级见义勇为先进个人。全年开展见义勇为人员慰问活动2次，看望慰问4人。</w:t>
      </w:r>
    </w:p>
    <w:p>
      <w:pPr>
        <w:keepNext w:val="0"/>
        <w:keepLines w:val="0"/>
        <w:pageBreakBefore w:val="0"/>
        <w:widowControl w:val="0"/>
        <w:kinsoku/>
        <w:wordWrap/>
        <w:topLinePunct w:val="0"/>
        <w:bidi w:val="0"/>
        <w:spacing w:line="576"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深化社会治理，着力提升治理水平。印发工作指引、特色工作指引、工作指导清单和《关于做好市域社会治理现代化试点市级县级重点创新项目建设的通知》等系列文件，对推进该项工作在全县层面上提供文件指导和政策依据。审定印发《建立推行“雄关护学”护校安园模式实施方案》《建立健全建筑行业调解组织预防和化解纠纷机制实施方案》《设点建站聘员联户”网格化民生检察实施方案》创新项目实施方案，“雄关护学”护校安园模式、“设点建站聘员联户”网格化民生检察模式、建筑行业调解组织预防和化解纠纷机制3个创新项目获得市级审定，取得初步成效。“雄关义警”志愿服务队工作机制进一步完善，目前全县29个乡镇均已建立“雄关义警”队伍，30个社区建立义警分队，常态化开展治安巡逻工作，在疫情防控、秩序维护、纠纷化解等方面取得了显著成效，得到群众普遍认可。</w:t>
      </w:r>
    </w:p>
    <w:p>
      <w:pPr>
        <w:pStyle w:val="16"/>
        <w:spacing w:after="0" w:line="576" w:lineRule="exact"/>
        <w:ind w:left="0" w:leftChars="0" w:firstLine="640"/>
        <w:rPr>
          <w:rFonts w:ascii="仿宋" w:hAnsi="仿宋" w:eastAsia="仿宋"/>
          <w:color w:val="auto"/>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）着眼办案平台，推进执法监督工作。一是推进全省政法系统跨部门办案平台建设应用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自2022年3月平台上线运行以来，全县政法单位非涉密案件流转率达90%以上，确保了非涉密案件“应转尽转”。二是加强执法监督力量建设</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在全县行政执法部门的业务骨干、律师以及法学专家中推荐评选了15名优秀政法干警，组建了剑阁县执法监督专家库。三是扎实开展“万案大评查”回头看</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对2021年“万案大评查”评查出的9件问题案件整改情况进行逐案审核验收，确保了问责、整改到位。四是常态化开展执法司法顽瘴痼疾整治，组建专项督导工作组，于4月25日至5月8日，对全县政法单位的案件评查、涉法涉诉信访化解等重点工作进行了督导检查。五是深入开展全省“百案督办”专项活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对政法单位办理过程中具有典型性、代表性、社会关切度高的6件案件进行了督办</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截止2022年12月31日，所有督办案件均已办结。六是组织开展“百佳案件”评选。组织县级政法单位积极参加全省“百佳案件”评选，由县人民检察院选送的“公益诉讼检察守护剑门蜀道千年古柏”案进入四川政法“五年百佳”案件（2018-2022）</w:t>
      </w:r>
      <w:r>
        <w:rPr>
          <w:rFonts w:hint="eastAsia" w:ascii="仿宋_GB2312" w:hAnsi="仿宋_GB2312" w:eastAsia="仿宋_GB2312" w:cs="仿宋_GB2312"/>
          <w:bCs/>
          <w:sz w:val="32"/>
          <w:szCs w:val="32"/>
          <w:lang w:eastAsia="zh-CN"/>
        </w:rPr>
        <w:t>候选</w:t>
      </w:r>
      <w:r>
        <w:rPr>
          <w:rFonts w:hint="eastAsia" w:ascii="仿宋_GB2312" w:hAnsi="仿宋_GB2312" w:eastAsia="仿宋_GB2312" w:cs="仿宋_GB2312"/>
          <w:bCs/>
          <w:sz w:val="32"/>
          <w:szCs w:val="32"/>
        </w:rPr>
        <w:t>案例网评环节。</w:t>
      </w:r>
    </w:p>
    <w:p>
      <w:pPr>
        <w:pStyle w:val="16"/>
        <w:spacing w:after="0" w:line="576" w:lineRule="exact"/>
        <w:ind w:left="0" w:leftChars="0" w:firstLine="627" w:firstLineChars="196"/>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3、预算编制和执行</w:t>
      </w:r>
    </w:p>
    <w:p>
      <w:pPr>
        <w:pStyle w:val="16"/>
        <w:spacing w:after="0" w:line="576" w:lineRule="exact"/>
        <w:ind w:left="0" w:leftChars="0" w:firstLine="627" w:firstLineChars="196"/>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预算编制情况。严格预算编制要求，按时完成了基础信息、项目库的报送工作，完成基础信息的更新，按时完成预算编制并提交部门预算草案。预算编制中，特别注意对预算编制准确性的把握，确保预算编制完整无漏项，并严格按照要求进行预算执行调整,按时完成待批复提前细化。</w:t>
      </w:r>
    </w:p>
    <w:p>
      <w:pPr>
        <w:pStyle w:val="16"/>
        <w:spacing w:after="0" w:line="576" w:lineRule="exact"/>
        <w:ind w:left="0" w:leftChars="0" w:firstLine="627" w:firstLineChars="196"/>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预算执行情况。严格执行预算，执行中不调整预算项目，年度预算执行收支平衡，完成单位经济社会事业发展和政法工作职能职责，按时报送决算，单位决算编制人员与供养人员数据相符，决算数据真实准确。无违规记录。</w:t>
      </w:r>
    </w:p>
    <w:p>
      <w:pPr>
        <w:pStyle w:val="16"/>
        <w:spacing w:after="0" w:line="576" w:lineRule="exact"/>
        <w:ind w:left="0" w:leftChars="0" w:firstLine="627" w:firstLineChars="196"/>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（3）预算管理方面。我委制定了切实有效的内部管理制度和经费支出控制方案，有较强的内控风险管理意识、各项经费支出得到了有效控制。</w:t>
      </w:r>
    </w:p>
    <w:p>
      <w:pPr>
        <w:pStyle w:val="16"/>
        <w:spacing w:after="0" w:line="576" w:lineRule="exact"/>
        <w:ind w:left="0" w:leftChars="0" w:firstLine="640"/>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olor w:val="auto"/>
          <w:sz w:val="32"/>
          <w:szCs w:val="32"/>
        </w:rPr>
        <w:t>（二）结果应用情况。</w:t>
      </w:r>
      <w:r>
        <w:rPr>
          <w:rFonts w:hint="eastAsia" w:ascii="仿宋_GB2312" w:hAnsi="仿宋_GB2312" w:eastAsia="仿宋_GB2312" w:cs="仿宋_GB2312"/>
          <w:color w:val="auto"/>
          <w:kern w:val="2"/>
          <w:sz w:val="32"/>
          <w:szCs w:val="32"/>
          <w:lang w:val="en-US" w:eastAsia="zh-CN" w:bidi="ar-SA"/>
        </w:rPr>
        <w:t>通过绩效自评，公开了2022年部门整体支出绩效，评价结果的影响因素主要是由于项目经费中上年结转数据较大及当年用存量资金安排雪亮工程经费未纳入年初预算导致预决算差异率。</w:t>
      </w:r>
    </w:p>
    <w:p>
      <w:pPr>
        <w:pStyle w:val="16"/>
        <w:spacing w:after="0" w:line="576" w:lineRule="exact"/>
        <w:ind w:left="0" w:leftChars="0" w:firstLine="640"/>
        <w:rPr>
          <w:rFonts w:ascii="黑体" w:hAnsi="黑体" w:eastAsia="黑体"/>
          <w:color w:val="auto"/>
          <w:sz w:val="32"/>
          <w:szCs w:val="32"/>
        </w:rPr>
      </w:pPr>
      <w:r>
        <w:rPr>
          <w:rFonts w:hint="eastAsia" w:ascii="黑体" w:hAnsi="黑体" w:eastAsia="黑体"/>
          <w:color w:val="auto"/>
          <w:sz w:val="32"/>
          <w:szCs w:val="32"/>
        </w:rPr>
        <w:t>四、评价结论及建议</w:t>
      </w:r>
    </w:p>
    <w:p>
      <w:pPr>
        <w:pStyle w:val="15"/>
        <w:shd w:val="clear" w:color="auto" w:fill="FFFFFF"/>
        <w:spacing w:before="0" w:beforeAutospacing="0" w:after="0" w:afterAutospacing="0" w:line="576" w:lineRule="exact"/>
        <w:ind w:firstLine="480"/>
        <w:jc w:val="both"/>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Times New Roman"/>
          <w:color w:val="auto"/>
          <w:kern w:val="2"/>
          <w:sz w:val="32"/>
          <w:szCs w:val="32"/>
        </w:rPr>
        <w:t>（一）评价结论</w:t>
      </w:r>
      <w:r>
        <w:rPr>
          <w:rFonts w:hint="eastAsia" w:ascii="楷体" w:hAnsi="楷体" w:eastAsia="楷体"/>
          <w:color w:val="auto"/>
          <w:sz w:val="32"/>
          <w:szCs w:val="32"/>
        </w:rPr>
        <w:t>。</w:t>
      </w:r>
      <w:r>
        <w:rPr>
          <w:rFonts w:hint="eastAsia" w:ascii="仿宋_GB2312" w:hAnsi="仿宋_GB2312" w:eastAsia="仿宋_GB2312" w:cs="仿宋_GB2312"/>
          <w:color w:val="auto"/>
          <w:kern w:val="2"/>
          <w:sz w:val="32"/>
          <w:szCs w:val="32"/>
          <w:lang w:val="en-US" w:eastAsia="zh-CN" w:bidi="ar-SA"/>
        </w:rPr>
        <w:t>综上所述，通过绩效自评，2022年县委政法委目标制定明确，完成数量和质量均得到有效控制，认真贯彻落实中央、省市县委全面推进高质量发展的决定，着力抓好维护稳定、社会治理、扫黑除恶斗争、司法改革创新等重点工作，扫黑除恶斗争常态开展，维护政治安全和社会稳定坚定有力，平安剑阁建设根基不断夯实，服务大局精准有效，执法司法公信力持续有进，法治剑阁建设务实有为，过硬队伍建设持续加强。认真抓好基层组织建设、党风廉政建设、作风纪律建设、意识形态及宣传思想文化、统一战线等党的建设工作。部门整体支出绩效达到了预期目的，确保了目标任务完成。</w:t>
      </w:r>
    </w:p>
    <w:p>
      <w:pPr>
        <w:pStyle w:val="16"/>
        <w:spacing w:after="0" w:line="576" w:lineRule="exact"/>
        <w:ind w:left="0" w:leftChars="0" w:firstLine="640"/>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olor w:val="auto"/>
          <w:sz w:val="32"/>
          <w:szCs w:val="32"/>
        </w:rPr>
        <w:t>（二）存在问题。</w:t>
      </w:r>
      <w:r>
        <w:rPr>
          <w:rFonts w:hint="eastAsia" w:ascii="仿宋_GB2312" w:hAnsi="仿宋_GB2312" w:eastAsia="仿宋_GB2312" w:cs="仿宋_GB2312"/>
          <w:color w:val="auto"/>
          <w:kern w:val="2"/>
          <w:sz w:val="32"/>
          <w:szCs w:val="32"/>
          <w:lang w:val="en-US" w:eastAsia="zh-CN" w:bidi="ar-SA"/>
        </w:rPr>
        <w:t>一是项目经费差口较大，我委是全县政法系统、政法机关党的领导机构，负责了全县的维护社会稳定、维护国家政治安全、扫黑除恶斗争、政法队伍建设、社会治理、矛盾纠纷多元化解以及平安剑阁建设、司法体制改革等各项政法重点工作，上级专项检查督导频率高，特别是维稳、综治和扫黑除恶斗争、政法队伍建设工作量大面宽、任务繁重，项目工作经费不足，差口较大。如国家安全人民防线工作经费、综治维稳工作经费未纳入财政预算等。二是预算执行存在偏差。因部分工作如雪亮工程、慧眼工程未纳入年初预算，另外还有部分经费，比如绩效考核奖励资金等不可预见经费的追加，无法纳入预算，预决算差异率直接影响了部门整体支出绩效评价指标。三是公用经费不足，导致挤占项目经费。年初预算公用经费不足，加上人员变动，年初预算公用经费无法保证机关正常行政运行，导致挤占项目经费。</w:t>
      </w:r>
    </w:p>
    <w:p>
      <w:pPr>
        <w:pStyle w:val="16"/>
        <w:spacing w:after="0" w:line="576" w:lineRule="exact"/>
        <w:ind w:left="0" w:leftChars="0" w:firstLine="627" w:firstLineChars="196"/>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olor w:val="auto"/>
          <w:sz w:val="32"/>
          <w:szCs w:val="32"/>
        </w:rPr>
        <w:t>（三）改进建议。</w:t>
      </w:r>
      <w:r>
        <w:rPr>
          <w:rFonts w:hint="eastAsia" w:ascii="仿宋" w:hAnsi="仿宋" w:eastAsia="仿宋"/>
          <w:color w:val="auto"/>
          <w:sz w:val="32"/>
          <w:szCs w:val="32"/>
        </w:rPr>
        <w:t>一</w:t>
      </w:r>
      <w:r>
        <w:rPr>
          <w:rFonts w:hint="eastAsia" w:ascii="仿宋_GB2312" w:hAnsi="仿宋_GB2312" w:eastAsia="仿宋_GB2312" w:cs="仿宋_GB2312"/>
          <w:color w:val="auto"/>
          <w:kern w:val="2"/>
          <w:sz w:val="32"/>
          <w:szCs w:val="32"/>
          <w:lang w:val="en-US" w:eastAsia="zh-CN" w:bidi="ar-SA"/>
        </w:rPr>
        <w:t>是建议合理增加项目经费。历年来，我委在维护社会稳定、维护国家安全、扫黑除恶斗争、社会治理、矛盾纠纷多元化解以及平安剑阁建设、司法体制改革等工作中持续发力，为保障全县经济社会发展提供了安全的政治环境、稳定的社会环境、公正的法治环境、优质的服务环境。但维稳、综治工作经费和国安人民防线工作经费未安排预算，但实际支出数较大，建议在年初下达部门预算时充分给予考虑，以充分实现项目支出绩效和部门整体支出绩效的优越性。二是建议把人员工资正常晋升和人员调动确定在预算申报之内。在年度部门预算下达后，人员工资正常晋升和人员调动形成的人员经费预决算差异率和公用经费预决算差异率直接影响了预算编制的科学准确性，也会直接影响预算执行的动态调整和执行进度。三是加强单位内控制度建设，通过查找内部管理中的薄弱环节，建立健全各项内部控制制度，更好地发挥内部控制在提升单位内部治理水平、规范内部权力运行、促进依法行政、推进廉政建设中的重要作用。</w:t>
      </w:r>
    </w:p>
    <w:p>
      <w:pPr>
        <w:pageBreakBefore w:val="0"/>
        <w:kinsoku/>
        <w:wordWrap/>
        <w:overflowPunct/>
        <w:topLinePunct w:val="0"/>
        <w:bidi w:val="0"/>
        <w:spacing w:line="556" w:lineRule="exact"/>
        <w:ind w:left="0"/>
        <w:textAlignment w:val="auto"/>
        <w:rPr>
          <w:rFonts w:hint="eastAsia" w:ascii="黑体" w:hAnsi="黑体" w:eastAsia="黑体" w:cs="黑体"/>
          <w:sz w:val="32"/>
          <w:szCs w:val="32"/>
        </w:rPr>
      </w:pPr>
    </w:p>
    <w:p>
      <w:pPr>
        <w:pageBreakBefore w:val="0"/>
        <w:kinsoku/>
        <w:wordWrap/>
        <w:overflowPunct/>
        <w:topLinePunct w:val="0"/>
        <w:bidi w:val="0"/>
        <w:spacing w:line="556" w:lineRule="exact"/>
        <w:ind w:left="0"/>
        <w:textAlignment w:val="auto"/>
        <w:rPr>
          <w:rFonts w:hint="eastAsia" w:ascii="黑体" w:hAnsi="黑体" w:eastAsia="黑体" w:cs="黑体"/>
          <w:sz w:val="32"/>
          <w:szCs w:val="32"/>
        </w:rPr>
      </w:pPr>
    </w:p>
    <w:p>
      <w:pPr>
        <w:pageBreakBefore w:val="0"/>
        <w:kinsoku/>
        <w:wordWrap/>
        <w:overflowPunct/>
        <w:topLinePunct w:val="0"/>
        <w:bidi w:val="0"/>
        <w:spacing w:line="556" w:lineRule="exact"/>
        <w:ind w:left="0"/>
        <w:textAlignment w:val="auto"/>
        <w:rPr>
          <w:rFonts w:ascii="仿宋_GB2312" w:hAnsi="仿宋_GB2312" w:eastAsia="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adjustRightInd w:val="0"/>
        <w:snapToGrid w:val="0"/>
        <w:spacing w:line="580" w:lineRule="exact"/>
        <w:jc w:val="center"/>
        <w:rPr>
          <w:rFonts w:hint="eastAsia" w:ascii="方正小标宋简体" w:hAnsi="黑体" w:eastAsia="方正小标宋简体" w:cs="华文中宋"/>
          <w:bCs/>
          <w:sz w:val="44"/>
          <w:szCs w:val="44"/>
          <w:lang w:val="zh-CN"/>
        </w:rPr>
      </w:pPr>
      <w:r>
        <w:rPr>
          <w:rFonts w:hint="eastAsia" w:ascii="方正小标宋简体" w:hAnsi="黑体" w:eastAsia="方正小标宋简体" w:cs="华文中宋"/>
          <w:bCs/>
          <w:sz w:val="44"/>
          <w:szCs w:val="44"/>
          <w:lang w:val="zh-CN"/>
        </w:rPr>
        <w:t>中共剑阁县委政法委员会</w:t>
      </w:r>
    </w:p>
    <w:p>
      <w:pPr>
        <w:adjustRightInd w:val="0"/>
        <w:snapToGrid w:val="0"/>
        <w:spacing w:line="580" w:lineRule="exact"/>
        <w:jc w:val="center"/>
        <w:rPr>
          <w:rFonts w:hint="eastAsia" w:ascii="方正小标宋简体" w:hAnsi="黑体" w:eastAsia="方正小标宋简体" w:cs="华文中宋"/>
          <w:bCs/>
          <w:sz w:val="44"/>
          <w:szCs w:val="44"/>
          <w:lang w:val="zh-CN"/>
        </w:rPr>
      </w:pPr>
      <w:r>
        <w:rPr>
          <w:rFonts w:hint="eastAsia" w:ascii="方正小标宋简体" w:hAnsi="黑体" w:eastAsia="方正小标宋简体" w:cs="华文中宋"/>
          <w:bCs/>
          <w:sz w:val="44"/>
          <w:szCs w:val="44"/>
          <w:lang w:val="zh-CN"/>
        </w:rPr>
        <w:t>20</w:t>
      </w:r>
      <w:r>
        <w:rPr>
          <w:rFonts w:hint="eastAsia" w:ascii="方正小标宋简体" w:hAnsi="黑体" w:eastAsia="方正小标宋简体" w:cs="华文中宋"/>
          <w:bCs/>
          <w:sz w:val="44"/>
          <w:szCs w:val="44"/>
          <w:lang w:val="en-US" w:eastAsia="zh-CN"/>
        </w:rPr>
        <w:t>22</w:t>
      </w:r>
      <w:r>
        <w:rPr>
          <w:rFonts w:hint="eastAsia" w:ascii="方正小标宋简体" w:hAnsi="黑体" w:eastAsia="方正小标宋简体" w:cs="华文中宋"/>
          <w:bCs/>
          <w:sz w:val="44"/>
          <w:szCs w:val="44"/>
          <w:lang w:val="zh-CN"/>
        </w:rPr>
        <w:t>年项目支出绩效自评报告</w:t>
      </w:r>
    </w:p>
    <w:p>
      <w:pPr>
        <w:adjustRightInd w:val="0"/>
        <w:snapToGrid w:val="0"/>
        <w:spacing w:line="580" w:lineRule="exact"/>
        <w:jc w:val="center"/>
        <w:rPr>
          <w:rFonts w:hint="eastAsia" w:ascii="楷体_GB2312" w:hAnsi="黑体" w:eastAsia="楷体_GB2312" w:cs="华文楷体"/>
          <w:bCs/>
          <w:sz w:val="32"/>
          <w:szCs w:val="32"/>
          <w:lang w:val="zh-CN"/>
        </w:rPr>
      </w:pPr>
      <w:r>
        <w:rPr>
          <w:rFonts w:hint="eastAsia" w:ascii="楷体_GB2312" w:hAnsi="黑体" w:eastAsia="楷体_GB2312" w:cs="华文楷体"/>
          <w:bCs/>
          <w:sz w:val="32"/>
          <w:szCs w:val="32"/>
          <w:lang w:val="zh-CN"/>
        </w:rPr>
        <w:t>（雪亮工程项目）</w:t>
      </w:r>
    </w:p>
    <w:p>
      <w:pPr>
        <w:adjustRightInd w:val="0"/>
        <w:snapToGrid w:val="0"/>
        <w:spacing w:line="580" w:lineRule="exact"/>
        <w:ind w:firstLine="720"/>
        <w:rPr>
          <w:rFonts w:hint="eastAsia" w:ascii="仿宋_GB2312" w:hAnsi="宋体"/>
          <w:lang w:val="zh-CN"/>
        </w:rPr>
      </w:pPr>
    </w:p>
    <w:p>
      <w:pPr>
        <w:adjustRightInd w:val="0"/>
        <w:snapToGrid w:val="0"/>
        <w:spacing w:line="576" w:lineRule="exact"/>
        <w:ind w:firstLine="640" w:firstLineChars="200"/>
        <w:rPr>
          <w:rFonts w:hint="eastAsia" w:ascii="黑体" w:hAnsi="黑体" w:eastAsia="黑体" w:cs="黑体"/>
          <w:bCs/>
          <w:sz w:val="32"/>
          <w:szCs w:val="32"/>
          <w:lang w:val="zh-CN"/>
        </w:rPr>
      </w:pPr>
      <w:r>
        <w:rPr>
          <w:rFonts w:hint="eastAsia" w:ascii="黑体" w:hAnsi="黑体" w:eastAsia="黑体" w:cs="黑体"/>
          <w:bCs/>
          <w:sz w:val="32"/>
          <w:szCs w:val="32"/>
          <w:lang w:val="zh-CN"/>
        </w:rPr>
        <w:t>一、项目概况</w:t>
      </w:r>
    </w:p>
    <w:p>
      <w:pPr>
        <w:adjustRightInd w:val="0"/>
        <w:snapToGrid w:val="0"/>
        <w:spacing w:line="576" w:lineRule="exact"/>
        <w:ind w:firstLine="640" w:firstLineChars="200"/>
        <w:rPr>
          <w:rFonts w:hint="eastAsia" w:ascii="仿宋_GB2312" w:hAnsi="仿宋" w:eastAsia="仿宋_GB2312" w:cs="仿宋"/>
          <w:sz w:val="32"/>
          <w:szCs w:val="32"/>
          <w:lang w:val="zh-CN"/>
        </w:rPr>
      </w:pPr>
      <w:r>
        <w:rPr>
          <w:rFonts w:hint="eastAsia" w:ascii="楷体_GB2312" w:hAnsi="黑体" w:eastAsia="楷体_GB2312" w:cs="仿宋"/>
          <w:sz w:val="32"/>
          <w:szCs w:val="32"/>
          <w:lang w:val="zh-CN"/>
        </w:rPr>
        <w:t>（一）项目规划背景</w:t>
      </w:r>
      <w:r>
        <w:rPr>
          <w:rFonts w:hint="eastAsia" w:ascii="仿宋_GB2312" w:hAnsi="仿宋" w:eastAsia="仿宋_GB2312" w:cs="仿宋"/>
          <w:sz w:val="32"/>
          <w:szCs w:val="32"/>
          <w:lang w:val="zh-CN"/>
        </w:rPr>
        <w:t>。“雪亮工程”是按照中办国办《“十三五”国家信息化规划》（国发〔2016〕73号）和中央九部委《关于加强公共安全视频监控建设联网应用工作的若干意见》（发改高技〔2015〕996号）等系列文件的安排,在农村重点公共区域开展的视频监控建设联网应用工程,是提高国家安全保障的战略工程，是建设更高水平平安中国的基础工程，是满足人民美好生活需要的民生工程。</w:t>
      </w:r>
      <w:r>
        <w:rPr>
          <w:rFonts w:hint="eastAsia" w:ascii="仿宋_GB2312" w:hAnsi="仿宋" w:eastAsia="仿宋_GB2312" w:cs="仿宋"/>
          <w:sz w:val="32"/>
          <w:szCs w:val="32"/>
          <w:lang w:val="en-US" w:eastAsia="zh-CN"/>
        </w:rPr>
        <w:t>2016年，</w:t>
      </w:r>
      <w:r>
        <w:rPr>
          <w:rFonts w:hint="eastAsia" w:ascii="仿宋_GB2312" w:hAnsi="方正小标宋简体" w:eastAsia="仿宋_GB2312" w:cs="方正小标宋简体"/>
          <w:spacing w:val="4"/>
          <w:sz w:val="32"/>
          <w:szCs w:val="32"/>
          <w:lang w:eastAsia="zh-CN"/>
        </w:rPr>
        <w:t>县十八届人民政府第</w:t>
      </w:r>
      <w:r>
        <w:rPr>
          <w:rFonts w:hint="eastAsia" w:ascii="仿宋_GB2312" w:hAnsi="方正小标宋简体" w:eastAsia="仿宋_GB2312" w:cs="方正小标宋简体"/>
          <w:spacing w:val="4"/>
          <w:sz w:val="32"/>
          <w:szCs w:val="32"/>
          <w:lang w:val="en-US" w:eastAsia="zh-CN"/>
        </w:rPr>
        <w:t>18次常务会议审议通过我县《雪亮工程建设企业投资建设，政府租赁应用，每年推进实施》的方案。</w:t>
      </w:r>
    </w:p>
    <w:p>
      <w:pPr>
        <w:adjustRightInd w:val="0"/>
        <w:snapToGrid w:val="0"/>
        <w:spacing w:line="576" w:lineRule="exact"/>
        <w:ind w:firstLine="640" w:firstLineChars="200"/>
        <w:rPr>
          <w:rFonts w:hint="eastAsia" w:ascii="仿宋_GB2312" w:hAnsi="仿宋" w:eastAsia="仿宋_GB2312" w:cs="仿宋"/>
          <w:sz w:val="32"/>
          <w:szCs w:val="32"/>
          <w:lang w:val="zh-CN"/>
        </w:rPr>
      </w:pPr>
      <w:r>
        <w:rPr>
          <w:rFonts w:hint="eastAsia" w:ascii="楷体_GB2312" w:hAnsi="黑体" w:eastAsia="楷体_GB2312" w:cs="仿宋"/>
          <w:sz w:val="32"/>
          <w:szCs w:val="32"/>
          <w:lang w:val="zh-CN"/>
        </w:rPr>
        <w:t>（二）项目资金申报及批复情况。</w:t>
      </w:r>
      <w:r>
        <w:rPr>
          <w:rFonts w:hint="eastAsia" w:ascii="仿宋_GB2312" w:hAnsi="仿宋" w:eastAsia="仿宋_GB2312" w:cs="仿宋"/>
          <w:sz w:val="32"/>
          <w:szCs w:val="32"/>
          <w:lang w:val="en-US" w:eastAsia="zh-CN"/>
        </w:rPr>
        <w:t>截止2022年底县本级承担的应支付雪亮工程运行维护费共计1261.2万元。</w:t>
      </w:r>
      <w:r>
        <w:rPr>
          <w:rFonts w:hint="eastAsia" w:ascii="仿宋_GB2312" w:hAnsi="仿宋" w:eastAsia="仿宋_GB2312" w:cs="仿宋"/>
          <w:sz w:val="32"/>
          <w:szCs w:val="32"/>
          <w:lang w:val="zh-CN"/>
        </w:rPr>
        <w:t>其中：</w:t>
      </w:r>
      <w:r>
        <w:rPr>
          <w:rFonts w:hint="eastAsia" w:ascii="仿宋_GB2312" w:hAnsi="仿宋" w:eastAsia="仿宋_GB2312" w:cs="仿宋"/>
          <w:sz w:val="32"/>
          <w:szCs w:val="32"/>
          <w:lang w:val="en-US" w:eastAsia="zh-CN"/>
        </w:rPr>
        <w:t>2017年雪亮工程应支付运行维护费42万元，2018年100.4万元，2019年179.4万元，2020年223.2万元，2021年223.2万元，2022年223.2万元，网闸及指挥中心平台建设费45.9万元。已支付823.69万元，下欠437.41万元。</w:t>
      </w:r>
      <w:r>
        <w:rPr>
          <w:rFonts w:hint="eastAsia" w:ascii="仿宋_GB2312" w:hAnsi="仿宋" w:eastAsia="仿宋_GB2312" w:cs="仿宋"/>
          <w:sz w:val="32"/>
          <w:szCs w:val="32"/>
          <w:lang w:val="zh-CN"/>
        </w:rPr>
        <w:t>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lang w:val="zh-CN"/>
        </w:rPr>
        <w:t>年，县委政法委申报雪亮工程项目资金预算</w:t>
      </w:r>
      <w:r>
        <w:rPr>
          <w:rFonts w:hint="eastAsia" w:ascii="仿宋_GB2312" w:hAnsi="仿宋" w:eastAsia="仿宋_GB2312" w:cs="仿宋"/>
          <w:sz w:val="32"/>
          <w:szCs w:val="32"/>
          <w:lang w:val="en-US" w:eastAsia="zh-CN"/>
        </w:rPr>
        <w:t>346</w:t>
      </w:r>
      <w:r>
        <w:rPr>
          <w:rFonts w:hint="eastAsia" w:ascii="仿宋_GB2312" w:hAnsi="仿宋" w:eastAsia="仿宋_GB2312" w:cs="仿宋"/>
          <w:sz w:val="32"/>
          <w:szCs w:val="32"/>
          <w:lang w:val="zh-CN"/>
        </w:rPr>
        <w:t>万元，财政用存量资金安排雪亮工程项目预算</w:t>
      </w:r>
      <w:r>
        <w:rPr>
          <w:rFonts w:hint="eastAsia" w:ascii="仿宋_GB2312" w:hAnsi="仿宋" w:eastAsia="仿宋_GB2312" w:cs="仿宋"/>
          <w:sz w:val="32"/>
          <w:szCs w:val="32"/>
          <w:lang w:val="en-US" w:eastAsia="zh-CN"/>
        </w:rPr>
        <w:t>100万元</w:t>
      </w:r>
      <w:r>
        <w:rPr>
          <w:rFonts w:hint="eastAsia" w:ascii="仿宋_GB2312" w:hAnsi="仿宋" w:eastAsia="仿宋_GB2312" w:cs="仿宋"/>
          <w:sz w:val="32"/>
          <w:szCs w:val="32"/>
          <w:lang w:val="zh-CN"/>
        </w:rPr>
        <w:t>。</w:t>
      </w:r>
    </w:p>
    <w:p>
      <w:pPr>
        <w:adjustRightInd w:val="0"/>
        <w:snapToGrid w:val="0"/>
        <w:spacing w:line="576" w:lineRule="exact"/>
        <w:ind w:firstLine="640" w:firstLineChars="200"/>
        <w:rPr>
          <w:rFonts w:hint="eastAsia" w:ascii="仿宋_GB2312" w:hAnsi="仿宋" w:eastAsia="仿宋_GB2312" w:cs="仿宋"/>
          <w:sz w:val="32"/>
          <w:szCs w:val="32"/>
          <w:lang w:val="zh-CN"/>
        </w:rPr>
      </w:pPr>
      <w:r>
        <w:rPr>
          <w:rFonts w:hint="eastAsia" w:ascii="楷体_GB2312" w:hAnsi="黑体" w:eastAsia="楷体_GB2312" w:cs="仿宋"/>
          <w:sz w:val="32"/>
          <w:szCs w:val="32"/>
          <w:lang w:val="zh-CN"/>
        </w:rPr>
        <w:t>（三）项目绩效目标</w:t>
      </w:r>
      <w:r>
        <w:rPr>
          <w:rFonts w:hint="eastAsia" w:ascii="仿宋_GB2312" w:hAnsi="仿宋" w:eastAsia="仿宋_GB2312" w:cs="仿宋"/>
          <w:sz w:val="32"/>
          <w:szCs w:val="32"/>
          <w:lang w:val="zh-CN"/>
        </w:rPr>
        <w:t>。2018年，我县将“雪亮工程”建设应用纳入社会治理扶贫项目，统筹整合县农委幸福美丽新村建设经费300万元，用于当年59个脱贫村“雪亮工程”建设租赁应用费用，按质按量完成了年度社会治理扶贫和市上下达的年度目标任务，2019年完成贫困村“雪亮工程”建设全覆盖任务。</w:t>
      </w:r>
      <w:r>
        <w:rPr>
          <w:rFonts w:hint="eastAsia" w:ascii="仿宋_GB2312" w:eastAsia="仿宋_GB2312"/>
          <w:spacing w:val="4"/>
          <w:sz w:val="32"/>
          <w:szCs w:val="32"/>
        </w:rPr>
        <w:t>截止20</w:t>
      </w:r>
      <w:r>
        <w:rPr>
          <w:rFonts w:hint="eastAsia" w:ascii="仿宋_GB2312" w:eastAsia="仿宋_GB2312"/>
          <w:spacing w:val="4"/>
          <w:sz w:val="32"/>
          <w:szCs w:val="32"/>
          <w:lang w:val="en-US" w:eastAsia="zh-CN"/>
        </w:rPr>
        <w:t>21</w:t>
      </w:r>
      <w:r>
        <w:rPr>
          <w:rFonts w:hint="eastAsia" w:ascii="仿宋_GB2312" w:eastAsia="仿宋_GB2312"/>
          <w:spacing w:val="4"/>
          <w:sz w:val="32"/>
          <w:szCs w:val="32"/>
        </w:rPr>
        <w:t>年底，全县</w:t>
      </w:r>
      <w:r>
        <w:rPr>
          <w:rFonts w:hint="eastAsia" w:ascii="仿宋_GB2312" w:hAnsi="方正小标宋简体" w:eastAsia="仿宋_GB2312" w:cs="方正小标宋简体"/>
          <w:spacing w:val="4"/>
          <w:sz w:val="32"/>
          <w:szCs w:val="32"/>
        </w:rPr>
        <w:t>已累计完成219个村（社区）（村建制调整前为258个），安装监控探头111</w:t>
      </w:r>
      <w:r>
        <w:rPr>
          <w:rFonts w:hint="eastAsia" w:ascii="仿宋_GB2312" w:hAnsi="方正小标宋简体" w:eastAsia="仿宋_GB2312" w:cs="方正小标宋简体"/>
          <w:spacing w:val="4"/>
          <w:sz w:val="32"/>
          <w:szCs w:val="32"/>
          <w:lang w:val="en-US" w:eastAsia="zh-CN"/>
        </w:rPr>
        <w:t>9</w:t>
      </w:r>
      <w:r>
        <w:rPr>
          <w:rFonts w:hint="eastAsia" w:ascii="仿宋_GB2312" w:hAnsi="方正小标宋简体" w:eastAsia="仿宋_GB2312" w:cs="方正小标宋简体"/>
          <w:spacing w:val="4"/>
          <w:sz w:val="32"/>
          <w:szCs w:val="32"/>
        </w:rPr>
        <w:t>个（广电105</w:t>
      </w:r>
      <w:r>
        <w:rPr>
          <w:rFonts w:hint="eastAsia" w:ascii="仿宋_GB2312" w:hAnsi="方正小标宋简体" w:eastAsia="仿宋_GB2312" w:cs="方正小标宋简体"/>
          <w:spacing w:val="4"/>
          <w:sz w:val="32"/>
          <w:szCs w:val="32"/>
          <w:lang w:val="en-US" w:eastAsia="zh-CN"/>
        </w:rPr>
        <w:t>4</w:t>
      </w:r>
      <w:r>
        <w:rPr>
          <w:rFonts w:hint="eastAsia" w:ascii="仿宋_GB2312" w:hAnsi="方正小标宋简体" w:eastAsia="仿宋_GB2312" w:cs="方正小标宋简体"/>
          <w:spacing w:val="4"/>
          <w:sz w:val="32"/>
          <w:szCs w:val="32"/>
        </w:rPr>
        <w:t>个、电信65个）、建设三级监控平台267个、接入农户电视6400户</w:t>
      </w:r>
      <w:r>
        <w:rPr>
          <w:rFonts w:hint="eastAsia" w:ascii="仿宋_GB2312" w:hAnsi="方正小标宋简体" w:eastAsia="仿宋_GB2312" w:cs="方正小标宋简体"/>
          <w:spacing w:val="4"/>
          <w:sz w:val="32"/>
          <w:szCs w:val="32"/>
          <w:lang w:eastAsia="zh-CN"/>
        </w:rPr>
        <w:t>，</w:t>
      </w:r>
      <w:r>
        <w:rPr>
          <w:rFonts w:hint="eastAsia" w:ascii="仿宋_GB2312" w:hAnsi="方正小标宋简体" w:eastAsia="仿宋_GB2312" w:cs="方正小标宋简体"/>
          <w:spacing w:val="4"/>
          <w:sz w:val="32"/>
          <w:szCs w:val="32"/>
        </w:rPr>
        <w:t>工作总体推进有序、联网应用效果明显、社会评价较好。</w:t>
      </w:r>
      <w:r>
        <w:rPr>
          <w:rFonts w:hint="eastAsia" w:ascii="仿宋_GB2312" w:hAnsi="仿宋" w:eastAsia="仿宋_GB2312" w:cs="仿宋"/>
          <w:sz w:val="32"/>
          <w:szCs w:val="32"/>
          <w:lang w:val="zh-CN"/>
        </w:rPr>
        <w:t>2018年，县级视频研判指挥中心建成，实现了“雪亮工程”与“天网”工程的互联互通，资源共享。</w:t>
      </w:r>
    </w:p>
    <w:p>
      <w:pPr>
        <w:adjustRightInd w:val="0"/>
        <w:snapToGrid w:val="0"/>
        <w:spacing w:line="576" w:lineRule="exact"/>
        <w:ind w:firstLine="640" w:firstLineChars="200"/>
        <w:rPr>
          <w:rFonts w:hint="eastAsia" w:ascii="仿宋_GB2312" w:hAnsi="仿宋" w:eastAsia="仿宋_GB2312" w:cs="仿宋"/>
          <w:sz w:val="32"/>
          <w:szCs w:val="32"/>
          <w:lang w:val="zh-CN"/>
        </w:rPr>
      </w:pPr>
      <w:r>
        <w:rPr>
          <w:rFonts w:hint="eastAsia" w:ascii="楷体_GB2312" w:hAnsi="黑体" w:eastAsia="楷体_GB2312" w:cs="仿宋"/>
          <w:sz w:val="32"/>
          <w:szCs w:val="32"/>
          <w:lang w:val="zh-CN"/>
        </w:rPr>
        <w:t>（四）项目资金申报相符性。</w:t>
      </w:r>
      <w:r>
        <w:rPr>
          <w:rFonts w:hint="eastAsia" w:ascii="仿宋_GB2312" w:hAnsi="仿宋" w:eastAsia="仿宋_GB2312" w:cs="仿宋"/>
          <w:sz w:val="32"/>
          <w:szCs w:val="32"/>
          <w:lang w:val="zh-CN"/>
        </w:rPr>
        <w:t>雪亮工程项目申报内容与20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lang w:val="zh-CN"/>
        </w:rPr>
        <w:t>年度内实施的具体实施内容相符，申报目标合理可行。</w:t>
      </w:r>
    </w:p>
    <w:p>
      <w:pPr>
        <w:adjustRightInd w:val="0"/>
        <w:snapToGrid w:val="0"/>
        <w:spacing w:line="576" w:lineRule="exact"/>
        <w:ind w:firstLine="640" w:firstLineChars="200"/>
        <w:rPr>
          <w:rFonts w:hint="eastAsia" w:ascii="黑体" w:hAnsi="黑体" w:eastAsia="黑体" w:cs="黑体"/>
          <w:bCs/>
          <w:sz w:val="32"/>
          <w:szCs w:val="32"/>
          <w:lang w:val="zh-CN"/>
        </w:rPr>
      </w:pPr>
      <w:r>
        <w:rPr>
          <w:rFonts w:hint="eastAsia" w:ascii="黑体" w:hAnsi="黑体" w:eastAsia="黑体" w:cs="黑体"/>
          <w:bCs/>
          <w:sz w:val="32"/>
          <w:szCs w:val="32"/>
          <w:lang w:val="zh-CN"/>
        </w:rPr>
        <w:t>二、项目实施及管理情况</w:t>
      </w:r>
    </w:p>
    <w:p>
      <w:pPr>
        <w:adjustRightInd w:val="0"/>
        <w:snapToGrid w:val="0"/>
        <w:spacing w:line="576" w:lineRule="exact"/>
        <w:ind w:firstLine="640" w:firstLineChars="200"/>
        <w:rPr>
          <w:rFonts w:hint="eastAsia" w:ascii="楷体_GB2312" w:hAnsi="黑体" w:eastAsia="楷体_GB2312" w:cs="仿宋"/>
          <w:sz w:val="32"/>
          <w:szCs w:val="32"/>
          <w:lang w:val="zh-CN"/>
        </w:rPr>
      </w:pPr>
      <w:r>
        <w:rPr>
          <w:rFonts w:hint="eastAsia" w:ascii="楷体_GB2312" w:hAnsi="黑体" w:eastAsia="楷体_GB2312" w:cs="仿宋"/>
          <w:sz w:val="32"/>
          <w:szCs w:val="32"/>
          <w:lang w:val="zh-CN"/>
        </w:rPr>
        <w:t>（一）资金计划、到位及使用情况</w:t>
      </w:r>
    </w:p>
    <w:p>
      <w:pPr>
        <w:adjustRightInd w:val="0"/>
        <w:snapToGrid w:val="0"/>
        <w:spacing w:line="576" w:lineRule="exact"/>
        <w:ind w:firstLine="640" w:firstLineChars="200"/>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1．资金计划及到位。</w:t>
      </w:r>
      <w:r>
        <w:rPr>
          <w:rFonts w:hint="eastAsia" w:ascii="仿宋_GB2312" w:hAnsi="仿宋" w:eastAsia="仿宋_GB2312" w:cs="仿宋"/>
          <w:sz w:val="32"/>
          <w:szCs w:val="32"/>
          <w:lang w:val="en-US" w:eastAsia="zh-CN"/>
        </w:rPr>
        <w:t>2022</w:t>
      </w:r>
      <w:r>
        <w:rPr>
          <w:rFonts w:hint="eastAsia" w:ascii="仿宋_GB2312" w:hAnsi="仿宋" w:eastAsia="仿宋_GB2312" w:cs="仿宋"/>
          <w:sz w:val="32"/>
          <w:szCs w:val="32"/>
          <w:lang w:val="zh-CN"/>
        </w:rPr>
        <w:t>年，县财政用存量资金安排雪亮工程项目预算</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lang w:val="zh-CN"/>
        </w:rPr>
        <w:t>0万元，并及时给予了拨付。县委政法委按照与电信公司、广电公司签订的合同，以</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lang w:val="zh-CN"/>
        </w:rPr>
        <w:t>0万元为基数按比例全额支付到相应公司，不存在资金不到位和支付不及时等问题。</w:t>
      </w:r>
    </w:p>
    <w:p>
      <w:pPr>
        <w:adjustRightInd w:val="0"/>
        <w:snapToGrid w:val="0"/>
        <w:spacing w:line="576" w:lineRule="exact"/>
        <w:ind w:firstLine="640" w:firstLineChars="200"/>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2．资金使用。</w:t>
      </w:r>
      <w:r>
        <w:rPr>
          <w:rFonts w:hint="eastAsia" w:ascii="仿宋_GB2312" w:hAnsi="仿宋" w:eastAsia="仿宋_GB2312" w:cs="仿宋"/>
          <w:sz w:val="32"/>
          <w:szCs w:val="32"/>
          <w:lang w:val="en-US" w:eastAsia="zh-CN"/>
        </w:rPr>
        <w:t>2022</w:t>
      </w:r>
      <w:r>
        <w:rPr>
          <w:rFonts w:hint="eastAsia" w:ascii="仿宋_GB2312" w:hAnsi="仿宋" w:eastAsia="仿宋_GB2312" w:cs="仿宋"/>
          <w:sz w:val="32"/>
          <w:szCs w:val="32"/>
          <w:lang w:val="zh-CN"/>
        </w:rPr>
        <w:t>年，县委政法委按照与电信公司、广电公司签订的合同，以</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lang w:val="zh-CN"/>
        </w:rPr>
        <w:t>0万元为基数按比例全额支付到相应公司，支付金额与预算相符。</w:t>
      </w:r>
    </w:p>
    <w:p>
      <w:pPr>
        <w:adjustRightInd w:val="0"/>
        <w:snapToGrid w:val="0"/>
        <w:spacing w:line="576" w:lineRule="exact"/>
        <w:ind w:firstLine="640" w:firstLineChars="200"/>
        <w:rPr>
          <w:rFonts w:hint="eastAsia" w:ascii="仿宋_GB2312" w:hAnsi="仿宋" w:eastAsia="仿宋_GB2312" w:cs="仿宋"/>
          <w:sz w:val="32"/>
          <w:szCs w:val="32"/>
          <w:lang w:val="zh-CN"/>
        </w:rPr>
      </w:pPr>
      <w:r>
        <w:rPr>
          <w:rFonts w:hint="eastAsia" w:ascii="楷体_GB2312" w:hAnsi="黑体" w:eastAsia="楷体_GB2312" w:cs="仿宋"/>
          <w:sz w:val="32"/>
          <w:szCs w:val="32"/>
          <w:lang w:val="zh-CN"/>
        </w:rPr>
        <w:t>（二）项目财务管理情况。</w:t>
      </w:r>
      <w:r>
        <w:rPr>
          <w:rFonts w:hint="eastAsia" w:ascii="仿宋_GB2312" w:hAnsi="仿宋" w:eastAsia="仿宋_GB2312" w:cs="仿宋"/>
          <w:sz w:val="32"/>
          <w:szCs w:val="32"/>
          <w:lang w:val="zh-CN"/>
        </w:rPr>
        <w:t>我委严格按照有关财政资金管理要求，严格执行会计制度和财务制度，依法管理项目资金，结合我委的工作实际，对项目开支进行规范化、工作制度化，对经费使用范围的各类支出，按照项目经费使用审批的程序办理，财务人员做到依法理财，保障账目真实、完整、规范，项目总体执行情况较好，预期的绩效目标基本实现。</w:t>
      </w:r>
    </w:p>
    <w:p>
      <w:pPr>
        <w:spacing w:line="576" w:lineRule="exact"/>
        <w:ind w:firstLine="640" w:firstLineChars="200"/>
        <w:rPr>
          <w:rFonts w:hint="eastAsia" w:ascii="仿宋_GB2312" w:hAnsi="仿宋" w:eastAsia="仿宋_GB2312" w:cs="仿宋"/>
          <w:sz w:val="32"/>
          <w:szCs w:val="32"/>
          <w:lang w:val="zh-CN"/>
        </w:rPr>
      </w:pPr>
      <w:r>
        <w:rPr>
          <w:rFonts w:hint="eastAsia" w:ascii="楷体_GB2312" w:hAnsi="黑体" w:eastAsia="楷体_GB2312" w:cs="仿宋"/>
          <w:sz w:val="32"/>
          <w:szCs w:val="32"/>
          <w:lang w:val="zh-CN"/>
        </w:rPr>
        <w:t>（三）项目组织实施情况。</w:t>
      </w:r>
      <w:r>
        <w:rPr>
          <w:rFonts w:hint="eastAsia" w:ascii="仿宋_GB2312" w:hAnsi="仿宋" w:eastAsia="仿宋_GB2312" w:cs="仿宋"/>
          <w:sz w:val="32"/>
          <w:szCs w:val="32"/>
          <w:lang w:val="zh-CN"/>
        </w:rPr>
        <w:t>2016年我县开始“雪亮工程”试点建设。2017年，县十八届人民政府第18次常务会议审议原则通过了《剑阁县十三五时期“雪亮工程”建设方案》，明确我县雪亮工程建设采取企业投资建设维护、政府购买服务、分年度建设的模式进行，具体是：由中标企业负责当年建设村（社区）各3-5个公共点位视频监控建设，并将视频联通到市、县、乡镇、村（社区）四级综治中心监控平台、干部手机和农户电视，当年完成建设验收合格，次年元月一日开始租赁应用，租赁期限为6年，租金按每个监控点位每年4000元支付，租金由县财政和村（社区）各承担一半（县财政承担每个点每年2000元由县委政法委负责申报，村承担每个点每年2000元由乡镇在村公共服务运行经费中支付）。期间所有设备的维护、更换、产生的电费等一概由营运企业负责。期满后，按照只收取运营维护成本费原则，双方另行协商租赁应用费用。</w:t>
      </w:r>
    </w:p>
    <w:p>
      <w:pPr>
        <w:adjustRightInd w:val="0"/>
        <w:snapToGrid w:val="0"/>
        <w:spacing w:line="576" w:lineRule="exact"/>
        <w:ind w:firstLine="640" w:firstLineChars="200"/>
        <w:rPr>
          <w:rFonts w:hint="eastAsia" w:ascii="黑体" w:hAnsi="黑体" w:eastAsia="黑体" w:cs="黑体"/>
          <w:bCs/>
          <w:sz w:val="32"/>
          <w:szCs w:val="32"/>
          <w:lang w:val="zh-CN"/>
        </w:rPr>
      </w:pPr>
      <w:r>
        <w:rPr>
          <w:rFonts w:hint="eastAsia" w:ascii="黑体" w:hAnsi="黑体" w:eastAsia="黑体" w:cs="黑体"/>
          <w:bCs/>
          <w:sz w:val="32"/>
          <w:szCs w:val="32"/>
          <w:lang w:val="zh-CN"/>
        </w:rPr>
        <w:t>三、项目绩效情况</w:t>
      </w:r>
      <w:r>
        <w:rPr>
          <w:rFonts w:hint="eastAsia" w:ascii="黑体" w:hAnsi="黑体" w:eastAsia="黑体" w:cs="黑体"/>
          <w:bCs/>
          <w:sz w:val="32"/>
          <w:szCs w:val="32"/>
          <w:lang w:val="zh-CN"/>
        </w:rPr>
        <w:tab/>
      </w:r>
    </w:p>
    <w:p>
      <w:pPr>
        <w:adjustRightInd w:val="0"/>
        <w:snapToGrid w:val="0"/>
        <w:spacing w:line="576" w:lineRule="exact"/>
        <w:ind w:firstLine="640" w:firstLineChars="200"/>
        <w:rPr>
          <w:rFonts w:hint="eastAsia" w:ascii="仿宋_GB2312" w:hAnsi="仿宋" w:eastAsia="仿宋_GB2312" w:cs="仿宋"/>
          <w:sz w:val="32"/>
          <w:szCs w:val="32"/>
          <w:lang w:val="zh-CN"/>
        </w:rPr>
      </w:pPr>
      <w:r>
        <w:rPr>
          <w:rFonts w:hint="eastAsia" w:ascii="楷体_GB2312" w:hAnsi="黑体" w:eastAsia="楷体_GB2312" w:cs="仿宋"/>
          <w:sz w:val="32"/>
          <w:szCs w:val="32"/>
          <w:lang w:val="zh-CN"/>
        </w:rPr>
        <w:t>（一）项目完成情况</w:t>
      </w:r>
      <w:r>
        <w:rPr>
          <w:rFonts w:hint="eastAsia" w:ascii="仿宋_GB2312" w:hAnsi="仿宋" w:eastAsia="仿宋_GB2312" w:cs="仿宋"/>
          <w:sz w:val="32"/>
          <w:szCs w:val="32"/>
          <w:lang w:val="zh-CN"/>
        </w:rPr>
        <w:t>。</w:t>
      </w:r>
      <w:r>
        <w:rPr>
          <w:rFonts w:hint="eastAsia" w:ascii="仿宋_GB2312" w:eastAsia="仿宋_GB2312"/>
          <w:spacing w:val="4"/>
          <w:sz w:val="32"/>
          <w:szCs w:val="32"/>
        </w:rPr>
        <w:t>截止20</w:t>
      </w:r>
      <w:r>
        <w:rPr>
          <w:rFonts w:hint="eastAsia" w:ascii="仿宋_GB2312" w:eastAsia="仿宋_GB2312"/>
          <w:spacing w:val="4"/>
          <w:sz w:val="32"/>
          <w:szCs w:val="32"/>
          <w:lang w:val="en-US" w:eastAsia="zh-CN"/>
        </w:rPr>
        <w:t>22</w:t>
      </w:r>
      <w:r>
        <w:rPr>
          <w:rFonts w:hint="eastAsia" w:ascii="仿宋_GB2312" w:eastAsia="仿宋_GB2312"/>
          <w:spacing w:val="4"/>
          <w:sz w:val="32"/>
          <w:szCs w:val="32"/>
        </w:rPr>
        <w:t>年底，全县</w:t>
      </w:r>
      <w:r>
        <w:rPr>
          <w:rFonts w:hint="eastAsia" w:ascii="仿宋_GB2312" w:hAnsi="方正小标宋简体" w:eastAsia="仿宋_GB2312" w:cs="方正小标宋简体"/>
          <w:spacing w:val="4"/>
          <w:sz w:val="32"/>
          <w:szCs w:val="32"/>
        </w:rPr>
        <w:t>已累计完成219个村（社区）（村建制调整前为258个），安装监控探头111</w:t>
      </w:r>
      <w:r>
        <w:rPr>
          <w:rFonts w:hint="eastAsia" w:ascii="仿宋_GB2312" w:hAnsi="方正小标宋简体" w:eastAsia="仿宋_GB2312" w:cs="方正小标宋简体"/>
          <w:spacing w:val="4"/>
          <w:sz w:val="32"/>
          <w:szCs w:val="32"/>
          <w:lang w:val="en-US" w:eastAsia="zh-CN"/>
        </w:rPr>
        <w:t>9</w:t>
      </w:r>
      <w:r>
        <w:rPr>
          <w:rFonts w:hint="eastAsia" w:ascii="仿宋_GB2312" w:hAnsi="方正小标宋简体" w:eastAsia="仿宋_GB2312" w:cs="方正小标宋简体"/>
          <w:spacing w:val="4"/>
          <w:sz w:val="32"/>
          <w:szCs w:val="32"/>
        </w:rPr>
        <w:t>个（广电105</w:t>
      </w:r>
      <w:r>
        <w:rPr>
          <w:rFonts w:hint="eastAsia" w:ascii="仿宋_GB2312" w:hAnsi="方正小标宋简体" w:eastAsia="仿宋_GB2312" w:cs="方正小标宋简体"/>
          <w:spacing w:val="4"/>
          <w:sz w:val="32"/>
          <w:szCs w:val="32"/>
          <w:lang w:val="en-US" w:eastAsia="zh-CN"/>
        </w:rPr>
        <w:t>4</w:t>
      </w:r>
      <w:r>
        <w:rPr>
          <w:rFonts w:hint="eastAsia" w:ascii="仿宋_GB2312" w:hAnsi="方正小标宋简体" w:eastAsia="仿宋_GB2312" w:cs="方正小标宋简体"/>
          <w:spacing w:val="4"/>
          <w:sz w:val="32"/>
          <w:szCs w:val="32"/>
        </w:rPr>
        <w:t>个、电信65个）、建设三级监控平台267个、接入农户电视6400户</w:t>
      </w:r>
      <w:r>
        <w:rPr>
          <w:rFonts w:hint="eastAsia" w:ascii="仿宋_GB2312" w:hAnsi="方正小标宋简体" w:eastAsia="仿宋_GB2312" w:cs="方正小标宋简体"/>
          <w:spacing w:val="4"/>
          <w:sz w:val="32"/>
          <w:szCs w:val="32"/>
          <w:lang w:eastAsia="zh-CN"/>
        </w:rPr>
        <w:t>，</w:t>
      </w:r>
      <w:r>
        <w:rPr>
          <w:rFonts w:hint="eastAsia" w:ascii="仿宋_GB2312" w:hAnsi="方正小标宋简体" w:eastAsia="仿宋_GB2312" w:cs="方正小标宋简体"/>
          <w:spacing w:val="4"/>
          <w:sz w:val="32"/>
          <w:szCs w:val="32"/>
        </w:rPr>
        <w:t>工作总体推进有序、联网应用效果明显、社会评价较好。</w:t>
      </w:r>
      <w:r>
        <w:rPr>
          <w:rFonts w:hint="eastAsia" w:ascii="仿宋_GB2312" w:hAnsi="仿宋" w:eastAsia="仿宋_GB2312" w:cs="仿宋"/>
          <w:sz w:val="32"/>
          <w:szCs w:val="32"/>
          <w:lang w:val="zh-CN"/>
        </w:rPr>
        <w:t>2018年，县级视频研判指挥中心建成，实现了“雪亮工程”与“天网”工程的互联互通，资源共享。</w:t>
      </w:r>
    </w:p>
    <w:p>
      <w:pPr>
        <w:adjustRightInd w:val="0"/>
        <w:snapToGrid w:val="0"/>
        <w:spacing w:line="576" w:lineRule="exact"/>
        <w:ind w:firstLine="640" w:firstLineChars="200"/>
        <w:rPr>
          <w:rFonts w:hint="eastAsia" w:ascii="仿宋_GB2312" w:hAnsi="仿宋" w:eastAsia="仿宋_GB2312" w:cs="仿宋"/>
          <w:sz w:val="32"/>
          <w:szCs w:val="32"/>
          <w:lang w:val="zh-CN"/>
        </w:rPr>
      </w:pPr>
      <w:r>
        <w:rPr>
          <w:rFonts w:hint="eastAsia" w:ascii="楷体_GB2312" w:hAnsi="黑体" w:eastAsia="楷体_GB2312" w:cs="仿宋"/>
          <w:sz w:val="32"/>
          <w:szCs w:val="32"/>
          <w:lang w:val="zh-CN"/>
        </w:rPr>
        <w:t>（二）项目效益情况</w:t>
      </w:r>
      <w:r>
        <w:rPr>
          <w:rFonts w:hint="eastAsia" w:ascii="仿宋_GB2312" w:hAnsi="仿宋" w:eastAsia="仿宋_GB2312" w:cs="仿宋"/>
          <w:sz w:val="32"/>
          <w:szCs w:val="32"/>
          <w:lang w:val="zh-CN"/>
        </w:rPr>
        <w:t>。按照“统一规划、点位互补、高清流畅、互联互通”建设要求和建设质量标准，全面完成了市上下达的</w:t>
      </w:r>
      <w:r>
        <w:rPr>
          <w:rFonts w:hint="eastAsia" w:ascii="仿宋_GB2312" w:hAnsi="仿宋" w:eastAsia="仿宋_GB2312" w:cs="仿宋"/>
          <w:sz w:val="32"/>
          <w:szCs w:val="32"/>
          <w:lang w:val="en-US" w:eastAsia="zh-CN"/>
        </w:rPr>
        <w:t>258</w:t>
      </w:r>
      <w:r>
        <w:rPr>
          <w:rFonts w:hint="eastAsia" w:ascii="仿宋_GB2312" w:hAnsi="仿宋" w:eastAsia="仿宋_GB2312" w:cs="仿宋"/>
          <w:sz w:val="32"/>
          <w:szCs w:val="32"/>
          <w:lang w:val="zh-CN"/>
        </w:rPr>
        <w:t>个村年度建设任务，完成了</w:t>
      </w:r>
      <w:r>
        <w:rPr>
          <w:rFonts w:hint="eastAsia" w:ascii="仿宋_GB2312" w:hAnsi="仿宋" w:eastAsia="仿宋_GB2312" w:cs="仿宋"/>
          <w:sz w:val="32"/>
          <w:szCs w:val="32"/>
          <w:lang w:val="en-US" w:eastAsia="zh-CN"/>
        </w:rPr>
        <w:t>258</w:t>
      </w:r>
      <w:r>
        <w:rPr>
          <w:rFonts w:hint="eastAsia" w:ascii="仿宋_GB2312" w:hAnsi="仿宋" w:eastAsia="仿宋_GB2312" w:cs="仿宋"/>
          <w:sz w:val="32"/>
          <w:szCs w:val="32"/>
          <w:lang w:val="zh-CN"/>
        </w:rPr>
        <w:t>个村平台、680名村乡镇主要干部手机app、</w:t>
      </w:r>
      <w:r>
        <w:rPr>
          <w:rFonts w:hint="eastAsia" w:ascii="仿宋_GB2312" w:hAnsi="仿宋" w:eastAsia="仿宋_GB2312" w:cs="仿宋"/>
          <w:sz w:val="32"/>
          <w:szCs w:val="32"/>
          <w:lang w:val="en-US" w:eastAsia="zh-CN"/>
        </w:rPr>
        <w:t>6400</w:t>
      </w:r>
      <w:r>
        <w:rPr>
          <w:rFonts w:hint="eastAsia" w:ascii="仿宋_GB2312" w:hAnsi="仿宋" w:eastAsia="仿宋_GB2312" w:cs="仿宋"/>
          <w:sz w:val="32"/>
          <w:szCs w:val="32"/>
          <w:lang w:val="zh-CN"/>
        </w:rPr>
        <w:t>户农户电视联通，实现了“雪亮工程”与“公安天网”、交通、城管等社会视频互联互通。健全机制，加强应用管理，实行按月排查、维护故障探头。20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lang w:val="zh-CN"/>
        </w:rPr>
        <w:t>年以来，我县“雪亮工程”在打击犯罪、服务民生、震慑违法方面作用发挥明显，共协助破获各类刑事案件</w:t>
      </w:r>
      <w:r>
        <w:rPr>
          <w:rFonts w:hint="eastAsia" w:ascii="仿宋_GB2312" w:hAnsi="仿宋" w:eastAsia="仿宋_GB2312" w:cs="仿宋"/>
          <w:sz w:val="32"/>
          <w:szCs w:val="32"/>
          <w:lang w:val="en-US" w:eastAsia="zh-CN"/>
        </w:rPr>
        <w:t>51</w:t>
      </w:r>
      <w:r>
        <w:rPr>
          <w:rFonts w:hint="eastAsia" w:ascii="仿宋_GB2312" w:hAnsi="仿宋" w:eastAsia="仿宋_GB2312" w:cs="仿宋"/>
          <w:sz w:val="32"/>
          <w:szCs w:val="32"/>
          <w:lang w:val="zh-CN"/>
        </w:rPr>
        <w:t>起、查办治安案件</w:t>
      </w:r>
      <w:r>
        <w:rPr>
          <w:rFonts w:hint="eastAsia" w:ascii="仿宋_GB2312" w:hAnsi="仿宋" w:eastAsia="仿宋_GB2312" w:cs="仿宋"/>
          <w:sz w:val="32"/>
          <w:szCs w:val="32"/>
          <w:lang w:val="en-US" w:eastAsia="zh-CN"/>
        </w:rPr>
        <w:t>46</w:t>
      </w:r>
      <w:r>
        <w:rPr>
          <w:rFonts w:hint="eastAsia" w:ascii="仿宋_GB2312" w:hAnsi="仿宋" w:eastAsia="仿宋_GB2312" w:cs="仿宋"/>
          <w:sz w:val="32"/>
          <w:szCs w:val="32"/>
          <w:lang w:val="zh-CN"/>
        </w:rPr>
        <w:t>件、查找走失人员</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lang w:val="zh-CN"/>
        </w:rPr>
        <w:t>人。</w:t>
      </w:r>
    </w:p>
    <w:p>
      <w:pPr>
        <w:adjustRightInd w:val="0"/>
        <w:snapToGrid w:val="0"/>
        <w:spacing w:line="576" w:lineRule="exact"/>
        <w:ind w:firstLine="640" w:firstLineChars="200"/>
        <w:rPr>
          <w:rFonts w:hint="eastAsia" w:ascii="黑体" w:hAnsi="黑体" w:eastAsia="黑体" w:cs="黑体"/>
          <w:bCs/>
          <w:sz w:val="32"/>
          <w:szCs w:val="32"/>
          <w:lang w:val="zh-CN"/>
        </w:rPr>
      </w:pPr>
      <w:r>
        <w:rPr>
          <w:rFonts w:hint="eastAsia" w:ascii="黑体" w:hAnsi="黑体" w:eastAsia="黑体" w:cs="黑体"/>
          <w:bCs/>
          <w:sz w:val="32"/>
          <w:szCs w:val="32"/>
          <w:lang w:val="zh-CN"/>
        </w:rPr>
        <w:t>四、问题及建议</w:t>
      </w:r>
    </w:p>
    <w:p>
      <w:pPr>
        <w:spacing w:line="576" w:lineRule="exact"/>
        <w:ind w:firstLine="640" w:firstLineChars="200"/>
        <w:rPr>
          <w:rFonts w:hint="eastAsia" w:ascii="仿宋_GB2312" w:hAnsi="仿宋" w:eastAsia="仿宋_GB2312" w:cs="仿宋"/>
          <w:sz w:val="32"/>
          <w:szCs w:val="32"/>
          <w:lang w:val="zh-CN"/>
        </w:rPr>
      </w:pPr>
      <w:r>
        <w:rPr>
          <w:rFonts w:hint="eastAsia" w:ascii="楷体_GB2312" w:hAnsi="黑体" w:eastAsia="楷体_GB2312" w:cs="仿宋"/>
          <w:sz w:val="32"/>
          <w:szCs w:val="32"/>
          <w:lang w:val="zh-CN"/>
        </w:rPr>
        <w:t>（一）存在的问题。</w:t>
      </w:r>
      <w:r>
        <w:rPr>
          <w:rFonts w:hint="eastAsia" w:ascii="仿宋_GB2312" w:hAnsi="仿宋" w:eastAsia="仿宋_GB2312" w:cs="仿宋"/>
          <w:sz w:val="32"/>
          <w:szCs w:val="32"/>
          <w:lang w:val="zh-CN"/>
        </w:rPr>
        <w:t>“雪亮工程”应用租赁欠费严重。在县委县政府有关领导关心支持下，2018年、2019年统筹整合了新农村建设、农村广电网络建设有关经费开展建设，有效缓解了前三年时间的应用租赁费问题，但因历年来雪亮工程预算经费不足，导致从</w:t>
      </w:r>
      <w:r>
        <w:rPr>
          <w:rFonts w:hint="eastAsia" w:ascii="仿宋_GB2312" w:hAnsi="仿宋" w:eastAsia="仿宋_GB2312" w:cs="仿宋"/>
          <w:sz w:val="32"/>
          <w:szCs w:val="32"/>
          <w:lang w:val="en-US" w:eastAsia="zh-CN"/>
        </w:rPr>
        <w:t>2017年以来每年均有欠费形成，截止2022年底县本级雪亮工程欠费437.41万元</w:t>
      </w:r>
      <w:r>
        <w:rPr>
          <w:rFonts w:hint="eastAsia" w:ascii="仿宋_GB2312" w:hAnsi="仿宋" w:eastAsia="仿宋_GB2312" w:cs="仿宋"/>
          <w:sz w:val="32"/>
          <w:szCs w:val="32"/>
          <w:lang w:val="zh-CN"/>
        </w:rPr>
        <w:t>。另外，绝大多数乡镇以村级公共服务运行经费没有明确有“雪亮工程”经费支出项目、经费紧张等为由，也拖欠村级年度租赁费</w:t>
      </w:r>
      <w:r>
        <w:rPr>
          <w:rFonts w:hint="eastAsia" w:ascii="仿宋_GB2312" w:hAnsi="仿宋" w:eastAsia="仿宋_GB2312" w:cs="仿宋"/>
          <w:sz w:val="32"/>
          <w:szCs w:val="32"/>
          <w:lang w:val="en-US" w:eastAsia="zh-CN"/>
        </w:rPr>
        <w:t>400余</w:t>
      </w:r>
      <w:r>
        <w:rPr>
          <w:rFonts w:hint="eastAsia" w:ascii="仿宋_GB2312" w:hAnsi="仿宋" w:eastAsia="仿宋_GB2312" w:cs="仿宋"/>
          <w:sz w:val="32"/>
          <w:szCs w:val="32"/>
          <w:lang w:val="zh-CN"/>
        </w:rPr>
        <w:t>万元，两项合计共欠营运企业</w:t>
      </w:r>
      <w:r>
        <w:rPr>
          <w:rFonts w:hint="eastAsia" w:ascii="仿宋_GB2312" w:hAnsi="仿宋" w:eastAsia="仿宋_GB2312" w:cs="仿宋"/>
          <w:sz w:val="32"/>
          <w:szCs w:val="32"/>
          <w:lang w:val="en-US" w:eastAsia="zh-CN"/>
        </w:rPr>
        <w:t>近850</w:t>
      </w:r>
      <w:r>
        <w:rPr>
          <w:rFonts w:hint="eastAsia" w:ascii="仿宋_GB2312" w:hAnsi="仿宋" w:eastAsia="仿宋_GB2312" w:cs="仿宋"/>
          <w:sz w:val="32"/>
          <w:szCs w:val="32"/>
          <w:lang w:val="zh-CN"/>
        </w:rPr>
        <w:t>万元，严重影响了全县雪亮工程建设联网应用效果。建设企业已多次来人、来函催讨欠费。</w:t>
      </w:r>
    </w:p>
    <w:p>
      <w:pPr>
        <w:spacing w:line="576" w:lineRule="exact"/>
        <w:ind w:firstLine="640" w:firstLineChars="200"/>
        <w:rPr>
          <w:rFonts w:hint="eastAsia" w:ascii="仿宋_GB2312" w:hAnsi="仿宋" w:eastAsia="仿宋_GB2312" w:cs="仿宋"/>
          <w:sz w:val="32"/>
          <w:szCs w:val="32"/>
          <w:lang w:val="zh-CN"/>
        </w:rPr>
      </w:pPr>
      <w:r>
        <w:rPr>
          <w:rFonts w:hint="eastAsia" w:ascii="楷体_GB2312" w:hAnsi="黑体" w:eastAsia="楷体_GB2312" w:cs="仿宋"/>
          <w:sz w:val="32"/>
          <w:szCs w:val="32"/>
          <w:lang w:val="zh-CN"/>
        </w:rPr>
        <w:t>（二）相关建议。</w:t>
      </w:r>
      <w:r>
        <w:rPr>
          <w:rFonts w:hint="eastAsia" w:ascii="仿宋_GB2312" w:hAnsi="仿宋" w:eastAsia="仿宋_GB2312" w:cs="仿宋"/>
          <w:sz w:val="32"/>
          <w:szCs w:val="32"/>
          <w:lang w:val="zh-CN"/>
        </w:rPr>
        <w:t>建议县财政分期分批安排2017年—20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lang w:val="zh-CN"/>
        </w:rPr>
        <w:t>年“雪亮工程”应用租赁费用及县级监控平台建设费用。</w:t>
      </w:r>
    </w:p>
    <w:p>
      <w:pPr>
        <w:pageBreakBefore w:val="0"/>
        <w:kinsoku/>
        <w:wordWrap/>
        <w:overflowPunct/>
        <w:topLinePunct w:val="0"/>
        <w:bidi w:val="0"/>
        <w:adjustRightInd w:val="0"/>
        <w:snapToGrid w:val="0"/>
        <w:spacing w:line="556" w:lineRule="exact"/>
        <w:ind w:left="0"/>
        <w:jc w:val="center"/>
        <w:textAlignment w:val="auto"/>
        <w:rPr>
          <w:rFonts w:hint="eastAsia" w:ascii="仿宋_GB2312" w:hAnsi="仿宋" w:eastAsia="仿宋_GB2312" w:cs="仿宋"/>
          <w:sz w:val="32"/>
          <w:szCs w:val="32"/>
          <w:lang w:val="zh-CN"/>
        </w:rPr>
      </w:pPr>
    </w:p>
    <w:p>
      <w:pPr>
        <w:pageBreakBefore w:val="0"/>
        <w:kinsoku/>
        <w:wordWrap/>
        <w:overflowPunct/>
        <w:topLinePunct w:val="0"/>
        <w:bidi w:val="0"/>
        <w:adjustRightInd w:val="0"/>
        <w:snapToGrid w:val="0"/>
        <w:spacing w:line="556" w:lineRule="exact"/>
        <w:ind w:left="0"/>
        <w:jc w:val="center"/>
        <w:textAlignment w:val="auto"/>
        <w:rPr>
          <w:rFonts w:hint="eastAsia" w:ascii="黑体" w:hAnsi="黑体" w:eastAsia="黑体" w:cs="华文中宋"/>
          <w:b/>
          <w:bCs/>
          <w:sz w:val="40"/>
          <w:szCs w:val="40"/>
          <w:lang w:val="zh-CN"/>
        </w:rPr>
      </w:pPr>
    </w:p>
    <w:p>
      <w:pPr>
        <w:pageBreakBefore w:val="0"/>
        <w:kinsoku/>
        <w:wordWrap/>
        <w:overflowPunct/>
        <w:topLinePunct w:val="0"/>
        <w:bidi w:val="0"/>
        <w:adjustRightInd w:val="0"/>
        <w:snapToGrid w:val="0"/>
        <w:spacing w:line="556" w:lineRule="exact"/>
        <w:ind w:left="0"/>
        <w:jc w:val="center"/>
        <w:textAlignment w:val="auto"/>
        <w:rPr>
          <w:rFonts w:hint="eastAsia" w:ascii="黑体" w:hAnsi="黑体" w:eastAsia="黑体" w:cs="华文中宋"/>
          <w:b/>
          <w:bCs/>
          <w:sz w:val="40"/>
          <w:szCs w:val="40"/>
          <w:lang w:val="zh-CN"/>
        </w:rPr>
      </w:pPr>
    </w:p>
    <w:p>
      <w:pPr>
        <w:pageBreakBefore w:val="0"/>
        <w:kinsoku/>
        <w:wordWrap/>
        <w:overflowPunct/>
        <w:topLinePunct w:val="0"/>
        <w:bidi w:val="0"/>
        <w:adjustRightInd w:val="0"/>
        <w:snapToGrid w:val="0"/>
        <w:spacing w:line="556" w:lineRule="exact"/>
        <w:ind w:left="0"/>
        <w:jc w:val="center"/>
        <w:textAlignment w:val="auto"/>
        <w:rPr>
          <w:rFonts w:hint="eastAsia" w:ascii="黑体" w:hAnsi="黑体" w:eastAsia="黑体" w:cs="华文中宋"/>
          <w:b/>
          <w:bCs/>
          <w:sz w:val="40"/>
          <w:szCs w:val="40"/>
          <w:lang w:val="zh-CN"/>
        </w:rPr>
      </w:pPr>
    </w:p>
    <w:p>
      <w:pPr>
        <w:pageBreakBefore w:val="0"/>
        <w:kinsoku/>
        <w:wordWrap/>
        <w:overflowPunct/>
        <w:topLinePunct w:val="0"/>
        <w:bidi w:val="0"/>
        <w:adjustRightInd w:val="0"/>
        <w:snapToGrid w:val="0"/>
        <w:spacing w:line="556" w:lineRule="exact"/>
        <w:ind w:left="0"/>
        <w:jc w:val="center"/>
        <w:textAlignment w:val="auto"/>
        <w:rPr>
          <w:rFonts w:hint="eastAsia" w:ascii="黑体" w:hAnsi="黑体" w:eastAsia="黑体" w:cs="华文中宋"/>
          <w:b/>
          <w:bCs/>
          <w:sz w:val="40"/>
          <w:szCs w:val="40"/>
          <w:lang w:val="zh-CN"/>
        </w:rPr>
      </w:pPr>
    </w:p>
    <w:p>
      <w:pPr>
        <w:pageBreakBefore w:val="0"/>
        <w:kinsoku/>
        <w:wordWrap/>
        <w:overflowPunct/>
        <w:topLinePunct w:val="0"/>
        <w:bidi w:val="0"/>
        <w:adjustRightInd w:val="0"/>
        <w:snapToGrid w:val="0"/>
        <w:spacing w:line="556" w:lineRule="exact"/>
        <w:ind w:left="0"/>
        <w:jc w:val="center"/>
        <w:textAlignment w:val="auto"/>
        <w:rPr>
          <w:rFonts w:hint="eastAsia" w:ascii="黑体" w:hAnsi="黑体" w:eastAsia="黑体" w:cs="华文中宋"/>
          <w:b/>
          <w:bCs/>
          <w:sz w:val="40"/>
          <w:szCs w:val="40"/>
          <w:lang w:val="zh-CN"/>
        </w:rPr>
      </w:pPr>
    </w:p>
    <w:p>
      <w:pPr>
        <w:pageBreakBefore w:val="0"/>
        <w:kinsoku/>
        <w:wordWrap/>
        <w:overflowPunct/>
        <w:topLinePunct w:val="0"/>
        <w:bidi w:val="0"/>
        <w:adjustRightInd w:val="0"/>
        <w:snapToGrid w:val="0"/>
        <w:spacing w:line="556" w:lineRule="exact"/>
        <w:ind w:left="0"/>
        <w:jc w:val="center"/>
        <w:textAlignment w:val="auto"/>
        <w:rPr>
          <w:rFonts w:hint="eastAsia" w:ascii="黑体" w:hAnsi="黑体" w:eastAsia="黑体" w:cs="华文中宋"/>
          <w:b/>
          <w:bCs/>
          <w:sz w:val="40"/>
          <w:szCs w:val="40"/>
          <w:lang w:val="zh-CN"/>
        </w:rPr>
      </w:pPr>
    </w:p>
    <w:p>
      <w:pPr>
        <w:pageBreakBefore w:val="0"/>
        <w:kinsoku/>
        <w:wordWrap/>
        <w:overflowPunct/>
        <w:topLinePunct w:val="0"/>
        <w:bidi w:val="0"/>
        <w:adjustRightInd w:val="0"/>
        <w:snapToGrid w:val="0"/>
        <w:spacing w:line="556" w:lineRule="exact"/>
        <w:ind w:left="0"/>
        <w:jc w:val="center"/>
        <w:textAlignment w:val="auto"/>
        <w:rPr>
          <w:rFonts w:hint="eastAsia" w:ascii="黑体" w:hAnsi="黑体" w:eastAsia="黑体" w:cs="华文中宋"/>
          <w:b/>
          <w:bCs/>
          <w:sz w:val="40"/>
          <w:szCs w:val="40"/>
          <w:lang w:val="zh-CN"/>
        </w:rPr>
      </w:pPr>
    </w:p>
    <w:p>
      <w:pPr>
        <w:pageBreakBefore w:val="0"/>
        <w:kinsoku/>
        <w:wordWrap/>
        <w:overflowPunct/>
        <w:topLinePunct w:val="0"/>
        <w:bidi w:val="0"/>
        <w:adjustRightInd w:val="0"/>
        <w:snapToGrid w:val="0"/>
        <w:spacing w:line="556" w:lineRule="exact"/>
        <w:ind w:left="0"/>
        <w:jc w:val="center"/>
        <w:textAlignment w:val="auto"/>
        <w:rPr>
          <w:rFonts w:hint="eastAsia" w:ascii="黑体" w:hAnsi="黑体" w:eastAsia="黑体" w:cs="华文中宋"/>
          <w:b/>
          <w:bCs/>
          <w:sz w:val="40"/>
          <w:szCs w:val="40"/>
          <w:lang w:val="zh-CN"/>
        </w:rPr>
      </w:pPr>
    </w:p>
    <w:p>
      <w:pPr>
        <w:pageBreakBefore w:val="0"/>
        <w:kinsoku/>
        <w:wordWrap/>
        <w:overflowPunct/>
        <w:topLinePunct w:val="0"/>
        <w:bidi w:val="0"/>
        <w:adjustRightInd w:val="0"/>
        <w:snapToGrid w:val="0"/>
        <w:spacing w:line="556" w:lineRule="exact"/>
        <w:ind w:left="0"/>
        <w:jc w:val="center"/>
        <w:textAlignment w:val="auto"/>
        <w:rPr>
          <w:rFonts w:hint="eastAsia" w:ascii="黑体" w:hAnsi="黑体" w:eastAsia="黑体" w:cs="华文中宋"/>
          <w:b/>
          <w:bCs/>
          <w:sz w:val="40"/>
          <w:szCs w:val="40"/>
          <w:lang w:val="zh-CN"/>
        </w:rPr>
      </w:pPr>
    </w:p>
    <w:p>
      <w:pPr>
        <w:pageBreakBefore w:val="0"/>
        <w:kinsoku/>
        <w:wordWrap/>
        <w:overflowPunct/>
        <w:topLinePunct w:val="0"/>
        <w:bidi w:val="0"/>
        <w:adjustRightInd w:val="0"/>
        <w:snapToGrid w:val="0"/>
        <w:spacing w:line="556" w:lineRule="exact"/>
        <w:ind w:left="0"/>
        <w:jc w:val="center"/>
        <w:textAlignment w:val="auto"/>
        <w:rPr>
          <w:rFonts w:hint="eastAsia" w:ascii="黑体" w:hAnsi="黑体" w:eastAsia="黑体" w:cs="华文中宋"/>
          <w:b/>
          <w:bCs/>
          <w:sz w:val="40"/>
          <w:szCs w:val="40"/>
          <w:lang w:val="zh-CN"/>
        </w:rPr>
      </w:pPr>
    </w:p>
    <w:p>
      <w:pPr>
        <w:pageBreakBefore w:val="0"/>
        <w:kinsoku/>
        <w:wordWrap/>
        <w:overflowPunct/>
        <w:topLinePunct w:val="0"/>
        <w:bidi w:val="0"/>
        <w:adjustRightInd w:val="0"/>
        <w:snapToGrid w:val="0"/>
        <w:spacing w:line="556" w:lineRule="exact"/>
        <w:ind w:left="0"/>
        <w:jc w:val="center"/>
        <w:textAlignment w:val="auto"/>
        <w:rPr>
          <w:rFonts w:hint="eastAsia" w:ascii="黑体" w:hAnsi="黑体" w:eastAsia="黑体" w:cs="华文中宋"/>
          <w:b/>
          <w:bCs/>
          <w:sz w:val="40"/>
          <w:szCs w:val="40"/>
          <w:lang w:val="zh-CN"/>
        </w:rPr>
      </w:pPr>
    </w:p>
    <w:p>
      <w:pPr>
        <w:pageBreakBefore w:val="0"/>
        <w:kinsoku/>
        <w:wordWrap/>
        <w:overflowPunct/>
        <w:topLinePunct w:val="0"/>
        <w:bidi w:val="0"/>
        <w:adjustRightInd w:val="0"/>
        <w:snapToGrid w:val="0"/>
        <w:spacing w:line="556" w:lineRule="exact"/>
        <w:ind w:left="0"/>
        <w:jc w:val="center"/>
        <w:textAlignment w:val="auto"/>
        <w:rPr>
          <w:rFonts w:hint="eastAsia" w:ascii="黑体" w:hAnsi="黑体" w:eastAsia="黑体" w:cs="华文中宋"/>
          <w:b/>
          <w:bCs/>
          <w:sz w:val="40"/>
          <w:szCs w:val="40"/>
          <w:lang w:val="zh-CN"/>
        </w:rPr>
      </w:pPr>
      <w:r>
        <w:rPr>
          <w:rFonts w:hint="eastAsia" w:ascii="黑体" w:hAnsi="黑体" w:eastAsia="黑体" w:cs="华文中宋"/>
          <w:b/>
          <w:bCs/>
          <w:sz w:val="40"/>
          <w:szCs w:val="40"/>
          <w:lang w:val="zh-CN"/>
        </w:rPr>
        <w:t>中共剑阁县委政法委员会</w:t>
      </w:r>
    </w:p>
    <w:p>
      <w:pPr>
        <w:pageBreakBefore w:val="0"/>
        <w:kinsoku/>
        <w:wordWrap/>
        <w:overflowPunct/>
        <w:topLinePunct w:val="0"/>
        <w:bidi w:val="0"/>
        <w:adjustRightInd w:val="0"/>
        <w:snapToGrid w:val="0"/>
        <w:spacing w:line="556" w:lineRule="exact"/>
        <w:ind w:left="0"/>
        <w:jc w:val="center"/>
        <w:textAlignment w:val="auto"/>
        <w:rPr>
          <w:rFonts w:hint="eastAsia" w:ascii="黑体" w:hAnsi="黑体" w:eastAsia="黑体" w:cs="华文中宋"/>
          <w:b/>
          <w:bCs/>
          <w:sz w:val="40"/>
          <w:szCs w:val="40"/>
          <w:lang w:val="zh-CN"/>
        </w:rPr>
      </w:pPr>
      <w:r>
        <w:rPr>
          <w:rFonts w:hint="eastAsia" w:ascii="黑体" w:hAnsi="黑体" w:eastAsia="黑体" w:cs="华文中宋"/>
          <w:b/>
          <w:bCs/>
          <w:sz w:val="40"/>
          <w:szCs w:val="40"/>
          <w:lang w:val="zh-CN"/>
        </w:rPr>
        <w:t>20</w:t>
      </w:r>
      <w:r>
        <w:rPr>
          <w:rFonts w:hint="eastAsia" w:ascii="黑体" w:hAnsi="黑体" w:eastAsia="黑体" w:cs="华文中宋"/>
          <w:b/>
          <w:bCs/>
          <w:sz w:val="40"/>
          <w:szCs w:val="40"/>
          <w:lang w:val="en-US" w:eastAsia="zh-CN"/>
        </w:rPr>
        <w:t>22</w:t>
      </w:r>
      <w:r>
        <w:rPr>
          <w:rFonts w:hint="eastAsia" w:ascii="黑体" w:hAnsi="黑体" w:eastAsia="黑体" w:cs="华文中宋"/>
          <w:b/>
          <w:bCs/>
          <w:sz w:val="40"/>
          <w:szCs w:val="40"/>
          <w:lang w:val="zh-CN"/>
        </w:rPr>
        <w:t>年项目支出绩效自评报告</w:t>
      </w:r>
    </w:p>
    <w:p>
      <w:pPr>
        <w:adjustRightInd w:val="0"/>
        <w:snapToGrid w:val="0"/>
        <w:spacing w:line="580" w:lineRule="exact"/>
        <w:jc w:val="center"/>
        <w:rPr>
          <w:rFonts w:hint="eastAsia" w:ascii="楷体_GB2312" w:hAnsi="黑体" w:eastAsia="楷体_GB2312" w:cs="华文楷体"/>
          <w:bCs/>
          <w:sz w:val="32"/>
          <w:szCs w:val="32"/>
          <w:lang w:val="zh-CN"/>
        </w:rPr>
      </w:pPr>
      <w:r>
        <w:rPr>
          <w:rFonts w:hint="eastAsia" w:ascii="楷体_GB2312" w:hAnsi="黑体" w:eastAsia="楷体_GB2312" w:cs="华文楷体"/>
          <w:bCs/>
          <w:sz w:val="32"/>
          <w:szCs w:val="32"/>
          <w:lang w:val="zh-CN"/>
        </w:rPr>
        <w:t>（网格化工作项目）</w:t>
      </w:r>
    </w:p>
    <w:p>
      <w:pPr>
        <w:pageBreakBefore w:val="0"/>
        <w:kinsoku/>
        <w:wordWrap/>
        <w:overflowPunct/>
        <w:topLinePunct w:val="0"/>
        <w:bidi w:val="0"/>
        <w:adjustRightInd w:val="0"/>
        <w:snapToGrid w:val="0"/>
        <w:spacing w:line="556" w:lineRule="exact"/>
        <w:ind w:left="0" w:firstLine="720"/>
        <w:textAlignment w:val="auto"/>
        <w:rPr>
          <w:rFonts w:hint="eastAsia" w:ascii="仿宋_GB2312" w:hAnsi="宋体"/>
          <w:lang w:val="zh-CN"/>
        </w:rPr>
      </w:pPr>
    </w:p>
    <w:p>
      <w:pPr>
        <w:pageBreakBefore w:val="0"/>
        <w:kinsoku/>
        <w:wordWrap/>
        <w:overflowPunct/>
        <w:topLinePunct w:val="0"/>
        <w:bidi w:val="0"/>
        <w:adjustRightInd w:val="0"/>
        <w:snapToGrid w:val="0"/>
        <w:spacing w:line="556" w:lineRule="exact"/>
        <w:ind w:left="0" w:firstLine="72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一、项目概况</w:t>
      </w:r>
    </w:p>
    <w:p>
      <w:pPr>
        <w:pageBreakBefore w:val="0"/>
        <w:kinsoku/>
        <w:wordWrap/>
        <w:overflowPunct/>
        <w:topLinePunct w:val="0"/>
        <w:bidi w:val="0"/>
        <w:spacing w:line="556" w:lineRule="exact"/>
        <w:ind w:left="0" w:leftChars="0" w:right="0" w:firstLine="640" w:firstLineChars="200"/>
        <w:outlineLvl w:val="2"/>
        <w:rPr>
          <w:rFonts w:ascii="仿宋" w:hAnsi="仿宋" w:eastAsia="仿宋" w:cs="仿宋"/>
          <w:sz w:val="32"/>
          <w:szCs w:val="32"/>
          <w:lang w:val="zh-CN"/>
        </w:rPr>
      </w:pPr>
      <w:r>
        <w:rPr>
          <w:rFonts w:hint="eastAsia" w:ascii="楷体" w:hAnsi="楷体" w:eastAsia="楷体" w:cs="楷体"/>
          <w:b w:val="0"/>
          <w:bCs/>
          <w:color w:val="000000"/>
          <w:sz w:val="32"/>
          <w:szCs w:val="32"/>
          <w:lang w:val="zh-CN"/>
        </w:rPr>
        <w:t>（一）项目规划背景。</w:t>
      </w:r>
      <w:r>
        <w:rPr>
          <w:rFonts w:hint="eastAsia" w:ascii="仿宋" w:hAnsi="仿宋" w:eastAsia="仿宋" w:cs="仿宋"/>
          <w:sz w:val="32"/>
          <w:szCs w:val="32"/>
          <w:lang w:val="zh-CN"/>
        </w:rPr>
        <w:t>实施网格化项目的背景。网格化服务管理工作是按照2014年省委办公厅、省政府办公厅《关于创新社会治理方式推进网格化服务管理工作的意见》（川委办〔2014〕43号）、2014年县委办室、县政府办公室《关于全面推行村社区网格化服务管理的实施意见》（剑委办〔2014〕37号）等文件精神，坚持源头治理，以网格化管理、社会化服务为方向，建立健全党政主导的县、乡镇、村社区、网格四级服务管理体系，及时反映和协调人民群众各方面各层次利益诉求，解决服务群众“最后一公里”问题，实现基层社会治理效能不断提高，基层基础进一步夯实，群众安全感和满意度切实增强。</w:t>
      </w:r>
    </w:p>
    <w:p>
      <w:pPr>
        <w:pageBreakBefore w:val="0"/>
        <w:kinsoku/>
        <w:wordWrap/>
        <w:overflowPunct/>
        <w:topLinePunct w:val="0"/>
        <w:bidi w:val="0"/>
        <w:spacing w:line="556" w:lineRule="exact"/>
        <w:ind w:left="0" w:firstLine="640" w:firstLineChars="200"/>
        <w:textAlignment w:val="auto"/>
        <w:rPr>
          <w:rFonts w:hint="eastAsia" w:ascii="仿宋" w:hAnsi="仿宋" w:eastAsia="仿宋" w:cs="仿宋"/>
          <w:sz w:val="32"/>
          <w:szCs w:val="32"/>
          <w:lang w:val="zh-CN"/>
        </w:rPr>
      </w:pPr>
      <w:r>
        <w:rPr>
          <w:rFonts w:hint="eastAsia" w:ascii="楷体" w:hAnsi="楷体" w:eastAsia="楷体" w:cs="楷体"/>
          <w:b w:val="0"/>
          <w:bCs/>
          <w:color w:val="000000"/>
          <w:sz w:val="32"/>
          <w:szCs w:val="32"/>
          <w:lang w:val="zh-CN"/>
        </w:rPr>
        <w:t>（二）项目资金申报及批复情况。</w:t>
      </w:r>
      <w:r>
        <w:rPr>
          <w:rFonts w:hint="eastAsia" w:ascii="仿宋" w:hAnsi="仿宋" w:eastAsia="仿宋" w:cs="仿宋"/>
          <w:sz w:val="32"/>
          <w:szCs w:val="32"/>
          <w:lang w:val="zh-CN"/>
        </w:rPr>
        <w:t>网格化项目资金申报及批复情况。申报网格化项目经费</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万元，县财政实际批复当年网格化项目经费</w:t>
      </w:r>
      <w:r>
        <w:rPr>
          <w:rFonts w:hint="eastAsia" w:ascii="仿宋" w:hAnsi="仿宋" w:eastAsia="仿宋" w:cs="仿宋"/>
          <w:sz w:val="32"/>
          <w:szCs w:val="32"/>
          <w:lang w:val="en-US" w:eastAsia="zh-CN"/>
        </w:rPr>
        <w:t>70</w:t>
      </w:r>
      <w:r>
        <w:rPr>
          <w:rFonts w:hint="eastAsia" w:ascii="仿宋" w:hAnsi="仿宋" w:eastAsia="仿宋" w:cs="仿宋"/>
          <w:sz w:val="32"/>
          <w:szCs w:val="32"/>
          <w:lang w:val="zh-CN"/>
        </w:rPr>
        <w:t>万元。</w:t>
      </w:r>
    </w:p>
    <w:p>
      <w:pPr>
        <w:pageBreakBefore w:val="0"/>
        <w:kinsoku/>
        <w:wordWrap/>
        <w:overflowPunct/>
        <w:topLinePunct w:val="0"/>
        <w:bidi w:val="0"/>
        <w:adjustRightInd w:val="0"/>
        <w:snapToGrid w:val="0"/>
        <w:spacing w:line="556" w:lineRule="exact"/>
        <w:ind w:left="0" w:firstLine="720"/>
        <w:textAlignment w:val="auto"/>
        <w:rPr>
          <w:rFonts w:hint="eastAsia" w:ascii="仿宋" w:hAnsi="仿宋" w:eastAsia="仿宋" w:cs="仿宋"/>
          <w:sz w:val="32"/>
          <w:szCs w:val="32"/>
          <w:lang w:val="zh-CN"/>
        </w:rPr>
      </w:pPr>
      <w:r>
        <w:rPr>
          <w:rFonts w:hint="eastAsia" w:ascii="楷体" w:hAnsi="楷体" w:eastAsia="楷体" w:cs="楷体"/>
          <w:b w:val="0"/>
          <w:bCs/>
          <w:color w:val="000000"/>
          <w:sz w:val="32"/>
          <w:szCs w:val="32"/>
          <w:lang w:val="zh-CN"/>
        </w:rPr>
        <w:t>（三）项目绩效目标。</w:t>
      </w:r>
      <w:r>
        <w:rPr>
          <w:rFonts w:hint="eastAsia" w:ascii="仿宋_GB2312" w:hAnsi="仿宋_GB2312" w:eastAsia="仿宋_GB2312" w:cs="仿宋_GB2312"/>
          <w:sz w:val="32"/>
          <w:szCs w:val="32"/>
          <w:lang w:eastAsia="zh-CN"/>
        </w:rPr>
        <w:t>网格化服务管理</w:t>
      </w:r>
      <w:r>
        <w:rPr>
          <w:rFonts w:hint="eastAsia" w:ascii="仿宋_GB2312" w:hAnsi="仿宋_GB2312" w:eastAsia="仿宋_GB2312" w:cs="仿宋_GB2312"/>
          <w:sz w:val="32"/>
          <w:szCs w:val="32"/>
        </w:rPr>
        <w:t>是创新社会治理</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的重要举措，</w:t>
      </w:r>
      <w:r>
        <w:rPr>
          <w:rFonts w:hint="eastAsia" w:ascii="仿宋_GB2312" w:hAnsi="仿宋_GB2312" w:eastAsia="仿宋_GB2312" w:cs="仿宋_GB2312"/>
          <w:sz w:val="32"/>
          <w:szCs w:val="32"/>
          <w:lang w:val="en-US" w:eastAsia="zh-CN"/>
        </w:rPr>
        <w:t>2014年以来，根据</w:t>
      </w:r>
      <w:r>
        <w:rPr>
          <w:rFonts w:hint="eastAsia" w:ascii="仿宋_GB2312" w:hAnsi="仿宋_GB2312" w:eastAsia="仿宋_GB2312" w:cs="仿宋_GB2312"/>
          <w:sz w:val="32"/>
          <w:szCs w:val="32"/>
          <w:lang w:eastAsia="zh-CN"/>
        </w:rPr>
        <w:t>中央和省、市的统一安排部署，我县</w:t>
      </w:r>
      <w:r>
        <w:rPr>
          <w:rFonts w:hint="eastAsia" w:ascii="仿宋_GB2312" w:hAnsi="仿宋_GB2312" w:eastAsia="仿宋_GB2312" w:cs="仿宋_GB2312"/>
          <w:sz w:val="32"/>
          <w:szCs w:val="32"/>
        </w:rPr>
        <w:t>按照“重点实施、梯次推进、注重实效”的工作思路</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一村一格</w:t>
      </w:r>
      <w:r>
        <w:rPr>
          <w:rFonts w:hint="eastAsia" w:ascii="仿宋_GB2312" w:hAnsi="仿宋_GB2312" w:eastAsia="仿宋_GB2312" w:cs="仿宋_GB2312"/>
          <w:sz w:val="32"/>
          <w:szCs w:val="32"/>
          <w:lang w:eastAsia="zh-CN"/>
        </w:rPr>
        <w:t>”的划分模式，稳步</w:t>
      </w:r>
      <w:r>
        <w:rPr>
          <w:rFonts w:hint="eastAsia" w:ascii="仿宋_GB2312" w:hAnsi="仿宋_GB2312" w:eastAsia="仿宋_GB2312" w:cs="仿宋_GB2312"/>
          <w:sz w:val="32"/>
          <w:szCs w:val="32"/>
        </w:rPr>
        <w:t>推进网格化服务管理工作</w:t>
      </w: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2022年12月31日，全县共划分并开通441个网格（撤乡并镇前</w:t>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聘请</w:t>
      </w:r>
      <w:r>
        <w:rPr>
          <w:rFonts w:hint="eastAsia" w:ascii="仿宋_GB2312" w:hAnsi="仿宋_GB2312" w:eastAsia="仿宋_GB2312" w:cs="仿宋_GB2312"/>
          <w:sz w:val="32"/>
          <w:szCs w:val="32"/>
          <w:lang w:val="en-US" w:eastAsia="zh-CN"/>
        </w:rPr>
        <w:t>441</w:t>
      </w:r>
      <w:r>
        <w:rPr>
          <w:rFonts w:hint="eastAsia" w:ascii="仿宋_GB2312" w:hAnsi="仿宋_GB2312" w:eastAsia="仿宋_GB2312" w:cs="仿宋_GB2312"/>
          <w:sz w:val="32"/>
          <w:szCs w:val="32"/>
        </w:rPr>
        <w:t>名兼职网格员</w:t>
      </w:r>
      <w:r>
        <w:rPr>
          <w:rFonts w:hint="eastAsia" w:ascii="仿宋_GB2312" w:hAnsi="仿宋_GB2312" w:eastAsia="仿宋_GB2312" w:cs="仿宋_GB2312"/>
          <w:sz w:val="32"/>
          <w:szCs w:val="32"/>
          <w:lang w:val="en-US" w:eastAsia="zh-CN"/>
        </w:rPr>
        <w:t>（撤乡并镇前</w:t>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配置手持终端机</w:t>
      </w:r>
      <w:r>
        <w:rPr>
          <w:rFonts w:hint="eastAsia" w:ascii="仿宋_GB2312" w:hAnsi="仿宋_GB2312" w:eastAsia="仿宋_GB2312" w:cs="仿宋_GB2312"/>
          <w:sz w:val="32"/>
          <w:szCs w:val="32"/>
          <w:lang w:val="en-US" w:eastAsia="zh-CN"/>
        </w:rPr>
        <w:t>441部</w:t>
      </w:r>
      <w:r>
        <w:rPr>
          <w:rFonts w:hint="eastAsia" w:ascii="仿宋_GB2312" w:hAnsi="仿宋_GB2312" w:eastAsia="仿宋_GB2312" w:cs="仿宋_GB2312"/>
          <w:sz w:val="32"/>
          <w:szCs w:val="32"/>
          <w:lang w:eastAsia="zh-CN"/>
        </w:rPr>
        <w:t>。同时，现有</w:t>
      </w:r>
      <w:r>
        <w:rPr>
          <w:rFonts w:hint="eastAsia" w:ascii="仿宋_GB2312" w:hAnsi="仿宋_GB2312" w:eastAsia="仿宋_GB2312" w:cs="仿宋_GB2312"/>
          <w:sz w:val="32"/>
          <w:szCs w:val="32"/>
          <w:lang w:val="en-US" w:eastAsia="zh-CN"/>
        </w:rPr>
        <w:t>29个</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val="en-US" w:eastAsia="zh-CN"/>
        </w:rPr>
        <w:t>26个</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62个</w:t>
      </w:r>
      <w:r>
        <w:rPr>
          <w:rFonts w:hint="eastAsia" w:ascii="仿宋_GB2312" w:hAnsi="仿宋_GB2312" w:eastAsia="仿宋_GB2312" w:cs="仿宋_GB2312"/>
          <w:sz w:val="32"/>
          <w:szCs w:val="32"/>
        </w:rPr>
        <w:t>“两所一院”</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117个</w:t>
      </w:r>
      <w:r>
        <w:rPr>
          <w:rFonts w:hint="eastAsia" w:ascii="仿宋_GB2312" w:hAnsi="仿宋_GB2312" w:eastAsia="仿宋_GB2312" w:cs="仿宋_GB2312"/>
          <w:sz w:val="32"/>
          <w:szCs w:val="32"/>
          <w:lang w:eastAsia="zh-CN"/>
        </w:rPr>
        <w:t>电脑终端账</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（撤乡并镇前</w:t>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账号），建设</w:t>
      </w:r>
      <w:r>
        <w:rPr>
          <w:rFonts w:hint="eastAsia" w:ascii="仿宋_GB2312" w:hAnsi="仿宋_GB2312" w:eastAsia="仿宋_GB2312" w:cs="仿宋_GB2312"/>
          <w:sz w:val="32"/>
          <w:szCs w:val="32"/>
        </w:rPr>
        <w:t>电子政务外网专线</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（撤乡并镇前</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rPr>
        <w:t>，网格化服务管理工作四级体系运行</w:t>
      </w:r>
      <w:r>
        <w:rPr>
          <w:rFonts w:hint="eastAsia" w:ascii="仿宋_GB2312" w:hAnsi="仿宋_GB2312" w:eastAsia="仿宋_GB2312" w:cs="仿宋_GB2312"/>
          <w:sz w:val="32"/>
          <w:szCs w:val="32"/>
          <w:lang w:eastAsia="zh-CN"/>
        </w:rPr>
        <w:t>良好</w:t>
      </w:r>
      <w:r>
        <w:rPr>
          <w:rFonts w:hint="eastAsia" w:ascii="仿宋" w:hAnsi="仿宋" w:eastAsia="仿宋" w:cs="仿宋"/>
          <w:sz w:val="32"/>
          <w:szCs w:val="32"/>
          <w:lang w:val="zh-CN"/>
        </w:rPr>
        <w:t>。网格员经常开展安全、治安隐患排查，及时消除隐患，及时发现并消除社会治安和公共安全隐患，并通过手机终端报送社会治安突出问题，县综治中心及时推送相关部门，限期处置，提升人民群众安全感，2019年至</w:t>
      </w:r>
      <w:r>
        <w:rPr>
          <w:rFonts w:hint="eastAsia" w:ascii="仿宋" w:hAnsi="仿宋" w:eastAsia="仿宋" w:cs="仿宋"/>
          <w:sz w:val="32"/>
          <w:szCs w:val="32"/>
          <w:lang w:val="en-US" w:eastAsia="zh-CN"/>
        </w:rPr>
        <w:t>2022年</w:t>
      </w:r>
      <w:r>
        <w:rPr>
          <w:rFonts w:hint="eastAsia" w:ascii="仿宋" w:hAnsi="仿宋" w:eastAsia="仿宋" w:cs="仿宋"/>
          <w:sz w:val="32"/>
          <w:szCs w:val="32"/>
          <w:lang w:val="zh-CN"/>
        </w:rPr>
        <w:t>社会治安满意度排名均整体上升。</w:t>
      </w:r>
    </w:p>
    <w:p>
      <w:pPr>
        <w:pageBreakBefore w:val="0"/>
        <w:kinsoku/>
        <w:wordWrap/>
        <w:overflowPunct/>
        <w:topLinePunct w:val="0"/>
        <w:bidi w:val="0"/>
        <w:adjustRightInd w:val="0"/>
        <w:snapToGrid w:val="0"/>
        <w:spacing w:line="556" w:lineRule="exact"/>
        <w:ind w:left="0" w:firstLine="720"/>
        <w:textAlignment w:val="auto"/>
        <w:rPr>
          <w:rFonts w:hint="eastAsia" w:ascii="仿宋" w:hAnsi="仿宋" w:eastAsia="仿宋" w:cs="仿宋"/>
          <w:sz w:val="32"/>
          <w:szCs w:val="32"/>
          <w:lang w:val="zh-CN"/>
        </w:rPr>
      </w:pPr>
      <w:r>
        <w:rPr>
          <w:rFonts w:hint="eastAsia" w:ascii="楷体" w:hAnsi="楷体" w:eastAsia="楷体" w:cs="楷体"/>
          <w:b w:val="0"/>
          <w:bCs/>
          <w:color w:val="000000"/>
          <w:sz w:val="32"/>
          <w:szCs w:val="32"/>
          <w:lang w:val="zh-CN"/>
        </w:rPr>
        <w:t>（四）项目资金申报相符性。</w:t>
      </w:r>
      <w:r>
        <w:rPr>
          <w:rFonts w:hint="eastAsia" w:ascii="仿宋" w:hAnsi="仿宋" w:eastAsia="仿宋" w:cs="仿宋"/>
          <w:sz w:val="32"/>
          <w:szCs w:val="32"/>
          <w:lang w:val="zh-CN"/>
        </w:rPr>
        <w:t>网格化项目申报内容与20</w:t>
      </w:r>
      <w:r>
        <w:rPr>
          <w:rFonts w:hint="eastAsia" w:ascii="仿宋" w:hAnsi="仿宋" w:eastAsia="仿宋" w:cs="仿宋"/>
          <w:sz w:val="32"/>
          <w:szCs w:val="32"/>
          <w:lang w:val="en-US" w:eastAsia="zh-CN"/>
        </w:rPr>
        <w:t>22</w:t>
      </w:r>
      <w:r>
        <w:rPr>
          <w:rFonts w:hint="eastAsia" w:ascii="仿宋" w:hAnsi="仿宋" w:eastAsia="仿宋" w:cs="仿宋"/>
          <w:sz w:val="32"/>
          <w:szCs w:val="32"/>
          <w:lang w:val="zh-CN"/>
        </w:rPr>
        <w:t>年度内实施的具体实施内容相符，申报目标合理可行。</w:t>
      </w:r>
    </w:p>
    <w:p>
      <w:pPr>
        <w:pageBreakBefore w:val="0"/>
        <w:kinsoku/>
        <w:wordWrap/>
        <w:overflowPunct/>
        <w:topLinePunct w:val="0"/>
        <w:bidi w:val="0"/>
        <w:adjustRightInd w:val="0"/>
        <w:snapToGrid w:val="0"/>
        <w:spacing w:line="556" w:lineRule="exact"/>
        <w:ind w:left="0" w:firstLine="72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二、项目实施及管理情况</w:t>
      </w:r>
    </w:p>
    <w:p>
      <w:pPr>
        <w:pageBreakBefore w:val="0"/>
        <w:kinsoku/>
        <w:wordWrap/>
        <w:overflowPunct/>
        <w:topLinePunct w:val="0"/>
        <w:bidi w:val="0"/>
        <w:adjustRightInd w:val="0"/>
        <w:snapToGrid w:val="0"/>
        <w:spacing w:line="556" w:lineRule="exact"/>
        <w:ind w:left="0" w:firstLine="720"/>
        <w:textAlignment w:val="auto"/>
        <w:rPr>
          <w:rFonts w:hint="eastAsia" w:ascii="楷体" w:hAnsi="楷体" w:eastAsia="楷体" w:cs="楷体"/>
          <w:b w:val="0"/>
          <w:bCs/>
          <w:color w:val="000000"/>
          <w:sz w:val="32"/>
          <w:szCs w:val="32"/>
          <w:lang w:val="zh-CN"/>
        </w:rPr>
      </w:pPr>
      <w:r>
        <w:rPr>
          <w:rFonts w:hint="eastAsia" w:ascii="楷体" w:hAnsi="楷体" w:eastAsia="楷体" w:cs="楷体"/>
          <w:b w:val="0"/>
          <w:bCs/>
          <w:color w:val="000000"/>
          <w:sz w:val="32"/>
          <w:szCs w:val="32"/>
          <w:lang w:val="zh-CN"/>
        </w:rPr>
        <w:t>（一）资金计划、到位及使用情况。</w:t>
      </w:r>
    </w:p>
    <w:p>
      <w:pPr>
        <w:pageBreakBefore w:val="0"/>
        <w:kinsoku/>
        <w:wordWrap/>
        <w:overflowPunct/>
        <w:topLinePunct w:val="0"/>
        <w:bidi w:val="0"/>
        <w:adjustRightInd w:val="0"/>
        <w:snapToGrid w:val="0"/>
        <w:spacing w:line="556" w:lineRule="exact"/>
        <w:ind w:left="0"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1．资金计划及到位。20</w:t>
      </w:r>
      <w:r>
        <w:rPr>
          <w:rFonts w:hint="eastAsia" w:ascii="仿宋" w:hAnsi="仿宋" w:eastAsia="仿宋" w:cs="仿宋"/>
          <w:sz w:val="32"/>
          <w:szCs w:val="32"/>
          <w:lang w:val="en-US" w:eastAsia="zh-CN"/>
        </w:rPr>
        <w:t>22</w:t>
      </w:r>
      <w:r>
        <w:rPr>
          <w:rFonts w:hint="eastAsia" w:ascii="仿宋" w:hAnsi="仿宋" w:eastAsia="仿宋" w:cs="仿宋"/>
          <w:sz w:val="32"/>
          <w:szCs w:val="32"/>
          <w:lang w:val="zh-CN"/>
        </w:rPr>
        <w:t>年，县财政安排网格化项目当年预算</w:t>
      </w:r>
      <w:r>
        <w:rPr>
          <w:rFonts w:hint="eastAsia" w:ascii="仿宋" w:hAnsi="仿宋" w:eastAsia="仿宋" w:cs="仿宋"/>
          <w:sz w:val="32"/>
          <w:szCs w:val="32"/>
          <w:lang w:val="en-US" w:eastAsia="zh-CN"/>
        </w:rPr>
        <w:t>70</w:t>
      </w:r>
      <w:r>
        <w:rPr>
          <w:rFonts w:hint="eastAsia" w:ascii="仿宋" w:hAnsi="仿宋" w:eastAsia="仿宋" w:cs="仿宋"/>
          <w:sz w:val="32"/>
          <w:szCs w:val="32"/>
          <w:lang w:val="zh-CN"/>
        </w:rPr>
        <w:t>万元，拨付</w:t>
      </w:r>
      <w:r>
        <w:rPr>
          <w:rFonts w:hint="eastAsia" w:ascii="仿宋" w:hAnsi="仿宋" w:eastAsia="仿宋" w:cs="仿宋"/>
          <w:sz w:val="32"/>
          <w:szCs w:val="32"/>
          <w:lang w:val="en-US" w:eastAsia="zh-CN"/>
        </w:rPr>
        <w:t>70万元</w:t>
      </w:r>
      <w:r>
        <w:rPr>
          <w:rFonts w:hint="eastAsia" w:ascii="仿宋" w:hAnsi="仿宋" w:eastAsia="仿宋" w:cs="仿宋"/>
          <w:sz w:val="32"/>
          <w:szCs w:val="32"/>
          <w:lang w:val="zh-CN"/>
        </w:rPr>
        <w:t>。县委政法委按照与电信公司签订的合同，支付</w:t>
      </w:r>
      <w:r>
        <w:rPr>
          <w:rFonts w:hint="eastAsia" w:ascii="仿宋" w:hAnsi="仿宋" w:eastAsia="仿宋" w:cs="仿宋"/>
          <w:sz w:val="32"/>
          <w:szCs w:val="32"/>
          <w:lang w:val="en-US" w:eastAsia="zh-CN"/>
        </w:rPr>
        <w:t>70万元</w:t>
      </w:r>
      <w:r>
        <w:rPr>
          <w:rFonts w:hint="eastAsia" w:ascii="仿宋" w:hAnsi="仿宋" w:eastAsia="仿宋" w:cs="仿宋"/>
          <w:sz w:val="32"/>
          <w:szCs w:val="32"/>
          <w:lang w:val="zh-CN"/>
        </w:rPr>
        <w:t>。</w:t>
      </w:r>
    </w:p>
    <w:p>
      <w:pPr>
        <w:pageBreakBefore w:val="0"/>
        <w:kinsoku/>
        <w:wordWrap/>
        <w:overflowPunct/>
        <w:topLinePunct w:val="0"/>
        <w:bidi w:val="0"/>
        <w:adjustRightInd w:val="0"/>
        <w:snapToGrid w:val="0"/>
        <w:spacing w:line="556" w:lineRule="exact"/>
        <w:ind w:left="0"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2．资金使用。县委政法委按照与电信公司签订的合同，以及对全县</w:t>
      </w:r>
      <w:r>
        <w:rPr>
          <w:rFonts w:hint="eastAsia" w:ascii="仿宋" w:hAnsi="仿宋" w:eastAsia="仿宋" w:cs="仿宋"/>
          <w:sz w:val="32"/>
          <w:szCs w:val="32"/>
          <w:lang w:val="en-US" w:eastAsia="zh-CN"/>
        </w:rPr>
        <w:t>441</w:t>
      </w:r>
      <w:r>
        <w:rPr>
          <w:rFonts w:hint="eastAsia" w:ascii="仿宋" w:hAnsi="仿宋" w:eastAsia="仿宋" w:cs="仿宋"/>
          <w:sz w:val="32"/>
          <w:szCs w:val="32"/>
          <w:lang w:val="zh-CN"/>
        </w:rPr>
        <w:t>名网格员的考核，已支付</w:t>
      </w:r>
      <w:r>
        <w:rPr>
          <w:rFonts w:hint="eastAsia" w:ascii="仿宋" w:hAnsi="仿宋" w:eastAsia="仿宋" w:cs="仿宋"/>
          <w:sz w:val="32"/>
          <w:szCs w:val="32"/>
          <w:lang w:val="en-US" w:eastAsia="zh-CN"/>
        </w:rPr>
        <w:t>70万元</w:t>
      </w:r>
      <w:r>
        <w:rPr>
          <w:rFonts w:hint="eastAsia" w:ascii="仿宋" w:hAnsi="仿宋" w:eastAsia="仿宋" w:cs="仿宋"/>
          <w:sz w:val="32"/>
          <w:szCs w:val="32"/>
          <w:lang w:val="zh-CN"/>
        </w:rPr>
        <w:t>。</w:t>
      </w:r>
    </w:p>
    <w:p>
      <w:pPr>
        <w:pageBreakBefore w:val="0"/>
        <w:kinsoku/>
        <w:wordWrap/>
        <w:overflowPunct/>
        <w:topLinePunct w:val="0"/>
        <w:bidi w:val="0"/>
        <w:adjustRightInd w:val="0"/>
        <w:snapToGrid w:val="0"/>
        <w:spacing w:line="556" w:lineRule="exact"/>
        <w:ind w:left="0" w:firstLine="720"/>
        <w:textAlignment w:val="auto"/>
        <w:rPr>
          <w:rFonts w:hint="eastAsia" w:ascii="仿宋" w:hAnsi="仿宋" w:eastAsia="仿宋" w:cs="仿宋"/>
          <w:sz w:val="32"/>
          <w:szCs w:val="32"/>
          <w:lang w:val="zh-CN"/>
        </w:rPr>
      </w:pPr>
      <w:r>
        <w:rPr>
          <w:rFonts w:hint="eastAsia" w:ascii="楷体" w:hAnsi="楷体" w:eastAsia="楷体" w:cs="楷体"/>
          <w:b w:val="0"/>
          <w:bCs/>
          <w:color w:val="000000"/>
          <w:sz w:val="32"/>
          <w:szCs w:val="32"/>
          <w:lang w:val="zh-CN"/>
        </w:rPr>
        <w:t>（二）项目财务管理情况。</w:t>
      </w:r>
      <w:r>
        <w:rPr>
          <w:rFonts w:hint="eastAsia" w:ascii="仿宋" w:hAnsi="仿宋" w:eastAsia="仿宋" w:cs="仿宋"/>
          <w:sz w:val="32"/>
          <w:szCs w:val="32"/>
          <w:lang w:val="zh-CN"/>
        </w:rPr>
        <w:t>我委严格按照有关财政资金管理要求，严格执行会计制度和财务制度，依法管理项目资金，结合我委的工作实际，对项目开支进行规范化、工作制度化，对经费使用范围的各类支出，按照项目经费使用审批的程序办理，财务人员做到依法理财，保障账目真实、完整、规范，项目总体执行情况较好，预期的绩效目标基本实现。</w:t>
      </w:r>
    </w:p>
    <w:p>
      <w:pPr>
        <w:pageBreakBefore w:val="0"/>
        <w:kinsoku/>
        <w:wordWrap/>
        <w:overflowPunct/>
        <w:topLinePunct w:val="0"/>
        <w:bidi w:val="0"/>
        <w:spacing w:line="556" w:lineRule="exact"/>
        <w:ind w:left="0" w:leftChars="0" w:right="0" w:firstLine="640" w:firstLineChars="200"/>
        <w:outlineLvl w:val="2"/>
        <w:rPr>
          <w:rFonts w:ascii="仿宋" w:hAnsi="仿宋" w:eastAsia="仿宋" w:cs="仿宋"/>
          <w:sz w:val="32"/>
          <w:szCs w:val="32"/>
          <w:lang w:val="zh-CN"/>
        </w:rPr>
      </w:pPr>
      <w:r>
        <w:rPr>
          <w:rFonts w:hint="eastAsia" w:ascii="楷体" w:hAnsi="楷体" w:eastAsia="楷体" w:cs="楷体"/>
          <w:b w:val="0"/>
          <w:bCs/>
          <w:color w:val="000000"/>
          <w:sz w:val="32"/>
          <w:szCs w:val="32"/>
          <w:lang w:val="zh-CN"/>
        </w:rPr>
        <w:t>（三）项目组织实施情况。</w:t>
      </w:r>
      <w:r>
        <w:rPr>
          <w:rFonts w:hint="eastAsia" w:ascii="仿宋" w:hAnsi="仿宋" w:eastAsia="仿宋" w:cs="仿宋"/>
          <w:sz w:val="32"/>
          <w:szCs w:val="32"/>
          <w:lang w:val="zh-CN"/>
        </w:rPr>
        <w:t>网格化工作组织实施情况。我县按照“重点实施、梯次推进、注重实效”的工作思路，逐年稳步推进网格化服务管理工作。按一村一格，下寺、普安8个社区多格划分的模式，将全县共划分为</w:t>
      </w:r>
      <w:r>
        <w:rPr>
          <w:rFonts w:hint="eastAsia" w:ascii="仿宋" w:hAnsi="仿宋" w:eastAsia="仿宋" w:cs="仿宋"/>
          <w:sz w:val="32"/>
          <w:szCs w:val="32"/>
          <w:lang w:val="en-US" w:eastAsia="zh-CN"/>
        </w:rPr>
        <w:t>441</w:t>
      </w:r>
      <w:r>
        <w:rPr>
          <w:rFonts w:hint="eastAsia" w:ascii="仿宋" w:hAnsi="仿宋" w:eastAsia="仿宋" w:cs="仿宋"/>
          <w:sz w:val="32"/>
          <w:szCs w:val="32"/>
          <w:lang w:val="zh-CN"/>
        </w:rPr>
        <w:t>个网格，全县</w:t>
      </w:r>
      <w:r>
        <w:rPr>
          <w:rFonts w:hint="eastAsia" w:ascii="仿宋" w:hAnsi="仿宋" w:eastAsia="仿宋" w:cs="仿宋"/>
          <w:sz w:val="32"/>
          <w:szCs w:val="32"/>
          <w:lang w:val="en-US" w:eastAsia="zh-CN"/>
        </w:rPr>
        <w:t>441</w:t>
      </w:r>
      <w:r>
        <w:rPr>
          <w:rFonts w:hint="eastAsia" w:ascii="仿宋" w:hAnsi="仿宋" w:eastAsia="仿宋" w:cs="仿宋"/>
          <w:sz w:val="32"/>
          <w:szCs w:val="32"/>
          <w:lang w:val="zh-CN"/>
        </w:rPr>
        <w:t>个网格已全部开通，聘请了</w:t>
      </w:r>
      <w:r>
        <w:rPr>
          <w:rFonts w:hint="eastAsia" w:ascii="仿宋" w:hAnsi="仿宋" w:eastAsia="仿宋" w:cs="仿宋"/>
          <w:sz w:val="32"/>
          <w:szCs w:val="32"/>
          <w:lang w:val="en-US" w:eastAsia="zh-CN"/>
        </w:rPr>
        <w:t>441</w:t>
      </w:r>
      <w:r>
        <w:rPr>
          <w:rFonts w:hint="eastAsia" w:ascii="仿宋" w:hAnsi="仿宋" w:eastAsia="仿宋" w:cs="仿宋"/>
          <w:sz w:val="32"/>
          <w:szCs w:val="32"/>
          <w:lang w:val="zh-CN"/>
        </w:rPr>
        <w:t>名兼职网格员并全部配置了手持终端机。开通了乡镇、部门及“两所一院”工作平台账号1</w:t>
      </w:r>
      <w:r>
        <w:rPr>
          <w:rFonts w:hint="eastAsia" w:ascii="仿宋" w:hAnsi="仿宋" w:eastAsia="仿宋" w:cs="仿宋"/>
          <w:sz w:val="32"/>
          <w:szCs w:val="32"/>
          <w:lang w:val="en-US" w:eastAsia="zh-CN"/>
        </w:rPr>
        <w:t>17</w:t>
      </w:r>
      <w:r>
        <w:rPr>
          <w:rFonts w:hint="eastAsia" w:ascii="仿宋" w:hAnsi="仿宋" w:eastAsia="仿宋" w:cs="仿宋"/>
          <w:sz w:val="32"/>
          <w:szCs w:val="32"/>
          <w:lang w:val="zh-CN"/>
        </w:rPr>
        <w:t>个、电子政务外网专线8条，网格化服务管理工作四级体系运行正常。</w:t>
      </w:r>
    </w:p>
    <w:p>
      <w:pPr>
        <w:pageBreakBefore w:val="0"/>
        <w:kinsoku/>
        <w:wordWrap/>
        <w:overflowPunct/>
        <w:topLinePunct w:val="0"/>
        <w:bidi w:val="0"/>
        <w:adjustRightInd w:val="0"/>
        <w:snapToGrid w:val="0"/>
        <w:spacing w:line="556" w:lineRule="exact"/>
        <w:ind w:left="0" w:firstLine="72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三、项目绩效情况</w:t>
      </w:r>
      <w:r>
        <w:rPr>
          <w:rFonts w:hint="eastAsia" w:ascii="黑体" w:hAnsi="黑体" w:eastAsia="黑体" w:cs="黑体"/>
          <w:b w:val="0"/>
          <w:bCs w:val="0"/>
          <w:sz w:val="32"/>
          <w:szCs w:val="32"/>
          <w:lang w:val="zh-CN"/>
        </w:rPr>
        <w:tab/>
      </w:r>
    </w:p>
    <w:p>
      <w:pPr>
        <w:pageBreakBefore w:val="0"/>
        <w:kinsoku/>
        <w:wordWrap/>
        <w:overflowPunct/>
        <w:topLinePunct w:val="0"/>
        <w:bidi w:val="0"/>
        <w:spacing w:line="556" w:lineRule="exact"/>
        <w:ind w:left="0" w:firstLine="640" w:firstLineChars="200"/>
        <w:jc w:val="left"/>
        <w:textAlignment w:val="auto"/>
        <w:rPr>
          <w:rFonts w:hint="eastAsia" w:ascii="仿宋" w:hAnsi="仿宋" w:eastAsia="仿宋" w:cs="仿宋"/>
          <w:sz w:val="32"/>
          <w:szCs w:val="32"/>
          <w:lang w:val="zh-CN"/>
        </w:rPr>
      </w:pPr>
      <w:r>
        <w:rPr>
          <w:rFonts w:hint="eastAsia" w:ascii="楷体" w:hAnsi="楷体" w:eastAsia="楷体" w:cs="楷体"/>
          <w:b w:val="0"/>
          <w:bCs/>
          <w:color w:val="000000"/>
          <w:sz w:val="32"/>
          <w:szCs w:val="32"/>
          <w:lang w:val="zh-CN"/>
        </w:rPr>
        <w:t>（一）项目完成情况。</w:t>
      </w:r>
      <w:r>
        <w:rPr>
          <w:rFonts w:hint="eastAsia" w:ascii="仿宋" w:hAnsi="仿宋" w:eastAsia="仿宋" w:cs="仿宋"/>
          <w:sz w:val="32"/>
          <w:szCs w:val="32"/>
          <w:lang w:val="zh-CN"/>
        </w:rPr>
        <w:t>加强对网格化工作的督导督查，通过召开现现场，坚持按季度进行工作通报，对工作滞后的乡镇部门分管领导进行约谈，下沉业务滞后乡镇督导培训，邀请部分乡镇到县综治中心观摩学习等措施，不断提升网格化工作质效。今年，全县网格员手机（平台）活跃度、事件报送数量、特殊人群走访等各项考核指标均有稳步提升，基本达到了90%以上，网格化服务工作的群众知晓率满意度持续提升。</w:t>
      </w:r>
    </w:p>
    <w:p>
      <w:pPr>
        <w:pageBreakBefore w:val="0"/>
        <w:kinsoku/>
        <w:wordWrap/>
        <w:overflowPunct/>
        <w:topLinePunct w:val="0"/>
        <w:bidi w:val="0"/>
        <w:spacing w:line="556" w:lineRule="exact"/>
        <w:ind w:left="0" w:firstLine="640" w:firstLineChars="200"/>
        <w:textAlignment w:val="auto"/>
        <w:rPr>
          <w:rFonts w:hint="eastAsia" w:ascii="仿宋" w:hAnsi="仿宋" w:eastAsia="仿宋" w:cs="仿宋"/>
          <w:sz w:val="32"/>
          <w:szCs w:val="32"/>
          <w:lang w:val="zh-CN"/>
        </w:rPr>
      </w:pPr>
      <w:r>
        <w:rPr>
          <w:rFonts w:hint="eastAsia" w:ascii="楷体" w:hAnsi="楷体" w:eastAsia="楷体" w:cs="楷体"/>
          <w:b w:val="0"/>
          <w:bCs/>
          <w:color w:val="000000"/>
          <w:sz w:val="32"/>
          <w:szCs w:val="32"/>
          <w:lang w:val="zh-CN"/>
        </w:rPr>
        <w:t>（二）项目效益情况。</w:t>
      </w:r>
      <w:r>
        <w:rPr>
          <w:rFonts w:hint="eastAsia" w:ascii="仿宋" w:hAnsi="仿宋" w:eastAsia="仿宋" w:cs="仿宋"/>
          <w:sz w:val="32"/>
          <w:szCs w:val="32"/>
          <w:lang w:val="zh-CN"/>
        </w:rPr>
        <w:t>加强对网格化工作的指导检查和培训，不断提升网格化工作质效，持续提升网格化服务工作的群众知晓率。全县网格员共推送各类事件20045条，走访服务特殊人群34803次，开展流动人口核查服务576次，发现报告各类治安消防隐患810件，报告乡镇、县级职能部门及时处置各类事件71件，有效预防和减少了大量不安全不稳定案(事)件发生，人民群众安全感、满意度持续提升。</w:t>
      </w:r>
    </w:p>
    <w:p>
      <w:pPr>
        <w:pageBreakBefore w:val="0"/>
        <w:kinsoku/>
        <w:wordWrap/>
        <w:overflowPunct/>
        <w:topLinePunct w:val="0"/>
        <w:bidi w:val="0"/>
        <w:adjustRightInd w:val="0"/>
        <w:snapToGrid w:val="0"/>
        <w:spacing w:line="556" w:lineRule="exact"/>
        <w:ind w:left="0" w:firstLine="72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四、问题及建议</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sz w:val="32"/>
          <w:szCs w:val="32"/>
          <w:lang w:val="zh-CN"/>
        </w:rPr>
      </w:pPr>
      <w:r>
        <w:rPr>
          <w:rFonts w:hint="eastAsia" w:ascii="楷体" w:hAnsi="楷体" w:eastAsia="楷体" w:cs="楷体"/>
          <w:b w:val="0"/>
          <w:bCs/>
          <w:color w:val="000000"/>
          <w:sz w:val="32"/>
          <w:szCs w:val="32"/>
          <w:lang w:val="zh-CN"/>
        </w:rPr>
        <w:t>（一）存在的问题。</w:t>
      </w:r>
      <w:r>
        <w:rPr>
          <w:rFonts w:hint="eastAsia" w:ascii="仿宋_GB2312" w:hAnsi="仿宋_GB2312" w:eastAsia="仿宋_GB2312" w:cs="仿宋_GB2312"/>
          <w:sz w:val="32"/>
          <w:szCs w:val="32"/>
          <w:lang w:val="en-US" w:eastAsia="zh-CN"/>
        </w:rPr>
        <w:t>目前，全市七个县区仅我县网格员无工作补助，其他六个县区网格员也是村社区干部兼任，社区网格员工作补助标准最低400元/月，村网格员工作补助标准最低200元/月。2019年以前，我县网格员工作补助按照城市社区200元/月、村100元/月的标准纳入财政预算，每年给予保障并兑现到每名网格员。2019年，因本级财政困难，取消了网格员工作补助预算，全县网格员对此反映强烈，工作主动性和积极受到影响，工作质效明显降低</w:t>
      </w:r>
      <w:r>
        <w:rPr>
          <w:rFonts w:hint="eastAsia" w:ascii="仿宋_GB2312" w:eastAsia="仿宋_GB2312"/>
          <w:sz w:val="32"/>
          <w:szCs w:val="32"/>
          <w:lang w:val="en-US" w:eastAsia="zh-CN"/>
        </w:rPr>
        <w:t>。</w:t>
      </w:r>
    </w:p>
    <w:p>
      <w:pPr>
        <w:pageBreakBefore w:val="0"/>
        <w:kinsoku/>
        <w:wordWrap/>
        <w:overflowPunct/>
        <w:topLinePunct w:val="0"/>
        <w:bidi w:val="0"/>
        <w:spacing w:line="556" w:lineRule="exact"/>
        <w:ind w:left="0" w:firstLine="640" w:firstLineChars="200"/>
        <w:textAlignment w:val="auto"/>
        <w:rPr>
          <w:lang w:val="zh-CN"/>
        </w:rPr>
      </w:pPr>
      <w:r>
        <w:rPr>
          <w:rFonts w:hint="eastAsia" w:ascii="楷体" w:hAnsi="楷体" w:eastAsia="楷体" w:cs="楷体"/>
          <w:b w:val="0"/>
          <w:bCs/>
          <w:color w:val="000000"/>
          <w:sz w:val="32"/>
          <w:szCs w:val="32"/>
          <w:lang w:val="zh-CN"/>
        </w:rPr>
        <w:t>（二）相关建议。</w:t>
      </w:r>
      <w:r>
        <w:rPr>
          <w:rFonts w:hint="eastAsia" w:ascii="仿宋_GB2312" w:hAnsi="仿宋_GB2312" w:eastAsia="仿宋_GB2312" w:cs="仿宋_GB2312"/>
          <w:sz w:val="32"/>
          <w:szCs w:val="32"/>
          <w:lang w:val="en-US" w:eastAsia="zh-CN"/>
        </w:rPr>
        <w:t>恢复网格员工作补助并纳入财政预算</w:t>
      </w:r>
      <w:r>
        <w:rPr>
          <w:rFonts w:hint="eastAsia" w:ascii="仿宋" w:hAnsi="仿宋" w:eastAsia="仿宋" w:cs="仿宋"/>
          <w:sz w:val="32"/>
          <w:szCs w:val="32"/>
          <w:lang w:val="zh-CN"/>
        </w:rPr>
        <w:t>。</w:t>
      </w:r>
    </w:p>
    <w:p>
      <w:pPr>
        <w:pStyle w:val="7"/>
        <w:pageBreakBefore w:val="0"/>
        <w:wordWrap/>
        <w:overflowPunct/>
        <w:bidi w:val="0"/>
        <w:spacing w:beforeLines="0" w:line="560" w:lineRule="exact"/>
        <w:ind w:left="0" w:leftChars="0" w:right="0" w:firstLine="600" w:firstLineChars="200"/>
        <w:rPr>
          <w:lang w:val="zh-CN"/>
        </w:rPr>
      </w:pPr>
    </w:p>
    <w:p>
      <w:pPr>
        <w:pStyle w:val="7"/>
        <w:pageBreakBefore w:val="0"/>
        <w:wordWrap/>
        <w:overflowPunct/>
        <w:bidi w:val="0"/>
        <w:spacing w:beforeLines="0" w:line="560" w:lineRule="exact"/>
        <w:ind w:left="0" w:leftChars="0" w:right="0" w:firstLine="600" w:firstLineChars="200"/>
        <w:rPr>
          <w:lang w:val="zh-CN"/>
        </w:rPr>
      </w:pPr>
    </w:p>
    <w:p>
      <w:pPr>
        <w:pStyle w:val="7"/>
        <w:pageBreakBefore w:val="0"/>
        <w:wordWrap/>
        <w:overflowPunct/>
        <w:bidi w:val="0"/>
        <w:spacing w:beforeLines="0" w:line="560" w:lineRule="exact"/>
        <w:ind w:left="0" w:leftChars="0" w:right="0" w:firstLine="600" w:firstLineChars="200"/>
        <w:rPr>
          <w:lang w:val="zh-CN"/>
        </w:rPr>
      </w:pPr>
    </w:p>
    <w:p>
      <w:pPr>
        <w:pStyle w:val="7"/>
        <w:pageBreakBefore w:val="0"/>
        <w:wordWrap/>
        <w:overflowPunct/>
        <w:bidi w:val="0"/>
        <w:spacing w:beforeLines="0" w:line="560" w:lineRule="exact"/>
        <w:ind w:left="0" w:leftChars="0" w:right="0" w:firstLine="600" w:firstLineChars="200"/>
        <w:rPr>
          <w:lang w:val="zh-CN"/>
        </w:rPr>
      </w:pPr>
    </w:p>
    <w:p>
      <w:pPr>
        <w:pStyle w:val="7"/>
        <w:pageBreakBefore w:val="0"/>
        <w:wordWrap/>
        <w:overflowPunct/>
        <w:bidi w:val="0"/>
        <w:spacing w:beforeLines="0" w:line="560" w:lineRule="exact"/>
        <w:ind w:left="0" w:leftChars="0" w:right="0" w:firstLine="600" w:firstLineChars="200"/>
        <w:rPr>
          <w:lang w:val="zh-CN"/>
        </w:rPr>
      </w:pPr>
    </w:p>
    <w:p>
      <w:pPr>
        <w:pStyle w:val="7"/>
        <w:pageBreakBefore w:val="0"/>
        <w:wordWrap/>
        <w:overflowPunct/>
        <w:bidi w:val="0"/>
        <w:spacing w:beforeLines="0" w:line="560" w:lineRule="exact"/>
        <w:ind w:left="0" w:leftChars="0" w:right="0" w:firstLine="600" w:firstLineChars="200"/>
        <w:rPr>
          <w:lang w:val="zh-CN"/>
        </w:rPr>
      </w:pPr>
    </w:p>
    <w:p>
      <w:pPr>
        <w:pStyle w:val="7"/>
        <w:pageBreakBefore w:val="0"/>
        <w:wordWrap/>
        <w:overflowPunct/>
        <w:bidi w:val="0"/>
        <w:spacing w:beforeLines="0" w:line="560" w:lineRule="exact"/>
        <w:ind w:left="0" w:leftChars="0" w:right="0" w:firstLine="600" w:firstLineChars="200"/>
        <w:rPr>
          <w:lang w:val="zh-CN"/>
        </w:rPr>
      </w:pPr>
    </w:p>
    <w:p>
      <w:pPr>
        <w:pStyle w:val="7"/>
        <w:pageBreakBefore w:val="0"/>
        <w:wordWrap/>
        <w:overflowPunct/>
        <w:bidi w:val="0"/>
        <w:spacing w:beforeLines="0" w:line="560" w:lineRule="exact"/>
        <w:ind w:left="0" w:leftChars="0" w:right="0" w:firstLine="600" w:firstLineChars="200"/>
        <w:rPr>
          <w:lang w:val="zh-CN"/>
        </w:rPr>
      </w:pPr>
    </w:p>
    <w:p>
      <w:pPr>
        <w:pStyle w:val="7"/>
        <w:pageBreakBefore w:val="0"/>
        <w:wordWrap/>
        <w:overflowPunct/>
        <w:bidi w:val="0"/>
        <w:spacing w:beforeLines="0" w:line="560" w:lineRule="exact"/>
        <w:ind w:left="0" w:leftChars="0" w:right="0" w:firstLine="600" w:firstLineChars="200"/>
        <w:rPr>
          <w:lang w:val="zh-CN"/>
        </w:rPr>
      </w:pPr>
    </w:p>
    <w:tbl>
      <w:tblPr>
        <w:tblStyle w:val="17"/>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715"/>
        <w:gridCol w:w="1403"/>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pageBreakBefore w:val="0"/>
              <w:widowControl/>
              <w:wordWrap/>
              <w:overflowPunct/>
              <w:bidi w:val="0"/>
              <w:spacing w:line="560" w:lineRule="exact"/>
              <w:ind w:right="0"/>
              <w:textAlignment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年100万元以上（含）特定目标类部门预算项目绩效目标自评</w:t>
            </w:r>
          </w:p>
        </w:tc>
        <w:tc>
          <w:tcPr>
            <w:tcW w:w="236" w:type="dxa"/>
            <w:tcBorders>
              <w:top w:val="nil"/>
              <w:left w:val="nil"/>
              <w:bottom w:val="nil"/>
              <w:right w:val="nil"/>
            </w:tcBorders>
            <w:shd w:val="clear" w:color="auto" w:fill="auto"/>
            <w:vAlign w:val="center"/>
          </w:tcPr>
          <w:p>
            <w:pPr>
              <w:pageBreakBefore w:val="0"/>
              <w:widowControl/>
              <w:wordWrap/>
              <w:overflowPunct/>
              <w:bidi w:val="0"/>
              <w:spacing w:line="560" w:lineRule="exact"/>
              <w:ind w:left="0" w:leftChars="0" w:right="0" w:firstLine="642" w:firstLineChars="200"/>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left="0" w:leftChars="0" w:right="0" w:firstLine="480" w:firstLineChars="200"/>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left="0" w:leftChars="0" w:right="0" w:firstLine="480" w:firstLineChars="200"/>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both"/>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left="0" w:leftChars="0" w:right="0" w:firstLine="480" w:firstLineChars="200"/>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both"/>
              <w:textAlignment w:val="center"/>
              <w:rPr>
                <w:rFonts w:ascii="宋体" w:hAnsi="宋体" w:cs="宋体"/>
                <w:sz w:val="24"/>
              </w:rPr>
            </w:pPr>
            <w:r>
              <w:rPr>
                <w:rFonts w:hint="eastAsia" w:ascii="宋体" w:hAnsi="宋体" w:cs="宋体"/>
                <w:kern w:val="0"/>
                <w:sz w:val="24"/>
              </w:rPr>
              <w:t>项目预算执行情况（万元）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left="0" w:leftChars="0" w:right="0" w:firstLine="480" w:firstLineChars="200"/>
              <w:jc w:val="left"/>
              <w:textAlignment w:val="center"/>
              <w:rPr>
                <w:rFonts w:ascii="宋体" w:hAnsi="宋体" w:cs="宋体"/>
                <w:sz w:val="24"/>
              </w:rPr>
            </w:pPr>
            <w:r>
              <w:rPr>
                <w:rFonts w:hint="eastAsia" w:ascii="宋体" w:hAnsi="宋体" w:cs="宋体"/>
                <w:kern w:val="0"/>
                <w:sz w:val="24"/>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left="0" w:leftChars="0" w:right="0" w:firstLine="480" w:firstLineChars="200"/>
              <w:jc w:val="left"/>
              <w:textAlignment w:val="center"/>
              <w:rPr>
                <w:rFonts w:hint="eastAsia" w:ascii="宋体" w:hAnsi="宋体" w:eastAsia="宋体" w:cs="宋体"/>
                <w:sz w:val="24"/>
                <w:lang w:eastAsia="zh-CN"/>
              </w:rPr>
            </w:pPr>
            <w:r>
              <w:rPr>
                <w:rFonts w:hint="eastAsia" w:ascii="宋体" w:hAnsi="宋体" w:cs="宋体"/>
                <w:sz w:val="24"/>
                <w:lang w:eastAsia="zh-CN"/>
              </w:rPr>
              <w:t>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left"/>
              <w:textAlignment w:val="center"/>
              <w:rPr>
                <w:rFonts w:ascii="宋体" w:hAnsi="宋体" w:cs="宋体"/>
                <w:sz w:val="24"/>
              </w:rPr>
            </w:pPr>
            <w:r>
              <w:rPr>
                <w:rFonts w:hint="eastAsia" w:ascii="宋体" w:hAnsi="宋体" w:cs="宋体"/>
                <w:kern w:val="0"/>
                <w:sz w:val="24"/>
              </w:rPr>
              <w:t>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left="0" w:leftChars="0" w:right="0" w:firstLine="480" w:firstLineChars="200"/>
              <w:jc w:val="both"/>
              <w:textAlignment w:val="center"/>
              <w:rPr>
                <w:rFonts w:hint="eastAsia" w:ascii="宋体" w:hAnsi="宋体" w:eastAsia="宋体" w:cs="宋体"/>
                <w:sz w:val="24"/>
                <w:lang w:eastAsia="zh-CN"/>
              </w:rPr>
            </w:pPr>
            <w:r>
              <w:rPr>
                <w:rFonts w:hint="eastAsia" w:ascii="宋体" w:hAnsi="宋体" w:cs="宋体"/>
                <w:sz w:val="24"/>
                <w:lang w:eastAsia="zh-CN"/>
              </w:rPr>
              <w:t>无</w:t>
            </w:r>
          </w:p>
        </w:tc>
      </w:tr>
      <w:tr>
        <w:tblPrEx>
          <w:tblCellMar>
            <w:top w:w="0" w:type="dxa"/>
            <w:left w:w="108" w:type="dxa"/>
            <w:bottom w:w="0" w:type="dxa"/>
            <w:right w:w="108" w:type="dxa"/>
          </w:tblCellMar>
        </w:tblPrEx>
        <w:trPr>
          <w:gridAfter w:val="1"/>
          <w:wAfter w:w="236" w:type="dxa"/>
          <w:trHeight w:val="870"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80" w:lineRule="exact"/>
              <w:ind w:left="0" w:leftChars="0" w:right="0" w:firstLine="480" w:firstLineChars="200"/>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left"/>
              <w:textAlignment w:val="center"/>
              <w:rPr>
                <w:rFonts w:ascii="宋体" w:hAnsi="宋体" w:cs="宋体"/>
                <w:kern w:val="0"/>
                <w:sz w:val="24"/>
              </w:rPr>
            </w:pPr>
            <w:r>
              <w:rPr>
                <w:rFonts w:hint="eastAsia" w:ascii="宋体" w:hAnsi="宋体" w:cs="宋体"/>
                <w:kern w:val="0"/>
                <w:sz w:val="24"/>
              </w:rPr>
              <w:t>其中：</w:t>
            </w:r>
          </w:p>
          <w:p>
            <w:pPr>
              <w:keepNext w:val="0"/>
              <w:keepLines w:val="0"/>
              <w:pageBreakBefore w:val="0"/>
              <w:widowControl/>
              <w:kinsoku/>
              <w:wordWrap/>
              <w:overflowPunct/>
              <w:topLinePunct w:val="0"/>
              <w:autoSpaceDE/>
              <w:autoSpaceDN/>
              <w:bidi w:val="0"/>
              <w:spacing w:line="480" w:lineRule="exact"/>
              <w:ind w:right="0"/>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left="0" w:leftChars="0" w:right="0" w:firstLine="480" w:firstLineChars="200"/>
              <w:jc w:val="left"/>
              <w:textAlignment w:val="center"/>
              <w:rPr>
                <w:rFonts w:hint="eastAsia" w:ascii="宋体" w:hAnsi="宋体" w:eastAsia="宋体" w:cs="宋体"/>
                <w:sz w:val="24"/>
                <w:lang w:eastAsia="zh-CN"/>
              </w:rPr>
            </w:pPr>
            <w:r>
              <w:rPr>
                <w:rFonts w:hint="eastAsia" w:ascii="宋体" w:hAnsi="宋体" w:cs="宋体"/>
                <w:sz w:val="24"/>
                <w:lang w:eastAsia="zh-CN"/>
              </w:rPr>
              <w:t>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left"/>
              <w:textAlignment w:val="center"/>
              <w:rPr>
                <w:rFonts w:ascii="宋体" w:hAnsi="宋体" w:cs="宋体"/>
                <w:kern w:val="0"/>
                <w:sz w:val="24"/>
              </w:rPr>
            </w:pPr>
            <w:r>
              <w:rPr>
                <w:rFonts w:hint="eastAsia" w:ascii="宋体" w:hAnsi="宋体" w:cs="宋体"/>
                <w:kern w:val="0"/>
                <w:sz w:val="24"/>
              </w:rPr>
              <w:t>其中：</w:t>
            </w:r>
          </w:p>
          <w:p>
            <w:pPr>
              <w:keepNext w:val="0"/>
              <w:keepLines w:val="0"/>
              <w:pageBreakBefore w:val="0"/>
              <w:widowControl/>
              <w:kinsoku/>
              <w:wordWrap/>
              <w:overflowPunct/>
              <w:topLinePunct w:val="0"/>
              <w:autoSpaceDE/>
              <w:autoSpaceDN/>
              <w:bidi w:val="0"/>
              <w:spacing w:line="480" w:lineRule="exact"/>
              <w:ind w:right="0"/>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left="0" w:leftChars="0" w:right="0" w:firstLine="480" w:firstLineChars="200"/>
              <w:textAlignment w:val="center"/>
              <w:rPr>
                <w:rFonts w:hint="eastAsia" w:ascii="宋体" w:hAnsi="宋体" w:eastAsia="宋体" w:cs="宋体"/>
                <w:sz w:val="24"/>
                <w:lang w:eastAsia="zh-CN"/>
              </w:rPr>
            </w:pPr>
            <w:r>
              <w:rPr>
                <w:rFonts w:hint="eastAsia" w:ascii="宋体" w:hAnsi="宋体" w:cs="宋体"/>
                <w:sz w:val="24"/>
                <w:lang w:eastAsia="zh-CN"/>
              </w:rPr>
              <w:t>无</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80" w:lineRule="exact"/>
              <w:ind w:left="0" w:leftChars="0" w:right="0" w:firstLine="480" w:firstLineChars="200"/>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left="0" w:leftChars="0" w:right="0" w:firstLine="480" w:firstLineChars="200"/>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left="0" w:leftChars="0" w:right="0" w:firstLine="480" w:firstLineChars="200"/>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6" w:type="dxa"/>
          <w:trHeight w:val="217" w:hRule="atLeast"/>
        </w:trPr>
        <w:tc>
          <w:tcPr>
            <w:tcW w:w="1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both"/>
              <w:textAlignment w:val="center"/>
              <w:rPr>
                <w:rFonts w:ascii="宋体" w:hAnsi="宋体" w:cs="宋体"/>
                <w:sz w:val="24"/>
              </w:rPr>
            </w:pPr>
            <w:r>
              <w:rPr>
                <w:rFonts w:hint="eastAsia" w:ascii="宋体" w:hAnsi="宋体" w:cs="宋体"/>
                <w:kern w:val="0"/>
                <w:sz w:val="24"/>
              </w:rPr>
              <w:t>年度总体目标完成情况</w:t>
            </w:r>
          </w:p>
        </w:tc>
        <w:tc>
          <w:tcPr>
            <w:tcW w:w="4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left="0" w:leftChars="0" w:right="0" w:firstLine="480" w:firstLineChars="200"/>
              <w:jc w:val="center"/>
              <w:textAlignment w:val="center"/>
              <w:rPr>
                <w:rFonts w:ascii="宋体" w:hAnsi="宋体" w:cs="宋体"/>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left="0" w:leftChars="0" w:right="0" w:firstLine="480" w:firstLineChars="200"/>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522" w:hRule="atLeast"/>
        </w:trPr>
        <w:tc>
          <w:tcPr>
            <w:tcW w:w="1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80" w:lineRule="exact"/>
              <w:ind w:left="0" w:leftChars="0" w:right="0" w:firstLine="480" w:firstLineChars="200"/>
              <w:jc w:val="center"/>
              <w:rPr>
                <w:rFonts w:ascii="宋体" w:hAnsi="宋体" w:cs="宋体"/>
                <w:sz w:val="24"/>
              </w:rPr>
            </w:pPr>
          </w:p>
        </w:tc>
        <w:tc>
          <w:tcPr>
            <w:tcW w:w="4227"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spacing w:line="480" w:lineRule="exact"/>
              <w:ind w:left="0" w:leftChars="0" w:right="0" w:firstLine="480" w:firstLineChars="200"/>
              <w:jc w:val="left"/>
              <w:textAlignment w:val="top"/>
              <w:rPr>
                <w:rFonts w:ascii="宋体" w:hAnsi="宋体" w:cs="宋体"/>
                <w:sz w:val="24"/>
              </w:rPr>
            </w:pP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spacing w:line="480" w:lineRule="exact"/>
              <w:ind w:left="0" w:leftChars="0" w:right="0" w:firstLine="480" w:firstLineChars="200"/>
              <w:jc w:val="left"/>
              <w:textAlignment w:val="top"/>
              <w:rPr>
                <w:rFonts w:ascii="宋体" w:hAnsi="宋体" w:cs="宋体"/>
                <w:sz w:val="24"/>
              </w:rPr>
            </w:pPr>
          </w:p>
        </w:tc>
      </w:tr>
      <w:tr>
        <w:tblPrEx>
          <w:tblCellMar>
            <w:top w:w="0" w:type="dxa"/>
            <w:left w:w="108" w:type="dxa"/>
            <w:bottom w:w="0" w:type="dxa"/>
            <w:right w:w="108" w:type="dxa"/>
          </w:tblCellMar>
        </w:tblPrEx>
        <w:trPr>
          <w:gridAfter w:val="1"/>
          <w:wAfter w:w="236" w:type="dxa"/>
          <w:trHeight w:val="693" w:hRule="atLeast"/>
        </w:trPr>
        <w:tc>
          <w:tcPr>
            <w:tcW w:w="17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both"/>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both"/>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一级指标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both"/>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二级指标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both"/>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三级指标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both"/>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both"/>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415" w:hRule="atLeast"/>
        </w:trPr>
        <w:tc>
          <w:tcPr>
            <w:tcW w:w="17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80" w:lineRule="exact"/>
              <w:ind w:left="0" w:leftChars="0" w:right="0" w:firstLine="560" w:firstLineChars="200"/>
              <w:jc w:val="center"/>
              <w:rPr>
                <w:rFonts w:ascii="仿宋_GB2312" w:hAnsi="仿宋_GB2312" w:eastAsia="仿宋_GB2312" w:cs="仿宋_GB2312"/>
                <w:sz w:val="28"/>
                <w:szCs w:val="28"/>
              </w:rPr>
            </w:pP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ind w:right="0"/>
              <w:jc w:val="both"/>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right="0"/>
              <w:jc w:val="both"/>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6" w:type="dxa"/>
          <w:trHeight w:val="415" w:hRule="atLeast"/>
        </w:trPr>
        <w:tc>
          <w:tcPr>
            <w:tcW w:w="17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80" w:lineRule="exact"/>
              <w:ind w:left="0" w:leftChars="0" w:right="0" w:firstLine="560" w:firstLineChars="200"/>
              <w:jc w:val="center"/>
              <w:rPr>
                <w:rFonts w:ascii="仿宋_GB2312" w:hAnsi="仿宋_GB2312" w:eastAsia="仿宋_GB2312" w:cs="仿宋_GB2312"/>
                <w:sz w:val="28"/>
                <w:szCs w:val="28"/>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pacing w:line="480" w:lineRule="exact"/>
              <w:ind w:left="0" w:leftChars="0" w:right="0" w:firstLine="560" w:firstLineChars="20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right="0"/>
              <w:jc w:val="both"/>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6" w:type="dxa"/>
          <w:trHeight w:val="415" w:hRule="atLeast"/>
        </w:trPr>
        <w:tc>
          <w:tcPr>
            <w:tcW w:w="17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80" w:lineRule="exact"/>
              <w:ind w:left="0" w:leftChars="0" w:right="0" w:firstLine="560" w:firstLineChars="200"/>
              <w:jc w:val="center"/>
              <w:rPr>
                <w:rFonts w:ascii="仿宋_GB2312" w:hAnsi="仿宋_GB2312" w:eastAsia="仿宋_GB2312" w:cs="仿宋_GB2312"/>
                <w:sz w:val="28"/>
                <w:szCs w:val="28"/>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pacing w:line="480" w:lineRule="exact"/>
              <w:ind w:left="0" w:leftChars="0" w:right="0" w:firstLine="560" w:firstLineChars="20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right="0"/>
              <w:jc w:val="both"/>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6" w:type="dxa"/>
          <w:trHeight w:val="480" w:hRule="atLeast"/>
        </w:trPr>
        <w:tc>
          <w:tcPr>
            <w:tcW w:w="17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80" w:lineRule="exact"/>
              <w:ind w:left="0" w:leftChars="0" w:right="0" w:firstLine="560" w:firstLineChars="200"/>
              <w:jc w:val="center"/>
              <w:rPr>
                <w:rFonts w:ascii="仿宋_GB2312" w:hAnsi="仿宋_GB2312" w:eastAsia="仿宋_GB2312" w:cs="仿宋_GB2312"/>
                <w:sz w:val="28"/>
                <w:szCs w:val="28"/>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pacing w:line="480" w:lineRule="exact"/>
              <w:ind w:left="0" w:leftChars="0" w:right="0" w:firstLine="560" w:firstLineChars="20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right="0"/>
              <w:jc w:val="both"/>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6" w:type="dxa"/>
          <w:trHeight w:val="480" w:hRule="atLeast"/>
        </w:trPr>
        <w:tc>
          <w:tcPr>
            <w:tcW w:w="17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80" w:lineRule="exact"/>
              <w:ind w:left="0" w:leftChars="0" w:right="0" w:firstLine="560" w:firstLineChars="200"/>
              <w:jc w:val="center"/>
              <w:rPr>
                <w:rFonts w:ascii="仿宋_GB2312" w:hAnsi="仿宋_GB2312" w:eastAsia="仿宋_GB2312" w:cs="仿宋_GB2312"/>
                <w:sz w:val="28"/>
                <w:szCs w:val="28"/>
              </w:rPr>
            </w:pP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ind w:right="0"/>
              <w:jc w:val="both"/>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20" w:lineRule="exact"/>
              <w:ind w:right="0"/>
              <w:jc w:val="both"/>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6" w:type="dxa"/>
          <w:trHeight w:val="480" w:hRule="atLeast"/>
        </w:trPr>
        <w:tc>
          <w:tcPr>
            <w:tcW w:w="17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80" w:lineRule="exact"/>
              <w:ind w:left="0" w:leftChars="0" w:right="0" w:firstLine="560" w:firstLineChars="200"/>
              <w:jc w:val="center"/>
              <w:rPr>
                <w:rFonts w:ascii="仿宋_GB2312" w:hAnsi="仿宋_GB2312" w:eastAsia="仿宋_GB2312" w:cs="仿宋_GB2312"/>
                <w:sz w:val="28"/>
                <w:szCs w:val="28"/>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20" w:lineRule="exact"/>
              <w:ind w:left="0" w:leftChars="0" w:right="0" w:firstLine="560" w:firstLineChars="20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20" w:lineRule="exact"/>
              <w:ind w:right="0"/>
              <w:jc w:val="both"/>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6" w:type="dxa"/>
          <w:trHeight w:val="577" w:hRule="atLeast"/>
        </w:trPr>
        <w:tc>
          <w:tcPr>
            <w:tcW w:w="17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80" w:lineRule="exact"/>
              <w:ind w:left="0" w:leftChars="0" w:right="0" w:firstLine="560" w:firstLineChars="200"/>
              <w:jc w:val="center"/>
              <w:rPr>
                <w:rFonts w:ascii="仿宋_GB2312" w:hAnsi="仿宋_GB2312" w:eastAsia="仿宋_GB2312" w:cs="仿宋_GB2312"/>
                <w:sz w:val="28"/>
                <w:szCs w:val="28"/>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20" w:lineRule="exact"/>
              <w:ind w:left="0" w:leftChars="0" w:right="0" w:firstLine="560" w:firstLineChars="20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20" w:lineRule="exact"/>
              <w:ind w:right="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6" w:type="dxa"/>
          <w:trHeight w:val="480" w:hRule="atLeast"/>
        </w:trPr>
        <w:tc>
          <w:tcPr>
            <w:tcW w:w="17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80" w:lineRule="exact"/>
              <w:ind w:left="0" w:leftChars="0" w:right="0" w:firstLine="560" w:firstLineChars="200"/>
              <w:jc w:val="center"/>
              <w:rPr>
                <w:rFonts w:ascii="仿宋_GB2312" w:hAnsi="仿宋_GB2312" w:eastAsia="仿宋_GB2312" w:cs="仿宋_GB2312"/>
                <w:sz w:val="28"/>
                <w:szCs w:val="28"/>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20" w:lineRule="exact"/>
              <w:ind w:left="0" w:leftChars="0" w:right="0" w:firstLine="560" w:firstLineChars="20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20" w:lineRule="exact"/>
              <w:ind w:right="0"/>
              <w:jc w:val="both"/>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6" w:type="dxa"/>
          <w:trHeight w:val="530" w:hRule="atLeast"/>
        </w:trPr>
        <w:tc>
          <w:tcPr>
            <w:tcW w:w="17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80" w:lineRule="exact"/>
              <w:ind w:left="0" w:leftChars="0" w:right="0" w:firstLine="560" w:firstLineChars="200"/>
              <w:jc w:val="center"/>
              <w:rPr>
                <w:rFonts w:ascii="仿宋_GB2312" w:hAnsi="仿宋_GB2312" w:eastAsia="仿宋_GB2312" w:cs="仿宋_GB2312"/>
                <w:sz w:val="28"/>
                <w:szCs w:val="28"/>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20" w:lineRule="exact"/>
              <w:ind w:right="0"/>
              <w:jc w:val="both"/>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20" w:lineRule="exact"/>
              <w:ind w:right="0"/>
              <w:jc w:val="both"/>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line="480" w:lineRule="exact"/>
              <w:ind w:left="0" w:leftChars="0" w:right="0" w:firstLine="560" w:firstLineChars="200"/>
              <w:jc w:val="center"/>
              <w:textAlignment w:val="bottom"/>
              <w:rPr>
                <w:rFonts w:ascii="仿宋_GB2312" w:hAnsi="仿宋_GB2312" w:eastAsia="仿宋_GB2312" w:cs="仿宋_GB2312"/>
                <w:sz w:val="28"/>
                <w:szCs w:val="28"/>
              </w:rPr>
            </w:pPr>
          </w:p>
        </w:tc>
      </w:tr>
    </w:tbl>
    <w:p>
      <w:pPr>
        <w:keepNext w:val="0"/>
        <w:keepLines w:val="0"/>
        <w:pageBreakBefore w:val="0"/>
        <w:widowControl/>
        <w:kinsoku/>
        <w:wordWrap/>
        <w:overflowPunct/>
        <w:topLinePunct w:val="0"/>
        <w:autoSpaceDE/>
        <w:autoSpaceDN/>
        <w:bidi w:val="0"/>
        <w:adjustRightInd w:val="0"/>
        <w:snapToGrid w:val="0"/>
        <w:spacing w:line="480" w:lineRule="exact"/>
        <w:ind w:right="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附表：</w:t>
      </w:r>
    </w:p>
    <w:p>
      <w:pPr>
        <w:pageBreakBefore w:val="0"/>
        <w:widowControl/>
        <w:wordWrap/>
        <w:overflowPunct/>
        <w:bidi w:val="0"/>
        <w:spacing w:line="560" w:lineRule="exact"/>
        <w:ind w:left="0" w:leftChars="0" w:right="0" w:firstLine="880" w:firstLineChars="200"/>
        <w:jc w:val="left"/>
        <w:rPr>
          <w:rStyle w:val="29"/>
          <w:rFonts w:ascii="黑体" w:hAnsi="黑体" w:eastAsia="黑体"/>
          <w:b w:val="0"/>
        </w:rPr>
      </w:pPr>
      <w:r>
        <w:rPr>
          <w:rStyle w:val="29"/>
          <w:rFonts w:ascii="黑体" w:hAnsi="黑体" w:eastAsia="黑体"/>
          <w:b w:val="0"/>
        </w:rPr>
        <w:br w:type="page"/>
      </w:r>
    </w:p>
    <w:p>
      <w:pPr>
        <w:pageBreakBefore w:val="0"/>
        <w:wordWrap/>
        <w:overflowPunct/>
        <w:bidi w:val="0"/>
        <w:spacing w:line="560" w:lineRule="exact"/>
        <w:ind w:left="0" w:leftChars="0" w:right="0" w:firstLine="880" w:firstLineChars="200"/>
        <w:jc w:val="center"/>
        <w:outlineLvl w:val="0"/>
        <w:rPr>
          <w:rStyle w:val="29"/>
          <w:rFonts w:hint="eastAsia" w:ascii="黑体" w:hAnsi="黑体" w:eastAsia="黑体"/>
          <w:b w:val="0"/>
        </w:rPr>
      </w:pPr>
      <w:bookmarkStart w:id="54" w:name="_Toc15396618"/>
      <w:r>
        <w:rPr>
          <w:rFonts w:hint="eastAsia" w:ascii="黑体" w:hAnsi="黑体" w:eastAsia="黑体"/>
          <w:sz w:val="44"/>
          <w:szCs w:val="44"/>
        </w:rPr>
        <w:t>第</w:t>
      </w:r>
      <w:r>
        <w:rPr>
          <w:rStyle w:val="29"/>
          <w:rFonts w:hint="eastAsia" w:ascii="黑体" w:hAnsi="黑体" w:eastAsia="黑体"/>
          <w:b w:val="0"/>
        </w:rPr>
        <w:t>五部分 附表</w:t>
      </w:r>
      <w:bookmarkEnd w:id="52"/>
      <w:bookmarkEnd w:id="54"/>
      <w:bookmarkStart w:id="55" w:name="_Toc15396619"/>
    </w:p>
    <w:p>
      <w:pPr>
        <w:pStyle w:val="21"/>
      </w:pPr>
    </w:p>
    <w:p>
      <w:pPr>
        <w:pStyle w:val="3"/>
        <w:pageBreakBefore w:val="0"/>
        <w:wordWrap/>
        <w:overflowPunct/>
        <w:bidi w:val="0"/>
        <w:spacing w:before="0" w:after="0" w:line="560" w:lineRule="exact"/>
        <w:ind w:left="0" w:leftChars="0" w:right="0" w:firstLine="640" w:firstLineChars="200"/>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5"/>
    </w:p>
    <w:p>
      <w:pPr>
        <w:pStyle w:val="3"/>
        <w:pageBreakBefore w:val="0"/>
        <w:wordWrap/>
        <w:overflowPunct/>
        <w:bidi w:val="0"/>
        <w:spacing w:before="0" w:after="0" w:line="560" w:lineRule="exact"/>
        <w:ind w:left="0" w:leftChars="0" w:right="0" w:firstLine="640" w:firstLineChars="200"/>
        <w:rPr>
          <w:rFonts w:ascii="仿宋" w:hAnsi="仿宋" w:eastAsia="仿宋"/>
        </w:rPr>
      </w:pPr>
      <w:bookmarkStart w:id="56" w:name="_Toc15396620"/>
      <w:r>
        <w:rPr>
          <w:rFonts w:hint="eastAsia" w:ascii="仿宋" w:hAnsi="仿宋" w:eastAsia="仿宋"/>
          <w:b w:val="0"/>
        </w:rPr>
        <w:t>二、收</w:t>
      </w:r>
      <w:r>
        <w:rPr>
          <w:rStyle w:val="30"/>
          <w:rFonts w:hint="eastAsia" w:ascii="仿宋" w:hAnsi="仿宋" w:eastAsia="仿宋"/>
          <w:b w:val="0"/>
          <w:bCs w:val="0"/>
        </w:rPr>
        <w:t>入决算表</w:t>
      </w:r>
      <w:bookmarkEnd w:id="56"/>
    </w:p>
    <w:p>
      <w:pPr>
        <w:pStyle w:val="3"/>
        <w:pageBreakBefore w:val="0"/>
        <w:wordWrap/>
        <w:overflowPunct/>
        <w:bidi w:val="0"/>
        <w:spacing w:before="0" w:after="0" w:line="560" w:lineRule="exact"/>
        <w:ind w:left="0" w:leftChars="0" w:right="0" w:firstLine="640" w:firstLineChars="200"/>
        <w:rPr>
          <w:rFonts w:ascii="仿宋" w:hAnsi="仿宋" w:eastAsia="仿宋"/>
        </w:rPr>
      </w:pPr>
      <w:bookmarkStart w:id="57"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7"/>
    </w:p>
    <w:p>
      <w:pPr>
        <w:pStyle w:val="3"/>
        <w:pageBreakBefore w:val="0"/>
        <w:wordWrap/>
        <w:overflowPunct/>
        <w:bidi w:val="0"/>
        <w:spacing w:before="0" w:after="0" w:line="560" w:lineRule="exact"/>
        <w:ind w:left="0" w:leftChars="0" w:right="0" w:firstLine="640" w:firstLineChars="200"/>
        <w:rPr>
          <w:rFonts w:ascii="仿宋" w:hAnsi="仿宋" w:eastAsia="仿宋"/>
          <w:b w:val="0"/>
        </w:rPr>
      </w:pPr>
      <w:bookmarkStart w:id="58"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8"/>
    </w:p>
    <w:p>
      <w:pPr>
        <w:pStyle w:val="3"/>
        <w:pageBreakBefore w:val="0"/>
        <w:wordWrap/>
        <w:overflowPunct/>
        <w:bidi w:val="0"/>
        <w:spacing w:before="0" w:after="0" w:line="560" w:lineRule="exact"/>
        <w:ind w:left="0" w:leftChars="0" w:right="0" w:firstLine="640" w:firstLineChars="200"/>
        <w:rPr>
          <w:rStyle w:val="30"/>
          <w:rFonts w:ascii="仿宋" w:hAnsi="仿宋" w:eastAsia="仿宋"/>
          <w:b w:val="0"/>
          <w:bCs w:val="0"/>
        </w:rPr>
      </w:pPr>
      <w:bookmarkStart w:id="59"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9"/>
      <w:bookmarkStart w:id="60" w:name="_Toc15396624"/>
    </w:p>
    <w:p>
      <w:pPr>
        <w:pStyle w:val="3"/>
        <w:pageBreakBefore w:val="0"/>
        <w:wordWrap/>
        <w:overflowPunct/>
        <w:bidi w:val="0"/>
        <w:spacing w:before="0" w:after="0" w:line="560" w:lineRule="exact"/>
        <w:ind w:left="0" w:leftChars="0" w:right="0" w:firstLine="640" w:firstLineChars="200"/>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60"/>
    </w:p>
    <w:p>
      <w:pPr>
        <w:pStyle w:val="3"/>
        <w:pageBreakBefore w:val="0"/>
        <w:wordWrap/>
        <w:overflowPunct/>
        <w:bidi w:val="0"/>
        <w:spacing w:before="0" w:after="0" w:line="560" w:lineRule="exact"/>
        <w:ind w:left="0" w:leftChars="0" w:right="0" w:firstLine="640" w:firstLineChars="200"/>
        <w:rPr>
          <w:rFonts w:ascii="仿宋" w:hAnsi="仿宋" w:eastAsia="仿宋"/>
        </w:rPr>
      </w:pPr>
      <w:bookmarkStart w:id="61"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1"/>
    </w:p>
    <w:p>
      <w:pPr>
        <w:pStyle w:val="3"/>
        <w:pageBreakBefore w:val="0"/>
        <w:wordWrap/>
        <w:overflowPunct/>
        <w:bidi w:val="0"/>
        <w:spacing w:before="0" w:after="0" w:line="560" w:lineRule="exact"/>
        <w:ind w:left="0" w:leftChars="0" w:right="0" w:firstLine="640" w:firstLineChars="200"/>
        <w:rPr>
          <w:rFonts w:ascii="仿宋" w:hAnsi="仿宋" w:eastAsia="仿宋"/>
        </w:rPr>
      </w:pPr>
      <w:bookmarkStart w:id="62"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2"/>
    </w:p>
    <w:p>
      <w:pPr>
        <w:pStyle w:val="3"/>
        <w:pageBreakBefore w:val="0"/>
        <w:wordWrap/>
        <w:overflowPunct/>
        <w:bidi w:val="0"/>
        <w:spacing w:before="0" w:after="0" w:line="560" w:lineRule="exact"/>
        <w:ind w:left="0" w:leftChars="0" w:right="0" w:firstLine="640" w:firstLineChars="200"/>
        <w:rPr>
          <w:rFonts w:ascii="仿宋" w:hAnsi="仿宋" w:eastAsia="仿宋"/>
        </w:rPr>
      </w:pPr>
      <w:bookmarkStart w:id="63"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3"/>
    </w:p>
    <w:p>
      <w:pPr>
        <w:pStyle w:val="3"/>
        <w:pageBreakBefore w:val="0"/>
        <w:wordWrap/>
        <w:overflowPunct/>
        <w:bidi w:val="0"/>
        <w:spacing w:before="0" w:after="0" w:line="560" w:lineRule="exact"/>
        <w:ind w:left="0" w:leftChars="0" w:right="0" w:firstLine="640" w:firstLineChars="200"/>
        <w:rPr>
          <w:rFonts w:ascii="仿宋" w:hAnsi="仿宋" w:eastAsia="仿宋"/>
        </w:rPr>
      </w:pPr>
      <w:bookmarkStart w:id="64" w:name="_Toc15396629"/>
      <w:r>
        <w:rPr>
          <w:rStyle w:val="30"/>
          <w:rFonts w:hint="eastAsia" w:ascii="仿宋" w:hAnsi="仿宋" w:eastAsia="仿宋"/>
          <w:b w:val="0"/>
          <w:bCs w:val="0"/>
        </w:rPr>
        <w:t>十、</w:t>
      </w:r>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64"/>
    </w:p>
    <w:p>
      <w:pPr>
        <w:pStyle w:val="3"/>
        <w:pageBreakBefore w:val="0"/>
        <w:wordWrap/>
        <w:overflowPunct/>
        <w:bidi w:val="0"/>
        <w:spacing w:before="0" w:after="0" w:line="560" w:lineRule="exact"/>
        <w:ind w:left="0" w:leftChars="0" w:right="0" w:firstLine="640" w:firstLineChars="200"/>
        <w:rPr>
          <w:rStyle w:val="30"/>
          <w:rFonts w:ascii="仿宋" w:hAnsi="仿宋" w:eastAsia="仿宋"/>
          <w:b w:val="0"/>
          <w:bCs w:val="0"/>
        </w:rPr>
      </w:pPr>
      <w:bookmarkStart w:id="65" w:name="_Toc15396630"/>
      <w:r>
        <w:rPr>
          <w:rStyle w:val="30"/>
          <w:rFonts w:hint="eastAsia" w:ascii="仿宋" w:hAnsi="仿宋" w:eastAsia="仿宋"/>
          <w:b w:val="0"/>
          <w:bCs w:val="0"/>
        </w:rPr>
        <w:t>十</w:t>
      </w:r>
      <w:bookmarkEnd w:id="65"/>
      <w:bookmarkStart w:id="66" w:name="_Toc15396631"/>
      <w:r>
        <w:rPr>
          <w:rStyle w:val="30"/>
          <w:rFonts w:hint="eastAsia" w:ascii="仿宋" w:hAnsi="仿宋" w:eastAsia="仿宋"/>
          <w:b w:val="0"/>
          <w:bCs w:val="0"/>
          <w:lang w:eastAsia="zh-CN"/>
        </w:rPr>
        <w:t>一</w:t>
      </w:r>
      <w:r>
        <w:rPr>
          <w:rStyle w:val="30"/>
          <w:rFonts w:hint="eastAsia" w:ascii="仿宋" w:hAnsi="仿宋" w:eastAsia="仿宋"/>
          <w:b w:val="0"/>
          <w:bCs w:val="0"/>
        </w:rPr>
        <w:t>、</w:t>
      </w:r>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66"/>
    </w:p>
    <w:p>
      <w:pPr>
        <w:pageBreakBefore w:val="0"/>
        <w:wordWrap/>
        <w:overflowPunct/>
        <w:bidi w:val="0"/>
        <w:spacing w:line="560" w:lineRule="exact"/>
        <w:ind w:left="0" w:leftChars="0" w:right="0" w:firstLine="640" w:firstLineChars="200"/>
        <w:rPr>
          <w:rStyle w:val="30"/>
          <w:rFonts w:hint="eastAsia" w:ascii="仿宋" w:hAnsi="仿宋" w:eastAsia="仿宋"/>
          <w:b w:val="0"/>
          <w:bCs w:val="0"/>
        </w:rPr>
      </w:pPr>
      <w:r>
        <w:rPr>
          <w:rStyle w:val="30"/>
          <w:rFonts w:hint="eastAsia" w:ascii="仿宋" w:hAnsi="仿宋" w:eastAsia="仿宋"/>
          <w:b w:val="0"/>
          <w:bCs w:val="0"/>
        </w:rPr>
        <w:t>十</w:t>
      </w:r>
      <w:r>
        <w:rPr>
          <w:rStyle w:val="30"/>
          <w:rFonts w:hint="eastAsia" w:ascii="仿宋" w:hAnsi="仿宋" w:eastAsia="仿宋"/>
          <w:b w:val="0"/>
          <w:bCs w:val="0"/>
          <w:lang w:eastAsia="zh-CN"/>
        </w:rPr>
        <w:t>二</w:t>
      </w:r>
      <w:r>
        <w:rPr>
          <w:rStyle w:val="30"/>
          <w:rFonts w:hint="eastAsia" w:ascii="仿宋" w:hAnsi="仿宋" w:eastAsia="仿宋"/>
          <w:b w:val="0"/>
          <w:bCs w:val="0"/>
        </w:rPr>
        <w:t>、国有资本经营预算财政拨款支出决算表</w:t>
      </w:r>
      <w:bookmarkStart w:id="67" w:name="_Toc15396628"/>
    </w:p>
    <w:p>
      <w:pPr>
        <w:pageBreakBefore w:val="0"/>
        <w:wordWrap/>
        <w:overflowPunct/>
        <w:bidi w:val="0"/>
        <w:spacing w:line="560" w:lineRule="exact"/>
        <w:ind w:left="0" w:leftChars="0" w:right="0" w:firstLine="640" w:firstLineChars="200"/>
        <w:rPr>
          <w:rFonts w:eastAsia="仿宋"/>
        </w:rPr>
      </w:pPr>
      <w:r>
        <w:rPr>
          <w:rStyle w:val="30"/>
          <w:rFonts w:hint="eastAsia" w:ascii="仿宋" w:hAnsi="仿宋" w:eastAsia="仿宋"/>
          <w:b w:val="0"/>
          <w:bCs w:val="0"/>
        </w:rPr>
        <w:t>十</w:t>
      </w:r>
      <w:r>
        <w:rPr>
          <w:rStyle w:val="30"/>
          <w:rFonts w:hint="eastAsia" w:ascii="仿宋" w:hAnsi="仿宋" w:eastAsia="仿宋"/>
          <w:b w:val="0"/>
          <w:bCs w:val="0"/>
          <w:lang w:eastAsia="zh-CN"/>
        </w:rPr>
        <w:t>三</w:t>
      </w:r>
      <w:r>
        <w:rPr>
          <w:rStyle w:val="30"/>
          <w:rFonts w:hint="eastAsia" w:ascii="仿宋" w:hAnsi="仿宋" w:eastAsia="仿宋"/>
          <w:b w:val="0"/>
          <w:bCs w:val="0"/>
        </w:rPr>
        <w:t>、财政拨款“三公”经费支出决算表</w:t>
      </w:r>
      <w:bookmarkEnd w:id="67"/>
    </w:p>
    <w:sectPr>
      <w:footerReference r:id="rId7" w:type="default"/>
      <w:pgSz w:w="11906" w:h="16838"/>
      <w:pgMar w:top="2098" w:right="1531" w:bottom="1984" w:left="1531" w:header="851" w:footer="170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altName w:val="方正楷体_GBK"/>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UyYTMyNWEyZTJiMjZkNDBkOGQ3NmYxOGQ3MjU2N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6569"/>
    <w:rsid w:val="00260C38"/>
    <w:rsid w:val="002616C0"/>
    <w:rsid w:val="00265372"/>
    <w:rsid w:val="002662AA"/>
    <w:rsid w:val="00280496"/>
    <w:rsid w:val="00294DC9"/>
    <w:rsid w:val="00295495"/>
    <w:rsid w:val="002A31DE"/>
    <w:rsid w:val="002B2613"/>
    <w:rsid w:val="002D6D05"/>
    <w:rsid w:val="002E6D3D"/>
    <w:rsid w:val="002F1818"/>
    <w:rsid w:val="002F567B"/>
    <w:rsid w:val="003216A9"/>
    <w:rsid w:val="00335A74"/>
    <w:rsid w:val="00354363"/>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D5E9E"/>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5964"/>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6BE2"/>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244C"/>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987FE8"/>
    <w:rsid w:val="02A36C44"/>
    <w:rsid w:val="034675D0"/>
    <w:rsid w:val="03EB12B8"/>
    <w:rsid w:val="04473600"/>
    <w:rsid w:val="05AD10B7"/>
    <w:rsid w:val="066E0107"/>
    <w:rsid w:val="07153256"/>
    <w:rsid w:val="075745D4"/>
    <w:rsid w:val="07996F6E"/>
    <w:rsid w:val="0807060E"/>
    <w:rsid w:val="085C7784"/>
    <w:rsid w:val="088176B4"/>
    <w:rsid w:val="08E92ED7"/>
    <w:rsid w:val="095962AF"/>
    <w:rsid w:val="09717ADB"/>
    <w:rsid w:val="0A0107ED"/>
    <w:rsid w:val="0A2032A3"/>
    <w:rsid w:val="0AD1329D"/>
    <w:rsid w:val="0AF52687"/>
    <w:rsid w:val="0C06181F"/>
    <w:rsid w:val="0D387A9B"/>
    <w:rsid w:val="0D7A2C98"/>
    <w:rsid w:val="0D8B0A01"/>
    <w:rsid w:val="0DB512A8"/>
    <w:rsid w:val="0DB6335D"/>
    <w:rsid w:val="0E741495"/>
    <w:rsid w:val="0FC91CB4"/>
    <w:rsid w:val="0FDF32F1"/>
    <w:rsid w:val="0FFA0011"/>
    <w:rsid w:val="10086339"/>
    <w:rsid w:val="101860EC"/>
    <w:rsid w:val="108666FC"/>
    <w:rsid w:val="10C055FF"/>
    <w:rsid w:val="118107EC"/>
    <w:rsid w:val="11E116C6"/>
    <w:rsid w:val="13D50BC4"/>
    <w:rsid w:val="148E1FA6"/>
    <w:rsid w:val="14DC75FE"/>
    <w:rsid w:val="15DB3DD2"/>
    <w:rsid w:val="16BB723D"/>
    <w:rsid w:val="17B52FAD"/>
    <w:rsid w:val="18455C50"/>
    <w:rsid w:val="18E536F6"/>
    <w:rsid w:val="18ED2570"/>
    <w:rsid w:val="1A736EBF"/>
    <w:rsid w:val="1A7A6085"/>
    <w:rsid w:val="1BB67591"/>
    <w:rsid w:val="1BE8440E"/>
    <w:rsid w:val="1C837151"/>
    <w:rsid w:val="1D155CEE"/>
    <w:rsid w:val="1D3F264D"/>
    <w:rsid w:val="1D507571"/>
    <w:rsid w:val="1DD67A76"/>
    <w:rsid w:val="1E1E31CB"/>
    <w:rsid w:val="1E2F712F"/>
    <w:rsid w:val="1F2235E5"/>
    <w:rsid w:val="1FDC333E"/>
    <w:rsid w:val="20B221AC"/>
    <w:rsid w:val="21E7133A"/>
    <w:rsid w:val="2220426F"/>
    <w:rsid w:val="22CD3836"/>
    <w:rsid w:val="23323768"/>
    <w:rsid w:val="23860B96"/>
    <w:rsid w:val="23A41AA9"/>
    <w:rsid w:val="240371BF"/>
    <w:rsid w:val="246062EC"/>
    <w:rsid w:val="24AE2EF2"/>
    <w:rsid w:val="24AE7586"/>
    <w:rsid w:val="258D62B4"/>
    <w:rsid w:val="25D01822"/>
    <w:rsid w:val="25FA0F26"/>
    <w:rsid w:val="27642706"/>
    <w:rsid w:val="28C117C2"/>
    <w:rsid w:val="28C80903"/>
    <w:rsid w:val="28EA13E7"/>
    <w:rsid w:val="29FD04D3"/>
    <w:rsid w:val="2A506E02"/>
    <w:rsid w:val="2ACB2E7C"/>
    <w:rsid w:val="2C8A61B5"/>
    <w:rsid w:val="2DD65871"/>
    <w:rsid w:val="2DD6775C"/>
    <w:rsid w:val="2DF04E50"/>
    <w:rsid w:val="2E5A6203"/>
    <w:rsid w:val="2FBB4D1E"/>
    <w:rsid w:val="2FFF7540"/>
    <w:rsid w:val="310B4BBD"/>
    <w:rsid w:val="315A40C3"/>
    <w:rsid w:val="319F7F4E"/>
    <w:rsid w:val="32C348B5"/>
    <w:rsid w:val="337006C5"/>
    <w:rsid w:val="33CF3423"/>
    <w:rsid w:val="34787EFC"/>
    <w:rsid w:val="34D43F1E"/>
    <w:rsid w:val="3502519D"/>
    <w:rsid w:val="36026FE5"/>
    <w:rsid w:val="36AA5135"/>
    <w:rsid w:val="37E16F03"/>
    <w:rsid w:val="3CB83334"/>
    <w:rsid w:val="3D144CA7"/>
    <w:rsid w:val="3D98207C"/>
    <w:rsid w:val="3E42625C"/>
    <w:rsid w:val="3E8D1A40"/>
    <w:rsid w:val="3F185CE9"/>
    <w:rsid w:val="41E53E7C"/>
    <w:rsid w:val="42B77DA7"/>
    <w:rsid w:val="430414DA"/>
    <w:rsid w:val="43B458B4"/>
    <w:rsid w:val="43E72B76"/>
    <w:rsid w:val="4447723C"/>
    <w:rsid w:val="44E268DA"/>
    <w:rsid w:val="44FA7C3F"/>
    <w:rsid w:val="45CC4BED"/>
    <w:rsid w:val="464321B1"/>
    <w:rsid w:val="4707429E"/>
    <w:rsid w:val="47857C94"/>
    <w:rsid w:val="47C84024"/>
    <w:rsid w:val="487C42CB"/>
    <w:rsid w:val="48F50E49"/>
    <w:rsid w:val="4A627F82"/>
    <w:rsid w:val="4A9A7152"/>
    <w:rsid w:val="4AEE5B50"/>
    <w:rsid w:val="4B4F25DA"/>
    <w:rsid w:val="4BE068DB"/>
    <w:rsid w:val="4BEA31C1"/>
    <w:rsid w:val="4CAE1A3B"/>
    <w:rsid w:val="4D577224"/>
    <w:rsid w:val="4E3B7585"/>
    <w:rsid w:val="4E8149C5"/>
    <w:rsid w:val="4EAB630A"/>
    <w:rsid w:val="4EC77040"/>
    <w:rsid w:val="4ECE2238"/>
    <w:rsid w:val="4EF33EFC"/>
    <w:rsid w:val="4FBD168A"/>
    <w:rsid w:val="501F0559"/>
    <w:rsid w:val="51BC0756"/>
    <w:rsid w:val="51D600B0"/>
    <w:rsid w:val="531829B6"/>
    <w:rsid w:val="53243224"/>
    <w:rsid w:val="53334A48"/>
    <w:rsid w:val="542C40EE"/>
    <w:rsid w:val="572472F7"/>
    <w:rsid w:val="5813309A"/>
    <w:rsid w:val="58845D45"/>
    <w:rsid w:val="5922354D"/>
    <w:rsid w:val="59787398"/>
    <w:rsid w:val="59A755B8"/>
    <w:rsid w:val="5AF92295"/>
    <w:rsid w:val="5AFF6145"/>
    <w:rsid w:val="5B7908FF"/>
    <w:rsid w:val="5C9E35C6"/>
    <w:rsid w:val="5CD71FC4"/>
    <w:rsid w:val="5E12114F"/>
    <w:rsid w:val="5F08270F"/>
    <w:rsid w:val="5F860651"/>
    <w:rsid w:val="61406582"/>
    <w:rsid w:val="632C3261"/>
    <w:rsid w:val="64715E30"/>
    <w:rsid w:val="64981B94"/>
    <w:rsid w:val="65EB2D16"/>
    <w:rsid w:val="66C51A03"/>
    <w:rsid w:val="68264723"/>
    <w:rsid w:val="6ACB2952"/>
    <w:rsid w:val="6B0C4D6F"/>
    <w:rsid w:val="6C4A05C8"/>
    <w:rsid w:val="6D05439D"/>
    <w:rsid w:val="6D0E7EF6"/>
    <w:rsid w:val="6E3205A8"/>
    <w:rsid w:val="6E7E3605"/>
    <w:rsid w:val="6F20011E"/>
    <w:rsid w:val="6F29606E"/>
    <w:rsid w:val="6FF5CC65"/>
    <w:rsid w:val="70062167"/>
    <w:rsid w:val="705F504D"/>
    <w:rsid w:val="715C0E4B"/>
    <w:rsid w:val="72734D90"/>
    <w:rsid w:val="73AD73D5"/>
    <w:rsid w:val="73B6EB34"/>
    <w:rsid w:val="73E86D31"/>
    <w:rsid w:val="73FC4BBA"/>
    <w:rsid w:val="75530B22"/>
    <w:rsid w:val="75731C6A"/>
    <w:rsid w:val="768C7829"/>
    <w:rsid w:val="76FD68F5"/>
    <w:rsid w:val="77F65CDB"/>
    <w:rsid w:val="78FB3062"/>
    <w:rsid w:val="79442DD5"/>
    <w:rsid w:val="7956298E"/>
    <w:rsid w:val="79A01D8D"/>
    <w:rsid w:val="79EE5BA4"/>
    <w:rsid w:val="7A5073DE"/>
    <w:rsid w:val="7A6F3D08"/>
    <w:rsid w:val="7A894339"/>
    <w:rsid w:val="7ACC3A7A"/>
    <w:rsid w:val="7BD932B0"/>
    <w:rsid w:val="7C75626E"/>
    <w:rsid w:val="7D961ABA"/>
    <w:rsid w:val="7DB054C8"/>
    <w:rsid w:val="7E3A7BCB"/>
    <w:rsid w:val="7ECD30CF"/>
    <w:rsid w:val="7ED93C5C"/>
    <w:rsid w:val="7EEF11D3"/>
    <w:rsid w:val="7F2A0691"/>
    <w:rsid w:val="7FA30C79"/>
    <w:rsid w:val="7FB24E79"/>
    <w:rsid w:val="7FC96657"/>
    <w:rsid w:val="D8D6DB89"/>
    <w:rsid w:val="DB6F4CAB"/>
    <w:rsid w:val="DF6F9789"/>
    <w:rsid w:val="FFEE6A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ascii="Cambria" w:hAnsi="Cambria" w:eastAsia="黑体" w:cs="Times New Roman"/>
      <w:sz w:val="20"/>
      <w:szCs w:val="20"/>
    </w:rPr>
  </w:style>
  <w:style w:type="paragraph" w:styleId="6">
    <w:name w:val="Salutation"/>
    <w:basedOn w:val="1"/>
    <w:next w:val="1"/>
    <w:unhideWhenUsed/>
    <w:qFormat/>
    <w:uiPriority w:val="99"/>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8"/>
    <w:qFormat/>
    <w:uiPriority w:val="0"/>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styleId="28">
    <w:name w:val="List Paragraph"/>
    <w:basedOn w:val="1"/>
    <w:qFormat/>
    <w:uiPriority w:val="34"/>
    <w:pPr>
      <w:ind w:firstLine="420" w:firstLineChars="200"/>
    </w:pPr>
  </w:style>
  <w:style w:type="character" w:customStyle="1" w:styleId="29">
    <w:name w:val="标题 1 Char"/>
    <w:basedOn w:val="18"/>
    <w:link w:val="2"/>
    <w:qFormat/>
    <w:uiPriority w:val="9"/>
    <w:rPr>
      <w:rFonts w:ascii="Times New Roman" w:hAnsi="Times New Roman"/>
      <w:b/>
      <w:bCs/>
      <w:kern w:val="44"/>
      <w:sz w:val="44"/>
      <w:szCs w:val="44"/>
    </w:rPr>
  </w:style>
  <w:style w:type="character" w:customStyle="1" w:styleId="30">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Heading 1 Char"/>
    <w:basedOn w:val="18"/>
    <w:link w:val="2"/>
    <w:qFormat/>
    <w:locked/>
    <w:uiPriority w:val="9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35</Pages>
  <Words>15023</Words>
  <Characters>16214</Characters>
  <Lines>57</Lines>
  <Paragraphs>16</Paragraphs>
  <TotalTime>32</TotalTime>
  <ScaleCrop>false</ScaleCrop>
  <LinksUpToDate>false</LinksUpToDate>
  <CharactersWithSpaces>16244</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2022-08-08T17:11:00Z</cp:lastPrinted>
  <dcterms:modified xsi:type="dcterms:W3CDTF">2025-01-24T14:50:54Z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4857EC1DE1644D29B0F4393EA10D080D</vt:lpwstr>
  </property>
</Properties>
</file>