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8441"/>
      <w:bookmarkStart w:id="3" w:name="_Toc1537742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77426"/>
      <w:bookmarkStart w:id="8" w:name="_Toc15378442"/>
      <w:bookmarkStart w:id="9" w:name="_Toc15396476"/>
      <w:bookmarkStart w:id="10" w:name="_Toc15396598"/>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县涂山镇人民政府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96599"/>
      <w:bookmarkStart w:id="13" w:name="_Toc15377196"/>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rPr>
          <w:rStyle w:val="32"/>
          <w:rFonts w:ascii="仿宋" w:hAnsi="仿宋" w:eastAsia="黑体"/>
          <w:b w:val="0"/>
          <w:bCs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bookmarkStart w:id="18" w:name="_Toc15377200"/>
      <w:bookmarkStart w:id="19" w:name="_Toc15396601"/>
      <w:r>
        <w:rPr>
          <w:rFonts w:hint="eastAsia" w:ascii="仿宋" w:hAnsi="仿宋" w:eastAsia="仿宋"/>
          <w:bCs/>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剑阁县涂山镇人民政府属财政预算一级行政事业单位，执行行政事业单位会计制度、宗旨和业务范围；按照国家有关劳动就业和社会保障的政策、法规，对乡镇在职人员实行管理和服务。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2、制定并组织实施村镇建设规划，部署重点工程建设，地方道路建设及公共设施，水利设施的管理，负责土地、林木、水等自然资源和生态环境的保护，做好护林防火工作。</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7199"/>
      <w:bookmarkStart w:id="21" w:name="_Toc15378446"/>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keepNext w:val="0"/>
        <w:keepLines w:val="0"/>
        <w:pageBreakBefore w:val="0"/>
        <w:widowControl/>
        <w:suppressLineNumbers w:val="0"/>
        <w:kinsoku/>
        <w:wordWrap/>
        <w:overflowPunct/>
        <w:topLinePunct w:val="0"/>
        <w:autoSpaceDE/>
        <w:autoSpaceDN/>
        <w:bidi w:val="0"/>
        <w:adjustRightInd/>
        <w:snapToGrid/>
        <w:ind w:firstLine="64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（一）党的建设全面加强。</w:t>
      </w:r>
      <w:r>
        <w:rPr>
          <w:rFonts w:hint="eastAsia" w:ascii="仿宋_GB2312" w:hAnsi="仿宋_GB2312" w:eastAsia="仿宋_GB2312" w:cs="仿宋_GB2312"/>
          <w:color w:val="auto"/>
          <w:sz w:val="32"/>
          <w:szCs w:val="32"/>
          <w:lang w:val="en-US" w:eastAsia="zh-CN"/>
        </w:rPr>
        <w:t>全镇深入学习领会党的二十大精神和省第十二次党代会精神，贯彻落实习近平总书记来川视察重要讲话，坚持集中学习和个人自学相结合方式，扎实开展理论学习</w:t>
      </w:r>
      <w:bookmarkStart w:id="74" w:name="_GoBack"/>
      <w:bookmarkEnd w:id="74"/>
      <w:r>
        <w:rPr>
          <w:rFonts w:hint="eastAsia" w:ascii="仿宋_GB2312" w:hAnsi="仿宋_GB2312" w:eastAsia="仿宋_GB2312" w:cs="仿宋_GB2312"/>
          <w:color w:val="auto"/>
          <w:sz w:val="32"/>
          <w:szCs w:val="32"/>
          <w:lang w:val="en-US" w:eastAsia="zh-CN"/>
        </w:rPr>
        <w:t>中心组学习10次，专题讨论3次，努力提升党员干部政治判断力、政治领悟力、政治执行力。镇党委、镇政府班子成员齐心协力，学习与工作齐头并进，知行合一，扎实为民办实事。</w:t>
      </w:r>
    </w:p>
    <w:p>
      <w:pPr>
        <w:spacing w:line="576" w:lineRule="exact"/>
        <w:ind w:firstLine="642" w:firstLineChars="200"/>
        <w:jc w:val="both"/>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lang w:val="en-US" w:eastAsia="zh-CN"/>
        </w:rPr>
        <w:t>（二）乡村振兴有序推进</w:t>
      </w:r>
      <w:r>
        <w:rPr>
          <w:rFonts w:hint="eastAsia" w:ascii="仿宋" w:hAnsi="仿宋" w:eastAsia="仿宋" w:cs="仿宋"/>
          <w:b/>
          <w:bCs/>
          <w:color w:val="auto"/>
          <w:sz w:val="32"/>
          <w:szCs w:val="32"/>
          <w:lang w:val="en-US" w:eastAsia="zh-CN"/>
        </w:rPr>
        <w:t>。</w:t>
      </w:r>
      <w:r>
        <w:rPr>
          <w:rFonts w:hint="eastAsia" w:ascii="仿宋_GB2312" w:hAnsi="仿宋_GB2312" w:eastAsia="仿宋_GB2312" w:cs="仿宋_GB2312"/>
          <w:color w:val="auto"/>
          <w:sz w:val="32"/>
          <w:szCs w:val="32"/>
          <w:lang w:val="en-US" w:eastAsia="zh-CN"/>
        </w:rPr>
        <w:t>坚持严格落实防返贫动态监测，聚焦风险人员，全覆盖开展防返贫集中排查，建立问题清单、责任清单、帮扶清单“3张”清单，科学精准落实扶持措施，坚决守住不发生规模性返贫的底线。</w:t>
      </w:r>
    </w:p>
    <w:p>
      <w:pPr>
        <w:pStyle w:val="14"/>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楷体_GB2312" w:hAnsi="楷体_GB2312" w:eastAsia="仿宋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（三）人居环境不断改善。</w:t>
      </w:r>
      <w:r>
        <w:rPr>
          <w:rFonts w:hint="eastAsia" w:ascii="仿宋_GB2312" w:hAnsi="仿宋_GB2312" w:eastAsia="仿宋_GB2312" w:cs="仿宋_GB2312"/>
          <w:color w:val="auto"/>
          <w:sz w:val="32"/>
          <w:szCs w:val="32"/>
          <w:lang w:val="en-US" w:eastAsia="zh-CN"/>
        </w:rPr>
        <w:t>镇村面貌显著改观。秉承“绿水青山就是金山银山”的绿色发展理念，继续实施农村垃圾污水厕所“三大革命”专项整治，严格落实河长制、林长制、路长制各项工作要求。稳步实施林业增绿，严格落实环保工作责任制，认真开展农村人居环境整治专项行动，村庄环境得到有效治理，农村面源污染持续减少，人居环境大为改善。</w:t>
      </w:r>
    </w:p>
    <w:p>
      <w:pPr>
        <w:pStyle w:val="6"/>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（四）社会事业蓬勃发展。</w:t>
      </w:r>
      <w:r>
        <w:rPr>
          <w:rFonts w:hint="eastAsia" w:ascii="仿宋_GB2312" w:hAnsi="仿宋_GB2312" w:eastAsia="仿宋_GB2312" w:cs="仿宋_GB2312"/>
          <w:color w:val="auto"/>
          <w:sz w:val="32"/>
          <w:szCs w:val="32"/>
          <w:lang w:val="en-US" w:eastAsia="zh-CN"/>
        </w:rPr>
        <w:t>文化教育事业发展良好。充分整合现有资源，不断加强公民道德建设和乡风文明建设，积极组织文化站举办丰富多样的群众文化娱乐活动，得到群众一致好评，教育事业发展显著提升。认真开展民兵整组等工作，卫计、妇女儿童、工会、共青团、残疾人、通信等各项社会事业持续增强。</w:t>
      </w:r>
    </w:p>
    <w:p>
      <w:pPr>
        <w:pStyle w:val="4"/>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剑阁县涂山镇人民政府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剑阁县涂山镇人民政府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2"/>
        <w:adjustRightInd w:val="0"/>
        <w:snapToGrid w:val="0"/>
        <w:spacing w:before="93" w:line="600" w:lineRule="exact"/>
        <w:rPr>
          <w:rFonts w:hint="eastAsia" w:ascii="仿宋" w:hAnsi="仿宋" w:eastAsia="仿宋"/>
          <w:sz w:val="32"/>
          <w:szCs w:val="32"/>
          <w:lang w:eastAsia="zh-CN"/>
        </w:rPr>
      </w:pPr>
    </w:p>
    <w:p>
      <w:pPr>
        <w:pStyle w:val="3"/>
        <w:ind w:right="440"/>
        <w:jc w:val="center"/>
      </w:pPr>
      <w:bookmarkStart w:id="22" w:name="_Toc15377204"/>
      <w:bookmarkStart w:id="23" w:name="_Toc15396602"/>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646.47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646.47</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总计1008.11万元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eastAsia="zh-CN"/>
        </w:rPr>
        <w:t>减少</w:t>
      </w:r>
      <w:r>
        <w:rPr>
          <w:rFonts w:hint="eastAsia" w:ascii="仿宋" w:hAnsi="仿宋" w:eastAsia="仿宋"/>
          <w:sz w:val="32"/>
          <w:szCs w:val="32"/>
          <w:lang w:val="en-US" w:eastAsia="zh-CN"/>
        </w:rPr>
        <w:t>361.64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35.87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1008.11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减少361.64</w:t>
      </w:r>
      <w:r>
        <w:rPr>
          <w:rFonts w:hint="eastAsia" w:ascii="仿宋" w:hAnsi="仿宋" w:eastAsia="仿宋"/>
          <w:sz w:val="32"/>
          <w:szCs w:val="32"/>
        </w:rPr>
        <w:t>万元，减少35.87%</w:t>
      </w:r>
      <w:r>
        <w:rPr>
          <w:rFonts w:hint="eastAsia" w:ascii="仿宋" w:hAnsi="仿宋" w:eastAsia="仿宋"/>
          <w:sz w:val="32"/>
          <w:szCs w:val="32"/>
          <w:lang w:eastAsia="zh-CN"/>
        </w:rPr>
        <w:t>。</w:t>
      </w:r>
      <w:r>
        <w:rPr>
          <w:rFonts w:hint="eastAsia" w:ascii="仿宋" w:hAnsi="仿宋" w:eastAsia="仿宋"/>
          <w:sz w:val="32"/>
          <w:szCs w:val="32"/>
        </w:rPr>
        <w:t>主要变动原因是202</w:t>
      </w:r>
      <w:r>
        <w:rPr>
          <w:rFonts w:hint="eastAsia" w:ascii="仿宋" w:hAnsi="仿宋" w:eastAsia="仿宋"/>
          <w:sz w:val="32"/>
          <w:szCs w:val="32"/>
          <w:lang w:val="en-US" w:eastAsia="zh-CN"/>
        </w:rPr>
        <w:t>2</w:t>
      </w:r>
      <w:r>
        <w:rPr>
          <w:rFonts w:hint="eastAsia" w:ascii="仿宋" w:hAnsi="仿宋" w:eastAsia="仿宋"/>
          <w:sz w:val="32"/>
          <w:szCs w:val="32"/>
        </w:rPr>
        <w:t>年度年初结转结余</w:t>
      </w:r>
      <w:r>
        <w:rPr>
          <w:rFonts w:hint="eastAsia" w:ascii="仿宋" w:hAnsi="仿宋" w:eastAsia="仿宋"/>
          <w:sz w:val="32"/>
          <w:szCs w:val="32"/>
          <w:lang w:eastAsia="zh-CN"/>
        </w:rPr>
        <w:t>减少</w:t>
      </w:r>
      <w:r>
        <w:rPr>
          <w:rFonts w:hint="eastAsia" w:ascii="仿宋" w:hAnsi="仿宋" w:eastAsia="仿宋"/>
          <w:sz w:val="32"/>
          <w:szCs w:val="32"/>
        </w:rPr>
        <w:t>。</w:t>
      </w:r>
    </w:p>
    <w:p>
      <w:pPr>
        <w:pStyle w:val="17"/>
        <w:jc w:val="center"/>
        <w:rPr>
          <w:rFonts w:hint="eastAsia" w:ascii="仿宋" w:hAnsi="仿宋" w:eastAsia="仿宋"/>
          <w:sz w:val="32"/>
          <w:szCs w:val="32"/>
        </w:rP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646.47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646.47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center"/>
      </w:pPr>
      <w:r>
        <w:drawing>
          <wp:inline distT="0" distB="0" distL="114300" distR="114300">
            <wp:extent cx="4040505" cy="2448560"/>
            <wp:effectExtent l="4445" t="5080" r="12700"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646.47</w:t>
      </w:r>
      <w:r>
        <w:rPr>
          <w:rFonts w:hint="eastAsia" w:ascii="仿宋" w:hAnsi="仿宋" w:eastAsia="仿宋"/>
          <w:sz w:val="32"/>
          <w:szCs w:val="32"/>
        </w:rPr>
        <w:t>万元，其中：基本支出</w:t>
      </w:r>
      <w:r>
        <w:rPr>
          <w:rFonts w:hint="eastAsia" w:ascii="仿宋" w:hAnsi="仿宋" w:eastAsia="仿宋"/>
          <w:sz w:val="32"/>
          <w:szCs w:val="32"/>
          <w:lang w:val="en-US" w:eastAsia="zh-CN"/>
        </w:rPr>
        <w:t>516.98</w:t>
      </w:r>
      <w:r>
        <w:rPr>
          <w:rFonts w:hint="eastAsia" w:ascii="仿宋" w:hAnsi="仿宋" w:eastAsia="仿宋"/>
          <w:sz w:val="32"/>
          <w:szCs w:val="32"/>
        </w:rPr>
        <w:t>万元，占</w:t>
      </w:r>
      <w:r>
        <w:rPr>
          <w:rFonts w:hint="eastAsia" w:ascii="仿宋" w:hAnsi="仿宋" w:eastAsia="仿宋"/>
          <w:sz w:val="32"/>
          <w:szCs w:val="32"/>
          <w:lang w:val="en-US" w:eastAsia="zh-CN"/>
        </w:rPr>
        <w:t>79.96</w:t>
      </w:r>
      <w:r>
        <w:rPr>
          <w:rFonts w:ascii="仿宋" w:hAnsi="仿宋" w:eastAsia="仿宋"/>
          <w:sz w:val="32"/>
          <w:szCs w:val="32"/>
        </w:rPr>
        <w:t>%</w:t>
      </w:r>
      <w:r>
        <w:rPr>
          <w:rFonts w:hint="eastAsia" w:ascii="仿宋" w:hAnsi="仿宋" w:eastAsia="仿宋"/>
          <w:sz w:val="32"/>
          <w:szCs w:val="32"/>
        </w:rPr>
        <w:t>；项目支出129.49万元，占</w:t>
      </w:r>
      <w:r>
        <w:rPr>
          <w:rFonts w:hint="eastAsia" w:ascii="仿宋" w:hAnsi="仿宋" w:eastAsia="仿宋"/>
          <w:sz w:val="32"/>
          <w:szCs w:val="32"/>
          <w:lang w:val="en-US" w:eastAsia="zh-CN"/>
        </w:rPr>
        <w:t>20.04</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17"/>
        <w:jc w:val="both"/>
        <w:rPr>
          <w:rFonts w:hint="eastAsia" w:ascii="仿宋" w:hAnsi="仿宋" w:eastAsia="仿宋"/>
          <w:sz w:val="32"/>
          <w:szCs w:val="32"/>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646.47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646.47</w:t>
      </w:r>
      <w:r>
        <w:rPr>
          <w:rFonts w:hint="eastAsia" w:ascii="仿宋" w:hAnsi="仿宋" w:eastAsia="仿宋"/>
          <w:sz w:val="32"/>
          <w:szCs w:val="32"/>
        </w:rPr>
        <w:t>万元。与2021年度收入总计1008.11万元相比，收入总计减少361.64万元，减少35.87%；与2021年度支出总计1008.11万元相比，支出总计减少361.64万元，减少35.87%。</w:t>
      </w:r>
      <w:r>
        <w:rPr>
          <w:rFonts w:hint="eastAsia" w:ascii="仿宋" w:hAnsi="仿宋" w:eastAsia="仿宋"/>
          <w:sz w:val="32"/>
          <w:szCs w:val="32"/>
          <w:lang w:eastAsia="zh-CN"/>
        </w:rPr>
        <w:t>主要变动原因是</w:t>
      </w:r>
      <w:r>
        <w:rPr>
          <w:rFonts w:hint="eastAsia" w:ascii="仿宋" w:hAnsi="仿宋" w:eastAsia="仿宋"/>
          <w:sz w:val="32"/>
          <w:szCs w:val="32"/>
        </w:rPr>
        <w:t>2022年度年初结转结余减少。</w:t>
      </w:r>
    </w:p>
    <w:p>
      <w:pPr>
        <w:pStyle w:val="17"/>
        <w:rPr>
          <w:rFonts w:ascii="仿宋" w:hAnsi="仿宋" w:eastAsia="仿宋"/>
          <w:sz w:val="32"/>
          <w:szCs w:val="32"/>
        </w:rPr>
      </w:pP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7"/>
      </w:pP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646.47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21年相比，支出总计减少361.64万元，减少35.87%。主要变动原因是2022年度年初结转结余减少。</w:t>
      </w:r>
    </w:p>
    <w:p>
      <w:pPr>
        <w:pStyle w:val="17"/>
      </w:pPr>
      <w:r>
        <w:drawing>
          <wp:inline distT="0" distB="0" distL="114300" distR="114300">
            <wp:extent cx="4572000" cy="2743200"/>
            <wp:effectExtent l="4445" t="4445" r="14605" b="14605"/>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646.47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val="0"/>
          <w:bCs w:val="0"/>
          <w:sz w:val="32"/>
          <w:szCs w:val="32"/>
        </w:rPr>
        <w:t>252.46</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39.05</w:t>
      </w:r>
      <w:r>
        <w:rPr>
          <w:rFonts w:hint="eastAsia" w:ascii="仿宋" w:hAnsi="仿宋" w:eastAsia="仿宋" w:cs="Times New Roman"/>
          <w:sz w:val="32"/>
          <w:szCs w:val="32"/>
        </w:rPr>
        <w:t>%；</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56.01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8.63</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bookmarkStart w:id="36" w:name="OLE_LINK1"/>
      <w:r>
        <w:rPr>
          <w:rFonts w:hint="eastAsia" w:ascii="仿宋" w:hAnsi="仿宋" w:eastAsia="仿宋" w:cs="Times New Roman"/>
          <w:sz w:val="32"/>
          <w:szCs w:val="32"/>
          <w:lang w:val="en-US" w:eastAsia="zh-CN"/>
        </w:rPr>
        <w:t>67.13</w:t>
      </w:r>
      <w:bookmarkEnd w:id="36"/>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10.38</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19.27</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2.98</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8.06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1.25</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214.64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33.2</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28.91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4.47</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pStyle w:val="17"/>
        <w:rPr>
          <w:rFonts w:hint="eastAsia" w:ascii="仿宋" w:hAnsi="仿宋" w:eastAsia="仿宋" w:cs="Times New Roman"/>
          <w:sz w:val="32"/>
          <w:szCs w:val="32"/>
        </w:rPr>
      </w:pPr>
    </w:p>
    <w:p>
      <w:pPr>
        <w:jc w:val="center"/>
        <w:rPr>
          <w:rFonts w:ascii="仿宋" w:hAnsi="仿宋" w:eastAsia="仿宋"/>
          <w:sz w:val="32"/>
          <w:szCs w:val="32"/>
        </w:rPr>
      </w:pPr>
      <w:r>
        <w:drawing>
          <wp:inline distT="0" distB="0" distL="114300" distR="114300">
            <wp:extent cx="4572000" cy="2790825"/>
            <wp:effectExtent l="4445" t="4445" r="14605" b="508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pPr>
        <w:spacing w:line="600" w:lineRule="exact"/>
        <w:ind w:firstLine="642" w:firstLineChars="200"/>
        <w:outlineLvl w:val="2"/>
        <w:rPr>
          <w:rFonts w:ascii="仿宋" w:hAnsi="仿宋" w:eastAsia="仿宋"/>
          <w:sz w:val="32"/>
          <w:szCs w:val="32"/>
        </w:rPr>
      </w:pPr>
      <w:bookmarkStart w:id="38" w:name="_Toc15378460"/>
      <w:bookmarkStart w:id="39" w:name="_Toc15377213"/>
      <w:bookmarkStart w:id="40"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646.47万元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8"/>
      <w:bookmarkEnd w:id="39"/>
      <w:bookmarkEnd w:id="40"/>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一般公共服务（类）人大事务（款）代表工作（项）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一般公共服务（类）政府办公厅（室）及相关机构事务（款）行政运行（项）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240.59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5.</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6.</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56.01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8</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28.59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38.55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9.56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11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9.72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12</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8.06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101.46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20.80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eastAsia="zh-CN"/>
        </w:rPr>
      </w:pPr>
      <w:r>
        <w:rPr>
          <w:rStyle w:val="20"/>
          <w:rFonts w:hint="eastAsia" w:ascii="仿宋" w:hAnsi="仿宋" w:eastAsia="仿宋"/>
          <w:b w:val="0"/>
          <w:bCs/>
          <w:color w:val="000000"/>
          <w:sz w:val="32"/>
          <w:szCs w:val="32"/>
          <w:lang w:val="en-US" w:eastAsia="zh-CN"/>
        </w:rPr>
        <w:t>15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eastAsia="zh-CN"/>
        </w:rPr>
        <w:t>抗旱</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5.00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16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（类）巩固脱贫衔接乡村振兴（款）其他巩固脱贫衔接乡村振兴支出（项）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13.13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74.24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sz w:val="32"/>
          <w:szCs w:val="32"/>
        </w:rPr>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28.91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tabs>
          <w:tab w:val="right" w:pos="8306"/>
        </w:tabs>
        <w:spacing w:line="600" w:lineRule="exact"/>
        <w:ind w:firstLine="640"/>
        <w:outlineLvl w:val="1"/>
        <w:rPr>
          <w:rStyle w:val="32"/>
        </w:rPr>
      </w:pPr>
      <w:bookmarkStart w:id="41" w:name="_Toc15377214"/>
      <w:bookmarkStart w:id="4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1"/>
      <w:bookmarkEnd w:id="42"/>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516.98</w:t>
      </w:r>
      <w:r>
        <w:rPr>
          <w:rFonts w:hint="eastAsia" w:ascii="仿宋" w:hAnsi="仿宋" w:eastAsia="仿宋"/>
          <w:sz w:val="32"/>
          <w:szCs w:val="32"/>
        </w:rPr>
        <w:t>万元，其中：</w:t>
      </w:r>
    </w:p>
    <w:p>
      <w:pPr>
        <w:spacing w:line="600" w:lineRule="exact"/>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473.59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43.39</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outlineLvl w:val="1"/>
        <w:rPr>
          <w:rStyle w:val="32"/>
          <w:rFonts w:ascii="黑体" w:hAnsi="黑体" w:eastAsia="黑体"/>
          <w:b w:val="0"/>
        </w:rPr>
      </w:pPr>
      <w:bookmarkStart w:id="43" w:name="_Toc15396609"/>
      <w:bookmarkStart w:id="44"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3"/>
      <w:bookmarkEnd w:id="44"/>
    </w:p>
    <w:p>
      <w:pPr>
        <w:spacing w:line="600" w:lineRule="exact"/>
        <w:ind w:firstLine="640"/>
        <w:outlineLvl w:val="2"/>
        <w:rPr>
          <w:rFonts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1.57</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53.68</w:t>
      </w:r>
      <w:r>
        <w:rPr>
          <w:rFonts w:hint="eastAsia" w:ascii="仿宋" w:hAnsi="仿宋" w:eastAsia="仿宋"/>
          <w:sz w:val="32"/>
          <w:szCs w:val="32"/>
        </w:rPr>
        <w:t>%。主要原因是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7"/>
        <w:rPr>
          <w:rFonts w:hint="eastAsia" w:ascii="仿宋" w:hAnsi="仿宋" w:eastAsia="仿宋"/>
          <w:sz w:val="32"/>
          <w:szCs w:val="32"/>
        </w:rPr>
      </w:pPr>
      <w:r>
        <w:drawing>
          <wp:inline distT="0" distB="0" distL="114300" distR="114300">
            <wp:extent cx="4847590" cy="2695575"/>
            <wp:effectExtent l="4445" t="5080" r="5715" b="444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1.57</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年减少1.82万元，减少53.68%。主要原因是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b/>
          <w:sz w:val="32"/>
          <w:szCs w:val="32"/>
          <w:lang w:val="en-US" w:eastAsia="zh-CN"/>
        </w:rPr>
        <w:t>1.57</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59</w:t>
      </w:r>
      <w:r>
        <w:rPr>
          <w:rFonts w:hint="eastAsia" w:ascii="仿宋_GB2312" w:eastAsia="仿宋_GB2312"/>
          <w:sz w:val="32"/>
          <w:szCs w:val="32"/>
        </w:rPr>
        <w:t>批次，</w:t>
      </w:r>
      <w:r>
        <w:rPr>
          <w:rFonts w:hint="eastAsia" w:ascii="仿宋_GB2312" w:eastAsia="仿宋_GB2312"/>
          <w:sz w:val="32"/>
          <w:szCs w:val="32"/>
          <w:lang w:val="en-US" w:eastAsia="zh-CN"/>
        </w:rPr>
        <w:t>515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1.57</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1.57万元</w:t>
      </w:r>
      <w:r>
        <w:rPr>
          <w:rFonts w:hint="eastAsia" w:ascii="仿宋_GB2312" w:eastAsia="仿宋_GB2312"/>
          <w:sz w:val="32"/>
          <w:szCs w:val="32"/>
        </w:rPr>
        <w:t>。</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7" w:name="_Toc15377218"/>
      <w:bookmarkStart w:id="48"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9" w:name="_Toc15377219"/>
      <w:bookmarkStart w:id="50" w:name="_Toc15396611"/>
      <w:r>
        <w:rPr>
          <w:rStyle w:val="32"/>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both"/>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51" w:name="_Toc15377221"/>
      <w:bookmarkStart w:id="52" w:name="_Toc15396612"/>
      <w:r>
        <w:rPr>
          <w:rStyle w:val="32"/>
          <w:rFonts w:hint="eastAsia" w:ascii="黑体" w:hAnsi="黑体" w:eastAsia="黑体"/>
          <w:b w:val="0"/>
        </w:rPr>
        <w:t>其他重要事项的情况说明</w:t>
      </w:r>
      <w:bookmarkEnd w:id="51"/>
      <w:bookmarkEnd w:id="52"/>
    </w:p>
    <w:p>
      <w:pPr>
        <w:spacing w:line="600" w:lineRule="exact"/>
        <w:ind w:firstLine="642" w:firstLineChars="200"/>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剑阁县涂山镇人民政府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43.39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148.89</w:t>
      </w:r>
      <w:r>
        <w:rPr>
          <w:rFonts w:hint="eastAsia" w:ascii="仿宋_GB2312" w:eastAsia="仿宋_GB2312"/>
          <w:sz w:val="32"/>
          <w:szCs w:val="32"/>
        </w:rPr>
        <w:t>万元，下降</w:t>
      </w:r>
      <w:r>
        <w:rPr>
          <w:rFonts w:hint="eastAsia" w:ascii="仿宋_GB2312" w:eastAsia="仿宋_GB2312"/>
          <w:sz w:val="32"/>
          <w:szCs w:val="32"/>
          <w:lang w:val="en-US" w:eastAsia="zh-CN"/>
        </w:rPr>
        <w:t>77.43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剑阁县涂山镇人民政府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5" w:name="_Toc15377224"/>
      <w:r>
        <w:rPr>
          <w:rFonts w:hint="eastAsia" w:ascii="仿宋" w:hAnsi="仿宋" w:eastAsia="仿宋"/>
          <w:b/>
          <w:sz w:val="32"/>
          <w:szCs w:val="32"/>
        </w:rPr>
        <w:t>（三）国有资产占有使用情况</w:t>
      </w:r>
      <w:bookmarkEnd w:id="5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剑阁县涂山镇人民政府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组织对2022年度一般公共预算、政府性基金预算、国有资本经营预算、社会保险基金预算以及资本资产、债券资金等全面开展绩效自评，形成剑阁县涂山镇人民政府部门整体（含部门预算项目）绩效自评报告、</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等专项预算项目绩效自评报告，其中，剑阁县涂山镇人民政部门整体（含部门预算项目）绩效自评得分为95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6" w:name="_Toc15396613"/>
      <w:bookmarkStart w:id="57" w:name="_Toc15377225"/>
      <w:r>
        <w:rPr>
          <w:rFonts w:hint="eastAsia" w:ascii="黑体" w:hAnsi="黑体" w:eastAsia="黑体"/>
          <w:sz w:val="44"/>
          <w:szCs w:val="44"/>
        </w:rPr>
        <w:t>名</w:t>
      </w:r>
      <w:r>
        <w:rPr>
          <w:rStyle w:val="31"/>
          <w:rFonts w:hint="eastAsia" w:ascii="黑体" w:hAnsi="黑体" w:eastAsia="黑体"/>
          <w:b w:val="0"/>
        </w:rPr>
        <w:t>词解释</w:t>
      </w:r>
      <w:bookmarkEnd w:id="56"/>
      <w:bookmarkEnd w:id="57"/>
    </w:p>
    <w:p>
      <w:pPr>
        <w:spacing w:line="600" w:lineRule="exact"/>
        <w:jc w:val="left"/>
        <w:rPr>
          <w:rFonts w:ascii="宋体"/>
          <w:b/>
          <w:sz w:val="44"/>
          <w:szCs w:val="44"/>
        </w:rPr>
      </w:pP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（类）行政事业单位医疗（款）事业单位医疗（项）：指事业单位用于缴纳单位基本医疗保险支出。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抗旱</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反映抗旱业务支出。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9"/>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二十一</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2" w:firstLineChars="200"/>
        <w:rPr>
          <w:rFonts w:ascii="仿宋" w:hAnsi="仿宋" w:eastAsia="仿宋"/>
          <w:b/>
          <w:sz w:val="32"/>
          <w:szCs w:val="32"/>
        </w:rPr>
      </w:pPr>
    </w:p>
    <w:p>
      <w:pPr>
        <w:spacing w:line="600" w:lineRule="exact"/>
        <w:jc w:val="center"/>
        <w:outlineLvl w:val="0"/>
        <w:rPr>
          <w:rStyle w:val="31"/>
          <w:rFonts w:ascii="黑体" w:hAnsi="黑体" w:eastAsia="黑体"/>
          <w:b w:val="0"/>
        </w:rPr>
      </w:pPr>
      <w:bookmarkStart w:id="58" w:name="_Toc15377226"/>
      <w:r>
        <w:rPr>
          <w:rFonts w:ascii="宋体"/>
          <w:b/>
          <w:sz w:val="44"/>
          <w:szCs w:val="44"/>
        </w:rPr>
        <w:br w:type="page"/>
      </w:r>
      <w:bookmarkStart w:id="59" w:name="_Toc15396614"/>
      <w:r>
        <w:rPr>
          <w:rFonts w:hint="eastAsia" w:ascii="黑体" w:hAnsi="黑体" w:eastAsia="黑体"/>
          <w:sz w:val="44"/>
          <w:szCs w:val="44"/>
        </w:rPr>
        <w:t>第</w:t>
      </w:r>
      <w:r>
        <w:rPr>
          <w:rStyle w:val="31"/>
          <w:rFonts w:hint="eastAsia" w:ascii="黑体" w:hAnsi="黑体" w:eastAsia="黑体"/>
          <w:b w:val="0"/>
        </w:rPr>
        <w:t>四部分 附件</w:t>
      </w:r>
      <w:bookmarkEnd w:id="59"/>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eastAsia="zh-CN"/>
        </w:rPr>
        <w:t>涂山</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涂山镇内设机构（五办四中心）：党政综合与乡村振兴办公室、党建工作办公室、综合行政执法办公室、社会事务办公室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5、完成上级政府交办的其它事项。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2022年我镇总编制36名，其中行政编制17名，机关工勤编制1名，事业编制18名。年末在职人员总数36人，其中行政人员15人，事业人员17人，机关工勤人员1人。</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2022年涂山镇人民政府收入总额为646.47万元，其中：一般公共预算财政拨款收入646.47万元。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 xml:space="preserve">2022年一般公共预算财政拨款支出646.47万元，主要用于以下方面:一般公共服务支出252.46万元，占39.05%；文化旅游体育与传媒支出56.01万元，占8.63％；社会保障和就业支出67.13万元，占10.38％；卫生健康支出19.27万元，占2.98％；城乡社区支出8.06万元，占1.25％；农林水支出214.64万元，占33.2％；住房保障支出28.91万元，占4.47％；2021 年一般公共预算财政拨款支出 1008.11 万元，主要用于以下方面:一般公共服务支出 463.12 万元，占 45.94%；国防支出 0.50 万元，占 0.05%；文化旅游体育与传媒支出 14.08 万元，占 1.40%；社会保障和就业支出 65.56 万元，占 6.50%；卫生健康支出 26.86 万元，占 2.7%；城乡社区支出 14.91 万元，占 1.48%；农林水支出 395.23 万元，占 39.20%；资源勘探工业信息支出 2.81 万元，占 0.27%；住房保障支出 25.03 万元，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占 2.48%。</w:t>
      </w:r>
    </w:p>
    <w:p>
      <w:pPr>
        <w:spacing w:line="600" w:lineRule="exact"/>
        <w:ind w:firstLine="640"/>
        <w:rPr>
          <w:rFonts w:hint="eastAsia"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2022年人员类项目预算473.59万元，实际支付473.59万元，资金执行率100%，执行情况较好。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2022年运转类项目预算43.39万元，实际支付43.39万元，资金执行率100%，机关日常事务运转得到充分保障，预算执行情况较好。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FF0000"/>
          <w:spacing w:val="0"/>
          <w:kern w:val="0"/>
          <w:sz w:val="32"/>
          <w:szCs w:val="32"/>
          <w:shd w:val="clear" w:fill="FFFFFF"/>
          <w:lang w:val="zh-CN" w:eastAsia="zh-CN" w:bidi="ar-SA"/>
        </w:rPr>
      </w:pPr>
      <w:r>
        <w:rPr>
          <w:rFonts w:hint="eastAsia" w:ascii="仿宋" w:hAnsi="仿宋" w:eastAsia="仿宋" w:cs="仿宋"/>
          <w:b w:val="0"/>
          <w:bCs w:val="0"/>
          <w:i w:val="0"/>
          <w:iCs w:val="0"/>
          <w:caps w:val="0"/>
          <w:color w:val="auto"/>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auto"/>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auto"/>
          <w:spacing w:val="0"/>
          <w:kern w:val="0"/>
          <w:sz w:val="32"/>
          <w:szCs w:val="32"/>
          <w:shd w:val="clear" w:fill="FFFFFF"/>
          <w:lang w:val="en-US" w:eastAsia="zh-CN" w:bidi="ar-SA"/>
        </w:rPr>
        <w:t>2022年特定目标类项目预算228.77万元，实际支付228.77万元，资金执行率100%，执行情况较好。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100</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7"/>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62"/>
        <w:gridCol w:w="477"/>
        <w:gridCol w:w="812"/>
        <w:gridCol w:w="989"/>
        <w:gridCol w:w="283"/>
        <w:gridCol w:w="991"/>
        <w:gridCol w:w="252"/>
        <w:gridCol w:w="1032"/>
        <w:gridCol w:w="284"/>
        <w:gridCol w:w="1098"/>
        <w:gridCol w:w="69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涂山</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646.47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646.47</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646.47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646.47</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eastAsia="宋体" w:cs="宋体"/>
                <w:i w:val="0"/>
                <w:iCs w:val="0"/>
                <w:color w:val="000000"/>
                <w:kern w:val="0"/>
                <w:sz w:val="16"/>
                <w:szCs w:val="16"/>
                <w:u w:val="none"/>
                <w:lang w:val="en-US" w:eastAsia="zh-CN" w:bidi="ar"/>
              </w:rPr>
              <w:t>646.47</w:t>
            </w:r>
            <w:r>
              <w:rPr>
                <w:rFonts w:hint="eastAsia" w:ascii="宋体" w:hAnsi="宋体" w:eastAsia="宋体" w:cs="宋体"/>
                <w:i w:val="0"/>
                <w:iCs w:val="0"/>
                <w:color w:val="000000"/>
                <w:kern w:val="0"/>
                <w:sz w:val="13"/>
                <w:szCs w:val="13"/>
                <w:u w:val="none"/>
                <w:lang w:val="en-US" w:eastAsia="zh-CN" w:bidi="ar"/>
              </w:rPr>
              <w:t>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eastAsia="宋体" w:cs="宋体"/>
                <w:i w:val="0"/>
                <w:iCs w:val="0"/>
                <w:color w:val="000000"/>
                <w:kern w:val="0"/>
                <w:sz w:val="16"/>
                <w:szCs w:val="16"/>
                <w:u w:val="none"/>
                <w:lang w:val="en-US" w:eastAsia="zh-CN" w:bidi="ar"/>
              </w:rPr>
              <w:t>646.47</w:t>
            </w:r>
            <w:r>
              <w:rPr>
                <w:rFonts w:hint="eastAsia" w:ascii="宋体" w:hAnsi="宋体" w:eastAsia="宋体" w:cs="宋体"/>
                <w:i w:val="0"/>
                <w:iCs w:val="0"/>
                <w:color w:val="000000"/>
                <w:kern w:val="0"/>
                <w:sz w:val="13"/>
                <w:szCs w:val="13"/>
                <w:u w:val="none"/>
                <w:lang w:val="en-US" w:eastAsia="zh-CN" w:bidi="ar"/>
              </w:rPr>
              <w:t>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剑阁县涂山镇人民政府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关于垃圾场设计变更项目（化解隐性债务）</w:t>
      </w:r>
      <w:r>
        <w:rPr>
          <w:rFonts w:hint="eastAsia" w:ascii="华文中宋" w:hAnsi="华文中宋" w:eastAsia="华文中宋" w:cs="华文中宋"/>
          <w:b/>
          <w:bCs/>
          <w:sz w:val="36"/>
          <w:szCs w:val="36"/>
          <w:lang w:val="zh-CN"/>
        </w:rPr>
        <w:t>项目</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ascii="宋体" w:hAnsi="宋体"/>
          <w:color w:val="auto"/>
          <w:kern w:val="2"/>
          <w:sz w:val="32"/>
          <w:szCs w:val="32"/>
          <w:highlight w:val="none"/>
        </w:rPr>
      </w:pPr>
      <w:r>
        <w:rPr>
          <w:rFonts w:hint="eastAsia" w:ascii="华文中宋" w:hAnsi="华文中宋" w:eastAsia="华文中宋" w:cs="华文中宋"/>
          <w:b/>
          <w:bCs/>
          <w:sz w:val="36"/>
          <w:szCs w:val="36"/>
          <w:lang w:val="zh-CN"/>
        </w:rPr>
        <w:t>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2022年县财政局下达专项化解隐性债务资金，涉及我镇迎新村环境和公共服务设施工程</w:t>
      </w:r>
      <w:r>
        <w:rPr>
          <w:rFonts w:hint="eastAsia" w:ascii="仿宋_GB2312" w:hAnsi="仿宋" w:eastAsia="仿宋_GB2312" w:cs="仿宋"/>
          <w:color w:val="000000"/>
          <w:sz w:val="32"/>
          <w:szCs w:val="32"/>
          <w:lang w:val="zh-CN" w:eastAsia="zh-CN"/>
        </w:rPr>
        <w:t>（化解隐性债务）项目</w:t>
      </w:r>
      <w:r>
        <w:rPr>
          <w:rFonts w:hint="eastAsia" w:ascii="仿宋_GB2312" w:hAnsi="仿宋" w:eastAsia="仿宋_GB2312" w:cs="仿宋"/>
          <w:color w:val="000000"/>
          <w:sz w:val="32"/>
          <w:szCs w:val="32"/>
          <w:lang w:val="en-US" w:eastAsia="zh-CN"/>
        </w:rPr>
        <w:t>71.82万元，我镇对该项资金的使用符合资金管理办法等相关规定。</w:t>
      </w:r>
    </w:p>
    <w:p>
      <w:pPr>
        <w:ind w:firstLine="560" w:firstLineChars="200"/>
        <w:rPr>
          <w:rFonts w:hint="eastAsia" w:ascii="仿宋_GB2312" w:hAnsi="仿宋" w:eastAsia="仿宋_GB2312" w:cs="仿宋"/>
          <w:color w:val="000000"/>
          <w:sz w:val="32"/>
          <w:szCs w:val="32"/>
          <w:lang w:val="en-US" w:eastAsia="zh-CN"/>
        </w:rPr>
      </w:pPr>
      <w:r>
        <w:rPr>
          <w:rFonts w:hint="eastAsia"/>
          <w:sz w:val="28"/>
          <w:szCs w:val="28"/>
        </w:rPr>
        <w:t>（二）</w:t>
      </w:r>
      <w:r>
        <w:rPr>
          <w:rFonts w:hint="eastAsia"/>
          <w:b/>
          <w:bCs/>
          <w:sz w:val="28"/>
          <w:szCs w:val="28"/>
        </w:rPr>
        <w:t>项目绩效目标。</w:t>
      </w:r>
      <w:r>
        <w:rPr>
          <w:rFonts w:hint="eastAsia" w:ascii="仿宋_GB2312" w:hAnsi="仿宋" w:eastAsia="仿宋_GB2312" w:cs="仿宋"/>
          <w:color w:val="000000"/>
          <w:sz w:val="32"/>
          <w:szCs w:val="32"/>
          <w:lang w:val="en-US" w:eastAsia="zh-CN"/>
        </w:rPr>
        <w:t>完成隐性债务化解71.82万元，提高政府社会诚信度。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仿宋_GB2312" w:hAnsi="仿宋" w:eastAsia="仿宋_GB2312" w:cs="仿宋"/>
          <w:color w:val="000000"/>
          <w:sz w:val="32"/>
          <w:szCs w:val="32"/>
          <w:lang w:val="en-US" w:eastAsia="zh-CN"/>
        </w:rPr>
      </w:pPr>
      <w:r>
        <w:rPr>
          <w:rFonts w:hint="eastAsia"/>
          <w:sz w:val="28"/>
          <w:szCs w:val="28"/>
        </w:rPr>
        <w:t>（三）</w:t>
      </w:r>
      <w:r>
        <w:rPr>
          <w:rFonts w:hint="eastAsia"/>
          <w:b/>
          <w:bCs/>
          <w:sz w:val="28"/>
          <w:szCs w:val="28"/>
        </w:rPr>
        <w:t>项目资金申报相符性。</w:t>
      </w:r>
      <w:r>
        <w:rPr>
          <w:rFonts w:hint="eastAsia" w:ascii="仿宋_GB2312" w:hAnsi="仿宋" w:eastAsia="仿宋_GB2312" w:cs="仿宋"/>
          <w:color w:val="000000"/>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keepNext w:val="0"/>
        <w:keepLines w:val="0"/>
        <w:pageBreakBefore w:val="0"/>
        <w:widowControl w:val="0"/>
        <w:kinsoku/>
        <w:wordWrap/>
        <w:overflowPunct/>
        <w:topLinePunct w:val="0"/>
        <w:autoSpaceDE/>
        <w:autoSpaceDN/>
        <w:bidi w:val="0"/>
        <w:spacing w:line="576" w:lineRule="exact"/>
        <w:ind w:firstLine="560" w:firstLineChars="200"/>
        <w:textAlignment w:val="auto"/>
        <w:rPr>
          <w:rFonts w:hint="eastAsia"/>
          <w:sz w:val="28"/>
          <w:szCs w:val="28"/>
        </w:rPr>
      </w:pPr>
      <w:r>
        <w:rPr>
          <w:rFonts w:hint="eastAsia"/>
          <w:sz w:val="28"/>
          <w:szCs w:val="28"/>
        </w:rPr>
        <w:t>1．</w:t>
      </w:r>
      <w:r>
        <w:rPr>
          <w:rFonts w:hint="eastAsia" w:ascii="仿宋_GB2312" w:hAnsi="仿宋" w:eastAsia="仿宋_GB2312" w:cs="仿宋"/>
          <w:color w:val="000000"/>
          <w:sz w:val="32"/>
          <w:szCs w:val="32"/>
          <w:lang w:val="zh-CN" w:eastAsia="zh-CN"/>
        </w:rPr>
        <w:t>资金计划及到位</w:t>
      </w:r>
      <w:r>
        <w:rPr>
          <w:rFonts w:hint="eastAsia" w:ascii="仿宋_GB2312" w:hAnsi="仿宋" w:eastAsia="仿宋_GB2312" w:cs="仿宋"/>
          <w:color w:val="000000"/>
          <w:sz w:val="32"/>
          <w:szCs w:val="32"/>
          <w:lang w:val="en-US" w:eastAsia="zh-CN"/>
        </w:rPr>
        <w:t>。该项目计划资金71.82万元，资金到位率100%，到位及时</w:t>
      </w:r>
      <w:r>
        <w:rPr>
          <w:rFonts w:hint="eastAsia" w:ascii="仿宋_GB2312" w:hAnsi="仿宋" w:eastAsia="仿宋_GB2312" w:cs="仿宋"/>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sz w:val="28"/>
          <w:szCs w:val="28"/>
        </w:rPr>
      </w:pPr>
      <w:r>
        <w:rPr>
          <w:rFonts w:hint="eastAsia"/>
          <w:sz w:val="28"/>
          <w:szCs w:val="28"/>
        </w:rPr>
        <w:t>2．</w:t>
      </w:r>
      <w:r>
        <w:rPr>
          <w:rFonts w:hint="eastAsia" w:ascii="仿宋_GB2312" w:hAnsi="仿宋" w:eastAsia="仿宋_GB2312" w:cs="仿宋"/>
          <w:color w:val="000000"/>
          <w:sz w:val="32"/>
          <w:szCs w:val="32"/>
          <w:lang w:val="zh-CN" w:eastAsia="zh-CN"/>
        </w:rPr>
        <w:t>资金使用。截至评价时点迎新村环境和公共服务设施工程项目（化解隐性债务）项目资金的实际支出</w:t>
      </w:r>
      <w:r>
        <w:rPr>
          <w:rFonts w:hint="eastAsia" w:ascii="仿宋_GB2312" w:hAnsi="仿宋" w:eastAsia="仿宋_GB2312" w:cs="仿宋"/>
          <w:color w:val="000000"/>
          <w:sz w:val="32"/>
          <w:szCs w:val="32"/>
          <w:lang w:val="en-US" w:eastAsia="zh-CN"/>
        </w:rPr>
        <w:t>71.82万元</w:t>
      </w:r>
      <w:r>
        <w:rPr>
          <w:rFonts w:hint="eastAsia" w:ascii="仿宋_GB2312" w:hAnsi="仿宋" w:eastAsia="仿宋_GB2312" w:cs="仿宋"/>
          <w:color w:val="000000"/>
          <w:sz w:val="32"/>
          <w:szCs w:val="32"/>
          <w:lang w:val="zh-CN" w:eastAsia="zh-CN"/>
        </w:rPr>
        <w:t>，</w:t>
      </w:r>
      <w:r>
        <w:rPr>
          <w:rFonts w:hint="eastAsia" w:ascii="仿宋_GB2312" w:hAnsi="仿宋" w:eastAsia="仿宋_GB2312" w:cs="仿宋"/>
          <w:color w:val="000000"/>
          <w:sz w:val="32"/>
          <w:szCs w:val="32"/>
          <w:lang w:val="en-US" w:eastAsia="zh-CN"/>
        </w:rPr>
        <w:t>我镇已根据实际情况支付完毕， 支付依据合规合法，资金支付与预算相符。</w:t>
      </w:r>
    </w:p>
    <w:p>
      <w:pPr>
        <w:ind w:firstLine="562" w:firstLineChars="200"/>
        <w:rPr>
          <w:rFonts w:hint="eastAsia"/>
          <w:b/>
          <w:bCs/>
          <w:sz w:val="28"/>
          <w:szCs w:val="28"/>
        </w:rPr>
      </w:pPr>
      <w:r>
        <w:rPr>
          <w:rFonts w:hint="eastAsia"/>
          <w:b/>
          <w:bCs/>
          <w:sz w:val="28"/>
          <w:szCs w:val="28"/>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17"/>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（一）项目完成情况。</w:t>
      </w:r>
      <w:r>
        <w:rPr>
          <w:rFonts w:hint="eastAsia" w:ascii="仿宋_GB2312" w:hAnsi="仿宋" w:eastAsia="仿宋_GB2312" w:cs="仿宋"/>
          <w:color w:val="000000"/>
          <w:sz w:val="32"/>
          <w:szCs w:val="32"/>
          <w:lang w:val="zh-CN" w:eastAsia="zh-CN"/>
        </w:rPr>
        <w:t>偿还债权人迎新村环境和公共服务设施工程项目债务</w:t>
      </w:r>
      <w:r>
        <w:rPr>
          <w:rFonts w:hint="eastAsia" w:ascii="仿宋_GB2312" w:hAnsi="仿宋" w:eastAsia="仿宋_GB2312" w:cs="仿宋"/>
          <w:color w:val="000000"/>
          <w:sz w:val="32"/>
          <w:szCs w:val="32"/>
          <w:lang w:val="en-US" w:eastAsia="zh-CN"/>
        </w:rPr>
        <w:t>71.82万元</w:t>
      </w:r>
      <w:r>
        <w:rPr>
          <w:rFonts w:hint="eastAsia" w:ascii="仿宋_GB2312" w:hAnsi="仿宋" w:eastAsia="仿宋_GB2312" w:cs="仿宋"/>
          <w:color w:val="000000"/>
          <w:sz w:val="32"/>
          <w:szCs w:val="32"/>
          <w:lang w:val="zh-CN" w:eastAsia="zh-CN"/>
        </w:rPr>
        <w:t>。</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（二）项目效益情况。</w:t>
      </w:r>
      <w:r>
        <w:rPr>
          <w:rFonts w:hint="eastAsia" w:ascii="仿宋_GB2312" w:hAnsi="仿宋" w:eastAsia="仿宋_GB2312" w:cs="仿宋"/>
          <w:color w:val="000000"/>
          <w:sz w:val="32"/>
          <w:szCs w:val="32"/>
          <w:lang w:val="zh-CN" w:eastAsia="zh-CN"/>
        </w:rPr>
        <w:t>通过该项目的实施，提高了政府社会诚信度，农民工对工程结算满意度。</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sz w:val="28"/>
          <w:szCs w:val="28"/>
          <w:lang w:eastAsia="zh-CN"/>
        </w:rPr>
      </w:pPr>
      <w:r>
        <w:rPr>
          <w:rFonts w:hint="eastAsia"/>
          <w:b/>
          <w:bCs/>
          <w:sz w:val="28"/>
          <w:szCs w:val="28"/>
        </w:rPr>
        <w:t>（一）存在的问题。</w:t>
      </w:r>
      <w:r>
        <w:rPr>
          <w:rFonts w:hint="eastAsia" w:ascii="仿宋_GB2312" w:hAnsi="仿宋" w:eastAsia="仿宋_GB2312" w:cs="仿宋"/>
          <w:color w:val="000000"/>
          <w:sz w:val="32"/>
          <w:szCs w:val="32"/>
          <w:lang w:val="zh-CN" w:eastAsia="zh-CN"/>
        </w:rPr>
        <w:t>隐性债务系历年历史遗留问题，除上级财政支持外，我单位无力偿还其他相关债务</w:t>
      </w:r>
      <w:r>
        <w:rPr>
          <w:rFonts w:hint="eastAsia"/>
          <w:sz w:val="28"/>
          <w:szCs w:val="28"/>
          <w:lang w:eastAsia="zh-CN"/>
        </w:rPr>
        <w:t>。</w:t>
      </w:r>
    </w:p>
    <w:p>
      <w:pPr>
        <w:ind w:firstLine="562" w:firstLineChars="200"/>
        <w:rPr>
          <w:rFonts w:hint="eastAsia" w:ascii="仿宋" w:hAnsi="仿宋" w:eastAsia="仿宋" w:cs="仿宋"/>
          <w:color w:val="000000"/>
          <w:kern w:val="0"/>
          <w:sz w:val="32"/>
          <w:szCs w:val="32"/>
          <w:shd w:val="clear" w:color="auto" w:fill="FFFFFF"/>
          <w:lang w:val="zh-CN" w:eastAsia="zh-CN" w:bidi="ar-SA"/>
        </w:rPr>
      </w:pPr>
      <w:r>
        <w:rPr>
          <w:rFonts w:hint="eastAsia"/>
          <w:b/>
          <w:bCs/>
          <w:sz w:val="28"/>
          <w:szCs w:val="28"/>
        </w:rPr>
        <w:t>（二）相关建议。</w:t>
      </w:r>
      <w:r>
        <w:rPr>
          <w:rFonts w:hint="eastAsia" w:ascii="仿宋_GB2312" w:hAnsi="仿宋" w:eastAsia="仿宋_GB2312" w:cs="仿宋"/>
          <w:color w:val="000000"/>
          <w:sz w:val="32"/>
          <w:szCs w:val="32"/>
          <w:lang w:val="zh-CN" w:eastAsia="zh-CN"/>
        </w:rPr>
        <w:t>希望县财政安排资金，早日偿还清债务，维护社会稳定。</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i w:val="0"/>
          <w:caps w:val="0"/>
          <w:color w:val="666666"/>
          <w:spacing w:val="0"/>
          <w:sz w:val="32"/>
          <w:szCs w:val="32"/>
          <w:shd w:val="clear" w:fill="FFFFFF"/>
          <w:lang w:val="en-US" w:eastAsia="zh-CN"/>
        </w:rPr>
      </w:pPr>
    </w:p>
    <w:tbl>
      <w:tblPr>
        <w:tblStyle w:val="18"/>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534"/>
        <w:gridCol w:w="477"/>
        <w:gridCol w:w="281"/>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附件四</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zh-CN" w:eastAsia="zh-CN" w:bidi="ar"/>
              </w:rPr>
              <w:t>迎新村环境和公共服务设施工程项</w:t>
            </w:r>
            <w:r>
              <w:rPr>
                <w:rFonts w:hint="eastAsia" w:ascii="宋体" w:hAnsi="宋体" w:cs="宋体"/>
                <w:i w:val="0"/>
                <w:iCs w:val="0"/>
                <w:color w:val="000000"/>
                <w:kern w:val="0"/>
                <w:sz w:val="20"/>
                <w:szCs w:val="20"/>
                <w:u w:val="none"/>
                <w:lang w:val="zh-CN" w:eastAsia="zh-CN" w:bidi="ar"/>
              </w:rPr>
              <w:t>目</w:t>
            </w:r>
            <w:r>
              <w:rPr>
                <w:rFonts w:hint="eastAsia" w:ascii="宋体" w:hAnsi="宋体" w:eastAsia="宋体" w:cs="宋体"/>
                <w:i w:val="0"/>
                <w:iCs w:val="0"/>
                <w:color w:val="000000"/>
                <w:kern w:val="0"/>
                <w:sz w:val="20"/>
                <w:szCs w:val="20"/>
                <w:u w:val="none"/>
                <w:lang w:val="en-US" w:eastAsia="zh-CN" w:bidi="ar"/>
              </w:rPr>
              <w:t>（化解隐性债务）</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蔡学松</w:t>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8780941448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涂山</w:t>
            </w:r>
            <w:r>
              <w:rPr>
                <w:rFonts w:hint="eastAsia" w:ascii="宋体" w:hAnsi="宋体" w:eastAsia="宋体" w:cs="宋体"/>
                <w:i w:val="0"/>
                <w:iCs w:val="0"/>
                <w:color w:val="000000"/>
                <w:kern w:val="0"/>
                <w:sz w:val="20"/>
                <w:szCs w:val="20"/>
                <w:u w:val="none"/>
                <w:lang w:val="en-US" w:eastAsia="zh-CN" w:bidi="ar"/>
              </w:rPr>
              <w:t>镇人民政府</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涂山</w:t>
            </w:r>
            <w:r>
              <w:rPr>
                <w:rFonts w:hint="eastAsia" w:ascii="宋体" w:hAnsi="宋体" w:eastAsia="宋体" w:cs="宋体"/>
                <w:i w:val="0"/>
                <w:iCs w:val="0"/>
                <w:color w:val="000000"/>
                <w:kern w:val="0"/>
                <w:sz w:val="20"/>
                <w:szCs w:val="20"/>
                <w:u w:val="none"/>
                <w:lang w:val="en-US" w:eastAsia="zh-CN" w:bidi="ar"/>
              </w:rPr>
              <w:t>镇人民政府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zh-CN" w:eastAsia="zh-CN" w:bidi="ar"/>
              </w:rPr>
              <w:t>迎新村环境和公共服务设施工程项</w:t>
            </w:r>
            <w:r>
              <w:rPr>
                <w:rFonts w:hint="eastAsia" w:ascii="宋体" w:hAnsi="宋体" w:cs="宋体"/>
                <w:i w:val="0"/>
                <w:iCs w:val="0"/>
                <w:color w:val="000000"/>
                <w:kern w:val="0"/>
                <w:sz w:val="20"/>
                <w:szCs w:val="20"/>
                <w:u w:val="none"/>
                <w:lang w:val="zh-CN" w:eastAsia="zh-CN" w:bidi="ar"/>
              </w:rPr>
              <w:t>目</w:t>
            </w:r>
            <w:r>
              <w:rPr>
                <w:rFonts w:hint="eastAsia" w:ascii="宋体" w:hAnsi="宋体" w:eastAsia="宋体" w:cs="宋体"/>
                <w:i w:val="0"/>
                <w:iCs w:val="0"/>
                <w:color w:val="000000"/>
                <w:kern w:val="0"/>
                <w:sz w:val="20"/>
                <w:szCs w:val="20"/>
                <w:u w:val="none"/>
                <w:lang w:val="en-US" w:eastAsia="zh-CN" w:bidi="ar"/>
              </w:rPr>
              <w:t>产生的债务</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2022年底完成隐性债务化解</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政府社会诚信度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农民工对工程结算满意度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first"/>
          <w:footerReference r:id="rId3"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60" w:name="_Toc15396618"/>
      <w:r>
        <w:rPr>
          <w:rFonts w:hint="eastAsia" w:ascii="黑体" w:hAnsi="黑体" w:eastAsia="黑体"/>
          <w:sz w:val="44"/>
          <w:szCs w:val="44"/>
        </w:rPr>
        <w:t>第</w:t>
      </w:r>
      <w:r>
        <w:rPr>
          <w:rStyle w:val="31"/>
          <w:rFonts w:hint="eastAsia" w:ascii="黑体" w:hAnsi="黑体" w:eastAsia="黑体"/>
          <w:b w:val="0"/>
        </w:rPr>
        <w:t>五部分 附表</w:t>
      </w:r>
      <w:bookmarkEnd w:id="58"/>
      <w:bookmarkEnd w:id="60"/>
      <w:bookmarkStart w:id="61"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1"/>
    </w:p>
    <w:p>
      <w:pPr>
        <w:pStyle w:val="4"/>
        <w:rPr>
          <w:rFonts w:ascii="仿宋" w:hAnsi="仿宋" w:eastAsia="仿宋"/>
        </w:rPr>
      </w:pPr>
      <w:bookmarkStart w:id="62" w:name="_Toc15396620"/>
      <w:r>
        <w:rPr>
          <w:rFonts w:hint="eastAsia" w:ascii="仿宋" w:hAnsi="仿宋" w:eastAsia="仿宋"/>
          <w:b w:val="0"/>
        </w:rPr>
        <w:t>二、收</w:t>
      </w:r>
      <w:r>
        <w:rPr>
          <w:rStyle w:val="32"/>
          <w:rFonts w:hint="eastAsia" w:ascii="仿宋" w:hAnsi="仿宋" w:eastAsia="仿宋"/>
          <w:b w:val="0"/>
          <w:bCs w:val="0"/>
        </w:rPr>
        <w:t>入决算表</w:t>
      </w:r>
      <w:bookmarkEnd w:id="62"/>
    </w:p>
    <w:p>
      <w:pPr>
        <w:pStyle w:val="4"/>
        <w:rPr>
          <w:rFonts w:ascii="仿宋" w:hAnsi="仿宋" w:eastAsia="仿宋"/>
        </w:rPr>
      </w:pPr>
      <w:bookmarkStart w:id="63"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3"/>
    </w:p>
    <w:p>
      <w:pPr>
        <w:pStyle w:val="4"/>
        <w:rPr>
          <w:rFonts w:ascii="仿宋" w:hAnsi="仿宋" w:eastAsia="仿宋"/>
          <w:b w:val="0"/>
        </w:rPr>
      </w:pPr>
      <w:bookmarkStart w:id="64"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4"/>
    </w:p>
    <w:p>
      <w:pPr>
        <w:pStyle w:val="4"/>
        <w:rPr>
          <w:rStyle w:val="32"/>
          <w:rFonts w:ascii="仿宋" w:hAnsi="仿宋" w:eastAsia="仿宋"/>
          <w:b w:val="0"/>
          <w:bCs w:val="0"/>
        </w:rPr>
      </w:pPr>
      <w:bookmarkStart w:id="65"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5"/>
      <w:bookmarkStart w:id="66"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6"/>
    </w:p>
    <w:p>
      <w:pPr>
        <w:pStyle w:val="4"/>
        <w:rPr>
          <w:rFonts w:ascii="仿宋" w:hAnsi="仿宋" w:eastAsia="仿宋"/>
        </w:rPr>
      </w:pPr>
      <w:bookmarkStart w:id="67"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7"/>
    </w:p>
    <w:p>
      <w:pPr>
        <w:pStyle w:val="4"/>
        <w:rPr>
          <w:rFonts w:ascii="仿宋" w:hAnsi="仿宋" w:eastAsia="仿宋"/>
        </w:rPr>
      </w:pPr>
      <w:bookmarkStart w:id="68"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8"/>
    </w:p>
    <w:p>
      <w:pPr>
        <w:pStyle w:val="4"/>
        <w:rPr>
          <w:rFonts w:ascii="仿宋" w:hAnsi="仿宋" w:eastAsia="仿宋"/>
        </w:rPr>
      </w:pPr>
      <w:bookmarkStart w:id="69"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9"/>
    </w:p>
    <w:p>
      <w:pPr>
        <w:pStyle w:val="4"/>
        <w:rPr>
          <w:rFonts w:ascii="仿宋" w:hAnsi="仿宋" w:eastAsia="仿宋"/>
        </w:rPr>
      </w:pPr>
      <w:bookmarkStart w:id="70" w:name="_Toc15396628"/>
      <w:r>
        <w:rPr>
          <w:rStyle w:val="32"/>
          <w:rFonts w:hint="eastAsia" w:ascii="仿宋" w:hAnsi="仿宋" w:eastAsia="仿宋"/>
          <w:b w:val="0"/>
          <w:bCs w:val="0"/>
        </w:rPr>
        <w:t>十、</w:t>
      </w:r>
      <w:bookmarkEnd w:id="70"/>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71" w:name="_Toc15396629"/>
      <w:r>
        <w:rPr>
          <w:rStyle w:val="32"/>
          <w:rFonts w:hint="eastAsia" w:ascii="仿宋" w:hAnsi="仿宋" w:eastAsia="仿宋"/>
          <w:b w:val="0"/>
          <w:bCs w:val="0"/>
        </w:rPr>
        <w:t>十一、</w:t>
      </w:r>
      <w:bookmarkEnd w:id="71"/>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72" w:name="_Toc15396630"/>
      <w:r>
        <w:rPr>
          <w:rStyle w:val="32"/>
          <w:rFonts w:hint="eastAsia" w:ascii="仿宋" w:hAnsi="仿宋" w:eastAsia="仿宋"/>
          <w:b w:val="0"/>
          <w:bCs w:val="0"/>
        </w:rPr>
        <w:t>十二、</w:t>
      </w:r>
      <w:bookmarkEnd w:id="72"/>
      <w:r>
        <w:rPr>
          <w:rStyle w:val="32"/>
          <w:rFonts w:hint="eastAsia" w:ascii="仿宋" w:hAnsi="仿宋" w:eastAsia="仿宋"/>
          <w:b w:val="0"/>
          <w:bCs w:val="0"/>
        </w:rPr>
        <w:t>国有资本经营预算财政拨款支出决算表</w:t>
      </w:r>
    </w:p>
    <w:p>
      <w:pPr>
        <w:pStyle w:val="4"/>
        <w:rPr>
          <w:rFonts w:eastAsia="仿宋"/>
        </w:rPr>
      </w:pPr>
      <w:bookmarkStart w:id="73" w:name="_Toc15396631"/>
      <w:r>
        <w:rPr>
          <w:rStyle w:val="32"/>
          <w:rFonts w:hint="eastAsia" w:ascii="仿宋" w:hAnsi="仿宋" w:eastAsia="仿宋"/>
          <w:b w:val="0"/>
          <w:bCs w:val="0"/>
        </w:rPr>
        <w:t>十三、</w:t>
      </w:r>
      <w:bookmarkEnd w:id="73"/>
      <w:r>
        <w:rPr>
          <w:rStyle w:val="32"/>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rFonts w:hint="eastAsia"/>
        <w:lang w:val="en-US" w:eastAsia="zh-CN"/>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WJlNTA1ZmExMTMwODNhZmU0MjE1YzY2OGY1Z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50462CD"/>
    <w:rsid w:val="050F6516"/>
    <w:rsid w:val="066E0107"/>
    <w:rsid w:val="07996F6E"/>
    <w:rsid w:val="087A5757"/>
    <w:rsid w:val="0A2032A3"/>
    <w:rsid w:val="0F98263C"/>
    <w:rsid w:val="101860EC"/>
    <w:rsid w:val="10C055FF"/>
    <w:rsid w:val="118107EC"/>
    <w:rsid w:val="13D50BC4"/>
    <w:rsid w:val="14423DE3"/>
    <w:rsid w:val="16BB723D"/>
    <w:rsid w:val="172A4DE7"/>
    <w:rsid w:val="19C81C35"/>
    <w:rsid w:val="19E73463"/>
    <w:rsid w:val="1A3348FA"/>
    <w:rsid w:val="1BE8440E"/>
    <w:rsid w:val="1D155CEE"/>
    <w:rsid w:val="1D3C7281"/>
    <w:rsid w:val="1DDD4049"/>
    <w:rsid w:val="1FF35744"/>
    <w:rsid w:val="23860B96"/>
    <w:rsid w:val="240371BF"/>
    <w:rsid w:val="25B2697E"/>
    <w:rsid w:val="26EE4083"/>
    <w:rsid w:val="277A3B68"/>
    <w:rsid w:val="29FD04D3"/>
    <w:rsid w:val="2A44045E"/>
    <w:rsid w:val="2B9C3DCE"/>
    <w:rsid w:val="2C8A61B5"/>
    <w:rsid w:val="2D9047DE"/>
    <w:rsid w:val="2DF04E50"/>
    <w:rsid w:val="2EFA558F"/>
    <w:rsid w:val="2F040D46"/>
    <w:rsid w:val="30C47C02"/>
    <w:rsid w:val="319F7F4E"/>
    <w:rsid w:val="3304709D"/>
    <w:rsid w:val="36415851"/>
    <w:rsid w:val="36AA5135"/>
    <w:rsid w:val="376D39B2"/>
    <w:rsid w:val="37E16F03"/>
    <w:rsid w:val="38BB7B3D"/>
    <w:rsid w:val="38D469F0"/>
    <w:rsid w:val="3902751A"/>
    <w:rsid w:val="3A0A0D7C"/>
    <w:rsid w:val="3AE8273F"/>
    <w:rsid w:val="3B190B4B"/>
    <w:rsid w:val="3C561A2F"/>
    <w:rsid w:val="3C8641D0"/>
    <w:rsid w:val="3D98207C"/>
    <w:rsid w:val="3E78745D"/>
    <w:rsid w:val="444430DC"/>
    <w:rsid w:val="44E268DA"/>
    <w:rsid w:val="48571D06"/>
    <w:rsid w:val="4A627F82"/>
    <w:rsid w:val="4B0E749A"/>
    <w:rsid w:val="4B4F25DA"/>
    <w:rsid w:val="4BE068DB"/>
    <w:rsid w:val="4C8B2AFF"/>
    <w:rsid w:val="4D577224"/>
    <w:rsid w:val="4DC3171D"/>
    <w:rsid w:val="4DE1199C"/>
    <w:rsid w:val="4EAB630A"/>
    <w:rsid w:val="4ECE2238"/>
    <w:rsid w:val="537E6D0A"/>
    <w:rsid w:val="57AA72A2"/>
    <w:rsid w:val="582F2864"/>
    <w:rsid w:val="5AF92295"/>
    <w:rsid w:val="5CD71FC4"/>
    <w:rsid w:val="6B39476E"/>
    <w:rsid w:val="6B4B3950"/>
    <w:rsid w:val="6C4A05C8"/>
    <w:rsid w:val="6CA1081C"/>
    <w:rsid w:val="6D967C55"/>
    <w:rsid w:val="6E3A2CD6"/>
    <w:rsid w:val="6E7E3605"/>
    <w:rsid w:val="6FF5CC65"/>
    <w:rsid w:val="715C0E4B"/>
    <w:rsid w:val="71F4319C"/>
    <w:rsid w:val="72734D90"/>
    <w:rsid w:val="73AD73D5"/>
    <w:rsid w:val="73B6EB34"/>
    <w:rsid w:val="744731E5"/>
    <w:rsid w:val="74EB4D2A"/>
    <w:rsid w:val="760B6D06"/>
    <w:rsid w:val="76E3355F"/>
    <w:rsid w:val="76E732D0"/>
    <w:rsid w:val="76EC401C"/>
    <w:rsid w:val="778769C8"/>
    <w:rsid w:val="78393FFF"/>
    <w:rsid w:val="79EE5BA4"/>
    <w:rsid w:val="7A227C1D"/>
    <w:rsid w:val="7A664E53"/>
    <w:rsid w:val="7A894339"/>
    <w:rsid w:val="7B6B320F"/>
    <w:rsid w:val="7EEF11D3"/>
    <w:rsid w:val="7F1E7AAB"/>
    <w:rsid w:val="7FA30C79"/>
    <w:rsid w:val="7FB7269E"/>
    <w:rsid w:val="7FC96657"/>
    <w:rsid w:val="BDFE99F3"/>
    <w:rsid w:val="D8D6DB89"/>
    <w:rsid w:val="DB6F4CAB"/>
    <w:rsid w:val="DF6F9789"/>
    <w:rsid w:val="FECB6B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1008.11</c:v>
                </c:pt>
                <c:pt idx="1">
                  <c:v>646.47</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[工作簿4]Sheet1!$A$29:$A$30</c:f>
              <c:strCache>
                <c:ptCount val="2"/>
                <c:pt idx="0">
                  <c:v>收入决算结构图</c:v>
                </c:pt>
                <c:pt idx="1">
                  <c:v>一般公共预算财政拨款收入</c:v>
                </c:pt>
              </c:strCache>
            </c:strRef>
          </c:cat>
          <c:val>
            <c:numRef>
              <c:f>[工作簿4]Sheet1!$B$29:$B$30</c:f>
              <c:numCache>
                <c:formatCode>General</c:formatCode>
                <c:ptCount val="2"/>
                <c:pt idx="1">
                  <c:v>1121.27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0.7996</c:v>
                </c:pt>
                <c:pt idx="1">
                  <c:v>0.2004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1008.11</c:v>
                </c:pt>
                <c:pt idx="1">
                  <c:v>646.47</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1008.11</c:v>
                </c:pt>
                <c:pt idx="1">
                  <c:v>646.47</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252.46</c:v>
                </c:pt>
                <c:pt idx="1">
                  <c:v>67.13</c:v>
                </c:pt>
                <c:pt idx="2">
                  <c:v>19.27</c:v>
                </c:pt>
                <c:pt idx="3">
                  <c:v>28.91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1.57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33</TotalTime>
  <ScaleCrop>false</ScaleCrop>
  <LinksUpToDate>false</LinksUpToDate>
  <CharactersWithSpaces>8226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2025-01-24T14:41:02Z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70126FCAEFC24D3D9EEB3D1CF9284D05_12</vt:lpwstr>
  </property>
</Properties>
</file>