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2164B">
      <w:pPr>
        <w:keepNext w:val="0"/>
        <w:keepLines w:val="0"/>
        <w:pageBreakBefore w:val="0"/>
        <w:widowControl/>
        <w:tabs>
          <w:tab w:val="left" w:pos="3747"/>
        </w:tabs>
        <w:kinsoku w:val="0"/>
        <w:wordWrap/>
        <w:overflowPunct/>
        <w:topLinePunct w:val="0"/>
        <w:autoSpaceDE w:val="0"/>
        <w:autoSpaceDN w:val="0"/>
        <w:bidi w:val="0"/>
        <w:adjustRightInd w:val="0"/>
        <w:snapToGrid w:val="0"/>
        <w:spacing w:before="147" w:line="460" w:lineRule="exact"/>
        <w:jc w:val="center"/>
        <w:textAlignment w:val="baseline"/>
        <w:rPr>
          <w:rFonts w:hint="eastAsia" w:ascii="方正小标宋简体" w:hAnsi="方正小标宋简体" w:eastAsia="方正小标宋简体" w:cs="方正小标宋简体"/>
          <w:spacing w:val="-2"/>
          <w:position w:val="13"/>
          <w:sz w:val="44"/>
          <w:szCs w:val="44"/>
        </w:rPr>
      </w:pPr>
      <w:r>
        <w:rPr>
          <w:rFonts w:hint="eastAsia" w:ascii="方正小标宋简体" w:hAnsi="方正小标宋简体" w:eastAsia="方正小标宋简体" w:cs="方正小标宋简体"/>
          <w:spacing w:val="-2"/>
          <w:position w:val="13"/>
          <w:sz w:val="44"/>
          <w:szCs w:val="44"/>
        </w:rPr>
        <w:t>剑阁县市场监督管理局</w:t>
      </w:r>
    </w:p>
    <w:p w14:paraId="401925F1">
      <w:pPr>
        <w:keepNext w:val="0"/>
        <w:keepLines w:val="0"/>
        <w:pageBreakBefore w:val="0"/>
        <w:widowControl/>
        <w:tabs>
          <w:tab w:val="left" w:pos="3747"/>
        </w:tabs>
        <w:kinsoku w:val="0"/>
        <w:wordWrap/>
        <w:overflowPunct/>
        <w:topLinePunct w:val="0"/>
        <w:autoSpaceDE w:val="0"/>
        <w:autoSpaceDN w:val="0"/>
        <w:bidi w:val="0"/>
        <w:adjustRightInd w:val="0"/>
        <w:snapToGrid w:val="0"/>
        <w:spacing w:before="147" w:line="460" w:lineRule="exact"/>
        <w:jc w:val="center"/>
        <w:textAlignment w:val="baseline"/>
        <w:rPr>
          <w:rFonts w:hint="eastAsia" w:ascii="方正小标宋简体" w:hAnsi="方正小标宋简体" w:eastAsia="方正小标宋简体" w:cs="方正小标宋简体"/>
          <w:spacing w:val="-2"/>
          <w:position w:val="13"/>
          <w:sz w:val="44"/>
          <w:szCs w:val="44"/>
        </w:rPr>
      </w:pPr>
      <w:r>
        <w:rPr>
          <w:rFonts w:hint="eastAsia" w:ascii="方正小标宋简体" w:hAnsi="方正小标宋简体" w:eastAsia="方正小标宋简体" w:cs="方正小标宋简体"/>
          <w:spacing w:val="-2"/>
          <w:position w:val="13"/>
          <w:sz w:val="44"/>
          <w:szCs w:val="44"/>
        </w:rPr>
        <w:t>行政处罚决定书</w:t>
      </w:r>
    </w:p>
    <w:p w14:paraId="117F33D2">
      <w:pPr>
        <w:tabs>
          <w:tab w:val="left" w:pos="2725"/>
        </w:tabs>
        <w:spacing w:before="224" w:line="183" w:lineRule="auto"/>
        <w:ind w:firstLine="306" w:firstLineChars="100"/>
        <w:jc w:val="center"/>
        <w:rPr>
          <w:rFonts w:hint="eastAsia" w:ascii="Times New Roman" w:hAnsi="Times New Roman" w:eastAsia="仿宋" w:cs="Times New Roman"/>
          <w:color w:val="auto"/>
          <w:sz w:val="32"/>
          <w:szCs w:val="32"/>
          <w:u w:val="none"/>
        </w:rPr>
      </w:pPr>
      <w:r>
        <w:rPr>
          <w:rFonts w:ascii="Times New Roman" w:hAnsi="Times New Roman" w:eastAsia="仿宋" w:cs="Times New Roman"/>
          <w:spacing w:val="-7"/>
          <w:sz w:val="32"/>
          <w:szCs w:val="32"/>
          <w:u w:val="none"/>
        </w:rPr>
        <w:t>剑市监处罚</w:t>
      </w:r>
      <w:r>
        <w:rPr>
          <w:rFonts w:ascii="Times New Roman" w:hAnsi="Times New Roman" w:eastAsia="仿宋" w:cs="Times New Roman"/>
          <w:color w:val="auto"/>
          <w:spacing w:val="-7"/>
          <w:sz w:val="32"/>
          <w:szCs w:val="32"/>
          <w:u w:val="none"/>
        </w:rPr>
        <w:t>〔202</w:t>
      </w:r>
      <w:r>
        <w:rPr>
          <w:rFonts w:hint="eastAsia" w:ascii="Times New Roman" w:hAnsi="Times New Roman" w:eastAsia="仿宋" w:cs="Times New Roman"/>
          <w:color w:val="auto"/>
          <w:spacing w:val="-7"/>
          <w:sz w:val="32"/>
          <w:szCs w:val="32"/>
          <w:u w:val="none"/>
        </w:rPr>
        <w:t>4</w:t>
      </w:r>
      <w:r>
        <w:rPr>
          <w:rFonts w:ascii="Times New Roman" w:hAnsi="Times New Roman" w:eastAsia="仿宋" w:cs="Times New Roman"/>
          <w:color w:val="auto"/>
          <w:spacing w:val="-7"/>
          <w:sz w:val="32"/>
          <w:szCs w:val="32"/>
          <w:u w:val="none"/>
        </w:rPr>
        <w:t>〕</w:t>
      </w:r>
      <w:bookmarkStart w:id="1" w:name="_GoBack"/>
      <w:r>
        <w:rPr>
          <w:rFonts w:hint="eastAsia" w:ascii="Times New Roman" w:hAnsi="Times New Roman" w:eastAsia="仿宋" w:cs="Times New Roman"/>
          <w:color w:val="auto"/>
          <w:spacing w:val="-7"/>
          <w:sz w:val="32"/>
          <w:szCs w:val="32"/>
          <w:u w:val="none"/>
        </w:rPr>
        <w:t>9-367</w:t>
      </w:r>
      <w:bookmarkEnd w:id="1"/>
      <w:r>
        <w:rPr>
          <w:rFonts w:hint="eastAsia" w:ascii="Times New Roman" w:hAnsi="Times New Roman" w:eastAsia="仿宋" w:cs="Times New Roman"/>
          <w:color w:val="auto"/>
          <w:spacing w:val="-7"/>
          <w:sz w:val="32"/>
          <w:szCs w:val="32"/>
          <w:u w:val="none"/>
        </w:rPr>
        <w:t>号</w:t>
      </w:r>
    </w:p>
    <w:p w14:paraId="08D6EB27">
      <w:pPr>
        <w:spacing w:line="311" w:lineRule="auto"/>
      </w:pPr>
    </w:p>
    <w:p w14:paraId="4E235C33">
      <w:pPr>
        <w:kinsoku/>
        <w:autoSpaceDE/>
        <w:autoSpaceDN/>
        <w:adjustRightInd/>
        <w:snapToGrid/>
        <w:spacing w:line="460" w:lineRule="exact"/>
        <w:ind w:firstLine="632" w:firstLineChars="200"/>
        <w:textAlignment w:val="auto"/>
        <w:rPr>
          <w:rFonts w:hint="eastAsia" w:ascii="仿宋" w:hAnsi="仿宋" w:eastAsia="仿宋" w:cs="仿宋"/>
          <w:color w:val="auto"/>
          <w:spacing w:val="-2"/>
          <w:kern w:val="2"/>
          <w:sz w:val="32"/>
          <w:szCs w:val="32"/>
        </w:rPr>
      </w:pPr>
      <w:r>
        <w:rPr>
          <w:rFonts w:hint="eastAsia" w:ascii="仿宋" w:hAnsi="仿宋" w:eastAsia="仿宋" w:cs="仿宋"/>
          <w:color w:val="auto"/>
          <w:spacing w:val="-2"/>
          <w:kern w:val="2"/>
          <w:sz w:val="32"/>
          <w:szCs w:val="32"/>
        </w:rPr>
        <w:t>当事人基本情况 ：</w:t>
      </w:r>
    </w:p>
    <w:p w14:paraId="0B2EDBE1">
      <w:pPr>
        <w:kinsoku/>
        <w:autoSpaceDE/>
        <w:autoSpaceDN/>
        <w:adjustRightInd/>
        <w:snapToGrid/>
        <w:spacing w:line="460" w:lineRule="exact"/>
        <w:ind w:firstLine="632" w:firstLineChars="200"/>
        <w:textAlignment w:val="auto"/>
        <w:rPr>
          <w:rFonts w:hint="eastAsia" w:ascii="仿宋" w:hAnsi="仿宋" w:eastAsia="仿宋" w:cs="仿宋"/>
          <w:color w:val="auto"/>
          <w:spacing w:val="-2"/>
          <w:kern w:val="2"/>
          <w:sz w:val="32"/>
          <w:szCs w:val="32"/>
        </w:rPr>
      </w:pPr>
      <w:r>
        <w:rPr>
          <w:rFonts w:hint="eastAsia" w:ascii="仿宋" w:hAnsi="仿宋" w:eastAsia="仿宋" w:cs="仿宋"/>
          <w:color w:val="auto"/>
          <w:spacing w:val="-2"/>
          <w:kern w:val="2"/>
          <w:sz w:val="32"/>
          <w:szCs w:val="32"/>
          <w:lang w:val="en-US" w:eastAsia="zh-CN"/>
        </w:rPr>
        <w:t>1</w:t>
      </w:r>
      <w:r>
        <w:rPr>
          <w:rFonts w:hint="eastAsia" w:ascii="仿宋" w:hAnsi="仿宋" w:eastAsia="仿宋" w:cs="仿宋"/>
          <w:color w:val="auto"/>
          <w:spacing w:val="-2"/>
          <w:kern w:val="2"/>
          <w:sz w:val="32"/>
          <w:szCs w:val="32"/>
        </w:rPr>
        <w:t>、剑阁县晓蓉生猪养殖家庭农场，统一社会信用代码：91510823MA6254Q46W，法定代表人：母晓蓉，住所：剑阁县江口镇七林村；</w:t>
      </w:r>
    </w:p>
    <w:p w14:paraId="4F6BCB0A">
      <w:pPr>
        <w:kinsoku/>
        <w:autoSpaceDE/>
        <w:autoSpaceDN/>
        <w:adjustRightInd/>
        <w:snapToGrid/>
        <w:spacing w:line="460" w:lineRule="exact"/>
        <w:ind w:firstLine="632" w:firstLineChars="200"/>
        <w:textAlignment w:val="auto"/>
      </w:pPr>
      <w:r>
        <w:rPr>
          <w:rFonts w:hint="eastAsia" w:ascii="仿宋" w:hAnsi="仿宋" w:eastAsia="仿宋" w:cs="仿宋"/>
          <w:color w:val="auto"/>
          <w:spacing w:val="-2"/>
          <w:kern w:val="2"/>
          <w:sz w:val="32"/>
          <w:szCs w:val="32"/>
          <w:lang w:val="en-US" w:eastAsia="zh-CN"/>
        </w:rPr>
        <w:t>2</w:t>
      </w:r>
      <w:r>
        <w:rPr>
          <w:rFonts w:hint="eastAsia" w:ascii="仿宋" w:hAnsi="仿宋" w:eastAsia="仿宋" w:cs="仿宋"/>
          <w:color w:val="auto"/>
          <w:spacing w:val="-2"/>
          <w:kern w:val="2"/>
          <w:sz w:val="32"/>
          <w:szCs w:val="32"/>
        </w:rPr>
        <w:t>、剑阁县兴农农资有限公司木马一店，注册号：510823000017934，法定代表人：尤安林，住所：剑阁县木马镇剑苍路。</w:t>
      </w:r>
    </w:p>
    <w:p w14:paraId="0255FB58">
      <w:pPr>
        <w:kinsoku/>
        <w:autoSpaceDE/>
        <w:autoSpaceDN/>
        <w:adjustRightInd/>
        <w:snapToGrid/>
        <w:spacing w:line="460" w:lineRule="exact"/>
        <w:ind w:firstLine="632" w:firstLineChars="200"/>
        <w:textAlignment w:val="auto"/>
        <w:rPr>
          <w:rFonts w:ascii="仿宋" w:hAnsi="仿宋" w:eastAsia="仿宋" w:cs="仿宋"/>
          <w:spacing w:val="-2"/>
          <w:kern w:val="2"/>
          <w:sz w:val="32"/>
          <w:szCs w:val="32"/>
        </w:rPr>
      </w:pPr>
      <w:r>
        <w:rPr>
          <w:rFonts w:hint="eastAsia" w:ascii="仿宋" w:hAnsi="仿宋" w:eastAsia="仿宋" w:cs="仿宋"/>
          <w:spacing w:val="-2"/>
          <w:kern w:val="2"/>
          <w:sz w:val="32"/>
          <w:szCs w:val="32"/>
        </w:rPr>
        <w:t>2024年11月7日，本局执法人员对辖区内市场主体的经营情况进行执法检查时，发现</w:t>
      </w:r>
      <w:r>
        <w:rPr>
          <w:rFonts w:hint="eastAsia" w:ascii="仿宋" w:hAnsi="仿宋" w:eastAsia="仿宋" w:cs="仿宋"/>
          <w:color w:val="auto"/>
          <w:spacing w:val="-2"/>
          <w:kern w:val="2"/>
          <w:sz w:val="32"/>
          <w:szCs w:val="32"/>
          <w:lang w:eastAsia="zh-CN"/>
        </w:rPr>
        <w:t>剑阁县兴农农资有限公司木马一店等2户企业</w:t>
      </w:r>
      <w:r>
        <w:rPr>
          <w:rFonts w:hint="eastAsia" w:ascii="仿宋" w:hAnsi="仿宋" w:eastAsia="仿宋" w:cs="仿宋"/>
          <w:spacing w:val="-2"/>
          <w:kern w:val="2"/>
          <w:sz w:val="32"/>
          <w:szCs w:val="32"/>
        </w:rPr>
        <w:t>从</w:t>
      </w:r>
      <w:r>
        <w:rPr>
          <w:rFonts w:ascii="仿宋" w:hAnsi="仿宋" w:eastAsia="仿宋" w:cs="仿宋"/>
          <w:spacing w:val="-2"/>
          <w:kern w:val="2"/>
          <w:sz w:val="32"/>
          <w:szCs w:val="32"/>
        </w:rPr>
        <w:t>未开业或开业后自行停业连续</w:t>
      </w:r>
      <w:r>
        <w:rPr>
          <w:rFonts w:hint="eastAsia" w:ascii="仿宋" w:hAnsi="仿宋" w:eastAsia="仿宋" w:cs="仿宋"/>
          <w:spacing w:val="-2"/>
          <w:kern w:val="2"/>
          <w:sz w:val="32"/>
          <w:szCs w:val="32"/>
        </w:rPr>
        <w:t>六</w:t>
      </w:r>
      <w:r>
        <w:rPr>
          <w:rFonts w:ascii="仿宋" w:hAnsi="仿宋" w:eastAsia="仿宋" w:cs="仿宋"/>
          <w:spacing w:val="-2"/>
          <w:kern w:val="2"/>
          <w:sz w:val="32"/>
          <w:szCs w:val="32"/>
        </w:rPr>
        <w:t>个月</w:t>
      </w:r>
      <w:r>
        <w:rPr>
          <w:rFonts w:hint="eastAsia" w:ascii="仿宋" w:hAnsi="仿宋" w:eastAsia="仿宋" w:cs="仿宋"/>
          <w:spacing w:val="-2"/>
          <w:kern w:val="2"/>
          <w:sz w:val="32"/>
          <w:szCs w:val="32"/>
        </w:rPr>
        <w:t>以上且未按规定报送年度报告。</w:t>
      </w:r>
    </w:p>
    <w:p w14:paraId="1A182360">
      <w:pPr>
        <w:kinsoku/>
        <w:autoSpaceDE/>
        <w:autoSpaceDN/>
        <w:adjustRightInd/>
        <w:snapToGrid/>
        <w:spacing w:line="460" w:lineRule="exact"/>
        <w:ind w:firstLine="632" w:firstLineChars="200"/>
        <w:textAlignment w:val="auto"/>
        <w:rPr>
          <w:rFonts w:hint="eastAsia" w:ascii="仿宋" w:hAnsi="仿宋" w:eastAsia="仿宋" w:cs="仿宋"/>
          <w:color w:val="auto"/>
          <w:spacing w:val="-2"/>
          <w:kern w:val="2"/>
          <w:sz w:val="32"/>
          <w:szCs w:val="32"/>
        </w:rPr>
      </w:pPr>
      <w:r>
        <w:rPr>
          <w:rFonts w:hint="eastAsia" w:ascii="仿宋" w:hAnsi="仿宋" w:eastAsia="仿宋" w:cs="仿宋"/>
          <w:spacing w:val="-2"/>
          <w:kern w:val="2"/>
          <w:sz w:val="32"/>
          <w:szCs w:val="32"/>
        </w:rPr>
        <w:t>当事人的上述行为涉嫌</w:t>
      </w:r>
      <w:r>
        <w:rPr>
          <w:rFonts w:hint="eastAsia" w:ascii="仿宋" w:hAnsi="仿宋" w:eastAsia="仿宋" w:cs="仿宋"/>
          <w:color w:val="auto"/>
          <w:spacing w:val="-2"/>
          <w:kern w:val="2"/>
          <w:sz w:val="32"/>
          <w:szCs w:val="32"/>
        </w:rPr>
        <w:t>违反《中华人民共和国公司法》第二百六十条第一款</w:t>
      </w:r>
      <w:r>
        <w:rPr>
          <w:rFonts w:hint="eastAsia" w:ascii="仿宋" w:hAnsi="仿宋" w:eastAsia="仿宋" w:cs="仿宋"/>
          <w:spacing w:val="-2"/>
          <w:kern w:val="2"/>
          <w:sz w:val="32"/>
          <w:szCs w:val="32"/>
        </w:rPr>
        <w:t>的规定，经分管领导批准于2024年11月22日予</w:t>
      </w:r>
      <w:r>
        <w:rPr>
          <w:rFonts w:hint="eastAsia" w:ascii="仿宋" w:hAnsi="仿宋" w:eastAsia="仿宋" w:cs="仿宋"/>
          <w:color w:val="auto"/>
          <w:spacing w:val="-2"/>
          <w:kern w:val="2"/>
          <w:sz w:val="32"/>
          <w:szCs w:val="32"/>
        </w:rPr>
        <w:t>以立案调查。</w:t>
      </w:r>
    </w:p>
    <w:p w14:paraId="188B5D86">
      <w:pPr>
        <w:kinsoku/>
        <w:autoSpaceDE/>
        <w:autoSpaceDN/>
        <w:adjustRightInd/>
        <w:snapToGrid/>
        <w:spacing w:line="460" w:lineRule="exact"/>
        <w:ind w:firstLine="632" w:firstLineChars="200"/>
        <w:textAlignment w:val="auto"/>
        <w:rPr>
          <w:rFonts w:hint="eastAsia" w:ascii="仿宋" w:hAnsi="仿宋" w:eastAsia="仿宋" w:cs="仿宋"/>
          <w:color w:val="auto"/>
          <w:spacing w:val="-2"/>
          <w:kern w:val="2"/>
          <w:sz w:val="32"/>
          <w:szCs w:val="32"/>
        </w:rPr>
      </w:pPr>
      <w:r>
        <w:rPr>
          <w:rFonts w:hint="eastAsia" w:ascii="仿宋" w:hAnsi="仿宋" w:eastAsia="仿宋" w:cs="仿宋"/>
          <w:color w:val="auto"/>
          <w:spacing w:val="-2"/>
          <w:kern w:val="2"/>
          <w:sz w:val="32"/>
          <w:szCs w:val="32"/>
        </w:rPr>
        <w:t>本局执法人员</w:t>
      </w:r>
      <w:r>
        <w:rPr>
          <w:rFonts w:hint="eastAsia" w:ascii="仿宋" w:hAnsi="仿宋" w:eastAsia="仿宋" w:cs="仿宋"/>
          <w:bCs/>
          <w:sz w:val="32"/>
          <w:szCs w:val="32"/>
        </w:rPr>
        <w:t>围绕</w:t>
      </w:r>
      <w:r>
        <w:rPr>
          <w:rFonts w:hint="eastAsia" w:ascii="仿宋" w:hAnsi="仿宋" w:eastAsia="仿宋" w:cs="仿宋"/>
          <w:color w:val="auto"/>
          <w:spacing w:val="-2"/>
          <w:kern w:val="2"/>
          <w:sz w:val="32"/>
          <w:szCs w:val="32"/>
          <w:lang w:eastAsia="zh-CN"/>
        </w:rPr>
        <w:t>剑阁县兴农农资有限公司木马一店等2户企业</w:t>
      </w:r>
      <w:r>
        <w:rPr>
          <w:rFonts w:hint="eastAsia" w:ascii="仿宋" w:hAnsi="仿宋" w:eastAsia="仿宋" w:cs="仿宋"/>
          <w:spacing w:val="-2"/>
          <w:kern w:val="2"/>
          <w:sz w:val="32"/>
          <w:szCs w:val="32"/>
        </w:rPr>
        <w:t>从</w:t>
      </w:r>
      <w:r>
        <w:rPr>
          <w:rFonts w:ascii="仿宋" w:hAnsi="仿宋" w:eastAsia="仿宋" w:cs="仿宋"/>
          <w:spacing w:val="-2"/>
          <w:kern w:val="2"/>
          <w:sz w:val="32"/>
          <w:szCs w:val="32"/>
        </w:rPr>
        <w:t>未开业或开业后自行停业连续</w:t>
      </w:r>
      <w:r>
        <w:rPr>
          <w:rFonts w:hint="eastAsia" w:ascii="仿宋" w:hAnsi="仿宋" w:eastAsia="仿宋" w:cs="仿宋"/>
          <w:spacing w:val="-2"/>
          <w:kern w:val="2"/>
          <w:sz w:val="32"/>
          <w:szCs w:val="32"/>
        </w:rPr>
        <w:t>六</w:t>
      </w:r>
      <w:r>
        <w:rPr>
          <w:rFonts w:ascii="仿宋" w:hAnsi="仿宋" w:eastAsia="仿宋" w:cs="仿宋"/>
          <w:spacing w:val="-2"/>
          <w:kern w:val="2"/>
          <w:sz w:val="32"/>
          <w:szCs w:val="32"/>
        </w:rPr>
        <w:t>个月</w:t>
      </w:r>
      <w:r>
        <w:rPr>
          <w:rFonts w:hint="eastAsia" w:ascii="仿宋" w:hAnsi="仿宋" w:eastAsia="仿宋" w:cs="仿宋"/>
          <w:spacing w:val="-2"/>
          <w:kern w:val="2"/>
          <w:sz w:val="32"/>
          <w:szCs w:val="32"/>
        </w:rPr>
        <w:t>以上且未按规定报送年度报告</w:t>
      </w:r>
      <w:r>
        <w:rPr>
          <w:rFonts w:hint="eastAsia" w:ascii="仿宋" w:hAnsi="仿宋" w:eastAsia="仿宋" w:cs="仿宋"/>
          <w:color w:val="auto"/>
          <w:spacing w:val="-2"/>
          <w:kern w:val="2"/>
          <w:sz w:val="32"/>
          <w:szCs w:val="32"/>
        </w:rPr>
        <w:t>的违法行为收集相关证据材料，确定其违法事实，2024年12月16日案件调查终结。</w:t>
      </w:r>
    </w:p>
    <w:p w14:paraId="3E1A0842">
      <w:pPr>
        <w:kinsoku/>
        <w:autoSpaceDE/>
        <w:autoSpaceDN/>
        <w:adjustRightInd/>
        <w:snapToGrid/>
        <w:spacing w:line="460" w:lineRule="exact"/>
        <w:ind w:firstLine="632" w:firstLineChars="200"/>
        <w:textAlignment w:val="auto"/>
        <w:rPr>
          <w:rFonts w:hint="eastAsia" w:ascii="仿宋" w:hAnsi="仿宋" w:eastAsia="仿宋" w:cs="仿宋"/>
          <w:color w:val="auto"/>
          <w:spacing w:val="-2"/>
          <w:kern w:val="2"/>
          <w:sz w:val="32"/>
          <w:szCs w:val="32"/>
        </w:rPr>
      </w:pPr>
      <w:r>
        <w:rPr>
          <w:rFonts w:hint="eastAsia" w:ascii="仿宋" w:hAnsi="仿宋" w:eastAsia="仿宋" w:cs="仿宋"/>
          <w:color w:val="auto"/>
          <w:spacing w:val="-2"/>
          <w:kern w:val="2"/>
          <w:sz w:val="32"/>
          <w:szCs w:val="32"/>
        </w:rPr>
        <w:t>经查，</w:t>
      </w:r>
      <w:r>
        <w:rPr>
          <w:rFonts w:hint="eastAsia" w:ascii="仿宋" w:hAnsi="仿宋" w:eastAsia="仿宋" w:cs="仿宋"/>
          <w:color w:val="auto"/>
          <w:spacing w:val="-2"/>
          <w:kern w:val="2"/>
          <w:sz w:val="32"/>
          <w:szCs w:val="32"/>
          <w:lang w:eastAsia="zh-CN"/>
        </w:rPr>
        <w:t>剑阁县兴农农资有限公司木马一店等2户企业</w:t>
      </w:r>
      <w:r>
        <w:rPr>
          <w:rFonts w:hint="eastAsia" w:ascii="仿宋" w:hAnsi="仿宋" w:eastAsia="仿宋" w:cs="仿宋"/>
          <w:color w:val="auto"/>
          <w:spacing w:val="-2"/>
          <w:kern w:val="2"/>
          <w:sz w:val="32"/>
          <w:szCs w:val="32"/>
        </w:rPr>
        <w:t>经本局核准登记从事经营活动，截至调查结束上述</w:t>
      </w:r>
      <w:r>
        <w:rPr>
          <w:rFonts w:hint="eastAsia" w:ascii="仿宋" w:hAnsi="仿宋" w:eastAsia="仿宋" w:cs="仿宋"/>
          <w:color w:val="auto"/>
          <w:spacing w:val="-2"/>
          <w:kern w:val="2"/>
          <w:sz w:val="32"/>
          <w:szCs w:val="32"/>
          <w:lang w:eastAsia="zh-CN"/>
        </w:rPr>
        <w:t>2户企业</w:t>
      </w:r>
      <w:r>
        <w:rPr>
          <w:rFonts w:hint="eastAsia" w:ascii="仿宋" w:hAnsi="仿宋" w:eastAsia="仿宋" w:cs="仿宋"/>
          <w:color w:val="auto"/>
          <w:spacing w:val="-2"/>
          <w:kern w:val="2"/>
          <w:sz w:val="32"/>
          <w:szCs w:val="32"/>
        </w:rPr>
        <w:t>登记状态均为开业。</w:t>
      </w:r>
    </w:p>
    <w:p w14:paraId="4B96D394">
      <w:pPr>
        <w:kinsoku/>
        <w:autoSpaceDE/>
        <w:autoSpaceDN/>
        <w:adjustRightInd/>
        <w:snapToGrid/>
        <w:spacing w:line="460" w:lineRule="exact"/>
        <w:ind w:firstLine="632" w:firstLineChars="200"/>
        <w:textAlignment w:val="auto"/>
        <w:rPr>
          <w:rFonts w:hint="eastAsia" w:ascii="仿宋" w:hAnsi="仿宋" w:eastAsia="仿宋" w:cs="仿宋"/>
          <w:color w:val="auto"/>
          <w:spacing w:val="-2"/>
          <w:kern w:val="2"/>
          <w:sz w:val="32"/>
          <w:szCs w:val="32"/>
        </w:rPr>
      </w:pPr>
      <w:r>
        <w:rPr>
          <w:rFonts w:hint="eastAsia" w:ascii="仿宋" w:hAnsi="仿宋" w:eastAsia="仿宋" w:cs="仿宋"/>
          <w:color w:val="auto"/>
          <w:spacing w:val="-2"/>
          <w:kern w:val="2"/>
          <w:sz w:val="32"/>
          <w:szCs w:val="32"/>
        </w:rPr>
        <w:t>在2024年11月7日，本局执法人员、当地的村民委员会、社区居民委员会书记作为见证人通过营业执照登记住所对上述</w:t>
      </w:r>
      <w:r>
        <w:rPr>
          <w:rFonts w:hint="eastAsia" w:ascii="仿宋" w:hAnsi="仿宋" w:eastAsia="仿宋" w:cs="仿宋"/>
          <w:color w:val="auto"/>
          <w:spacing w:val="-2"/>
          <w:kern w:val="2"/>
          <w:sz w:val="32"/>
          <w:szCs w:val="32"/>
          <w:lang w:eastAsia="zh-CN"/>
        </w:rPr>
        <w:t>2户企业</w:t>
      </w:r>
      <w:r>
        <w:rPr>
          <w:rFonts w:hint="eastAsia" w:ascii="仿宋" w:hAnsi="仿宋" w:eastAsia="仿宋" w:cs="仿宋"/>
          <w:color w:val="auto"/>
          <w:spacing w:val="-2"/>
          <w:kern w:val="2"/>
          <w:sz w:val="32"/>
          <w:szCs w:val="32"/>
        </w:rPr>
        <w:t>的经营活动进行了现场核查工作。经执法人员通过登记住所和电话联系当事人经营者，均无法与上述</w:t>
      </w:r>
      <w:r>
        <w:rPr>
          <w:rFonts w:hint="eastAsia" w:ascii="仿宋" w:hAnsi="仿宋" w:eastAsia="仿宋" w:cs="仿宋"/>
          <w:color w:val="auto"/>
          <w:spacing w:val="-2"/>
          <w:kern w:val="2"/>
          <w:sz w:val="32"/>
          <w:szCs w:val="32"/>
          <w:lang w:eastAsia="zh-CN"/>
        </w:rPr>
        <w:t>2户企业</w:t>
      </w:r>
      <w:r>
        <w:rPr>
          <w:rFonts w:hint="eastAsia" w:ascii="仿宋" w:hAnsi="仿宋" w:eastAsia="仿宋" w:cs="仿宋"/>
          <w:color w:val="auto"/>
          <w:spacing w:val="-2"/>
          <w:kern w:val="2"/>
          <w:sz w:val="32"/>
          <w:szCs w:val="32"/>
        </w:rPr>
        <w:t>的经营者取得联系。确认</w:t>
      </w:r>
      <w:r>
        <w:rPr>
          <w:rFonts w:hint="eastAsia" w:ascii="仿宋" w:hAnsi="仿宋" w:eastAsia="仿宋" w:cs="仿宋"/>
          <w:color w:val="auto"/>
          <w:spacing w:val="-2"/>
          <w:kern w:val="2"/>
          <w:sz w:val="32"/>
          <w:szCs w:val="32"/>
          <w:lang w:eastAsia="zh-CN"/>
        </w:rPr>
        <w:t>剑阁县兴农农资有限公司木马一店等2户企业</w:t>
      </w:r>
      <w:r>
        <w:rPr>
          <w:rFonts w:hint="eastAsia" w:ascii="仿宋" w:hAnsi="仿宋" w:eastAsia="仿宋" w:cs="仿宋"/>
          <w:color w:val="auto"/>
          <w:spacing w:val="-2"/>
          <w:kern w:val="2"/>
          <w:sz w:val="32"/>
          <w:szCs w:val="32"/>
        </w:rPr>
        <w:t>在其辖区内从</w:t>
      </w:r>
      <w:r>
        <w:rPr>
          <w:rFonts w:ascii="仿宋" w:hAnsi="仿宋" w:eastAsia="仿宋" w:cs="仿宋"/>
          <w:color w:val="auto"/>
          <w:spacing w:val="-2"/>
          <w:kern w:val="2"/>
          <w:sz w:val="32"/>
          <w:szCs w:val="32"/>
        </w:rPr>
        <w:t>未开业或开业后自行停业连续</w:t>
      </w:r>
      <w:r>
        <w:rPr>
          <w:rFonts w:hint="eastAsia" w:ascii="仿宋" w:hAnsi="仿宋" w:eastAsia="仿宋" w:cs="仿宋"/>
          <w:color w:val="auto"/>
          <w:spacing w:val="-2"/>
          <w:kern w:val="2"/>
          <w:sz w:val="32"/>
          <w:szCs w:val="32"/>
        </w:rPr>
        <w:t>六</w:t>
      </w:r>
      <w:r>
        <w:rPr>
          <w:rFonts w:ascii="仿宋" w:hAnsi="仿宋" w:eastAsia="仿宋" w:cs="仿宋"/>
          <w:color w:val="auto"/>
          <w:spacing w:val="-2"/>
          <w:kern w:val="2"/>
          <w:sz w:val="32"/>
          <w:szCs w:val="32"/>
        </w:rPr>
        <w:t>个月</w:t>
      </w:r>
      <w:r>
        <w:rPr>
          <w:rFonts w:hint="eastAsia" w:ascii="仿宋" w:hAnsi="仿宋" w:eastAsia="仿宋" w:cs="仿宋"/>
          <w:color w:val="auto"/>
          <w:spacing w:val="-2"/>
          <w:kern w:val="2"/>
          <w:sz w:val="32"/>
          <w:szCs w:val="32"/>
        </w:rPr>
        <w:t>以上的事实。</w:t>
      </w:r>
    </w:p>
    <w:p w14:paraId="7FB251DF">
      <w:pPr>
        <w:kinsoku/>
        <w:autoSpaceDE/>
        <w:autoSpaceDN/>
        <w:adjustRightInd/>
        <w:snapToGrid/>
        <w:spacing w:line="460" w:lineRule="exact"/>
        <w:ind w:firstLine="632" w:firstLineChars="200"/>
        <w:textAlignment w:val="auto"/>
        <w:rPr>
          <w:rFonts w:ascii="仿宋" w:hAnsi="仿宋" w:eastAsia="仿宋" w:cs="仿宋"/>
          <w:spacing w:val="-2"/>
          <w:kern w:val="2"/>
          <w:sz w:val="32"/>
          <w:szCs w:val="32"/>
        </w:rPr>
      </w:pPr>
      <w:r>
        <w:rPr>
          <w:rFonts w:hint="eastAsia" w:ascii="仿宋" w:hAnsi="仿宋" w:eastAsia="仿宋" w:cs="仿宋"/>
          <w:color w:val="auto"/>
          <w:spacing w:val="-2"/>
          <w:kern w:val="2"/>
          <w:sz w:val="32"/>
          <w:szCs w:val="32"/>
        </w:rPr>
        <w:t>同时本局执法人员提供的关于</w:t>
      </w:r>
      <w:r>
        <w:rPr>
          <w:rFonts w:hint="eastAsia" w:ascii="仿宋" w:hAnsi="仿宋" w:eastAsia="仿宋" w:cs="仿宋"/>
          <w:color w:val="auto"/>
          <w:spacing w:val="-2"/>
          <w:kern w:val="2"/>
          <w:sz w:val="32"/>
          <w:szCs w:val="32"/>
          <w:lang w:eastAsia="zh-CN"/>
        </w:rPr>
        <w:t>剑阁县兴农农资有限公司木马一店等2户企业</w:t>
      </w:r>
      <w:r>
        <w:rPr>
          <w:rFonts w:hint="eastAsia" w:ascii="仿宋" w:hAnsi="仿宋" w:eastAsia="仿宋" w:cs="仿宋"/>
          <w:spacing w:val="-2"/>
          <w:kern w:val="2"/>
          <w:sz w:val="32"/>
          <w:szCs w:val="32"/>
        </w:rPr>
        <w:t>2022年、2023年年度报告报送情况，表明</w:t>
      </w:r>
      <w:bookmarkStart w:id="0" w:name="_Hlk184374659"/>
      <w:r>
        <w:rPr>
          <w:rFonts w:hint="eastAsia" w:ascii="仿宋" w:hAnsi="仿宋" w:eastAsia="仿宋" w:cs="仿宋"/>
          <w:color w:val="auto"/>
          <w:spacing w:val="-2"/>
          <w:kern w:val="2"/>
          <w:sz w:val="32"/>
          <w:szCs w:val="32"/>
          <w:lang w:eastAsia="zh-CN"/>
        </w:rPr>
        <w:t>剑阁县兴农农资有限公司木马一店等2户企业</w:t>
      </w:r>
      <w:bookmarkEnd w:id="0"/>
      <w:r>
        <w:rPr>
          <w:rFonts w:hint="eastAsia" w:ascii="仿宋" w:hAnsi="仿宋" w:eastAsia="仿宋" w:cs="仿宋"/>
          <w:spacing w:val="-2"/>
          <w:kern w:val="2"/>
          <w:sz w:val="32"/>
          <w:szCs w:val="32"/>
        </w:rPr>
        <w:t>均存在一年以上未按规定报送年度报告的事实。其中剑阁县兴农农资有限公司木马一店涉嫌连续两年未按规定报送年度报告被列入经营异常名录未改正，且通过登记住所无法取得联系的违法行为。</w:t>
      </w:r>
    </w:p>
    <w:p w14:paraId="0AA08F86">
      <w:pPr>
        <w:kinsoku/>
        <w:autoSpaceDE/>
        <w:autoSpaceDN/>
        <w:adjustRightInd/>
        <w:snapToGrid/>
        <w:spacing w:line="460" w:lineRule="exact"/>
        <w:ind w:firstLine="632" w:firstLineChars="200"/>
        <w:textAlignment w:val="auto"/>
        <w:rPr>
          <w:rFonts w:hint="eastAsia" w:ascii="仿宋" w:hAnsi="仿宋" w:eastAsia="仿宋" w:cs="仿宋"/>
          <w:color w:val="auto"/>
          <w:spacing w:val="-2"/>
          <w:kern w:val="2"/>
          <w:sz w:val="32"/>
          <w:szCs w:val="32"/>
        </w:rPr>
      </w:pPr>
      <w:r>
        <w:rPr>
          <w:rFonts w:hint="eastAsia" w:ascii="仿宋" w:hAnsi="仿宋" w:eastAsia="仿宋" w:cs="仿宋"/>
          <w:spacing w:val="-2"/>
          <w:kern w:val="2"/>
          <w:sz w:val="32"/>
          <w:szCs w:val="32"/>
        </w:rPr>
        <w:t>综合上述事实，证明</w:t>
      </w:r>
      <w:r>
        <w:rPr>
          <w:rFonts w:hint="eastAsia" w:ascii="仿宋" w:hAnsi="仿宋" w:eastAsia="仿宋" w:cs="仿宋"/>
          <w:spacing w:val="-2"/>
          <w:kern w:val="2"/>
          <w:sz w:val="32"/>
          <w:szCs w:val="32"/>
          <w:lang w:eastAsia="zh-CN"/>
        </w:rPr>
        <w:t>剑阁县兴农农资有限公司木马一店等2户企业</w:t>
      </w:r>
      <w:r>
        <w:rPr>
          <w:rFonts w:hint="eastAsia" w:ascii="仿宋" w:hAnsi="仿宋" w:eastAsia="仿宋" w:cs="仿宋"/>
          <w:spacing w:val="-2"/>
          <w:kern w:val="2"/>
          <w:sz w:val="32"/>
          <w:szCs w:val="32"/>
        </w:rPr>
        <w:t>涉嫌成立后无正当理由超过六个月未开业，或者开业后自行停业连续六个月以上的违法行为。</w:t>
      </w:r>
    </w:p>
    <w:p w14:paraId="29D68C14">
      <w:pPr>
        <w:ind w:right="17" w:firstLine="632" w:firstLineChars="200"/>
        <w:rPr>
          <w:rFonts w:hint="eastAsia" w:ascii="仿宋" w:hAnsi="仿宋" w:eastAsia="仿宋" w:cs="仿宋"/>
          <w:color w:val="auto"/>
          <w:spacing w:val="-2"/>
          <w:kern w:val="2"/>
          <w:sz w:val="32"/>
          <w:szCs w:val="32"/>
        </w:rPr>
      </w:pPr>
      <w:r>
        <w:rPr>
          <w:rFonts w:hint="eastAsia" w:ascii="仿宋" w:hAnsi="仿宋" w:eastAsia="仿宋" w:cs="仿宋"/>
          <w:color w:val="auto"/>
          <w:spacing w:val="-2"/>
          <w:kern w:val="2"/>
          <w:sz w:val="32"/>
          <w:szCs w:val="32"/>
        </w:rPr>
        <w:t>上述事实，主要有以下证据证明：</w:t>
      </w:r>
    </w:p>
    <w:p w14:paraId="65F7F8A3">
      <w:pPr>
        <w:pStyle w:val="2"/>
        <w:kinsoku/>
        <w:autoSpaceDE/>
        <w:autoSpaceDN/>
        <w:adjustRightInd/>
        <w:snapToGrid/>
        <w:spacing w:before="0" w:beforeAutospacing="0" w:after="0" w:afterAutospacing="0"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1.2024年11月7日,本局执法人员</w:t>
      </w:r>
      <w:r>
        <w:rPr>
          <w:rFonts w:hint="eastAsia" w:ascii="仿宋_GB2312" w:hAnsi="仿宋" w:eastAsia="仿宋_GB2312" w:cs="仿宋_GB2312"/>
          <w:sz w:val="32"/>
          <w:szCs w:val="32"/>
        </w:rPr>
        <w:t>对辖区内</w:t>
      </w:r>
      <w:r>
        <w:rPr>
          <w:rFonts w:hint="eastAsia" w:ascii="仿宋" w:hAnsi="仿宋" w:eastAsia="仿宋" w:cs="仿宋"/>
          <w:color w:val="auto"/>
          <w:spacing w:val="-2"/>
          <w:kern w:val="2"/>
          <w:sz w:val="32"/>
          <w:szCs w:val="32"/>
          <w:lang w:eastAsia="zh-CN"/>
        </w:rPr>
        <w:t>剑阁县兴农农资有限公司木马一店等2户企业</w:t>
      </w:r>
      <w:r>
        <w:rPr>
          <w:rFonts w:hint="eastAsia" w:ascii="仿宋" w:hAnsi="仿宋" w:eastAsia="仿宋" w:cs="仿宋"/>
          <w:color w:val="auto"/>
          <w:spacing w:val="-2"/>
          <w:kern w:val="2"/>
          <w:sz w:val="32"/>
          <w:szCs w:val="32"/>
        </w:rPr>
        <w:t>的登记住所</w:t>
      </w:r>
      <w:r>
        <w:rPr>
          <w:rFonts w:hint="eastAsia" w:ascii="仿宋" w:hAnsi="仿宋" w:eastAsia="仿宋" w:cs="仿宋"/>
          <w:color w:val="auto"/>
          <w:sz w:val="32"/>
          <w:szCs w:val="32"/>
        </w:rPr>
        <w:t>进行</w:t>
      </w:r>
      <w:r>
        <w:rPr>
          <w:rFonts w:hint="eastAsia" w:ascii="仿宋" w:hAnsi="仿宋" w:eastAsia="仿宋" w:cs="仿宋"/>
          <w:color w:val="auto"/>
          <w:spacing w:val="-2"/>
          <w:kern w:val="2"/>
          <w:sz w:val="32"/>
          <w:szCs w:val="32"/>
        </w:rPr>
        <w:t>现场核查</w:t>
      </w:r>
      <w:r>
        <w:rPr>
          <w:rFonts w:hint="eastAsia" w:ascii="仿宋" w:hAnsi="仿宋" w:eastAsia="仿宋" w:cs="仿宋"/>
          <w:color w:val="auto"/>
          <w:sz w:val="32"/>
          <w:szCs w:val="32"/>
        </w:rPr>
        <w:t>时制作的</w:t>
      </w:r>
      <w:r>
        <w:rPr>
          <w:rFonts w:hint="eastAsia" w:ascii="仿宋" w:hAnsi="仿宋" w:eastAsia="仿宋" w:cs="仿宋"/>
          <w:color w:val="auto"/>
          <w:sz w:val="32"/>
          <w:szCs w:val="32"/>
          <w:lang w:eastAsia="zh-CN"/>
        </w:rPr>
        <w:t>《现场笔录》2份</w:t>
      </w:r>
      <w:r>
        <w:rPr>
          <w:rFonts w:hint="eastAsia" w:ascii="仿宋" w:hAnsi="仿宋" w:eastAsia="仿宋" w:cs="仿宋"/>
          <w:color w:val="auto"/>
          <w:sz w:val="32"/>
          <w:szCs w:val="32"/>
        </w:rPr>
        <w:t>及现场检查拍摄照片</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张</w:t>
      </w:r>
      <w:r>
        <w:rPr>
          <w:rFonts w:hint="eastAsia" w:ascii="仿宋" w:hAnsi="仿宋" w:eastAsia="仿宋" w:cs="仿宋"/>
          <w:color w:val="auto"/>
          <w:sz w:val="32"/>
          <w:szCs w:val="32"/>
        </w:rPr>
        <w:t>，证明本局执法人员对</w:t>
      </w:r>
      <w:r>
        <w:rPr>
          <w:rFonts w:hint="eastAsia" w:ascii="仿宋" w:hAnsi="仿宋" w:eastAsia="仿宋" w:cs="仿宋"/>
          <w:color w:val="auto"/>
          <w:spacing w:val="-2"/>
          <w:kern w:val="2"/>
          <w:sz w:val="32"/>
          <w:szCs w:val="32"/>
          <w:lang w:eastAsia="zh-CN"/>
        </w:rPr>
        <w:t>剑阁县兴农农资有限公司木马一店等2户企业</w:t>
      </w:r>
      <w:r>
        <w:rPr>
          <w:rFonts w:hint="eastAsia" w:ascii="仿宋" w:hAnsi="仿宋" w:eastAsia="仿宋" w:cs="仿宋"/>
          <w:color w:val="auto"/>
          <w:sz w:val="32"/>
          <w:szCs w:val="32"/>
        </w:rPr>
        <w:t>的事实；</w:t>
      </w:r>
    </w:p>
    <w:p w14:paraId="167721A9">
      <w:pPr>
        <w:pStyle w:val="2"/>
        <w:kinsoku/>
        <w:autoSpaceDE/>
        <w:autoSpaceDN/>
        <w:adjustRightInd/>
        <w:snapToGrid/>
        <w:spacing w:before="0" w:beforeAutospacing="0" w:after="0" w:afterAutospacing="0"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2.2024年12月12日,本局执法人员提供的未报送2022年度报告、2023年度报告且被列入经营异常名录的企业</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张，证明部分企业连续两年未按规定公示年度报告且被列入经营异常名录未改正的事实；</w:t>
      </w:r>
    </w:p>
    <w:p w14:paraId="614767BD">
      <w:pPr>
        <w:ind w:right="17" w:firstLine="640" w:firstLineChars="200"/>
        <w:rPr>
          <w:rFonts w:hint="eastAsia" w:ascii="仿宋" w:hAnsi="仿宋" w:eastAsia="仿宋" w:cs="仿宋"/>
          <w:color w:val="auto"/>
          <w:spacing w:val="-2"/>
          <w:kern w:val="2"/>
          <w:sz w:val="32"/>
          <w:szCs w:val="32"/>
        </w:rPr>
      </w:pPr>
      <w:r>
        <w:rPr>
          <w:rFonts w:hint="eastAsia" w:ascii="仿宋" w:hAnsi="仿宋" w:eastAsia="仿宋" w:cs="仿宋"/>
          <w:color w:val="auto"/>
          <w:sz w:val="32"/>
          <w:szCs w:val="32"/>
        </w:rPr>
        <w:t>3.2024年12月16日，剑阁县税务局向本局提供的拟吊销企业税务登记情况表2张，证明</w:t>
      </w:r>
      <w:r>
        <w:rPr>
          <w:rFonts w:hint="eastAsia" w:ascii="仿宋" w:hAnsi="仿宋" w:eastAsia="仿宋" w:cs="仿宋"/>
          <w:color w:val="auto"/>
          <w:spacing w:val="-2"/>
          <w:kern w:val="2"/>
          <w:sz w:val="32"/>
          <w:szCs w:val="32"/>
          <w:lang w:eastAsia="zh-CN"/>
        </w:rPr>
        <w:t>剑阁县兴农农资有限公司木马一店等2户企业</w:t>
      </w:r>
      <w:r>
        <w:rPr>
          <w:rFonts w:hint="eastAsia" w:ascii="仿宋" w:hAnsi="仿宋" w:eastAsia="仿宋" w:cs="仿宋"/>
          <w:color w:val="auto"/>
          <w:spacing w:val="-2"/>
          <w:kern w:val="2"/>
          <w:sz w:val="32"/>
          <w:szCs w:val="32"/>
        </w:rPr>
        <w:t>存在未登记、注销、非正常的状态的</w:t>
      </w:r>
      <w:r>
        <w:rPr>
          <w:rFonts w:hint="eastAsia" w:ascii="仿宋" w:hAnsi="仿宋" w:eastAsia="仿宋" w:cs="仿宋"/>
          <w:color w:val="auto"/>
          <w:sz w:val="32"/>
          <w:szCs w:val="32"/>
        </w:rPr>
        <w:t>事实。</w:t>
      </w:r>
    </w:p>
    <w:p w14:paraId="24DC2239">
      <w:pPr>
        <w:ind w:right="17" w:firstLine="640" w:firstLineChars="200"/>
        <w:rPr>
          <w:rFonts w:ascii="仿宋" w:hAnsi="仿宋" w:eastAsia="仿宋" w:cs="仿宋"/>
          <w:color w:val="auto"/>
          <w:sz w:val="32"/>
          <w:szCs w:val="32"/>
        </w:rPr>
      </w:pPr>
      <w:r>
        <w:rPr>
          <w:rFonts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ascii="仿宋" w:hAnsi="仿宋" w:eastAsia="仿宋" w:cs="仿宋"/>
          <w:color w:val="auto"/>
          <w:sz w:val="32"/>
          <w:szCs w:val="32"/>
        </w:rPr>
        <w:t>年</w:t>
      </w:r>
      <w:r>
        <w:rPr>
          <w:rFonts w:hint="eastAsia" w:ascii="仿宋" w:hAnsi="仿宋" w:eastAsia="仿宋" w:cs="仿宋"/>
          <w:color w:val="auto"/>
          <w:sz w:val="32"/>
          <w:szCs w:val="32"/>
          <w:lang w:val="en-US" w:eastAsia="zh-CN"/>
        </w:rPr>
        <w:t>1</w:t>
      </w:r>
      <w:r>
        <w:rPr>
          <w:rFonts w:ascii="仿宋" w:hAnsi="仿宋" w:eastAsia="仿宋" w:cs="仿宋"/>
          <w:color w:val="auto"/>
          <w:sz w:val="32"/>
          <w:szCs w:val="32"/>
        </w:rPr>
        <w:t>月</w:t>
      </w:r>
      <w:r>
        <w:rPr>
          <w:rFonts w:hint="eastAsia" w:ascii="仿宋" w:hAnsi="仿宋" w:eastAsia="仿宋" w:cs="仿宋"/>
          <w:color w:val="auto"/>
          <w:sz w:val="32"/>
          <w:szCs w:val="32"/>
        </w:rPr>
        <w:t>16</w:t>
      </w:r>
      <w:r>
        <w:rPr>
          <w:rFonts w:ascii="仿宋" w:hAnsi="仿宋" w:eastAsia="仿宋" w:cs="仿宋"/>
          <w:color w:val="auto"/>
          <w:sz w:val="32"/>
          <w:szCs w:val="32"/>
        </w:rPr>
        <w:t>日，本局向当事人</w:t>
      </w:r>
      <w:r>
        <w:rPr>
          <w:rFonts w:hint="eastAsia" w:ascii="仿宋" w:hAnsi="仿宋" w:eastAsia="仿宋" w:cs="仿宋"/>
          <w:color w:val="auto"/>
          <w:sz w:val="32"/>
          <w:szCs w:val="32"/>
        </w:rPr>
        <w:t>公示</w:t>
      </w:r>
      <w:r>
        <w:rPr>
          <w:rFonts w:ascii="仿宋" w:hAnsi="仿宋" w:eastAsia="仿宋" w:cs="仿宋"/>
          <w:color w:val="auto"/>
          <w:sz w:val="32"/>
          <w:szCs w:val="32"/>
        </w:rPr>
        <w:t>送达《行政处罚告知书》（剑市监罚告〔202</w:t>
      </w:r>
      <w:r>
        <w:rPr>
          <w:rFonts w:hint="eastAsia" w:ascii="仿宋" w:hAnsi="仿宋" w:eastAsia="仿宋" w:cs="仿宋"/>
          <w:color w:val="auto"/>
          <w:sz w:val="32"/>
          <w:szCs w:val="32"/>
        </w:rPr>
        <w:t>4</w:t>
      </w:r>
      <w:r>
        <w:rPr>
          <w:rFonts w:ascii="仿宋" w:hAnsi="仿宋" w:eastAsia="仿宋" w:cs="仿宋"/>
          <w:color w:val="auto"/>
          <w:sz w:val="32"/>
          <w:szCs w:val="32"/>
        </w:rPr>
        <w:t>〕</w:t>
      </w:r>
      <w:r>
        <w:rPr>
          <w:rFonts w:hint="eastAsia" w:ascii="仿宋" w:hAnsi="仿宋" w:eastAsia="仿宋" w:cs="仿宋"/>
          <w:color w:val="auto"/>
          <w:sz w:val="32"/>
          <w:szCs w:val="32"/>
        </w:rPr>
        <w:t>9-367号</w:t>
      </w:r>
      <w:r>
        <w:rPr>
          <w:rFonts w:ascii="仿宋" w:hAnsi="仿宋" w:eastAsia="仿宋" w:cs="仿宋"/>
          <w:color w:val="auto"/>
          <w:sz w:val="32"/>
          <w:szCs w:val="32"/>
        </w:rPr>
        <w:t>），告知当事人拟作出的行政处罚内容以及事实、理由、依据，并告知当事人依法享有陈述、申辩</w:t>
      </w:r>
      <w:r>
        <w:rPr>
          <w:rFonts w:hint="eastAsia" w:ascii="仿宋" w:hAnsi="仿宋" w:eastAsia="仿宋" w:cs="仿宋"/>
          <w:color w:val="auto"/>
          <w:sz w:val="32"/>
          <w:szCs w:val="32"/>
        </w:rPr>
        <w:t>和要求听证的权利</w:t>
      </w:r>
      <w:r>
        <w:rPr>
          <w:rFonts w:ascii="仿宋" w:hAnsi="仿宋" w:eastAsia="仿宋" w:cs="仿宋"/>
          <w:color w:val="auto"/>
          <w:sz w:val="32"/>
          <w:szCs w:val="32"/>
        </w:rPr>
        <w:t>，而当事人</w:t>
      </w:r>
      <w:r>
        <w:rPr>
          <w:rFonts w:hint="eastAsia" w:ascii="仿宋" w:hAnsi="仿宋" w:eastAsia="仿宋" w:cs="仿宋"/>
          <w:color w:val="auto"/>
          <w:sz w:val="32"/>
          <w:szCs w:val="32"/>
        </w:rPr>
        <w:t>未在法定期限内提出陈述、申辩和要求听证</w:t>
      </w:r>
      <w:r>
        <w:rPr>
          <w:rFonts w:ascii="仿宋" w:hAnsi="仿宋" w:eastAsia="仿宋" w:cs="仿宋"/>
          <w:color w:val="auto"/>
          <w:sz w:val="32"/>
          <w:szCs w:val="32"/>
        </w:rPr>
        <w:t>。</w:t>
      </w:r>
    </w:p>
    <w:p w14:paraId="66588AC1">
      <w:pPr>
        <w:spacing w:line="460" w:lineRule="exact"/>
        <w:ind w:firstLine="632" w:firstLineChars="200"/>
        <w:rPr>
          <w:rFonts w:hint="eastAsia" w:ascii="仿宋" w:hAnsi="仿宋" w:eastAsia="仿宋" w:cs="仿宋"/>
          <w:sz w:val="32"/>
          <w:szCs w:val="32"/>
        </w:rPr>
      </w:pPr>
      <w:r>
        <w:rPr>
          <w:rFonts w:hint="eastAsia" w:ascii="仿宋" w:hAnsi="仿宋" w:eastAsia="仿宋" w:cs="仿宋"/>
          <w:color w:val="auto"/>
          <w:spacing w:val="-2"/>
          <w:kern w:val="2"/>
          <w:sz w:val="32"/>
          <w:szCs w:val="32"/>
          <w:lang w:bidi="ar"/>
        </w:rPr>
        <w:t>本局认为，</w:t>
      </w:r>
      <w:r>
        <w:rPr>
          <w:rFonts w:hint="eastAsia" w:ascii="仿宋" w:hAnsi="仿宋" w:eastAsia="仿宋" w:cs="仿宋"/>
          <w:color w:val="auto"/>
          <w:spacing w:val="-2"/>
          <w:kern w:val="2"/>
          <w:sz w:val="32"/>
          <w:szCs w:val="32"/>
          <w:lang w:eastAsia="zh-CN" w:bidi="ar"/>
        </w:rPr>
        <w:t>剑阁县兴农农资有限公司木马一店等2户企业</w:t>
      </w:r>
      <w:r>
        <w:rPr>
          <w:rFonts w:hint="eastAsia" w:ascii="仿宋" w:hAnsi="仿宋" w:eastAsia="仿宋" w:cs="仿宋"/>
          <w:color w:val="auto"/>
          <w:spacing w:val="-2"/>
          <w:kern w:val="2"/>
          <w:sz w:val="32"/>
          <w:szCs w:val="32"/>
          <w:lang w:bidi="ar"/>
        </w:rPr>
        <w:t>的行为</w:t>
      </w:r>
      <w:r>
        <w:rPr>
          <w:rFonts w:hint="eastAsia" w:ascii="仿宋" w:hAnsi="仿宋" w:eastAsia="仿宋" w:cs="仿宋"/>
          <w:spacing w:val="-2"/>
          <w:kern w:val="2"/>
          <w:sz w:val="32"/>
          <w:szCs w:val="32"/>
          <w:lang w:bidi="ar"/>
        </w:rPr>
        <w:t>违反了</w:t>
      </w:r>
      <w:r>
        <w:rPr>
          <w:rFonts w:hint="eastAsia" w:ascii="仿宋" w:hAnsi="仿宋" w:eastAsia="仿宋" w:cs="仿宋"/>
          <w:sz w:val="32"/>
          <w:szCs w:val="32"/>
        </w:rPr>
        <w:t>《中华人民共和国公司法》第二百六十条第一款“公司成立后无正当理由超过六个月未开业的，或者开业后自行停业连续六个月以上的，公司登记机关可以吊销营业执照，但公司依法办理歇业的除外”</w:t>
      </w:r>
      <w:r>
        <w:rPr>
          <w:rFonts w:hint="eastAsia" w:ascii="仿宋" w:hAnsi="仿宋" w:eastAsia="仿宋" w:cs="仿宋"/>
          <w:spacing w:val="-2"/>
          <w:kern w:val="2"/>
          <w:sz w:val="32"/>
          <w:szCs w:val="32"/>
          <w:lang w:bidi="ar"/>
        </w:rPr>
        <w:t>构成违法，依据</w:t>
      </w:r>
      <w:r>
        <w:rPr>
          <w:rFonts w:hint="eastAsia" w:ascii="仿宋" w:hAnsi="仿宋" w:eastAsia="仿宋" w:cs="仿宋"/>
          <w:sz w:val="32"/>
          <w:szCs w:val="32"/>
        </w:rPr>
        <w:t>《中华人民共和国公司法》第二百六十条第一款“公司成立后无正当理由超过六个月未开业的，或者开业后自行停业连续六个月以上的，公司登记机关可以吊销营业执照，但公司依法办理歇业的除外”的规定，应当对</w:t>
      </w:r>
      <w:r>
        <w:rPr>
          <w:rFonts w:hint="eastAsia" w:ascii="仿宋" w:hAnsi="仿宋" w:eastAsia="仿宋" w:cs="仿宋"/>
          <w:spacing w:val="-2"/>
          <w:kern w:val="2"/>
          <w:sz w:val="32"/>
          <w:szCs w:val="32"/>
          <w:lang w:eastAsia="zh-CN" w:bidi="ar"/>
        </w:rPr>
        <w:t>剑阁县兴农农资有限公司木马一店等2户企业</w:t>
      </w:r>
      <w:r>
        <w:rPr>
          <w:rFonts w:hint="eastAsia" w:ascii="仿宋" w:hAnsi="仿宋" w:eastAsia="仿宋" w:cs="仿宋"/>
          <w:spacing w:val="-2"/>
          <w:kern w:val="2"/>
          <w:sz w:val="32"/>
          <w:szCs w:val="32"/>
          <w:lang w:bidi="ar"/>
        </w:rPr>
        <w:t>作出吊销营业执照的处罚</w:t>
      </w:r>
      <w:r>
        <w:rPr>
          <w:rFonts w:hint="eastAsia" w:ascii="仿宋" w:hAnsi="仿宋" w:eastAsia="仿宋" w:cs="仿宋"/>
          <w:sz w:val="32"/>
          <w:szCs w:val="32"/>
        </w:rPr>
        <w:t>。</w:t>
      </w:r>
    </w:p>
    <w:p w14:paraId="77D13E03">
      <w:pPr>
        <w:ind w:firstLine="640" w:firstLineChars="200"/>
        <w:rPr>
          <w:rFonts w:hint="eastAsia"/>
        </w:rPr>
      </w:pPr>
      <w:r>
        <w:rPr>
          <w:rFonts w:hint="eastAsia" w:ascii="仿宋" w:hAnsi="仿宋" w:eastAsia="仿宋" w:cs="仿宋"/>
          <w:color w:val="auto"/>
          <w:sz w:val="32"/>
          <w:szCs w:val="32"/>
        </w:rPr>
        <w:t>综上，本局决定对</w:t>
      </w:r>
      <w:r>
        <w:rPr>
          <w:rFonts w:hint="eastAsia" w:ascii="仿宋" w:hAnsi="仿宋" w:eastAsia="仿宋" w:cs="仿宋"/>
          <w:color w:val="auto"/>
          <w:spacing w:val="-2"/>
          <w:kern w:val="2"/>
          <w:sz w:val="32"/>
          <w:szCs w:val="32"/>
          <w:lang w:eastAsia="zh-CN" w:bidi="ar"/>
        </w:rPr>
        <w:t>剑阁县兴农农资有限公司木马一店等2户企业</w:t>
      </w:r>
      <w:r>
        <w:rPr>
          <w:rFonts w:hint="eastAsia" w:ascii="仿宋" w:hAnsi="仿宋" w:eastAsia="仿宋" w:cs="仿宋"/>
          <w:color w:val="auto"/>
          <w:spacing w:val="-2"/>
          <w:kern w:val="2"/>
          <w:sz w:val="32"/>
          <w:szCs w:val="32"/>
          <w:lang w:bidi="ar"/>
        </w:rPr>
        <w:t>作出吊销营业执照的处罚</w:t>
      </w:r>
      <w:r>
        <w:rPr>
          <w:rFonts w:hint="eastAsia" w:ascii="仿宋" w:hAnsi="仿宋" w:eastAsia="仿宋" w:cs="仿宋"/>
          <w:color w:val="auto"/>
          <w:sz w:val="32"/>
          <w:szCs w:val="32"/>
        </w:rPr>
        <w:t>。</w:t>
      </w:r>
    </w:p>
    <w:p w14:paraId="2650D1C0">
      <w:pPr>
        <w:ind w:firstLine="640" w:firstLineChars="200"/>
        <w:rPr>
          <w:rFonts w:ascii="仿宋" w:hAnsi="仿宋" w:eastAsia="仿宋" w:cs="仿宋"/>
          <w:sz w:val="32"/>
          <w:szCs w:val="32"/>
        </w:rPr>
      </w:pPr>
      <w:r>
        <w:rPr>
          <w:rFonts w:hint="eastAsia" w:ascii="仿宋" w:hAnsi="仿宋" w:eastAsia="仿宋" w:cs="仿宋"/>
          <w:color w:val="auto"/>
          <w:sz w:val="32"/>
          <w:szCs w:val="32"/>
        </w:rPr>
        <w:t>如不服本行政处罚决定，</w:t>
      </w:r>
      <w:r>
        <w:rPr>
          <w:rFonts w:hint="eastAsia" w:ascii="仿宋" w:hAnsi="仿宋" w:eastAsia="仿宋" w:cs="仿宋"/>
          <w:sz w:val="32"/>
          <w:szCs w:val="32"/>
        </w:rPr>
        <w:t>可在接到本处罚决定书之日起60日内向剑阁县人民政府申请行政复议；也可以在6个月内向剑阁县人民法院提起行政诉讼。当事人对行政处罚决定不服申请行政复议或者提起行政诉讼的，行政处罚不停止执行，法律另有规定的除外。</w:t>
      </w:r>
    </w:p>
    <w:p w14:paraId="1891A90E">
      <w:pPr>
        <w:ind w:firstLine="640" w:firstLineChars="200"/>
        <w:rPr>
          <w:rFonts w:hint="eastAsia" w:ascii="仿宋" w:hAnsi="仿宋" w:eastAsia="仿宋" w:cs="仿宋"/>
          <w:spacing w:val="-4"/>
          <w:sz w:val="32"/>
          <w:szCs w:val="32"/>
        </w:rPr>
      </w:pPr>
      <w:r>
        <w:rPr>
          <w:rFonts w:hint="eastAsia" w:ascii="仿宋" w:hAnsi="仿宋" w:eastAsia="仿宋" w:cs="仿宋"/>
          <w:sz w:val="32"/>
          <w:szCs w:val="32"/>
        </w:rPr>
        <w:t>本处罚决定自依法送达之日起生效。</w:t>
      </w:r>
    </w:p>
    <w:p w14:paraId="43020B77">
      <w:pPr>
        <w:tabs>
          <w:tab w:val="left" w:pos="5667"/>
        </w:tabs>
        <w:spacing w:before="105" w:line="253" w:lineRule="auto"/>
        <w:ind w:right="861"/>
        <w:jc w:val="right"/>
        <w:rPr>
          <w:rFonts w:hint="eastAsia" w:ascii="仿宋" w:hAnsi="仿宋" w:eastAsia="仿宋" w:cs="仿宋"/>
          <w:spacing w:val="-4"/>
          <w:sz w:val="32"/>
          <w:szCs w:val="32"/>
        </w:rPr>
      </w:pPr>
    </w:p>
    <w:p w14:paraId="1F030AA1">
      <w:pPr>
        <w:tabs>
          <w:tab w:val="left" w:pos="5667"/>
        </w:tabs>
        <w:spacing w:before="105" w:line="253" w:lineRule="auto"/>
        <w:ind w:right="861"/>
        <w:jc w:val="right"/>
        <w:rPr>
          <w:rFonts w:hint="eastAsia" w:ascii="仿宋" w:hAnsi="仿宋" w:eastAsia="仿宋" w:cs="仿宋"/>
          <w:spacing w:val="-4"/>
          <w:sz w:val="32"/>
          <w:szCs w:val="32"/>
        </w:rPr>
      </w:pPr>
    </w:p>
    <w:p w14:paraId="0A0B2412">
      <w:pPr>
        <w:tabs>
          <w:tab w:val="left" w:pos="5667"/>
        </w:tabs>
        <w:spacing w:before="105" w:line="253" w:lineRule="auto"/>
        <w:ind w:right="861"/>
        <w:jc w:val="right"/>
        <w:rPr>
          <w:rFonts w:ascii="Times New Roman" w:hAnsi="Times New Roman" w:eastAsia="仿宋" w:cs="Times New Roman"/>
          <w:spacing w:val="-16"/>
          <w:sz w:val="32"/>
          <w:szCs w:val="32"/>
        </w:rPr>
      </w:pPr>
      <w:r>
        <w:rPr>
          <w:rFonts w:hint="eastAsia" w:ascii="仿宋" w:hAnsi="仿宋" w:eastAsia="仿宋" w:cs="仿宋"/>
          <w:spacing w:val="-4"/>
          <w:sz w:val="32"/>
          <w:szCs w:val="32"/>
        </w:rPr>
        <w:t>剑阁县</w:t>
      </w:r>
      <w:r>
        <w:rPr>
          <w:rFonts w:ascii="仿宋" w:hAnsi="仿宋" w:eastAsia="仿宋" w:cs="仿宋"/>
          <w:spacing w:val="-4"/>
          <w:sz w:val="32"/>
          <w:szCs w:val="32"/>
        </w:rPr>
        <w:t>市场监督管理局</w:t>
      </w:r>
      <w:r>
        <w:rPr>
          <w:rFonts w:ascii="仿宋" w:hAnsi="仿宋" w:eastAsia="仿宋" w:cs="仿宋"/>
          <w:sz w:val="32"/>
          <w:szCs w:val="32"/>
        </w:rPr>
        <w:t xml:space="preserve"> </w:t>
      </w:r>
      <w:r>
        <w:rPr>
          <w:rFonts w:hint="eastAsia" w:ascii="仿宋" w:hAnsi="仿宋" w:eastAsia="仿宋" w:cs="仿宋"/>
          <w:spacing w:val="-30"/>
          <w:sz w:val="32"/>
          <w:szCs w:val="32"/>
        </w:rPr>
        <w:t xml:space="preserve">                              </w:t>
      </w:r>
      <w:r>
        <w:rPr>
          <w:rFonts w:hint="eastAsia" w:ascii="仿宋" w:hAnsi="仿宋" w:eastAsia="仿宋" w:cs="仿宋"/>
          <w:spacing w:val="-16"/>
          <w:sz w:val="32"/>
          <w:szCs w:val="32"/>
        </w:rPr>
        <w:t xml:space="preserve">                      </w:t>
      </w:r>
      <w:r>
        <w:rPr>
          <w:rFonts w:ascii="Times New Roman" w:hAnsi="Times New Roman" w:eastAsia="仿宋" w:cs="Times New Roman"/>
          <w:spacing w:val="-16"/>
          <w:sz w:val="32"/>
          <w:szCs w:val="32"/>
        </w:rPr>
        <w:t xml:space="preserve">  </w:t>
      </w:r>
    </w:p>
    <w:p w14:paraId="775B2C20">
      <w:pPr>
        <w:tabs>
          <w:tab w:val="left" w:pos="5667"/>
        </w:tabs>
        <w:spacing w:before="105" w:line="253" w:lineRule="auto"/>
        <w:ind w:right="861"/>
        <w:jc w:val="center"/>
        <w:rPr>
          <w:rFonts w:hint="eastAsia" w:ascii="仿宋" w:hAnsi="仿宋" w:eastAsia="仿宋" w:cs="仿宋"/>
          <w:color w:val="C00000"/>
          <w:spacing w:val="-4"/>
          <w:sz w:val="32"/>
          <w:szCs w:val="32"/>
        </w:rPr>
      </w:pPr>
      <w:r>
        <w:rPr>
          <w:rFonts w:hint="eastAsia" w:ascii="仿宋" w:hAnsi="仿宋" w:eastAsia="仿宋" w:cs="仿宋"/>
          <w:color w:val="auto"/>
          <w:spacing w:val="-4"/>
          <w:sz w:val="32"/>
          <w:szCs w:val="32"/>
        </w:rPr>
        <w:t xml:space="preserve">                                 </w:t>
      </w:r>
      <w:r>
        <w:rPr>
          <w:rFonts w:hint="eastAsia" w:ascii="仿宋" w:hAnsi="仿宋" w:eastAsia="仿宋" w:cs="仿宋"/>
          <w:spacing w:val="-4"/>
          <w:sz w:val="32"/>
          <w:szCs w:val="32"/>
          <w:lang w:val="en-US" w:eastAsia="zh-CN"/>
        </w:rPr>
        <w:t>2025</w:t>
      </w:r>
      <w:r>
        <w:rPr>
          <w:rFonts w:hint="eastAsia" w:ascii="仿宋" w:hAnsi="仿宋" w:eastAsia="仿宋" w:cs="仿宋"/>
          <w:spacing w:val="-4"/>
          <w:sz w:val="32"/>
          <w:szCs w:val="32"/>
        </w:rPr>
        <w:t>年</w:t>
      </w:r>
      <w:r>
        <w:rPr>
          <w:rFonts w:hint="eastAsia" w:ascii="仿宋" w:hAnsi="仿宋" w:eastAsia="仿宋" w:cs="仿宋"/>
          <w:spacing w:val="-4"/>
          <w:sz w:val="32"/>
          <w:szCs w:val="32"/>
          <w:lang w:val="en-US" w:eastAsia="zh-CN"/>
        </w:rPr>
        <w:t>1</w:t>
      </w:r>
      <w:r>
        <w:rPr>
          <w:rFonts w:hint="eastAsia" w:ascii="仿宋" w:hAnsi="仿宋" w:eastAsia="仿宋" w:cs="仿宋"/>
          <w:spacing w:val="-4"/>
          <w:sz w:val="32"/>
          <w:szCs w:val="32"/>
        </w:rPr>
        <w:t>月</w:t>
      </w:r>
      <w:r>
        <w:rPr>
          <w:rFonts w:hint="eastAsia" w:ascii="仿宋" w:hAnsi="仿宋" w:eastAsia="仿宋" w:cs="仿宋"/>
          <w:spacing w:val="-4"/>
          <w:sz w:val="32"/>
          <w:szCs w:val="32"/>
          <w:lang w:val="en-US" w:eastAsia="zh-CN"/>
        </w:rPr>
        <w:t>17</w:t>
      </w:r>
      <w:r>
        <w:rPr>
          <w:rFonts w:hint="eastAsia" w:ascii="仿宋" w:hAnsi="仿宋" w:eastAsia="仿宋" w:cs="仿宋"/>
          <w:spacing w:val="-4"/>
          <w:sz w:val="32"/>
          <w:szCs w:val="32"/>
        </w:rPr>
        <w:t>日</w:t>
      </w:r>
    </w:p>
    <w:p w14:paraId="183895F8">
      <w:pPr>
        <w:tabs>
          <w:tab w:val="left" w:pos="5667"/>
        </w:tabs>
        <w:spacing w:before="105" w:line="253" w:lineRule="auto"/>
        <w:ind w:right="861"/>
        <w:jc w:val="center"/>
        <w:rPr>
          <w:rFonts w:hint="eastAsia" w:ascii="仿宋" w:hAnsi="仿宋" w:eastAsia="仿宋" w:cs="仿宋"/>
          <w:color w:val="C00000"/>
          <w:spacing w:val="-4"/>
          <w:sz w:val="32"/>
          <w:szCs w:val="32"/>
        </w:rPr>
      </w:pPr>
    </w:p>
    <w:p w14:paraId="0D8CE3BD">
      <w:pPr>
        <w:tabs>
          <w:tab w:val="left" w:pos="5667"/>
        </w:tabs>
        <w:spacing w:before="105" w:line="253" w:lineRule="auto"/>
        <w:ind w:right="861"/>
        <w:jc w:val="center"/>
        <w:rPr>
          <w:rFonts w:hint="eastAsia" w:ascii="仿宋" w:hAnsi="仿宋" w:eastAsia="仿宋" w:cs="仿宋"/>
          <w:color w:val="C00000"/>
          <w:spacing w:val="-4"/>
          <w:sz w:val="32"/>
          <w:szCs w:val="32"/>
        </w:rPr>
      </w:pPr>
    </w:p>
    <w:p w14:paraId="53DD0B6B">
      <w:pPr>
        <w:tabs>
          <w:tab w:val="left" w:pos="5667"/>
        </w:tabs>
        <w:spacing w:before="105" w:line="253" w:lineRule="auto"/>
        <w:ind w:right="861"/>
        <w:jc w:val="both"/>
        <w:rPr>
          <w:rFonts w:hint="eastAsia" w:ascii="仿宋" w:hAnsi="仿宋" w:eastAsia="仿宋" w:cs="仿宋"/>
          <w:color w:val="C00000"/>
          <w:spacing w:val="-4"/>
          <w:sz w:val="32"/>
          <w:szCs w:val="32"/>
        </w:rPr>
      </w:pPr>
    </w:p>
    <w:p w14:paraId="0D2ED4BF">
      <w:pPr>
        <w:tabs>
          <w:tab w:val="left" w:pos="5667"/>
        </w:tabs>
        <w:spacing w:before="105" w:line="253" w:lineRule="auto"/>
        <w:ind w:right="861"/>
        <w:jc w:val="both"/>
        <w:rPr>
          <w:rFonts w:hint="eastAsia" w:ascii="仿宋" w:hAnsi="仿宋" w:eastAsia="仿宋" w:cs="仿宋"/>
          <w:color w:val="C00000"/>
          <w:spacing w:val="-4"/>
          <w:sz w:val="32"/>
          <w:szCs w:val="32"/>
        </w:rPr>
      </w:pPr>
    </w:p>
    <w:p w14:paraId="00AF085A">
      <w:pPr>
        <w:tabs>
          <w:tab w:val="left" w:pos="5667"/>
        </w:tabs>
        <w:spacing w:before="105" w:line="253" w:lineRule="auto"/>
        <w:ind w:right="861"/>
        <w:jc w:val="both"/>
        <w:rPr>
          <w:rFonts w:hint="eastAsia" w:ascii="仿宋" w:hAnsi="仿宋" w:eastAsia="仿宋" w:cs="仿宋"/>
          <w:color w:val="C00000"/>
          <w:spacing w:val="-4"/>
          <w:sz w:val="32"/>
          <w:szCs w:val="32"/>
        </w:rPr>
      </w:pPr>
    </w:p>
    <w:p w14:paraId="5E267160">
      <w:pPr>
        <w:tabs>
          <w:tab w:val="left" w:pos="5667"/>
        </w:tabs>
        <w:spacing w:before="105" w:line="253" w:lineRule="auto"/>
        <w:ind w:right="861"/>
        <w:jc w:val="both"/>
        <w:rPr>
          <w:rFonts w:hint="eastAsia" w:ascii="仿宋" w:hAnsi="仿宋" w:eastAsia="仿宋" w:cs="仿宋"/>
          <w:color w:val="C00000"/>
          <w:spacing w:val="-4"/>
          <w:sz w:val="32"/>
          <w:szCs w:val="32"/>
        </w:rPr>
      </w:pPr>
    </w:p>
    <w:p w14:paraId="47C8082F">
      <w:pPr>
        <w:tabs>
          <w:tab w:val="left" w:pos="5667"/>
        </w:tabs>
        <w:spacing w:before="105" w:line="253" w:lineRule="auto"/>
        <w:ind w:right="861"/>
        <w:jc w:val="both"/>
        <w:rPr>
          <w:rFonts w:hint="eastAsia" w:ascii="仿宋" w:hAnsi="仿宋" w:eastAsia="仿宋" w:cs="仿宋"/>
          <w:color w:val="C00000"/>
          <w:spacing w:val="-4"/>
          <w:sz w:val="32"/>
          <w:szCs w:val="32"/>
        </w:rPr>
      </w:pPr>
    </w:p>
    <w:p w14:paraId="1212FC34">
      <w:pPr>
        <w:tabs>
          <w:tab w:val="left" w:pos="5667"/>
        </w:tabs>
        <w:spacing w:before="105" w:line="253" w:lineRule="auto"/>
        <w:ind w:right="861"/>
        <w:jc w:val="both"/>
        <w:rPr>
          <w:rFonts w:hint="eastAsia" w:ascii="仿宋" w:hAnsi="仿宋" w:eastAsia="仿宋" w:cs="仿宋"/>
          <w:color w:val="C00000"/>
          <w:spacing w:val="-4"/>
          <w:sz w:val="32"/>
          <w:szCs w:val="32"/>
        </w:rPr>
      </w:pPr>
    </w:p>
    <w:p w14:paraId="0D076BA8">
      <w:pPr>
        <w:tabs>
          <w:tab w:val="left" w:pos="5667"/>
        </w:tabs>
        <w:spacing w:before="105" w:line="253" w:lineRule="auto"/>
        <w:ind w:right="861"/>
        <w:jc w:val="both"/>
        <w:rPr>
          <w:rFonts w:hint="eastAsia" w:ascii="仿宋" w:hAnsi="仿宋" w:eastAsia="仿宋" w:cs="仿宋"/>
          <w:color w:val="C00000"/>
          <w:spacing w:val="-4"/>
          <w:sz w:val="32"/>
          <w:szCs w:val="32"/>
        </w:rPr>
      </w:pPr>
    </w:p>
    <w:p w14:paraId="484507AA">
      <w:pPr>
        <w:spacing w:line="440" w:lineRule="exact"/>
        <w:ind w:right="16"/>
        <w:rPr>
          <w:rFonts w:hint="eastAsia" w:ascii="仿宋" w:hAnsi="仿宋" w:eastAsia="仿宋" w:cs="仿宋"/>
          <w:color w:val="auto"/>
          <w:sz w:val="32"/>
          <w:szCs w:val="32"/>
        </w:rPr>
      </w:pPr>
      <w:r>
        <w:rPr>
          <w:rFonts w:ascii="黑体" w:hAnsi="黑体" w:eastAsia="黑体" w:cs="黑体"/>
          <w:color w:val="231F20"/>
          <w:spacing w:val="-31"/>
          <w:sz w:val="32"/>
          <w:szCs w:val="32"/>
        </w:rPr>
        <w:t>（</w:t>
      </w:r>
      <w:r>
        <w:rPr>
          <w:rFonts w:hint="eastAsia" w:ascii="仿宋" w:hAnsi="仿宋" w:eastAsia="仿宋" w:cs="仿宋"/>
          <w:color w:val="auto"/>
          <w:sz w:val="32"/>
          <w:szCs w:val="32"/>
        </w:rPr>
        <w:t>市场监督管理部门将依法向社会公开行政处罚决定信息）</w:t>
      </w:r>
    </w:p>
    <w:p w14:paraId="397C17FD">
      <w:pPr>
        <w:spacing w:before="1" w:line="26" w:lineRule="exact"/>
        <w:textAlignment w:val="center"/>
      </w:pPr>
      <w:r>
        <w:drawing>
          <wp:inline distT="0" distB="0" distL="114300" distR="114300">
            <wp:extent cx="5550535" cy="1587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stretch>
                      <a:fillRect/>
                    </a:stretch>
                  </pic:blipFill>
                  <pic:spPr>
                    <a:xfrm>
                      <a:off x="0" y="0"/>
                      <a:ext cx="5550535" cy="15875"/>
                    </a:xfrm>
                    <a:prstGeom prst="rect">
                      <a:avLst/>
                    </a:prstGeom>
                    <a:noFill/>
                    <a:ln>
                      <a:noFill/>
                    </a:ln>
                  </pic:spPr>
                </pic:pic>
              </a:graphicData>
            </a:graphic>
          </wp:inline>
        </w:drawing>
      </w:r>
    </w:p>
    <w:p w14:paraId="63A71E5A">
      <w:pPr>
        <w:spacing w:before="106" w:line="183" w:lineRule="auto"/>
        <w:ind w:firstLine="231"/>
        <w:sectPr>
          <w:headerReference r:id="rId3" w:type="default"/>
          <w:footerReference r:id="rId4" w:type="default"/>
          <w:pgSz w:w="11906" w:h="16838"/>
          <w:pgMar w:top="1372" w:right="1440" w:bottom="1128" w:left="1440" w:header="0" w:footer="930" w:gutter="0"/>
          <w:cols w:space="720" w:num="1"/>
          <w:docGrid w:linePitch="1" w:charSpace="0"/>
        </w:sectPr>
      </w:pPr>
      <w:r>
        <w:rPr>
          <w:rFonts w:ascii="仿宋" w:hAnsi="仿宋" w:eastAsia="仿宋" w:cs="仿宋"/>
          <w:spacing w:val="-10"/>
          <w:sz w:val="32"/>
          <w:szCs w:val="32"/>
        </w:rPr>
        <w:t>本文书一式</w:t>
      </w:r>
      <w:r>
        <w:rPr>
          <w:rFonts w:ascii="仿宋" w:hAnsi="仿宋" w:eastAsia="仿宋" w:cs="仿宋"/>
          <w:spacing w:val="6"/>
          <w:sz w:val="32"/>
          <w:szCs w:val="32"/>
          <w:u w:val="single"/>
        </w:rPr>
        <w:t xml:space="preserve"> </w:t>
      </w:r>
      <w:r>
        <w:rPr>
          <w:rFonts w:hint="eastAsia" w:ascii="仿宋" w:hAnsi="仿宋" w:eastAsia="仿宋" w:cs="仿宋"/>
          <w:spacing w:val="6"/>
          <w:sz w:val="32"/>
          <w:szCs w:val="32"/>
          <w:u w:val="single"/>
        </w:rPr>
        <w:t>二</w:t>
      </w:r>
      <w:r>
        <w:rPr>
          <w:rFonts w:ascii="仿宋" w:hAnsi="仿宋" w:eastAsia="仿宋" w:cs="仿宋"/>
          <w:spacing w:val="6"/>
          <w:sz w:val="32"/>
          <w:szCs w:val="32"/>
          <w:u w:val="single"/>
        </w:rPr>
        <w:t xml:space="preserve"> </w:t>
      </w:r>
      <w:r>
        <w:rPr>
          <w:rFonts w:ascii="仿宋" w:hAnsi="仿宋" w:eastAsia="仿宋" w:cs="仿宋"/>
          <w:spacing w:val="-10"/>
          <w:sz w:val="32"/>
          <w:szCs w:val="32"/>
        </w:rPr>
        <w:t>份，</w:t>
      </w:r>
      <w:r>
        <w:rPr>
          <w:rFonts w:hint="eastAsia" w:ascii="仿宋" w:hAnsi="仿宋" w:eastAsia="仿宋" w:cs="仿宋"/>
          <w:spacing w:val="20"/>
          <w:sz w:val="32"/>
          <w:szCs w:val="32"/>
          <w:u w:val="single"/>
        </w:rPr>
        <w:t>一</w:t>
      </w:r>
      <w:r>
        <w:rPr>
          <w:rFonts w:ascii="仿宋" w:hAnsi="仿宋" w:eastAsia="仿宋" w:cs="仿宋"/>
          <w:spacing w:val="-10"/>
          <w:sz w:val="32"/>
          <w:szCs w:val="32"/>
        </w:rPr>
        <w:t>份送达，一份归档。</w:t>
      </w:r>
    </w:p>
    <w:p w14:paraId="7D4925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E850F">
    <w:pPr>
      <w:spacing w:line="196" w:lineRule="exact"/>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11F92">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D6312"/>
    <w:rsid w:val="70AD6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2025-01-17T07:15:00Z</dcterms:created>
  <dc:creator>。。。。。。。。</dc:creator>
  <cp:lastModifiedBy>。。。。。。。。</cp:lastModifiedBy>
  <cp:lastPrinted>2025-01-17T07:16:11Z</cp:lastPrinted>
  <dcterms:modified xsi:type="dcterms:W3CDTF">2025-01-17T07:17:34Z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44FE309742B74B2A9BD02E5124278909_11</vt:lpwstr>
  </property>
  <property fmtid="{D5CDD505-2E9C-101B-9397-08002B2CF9AE}" pid="4" name="KSOTemplateDocerSaveRecord">
    <vt:lpwstr>eyJoZGlkIjoiZmZlOWZmN2E2NTMzMjdiNWNkZTQ5MDM3ODg3Y2RlYWUiLCJ1c2VySWQiOiIyNTAxNjQyNTUifQ==</vt:lpwstr>
  </property>
</Properties>
</file>