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sz w:val="72"/>
          <w:szCs w:val="72"/>
        </w:rPr>
      </w:pPr>
      <w:bookmarkStart w:id="0" w:name="_Toc15378441"/>
      <w:bookmarkStart w:id="1" w:name="_Toc15377425"/>
      <w:bookmarkStart w:id="2" w:name="_Toc15396475"/>
      <w:bookmarkStart w:id="3" w:name="_Toc15377193"/>
      <w:bookmarkStart w:id="4" w:name="_Toc15396597"/>
      <w:bookmarkStart w:id="5" w:name="_Toc15306267"/>
    </w:p>
    <w:p>
      <w:pPr>
        <w:spacing w:line="600" w:lineRule="exact"/>
        <w:jc w:val="center"/>
        <w:outlineLvl w:val="9"/>
        <w:rPr>
          <w:rFonts w:ascii="方正小标宋简体" w:hAnsi="宋体" w:eastAsia="方正小标宋简体"/>
          <w:sz w:val="72"/>
          <w:szCs w:val="72"/>
        </w:rPr>
      </w:pPr>
    </w:p>
    <w:p>
      <w:pPr>
        <w:spacing w:line="600" w:lineRule="exact"/>
        <w:jc w:val="center"/>
        <w:outlineLvl w:val="9"/>
        <w:rPr>
          <w:rFonts w:ascii="方正小标宋简体" w:hAnsi="宋体" w:eastAsia="方正小标宋简体"/>
          <w:sz w:val="72"/>
          <w:szCs w:val="72"/>
        </w:rPr>
      </w:pPr>
    </w:p>
    <w:p>
      <w:pPr>
        <w:pStyle w:val="2"/>
        <w:rPr>
          <w:rFonts w:ascii="方正小标宋简体" w:hAnsi="宋体" w:eastAsia="方正小标宋简体"/>
          <w:sz w:val="72"/>
          <w:szCs w:val="72"/>
        </w:rPr>
      </w:pPr>
    </w:p>
    <w:p>
      <w:pPr>
        <w:pStyle w:val="4"/>
        <w:rPr>
          <w:rFonts w:ascii="方正小标宋简体" w:hAnsi="宋体" w:eastAsia="方正小标宋简体"/>
          <w:sz w:val="72"/>
          <w:szCs w:val="72"/>
        </w:rPr>
      </w:pPr>
    </w:p>
    <w:p>
      <w:pPr>
        <w:pStyle w:val="4"/>
        <w:rPr>
          <w:rFonts w:ascii="方正小标宋简体" w:hAnsi="宋体" w:eastAsia="方正小标宋简体"/>
          <w:sz w:val="72"/>
          <w:szCs w:val="72"/>
        </w:rPr>
      </w:pPr>
    </w:p>
    <w:p>
      <w:pPr>
        <w:pStyle w:val="4"/>
        <w:ind w:left="0" w:leftChars="0" w:firstLine="0" w:firstLineChars="0"/>
        <w:rPr>
          <w:rFonts w:ascii="方正小标宋简体" w:hAnsi="宋体" w:eastAsia="方正小标宋简体"/>
          <w:sz w:val="72"/>
          <w:szCs w:val="72"/>
        </w:rPr>
      </w:pPr>
      <w:bookmarkStart w:id="133" w:name="_GoBack"/>
      <w:bookmarkEnd w:id="133"/>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rPr>
        <w:t>202</w:t>
      </w:r>
      <w:r>
        <w:rPr>
          <w:rFonts w:hint="eastAsia" w:ascii="黑体" w:hAnsi="黑体" w:eastAsia="黑体" w:cs="黑体"/>
          <w:b/>
          <w:bCs/>
          <w:sz w:val="52"/>
          <w:szCs w:val="52"/>
          <w:lang w:val="en-US" w:eastAsia="zh-CN"/>
        </w:rPr>
        <w:t>2</w:t>
      </w:r>
      <w:r>
        <w:rPr>
          <w:rFonts w:hint="eastAsia" w:ascii="黑体" w:hAnsi="黑体" w:eastAsia="黑体" w:cs="黑体"/>
          <w:b/>
          <w:bCs/>
          <w:sz w:val="52"/>
          <w:szCs w:val="52"/>
        </w:rPr>
        <w:t>年度</w:t>
      </w:r>
      <w:bookmarkEnd w:id="0"/>
      <w:bookmarkEnd w:id="1"/>
      <w:bookmarkEnd w:id="2"/>
      <w:bookmarkEnd w:id="3"/>
      <w:bookmarkEnd w:id="4"/>
      <w:bookmarkStart w:id="6" w:name="_Toc15378442"/>
      <w:bookmarkStart w:id="7" w:name="_Toc15377194"/>
      <w:bookmarkStart w:id="8" w:name="_Toc15377426"/>
      <w:bookmarkStart w:id="9" w:name="_Toc15396476"/>
      <w:bookmarkStart w:id="10" w:name="_Toc15396598"/>
    </w:p>
    <w:bookmarkEnd w:id="5"/>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lang w:val="en-US" w:eastAsia="zh-CN"/>
        </w:rPr>
      </w:pPr>
      <w:bookmarkStart w:id="11" w:name="_Toc15306268"/>
      <w:r>
        <w:rPr>
          <w:rFonts w:hint="eastAsia" w:ascii="黑体" w:hAnsi="黑体" w:eastAsia="黑体" w:cs="黑体"/>
          <w:b/>
          <w:bCs/>
          <w:sz w:val="52"/>
          <w:szCs w:val="52"/>
          <w:lang w:val="en-US" w:eastAsia="zh-CN"/>
        </w:rPr>
        <w:t>剑门关国家森林公园事务中心</w:t>
      </w:r>
    </w:p>
    <w:p>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黑体" w:hAnsi="黑体" w:eastAsia="黑体" w:cs="黑体"/>
          <w:b/>
          <w:bCs/>
          <w:sz w:val="52"/>
          <w:szCs w:val="52"/>
        </w:rPr>
      </w:pPr>
      <w:r>
        <w:rPr>
          <w:rFonts w:hint="eastAsia" w:ascii="黑体" w:hAnsi="黑体" w:eastAsia="黑体" w:cs="黑体"/>
          <w:b/>
          <w:bCs/>
          <w:sz w:val="52"/>
          <w:szCs w:val="52"/>
          <w:lang w:val="en-US" w:eastAsia="zh-CN"/>
        </w:rPr>
        <w:t>单位</w:t>
      </w:r>
      <w:r>
        <w:rPr>
          <w:rFonts w:hint="eastAsia" w:ascii="黑体" w:hAnsi="黑体" w:eastAsia="黑体" w:cs="黑体"/>
          <w:b/>
          <w:bCs/>
          <w:sz w:val="52"/>
          <w:szCs w:val="52"/>
        </w:rPr>
        <w:t>决算</w:t>
      </w:r>
      <w:bookmarkEnd w:id="6"/>
      <w:bookmarkEnd w:id="7"/>
      <w:bookmarkEnd w:id="8"/>
      <w:bookmarkEnd w:id="9"/>
      <w:bookmarkEnd w:id="10"/>
      <w:bookmarkEnd w:id="11"/>
    </w:p>
    <w:p>
      <w:pPr>
        <w:keepNext w:val="0"/>
        <w:keepLines w:val="0"/>
        <w:pageBreakBefore w:val="0"/>
        <w:widowControl/>
        <w:kinsoku/>
        <w:wordWrap/>
        <w:overflowPunct/>
        <w:topLinePunct w:val="0"/>
        <w:autoSpaceDE/>
        <w:autoSpaceDN/>
        <w:bidi w:val="0"/>
        <w:spacing w:line="576" w:lineRule="exact"/>
        <w:jc w:val="center"/>
        <w:textAlignment w:val="auto"/>
        <w:rPr>
          <w:rFonts w:hint="eastAsia" w:ascii="方正小标宋简体" w:hAnsi="方正小标宋简体" w:eastAsia="方正小标宋简体" w:cs="方正小标宋简体"/>
          <w:sz w:val="44"/>
          <w:szCs w:val="44"/>
        </w:rPr>
      </w:pPr>
      <w:r>
        <w:rPr>
          <w:rFonts w:ascii="方正小标宋简体" w:hAnsi="宋体" w:eastAsia="方正小标宋简体"/>
          <w:sz w:val="36"/>
          <w:szCs w:val="36"/>
        </w:rPr>
        <w:br w:type="page"/>
      </w:r>
      <w:r>
        <w:rPr>
          <w:rFonts w:hint="eastAsia" w:ascii="方正小标宋简体" w:hAnsi="方正小标宋简体" w:eastAsia="方正小标宋简体" w:cs="方正小标宋简体"/>
          <w:sz w:val="44"/>
          <w:szCs w:val="44"/>
        </w:rPr>
        <w:t>目</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录</w:t>
      </w:r>
    </w:p>
    <w:p>
      <w:pPr>
        <w:pStyle w:val="14"/>
      </w:pPr>
      <w:r>
        <w:rPr>
          <w:rFonts w:hint="eastAsia"/>
        </w:rPr>
        <w:t xml:space="preserve">公开时间：2023年 </w:t>
      </w:r>
      <w:r>
        <w:rPr>
          <w:rFonts w:hint="eastAsia"/>
          <w:lang w:val="en-US" w:eastAsia="zh-CN"/>
        </w:rPr>
        <w:t>10</w:t>
      </w:r>
      <w:r>
        <w:rPr>
          <w:rFonts w:hint="eastAsia"/>
        </w:rPr>
        <w:t>月</w:t>
      </w:r>
      <w:r>
        <w:rPr>
          <w:rFonts w:hint="eastAsia"/>
          <w:lang w:val="en-US" w:eastAsia="zh-CN"/>
        </w:rPr>
        <w:t>16</w:t>
      </w:r>
      <w:r>
        <w:rPr>
          <w:rFonts w:hint="eastAsia"/>
        </w:rPr>
        <w:t xml:space="preserve"> 日</w:t>
      </w:r>
    </w:p>
    <w:p>
      <w:pPr>
        <w:keepNext w:val="0"/>
        <w:keepLines w:val="0"/>
        <w:pageBreakBefore w:val="0"/>
        <w:widowControl/>
        <w:kinsoku/>
        <w:wordWrap/>
        <w:overflowPunct/>
        <w:topLinePunct w:val="0"/>
        <w:autoSpaceDE/>
        <w:autoSpaceDN/>
        <w:bidi w:val="0"/>
        <w:spacing w:line="576" w:lineRule="exact"/>
        <w:ind w:left="0" w:leftChars="0" w:firstLine="640" w:firstLineChars="200"/>
        <w:jc w:val="center"/>
        <w:textAlignment w:val="auto"/>
        <w:rPr>
          <w:rFonts w:hint="eastAsia" w:ascii="仿宋" w:hAnsi="仿宋" w:eastAsia="仿宋" w:cs="仿宋"/>
          <w:sz w:val="32"/>
          <w:szCs w:val="32"/>
        </w:rPr>
      </w:pPr>
    </w:p>
    <w:sdt>
      <w:sdtPr>
        <w:rPr>
          <w:rFonts w:ascii="宋体" w:hAnsi="宋体" w:eastAsia="宋体" w:cs="Times New Roman"/>
          <w:kern w:val="2"/>
          <w:sz w:val="21"/>
          <w:szCs w:val="24"/>
          <w:lang w:val="en-US" w:eastAsia="zh-CN" w:bidi="ar-SA"/>
        </w:rPr>
        <w:id w:val="147471300"/>
        <w15:color w:val="DBDBDB"/>
        <w:docPartObj>
          <w:docPartGallery w:val="Table of Contents"/>
          <w:docPartUnique/>
        </w:docPartObj>
      </w:sdtPr>
      <w:sdtEndPr>
        <w:rPr>
          <w:rFonts w:ascii="宋体" w:hAnsi="宋体" w:eastAsia="宋体" w:cs="Times New Roman"/>
          <w:kern w:val="2"/>
          <w:sz w:val="21"/>
          <w:szCs w:val="24"/>
          <w:lang w:val="en-US" w:eastAsia="zh-CN" w:bidi="ar-SA"/>
        </w:rPr>
      </w:sdtEndPr>
      <w:sdtContent>
        <w:p>
          <w:pPr>
            <w:spacing w:before="0" w:beforeLines="0" w:after="0" w:afterLines="0" w:line="240" w:lineRule="auto"/>
            <w:ind w:left="0" w:leftChars="0" w:right="0" w:rightChars="0" w:firstLine="0" w:firstLineChars="0"/>
            <w:jc w:val="center"/>
          </w:pPr>
          <w:bookmarkStart w:id="12" w:name="_Toc15396599"/>
          <w:bookmarkStart w:id="13" w:name="_Toc15377196"/>
        </w:p>
        <w:p>
          <w:pPr>
            <w:pStyle w:val="14"/>
            <w:tabs>
              <w:tab w:val="right" w:leader="dot" w:pos="8299"/>
              <w:tab w:val="clear" w:pos="8296"/>
            </w:tabs>
          </w:pPr>
          <w:r>
            <w:fldChar w:fldCharType="begin"/>
          </w:r>
          <w:r>
            <w:instrText xml:space="preserve">TOC \o "1-3" \h \u </w:instrText>
          </w:r>
          <w:r>
            <w:fldChar w:fldCharType="separate"/>
          </w:r>
          <w:r>
            <w:fldChar w:fldCharType="begin"/>
          </w:r>
          <w:r>
            <w:instrText xml:space="preserve"> HYPERLINK \l _Toc30799 </w:instrText>
          </w:r>
          <w:r>
            <w:fldChar w:fldCharType="separate"/>
          </w:r>
          <w:r>
            <w:rPr>
              <w:rFonts w:hint="eastAsia" w:ascii="方正小标宋简体" w:hAnsi="方正小标宋简体" w:eastAsia="方正小标宋简体" w:cs="方正小标宋简体"/>
              <w:szCs w:val="44"/>
            </w:rPr>
            <w:t xml:space="preserve">第一部分 </w:t>
          </w:r>
          <w:r>
            <w:rPr>
              <w:rFonts w:hint="eastAsia" w:ascii="方正小标宋简体" w:hAnsi="方正小标宋简体" w:eastAsia="方正小标宋简体" w:cs="方正小标宋简体"/>
              <w:szCs w:val="44"/>
              <w:lang w:val="en-US" w:eastAsia="zh-CN"/>
            </w:rPr>
            <w:t xml:space="preserve"> </w:t>
          </w:r>
          <w:r>
            <w:rPr>
              <w:rFonts w:hint="eastAsia" w:ascii="方正小标宋简体" w:hAnsi="方正小标宋简体" w:eastAsia="方正小标宋简体" w:cs="方正小标宋简体"/>
              <w:szCs w:val="44"/>
            </w:rPr>
            <w:t>单位概况</w:t>
          </w:r>
          <w:r>
            <w:tab/>
          </w:r>
          <w:r>
            <w:fldChar w:fldCharType="begin"/>
          </w:r>
          <w:r>
            <w:instrText xml:space="preserve"> PAGEREF _Toc30799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_Toc9675 </w:instrText>
          </w:r>
          <w:r>
            <w:fldChar w:fldCharType="separate"/>
          </w:r>
          <w:r>
            <w:rPr>
              <w:rFonts w:hint="eastAsia" w:ascii="黑体" w:hAnsi="黑体" w:eastAsia="黑体" w:cs="黑体"/>
              <w:kern w:val="2"/>
              <w:szCs w:val="32"/>
              <w:lang w:val="en-US" w:eastAsia="zh-CN" w:bidi="ar-SA"/>
            </w:rPr>
            <w:t>一、</w:t>
          </w:r>
          <w:r>
            <w:rPr>
              <w:rFonts w:hint="eastAsia" w:ascii="黑体" w:hAnsi="黑体" w:eastAsia="黑体" w:cs="黑体"/>
              <w:szCs w:val="32"/>
            </w:rPr>
            <w:t>基本职能及主要工作</w:t>
          </w:r>
          <w:r>
            <w:tab/>
          </w:r>
          <w:r>
            <w:fldChar w:fldCharType="begin"/>
          </w:r>
          <w:r>
            <w:instrText xml:space="preserve"> PAGEREF _Toc9675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_Toc31577 </w:instrText>
          </w:r>
          <w:r>
            <w:fldChar w:fldCharType="separate"/>
          </w:r>
          <w:r>
            <w:rPr>
              <w:rFonts w:hint="eastAsia" w:ascii="仿宋" w:hAnsi="仿宋" w:eastAsia="仿宋" w:cs="仿宋"/>
              <w:bCs/>
              <w:szCs w:val="32"/>
            </w:rPr>
            <w:t>（一）主要职能。</w:t>
          </w:r>
          <w:r>
            <w:tab/>
          </w:r>
          <w:r>
            <w:fldChar w:fldCharType="begin"/>
          </w:r>
          <w:r>
            <w:instrText xml:space="preserve"> PAGEREF _Toc31577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_Toc25438 </w:instrText>
          </w:r>
          <w:r>
            <w:fldChar w:fldCharType="separate"/>
          </w:r>
          <w:r>
            <w:rPr>
              <w:rFonts w:hint="eastAsia" w:ascii="仿宋" w:hAnsi="仿宋" w:eastAsia="仿宋" w:cs="仿宋"/>
              <w:bCs/>
              <w:szCs w:val="32"/>
              <w:highlight w:val="none"/>
            </w:rPr>
            <w:t>（二）20</w:t>
          </w:r>
          <w:r>
            <w:rPr>
              <w:rFonts w:hint="eastAsia" w:ascii="仿宋" w:hAnsi="仿宋" w:eastAsia="仿宋" w:cs="仿宋"/>
              <w:bCs/>
              <w:szCs w:val="32"/>
              <w:highlight w:val="none"/>
              <w:lang w:val="en-US" w:eastAsia="zh-CN"/>
            </w:rPr>
            <w:t>22</w:t>
          </w:r>
          <w:r>
            <w:rPr>
              <w:rFonts w:hint="eastAsia" w:ascii="仿宋" w:hAnsi="仿宋" w:eastAsia="仿宋" w:cs="仿宋"/>
              <w:bCs/>
              <w:szCs w:val="32"/>
              <w:highlight w:val="none"/>
            </w:rPr>
            <w:t>年重点工作完成情况</w:t>
          </w:r>
          <w:r>
            <w:tab/>
          </w:r>
          <w:r>
            <w:fldChar w:fldCharType="begin"/>
          </w:r>
          <w:r>
            <w:instrText xml:space="preserve"> PAGEREF _Toc25438 \h </w:instrText>
          </w:r>
          <w:r>
            <w:fldChar w:fldCharType="separate"/>
          </w:r>
          <w:r>
            <w:t>4</w:t>
          </w:r>
          <w:r>
            <w:fldChar w:fldCharType="end"/>
          </w:r>
          <w:r>
            <w:fldChar w:fldCharType="end"/>
          </w:r>
        </w:p>
        <w:p>
          <w:pPr>
            <w:pStyle w:val="16"/>
            <w:tabs>
              <w:tab w:val="right" w:leader="dot" w:pos="8299"/>
              <w:tab w:val="clear" w:pos="8296"/>
            </w:tabs>
          </w:pPr>
          <w:r>
            <w:fldChar w:fldCharType="begin"/>
          </w:r>
          <w:r>
            <w:instrText xml:space="preserve"> HYPERLINK \l _Toc10551 </w:instrText>
          </w:r>
          <w:r>
            <w:fldChar w:fldCharType="separate"/>
          </w:r>
          <w:r>
            <w:rPr>
              <w:rFonts w:hint="eastAsia" w:ascii="黑体" w:hAnsi="黑体" w:eastAsia="黑体" w:cs="黑体"/>
              <w:szCs w:val="32"/>
            </w:rPr>
            <w:t>二、机构设置</w:t>
          </w:r>
          <w:r>
            <w:tab/>
          </w:r>
          <w:r>
            <w:fldChar w:fldCharType="begin"/>
          </w:r>
          <w:r>
            <w:instrText xml:space="preserve"> PAGEREF _Toc10551 \h </w:instrText>
          </w:r>
          <w:r>
            <w:fldChar w:fldCharType="separate"/>
          </w:r>
          <w:r>
            <w:t>5</w:t>
          </w:r>
          <w:r>
            <w:fldChar w:fldCharType="end"/>
          </w:r>
          <w:r>
            <w:fldChar w:fldCharType="end"/>
          </w:r>
        </w:p>
        <w:p>
          <w:pPr>
            <w:pStyle w:val="14"/>
            <w:tabs>
              <w:tab w:val="right" w:leader="dot" w:pos="8299"/>
              <w:tab w:val="clear" w:pos="8296"/>
            </w:tabs>
          </w:pPr>
          <w:r>
            <w:fldChar w:fldCharType="begin"/>
          </w:r>
          <w:r>
            <w:instrText xml:space="preserve"> HYPERLINK \l _Toc30242 </w:instrText>
          </w:r>
          <w:r>
            <w:fldChar w:fldCharType="separate"/>
          </w:r>
          <w:r>
            <w:rPr>
              <w:rFonts w:hint="eastAsia" w:ascii="方正小标宋简体" w:hAnsi="方正小标宋简体" w:eastAsia="方正小标宋简体" w:cs="方正小标宋简体"/>
              <w:szCs w:val="44"/>
            </w:rPr>
            <w:t>第二部分 202</w:t>
          </w:r>
          <w:r>
            <w:rPr>
              <w:rFonts w:hint="eastAsia" w:ascii="方正小标宋简体" w:hAnsi="方正小标宋简体" w:eastAsia="方正小标宋简体" w:cs="方正小标宋简体"/>
              <w:szCs w:val="44"/>
              <w:lang w:val="en-US" w:eastAsia="zh-CN"/>
            </w:rPr>
            <w:t>2</w:t>
          </w:r>
          <w:r>
            <w:rPr>
              <w:rFonts w:hint="eastAsia" w:ascii="方正小标宋简体" w:hAnsi="方正小标宋简体" w:eastAsia="方正小标宋简体" w:cs="方正小标宋简体"/>
              <w:szCs w:val="44"/>
            </w:rPr>
            <w:t>年度部门决算情况说明</w:t>
          </w:r>
          <w:r>
            <w:tab/>
          </w:r>
          <w:r>
            <w:fldChar w:fldCharType="begin"/>
          </w:r>
          <w:r>
            <w:instrText xml:space="preserve"> PAGEREF _Toc30242 \h </w:instrText>
          </w:r>
          <w:r>
            <w:fldChar w:fldCharType="separate"/>
          </w:r>
          <w:r>
            <w:t>5</w:t>
          </w:r>
          <w:r>
            <w:fldChar w:fldCharType="end"/>
          </w:r>
          <w:r>
            <w:fldChar w:fldCharType="end"/>
          </w:r>
        </w:p>
        <w:p>
          <w:pPr>
            <w:pStyle w:val="16"/>
            <w:tabs>
              <w:tab w:val="right" w:leader="dot" w:pos="8299"/>
              <w:tab w:val="clear" w:pos="8296"/>
            </w:tabs>
          </w:pPr>
          <w:r>
            <w:fldChar w:fldCharType="begin"/>
          </w:r>
          <w:r>
            <w:instrText xml:space="preserve"> HYPERLINK \l _Toc11117 </w:instrText>
          </w:r>
          <w:r>
            <w:fldChar w:fldCharType="separate"/>
          </w:r>
          <w:r>
            <w:rPr>
              <w:rFonts w:hint="eastAsia" w:ascii="仿宋" w:hAnsi="仿宋" w:eastAsia="仿宋" w:cs="仿宋"/>
              <w:bCs/>
              <w:szCs w:val="32"/>
              <w:lang w:val="en-US" w:eastAsia="zh-CN"/>
            </w:rPr>
            <w:t>一、</w:t>
          </w:r>
          <w:r>
            <w:rPr>
              <w:rFonts w:hint="eastAsia" w:ascii="仿宋" w:hAnsi="仿宋" w:eastAsia="仿宋" w:cs="仿宋"/>
              <w:bCs/>
              <w:szCs w:val="32"/>
            </w:rPr>
            <w:t>收入支出决算总体情况说明</w:t>
          </w:r>
          <w:r>
            <w:tab/>
          </w:r>
          <w:r>
            <w:fldChar w:fldCharType="begin"/>
          </w:r>
          <w:r>
            <w:instrText xml:space="preserve"> PAGEREF _Toc11117 \h </w:instrText>
          </w:r>
          <w:r>
            <w:fldChar w:fldCharType="separate"/>
          </w:r>
          <w:r>
            <w:t>5</w:t>
          </w:r>
          <w:r>
            <w:fldChar w:fldCharType="end"/>
          </w:r>
          <w:r>
            <w:fldChar w:fldCharType="end"/>
          </w:r>
        </w:p>
        <w:p>
          <w:pPr>
            <w:pStyle w:val="16"/>
            <w:tabs>
              <w:tab w:val="right" w:leader="dot" w:pos="8299"/>
              <w:tab w:val="clear" w:pos="8296"/>
            </w:tabs>
          </w:pPr>
          <w:r>
            <w:fldChar w:fldCharType="begin"/>
          </w:r>
          <w:r>
            <w:instrText xml:space="preserve"> HYPERLINK \l _Toc4378 </w:instrText>
          </w:r>
          <w:r>
            <w:fldChar w:fldCharType="separate"/>
          </w:r>
          <w:r>
            <w:rPr>
              <w:rFonts w:hint="eastAsia" w:ascii="仿宋" w:hAnsi="仿宋" w:eastAsia="仿宋" w:cs="仿宋"/>
              <w:bCs/>
              <w:szCs w:val="32"/>
              <w:lang w:val="en-US" w:eastAsia="zh-CN"/>
            </w:rPr>
            <w:t>二、收入决算情况说明</w:t>
          </w:r>
          <w:r>
            <w:tab/>
          </w:r>
          <w:r>
            <w:fldChar w:fldCharType="begin"/>
          </w:r>
          <w:r>
            <w:instrText xml:space="preserve"> PAGEREF _Toc4378 \h </w:instrText>
          </w:r>
          <w:r>
            <w:fldChar w:fldCharType="separate"/>
          </w:r>
          <w:r>
            <w:t>6</w:t>
          </w:r>
          <w:r>
            <w:fldChar w:fldCharType="end"/>
          </w:r>
          <w:r>
            <w:fldChar w:fldCharType="end"/>
          </w:r>
        </w:p>
        <w:p>
          <w:pPr>
            <w:pStyle w:val="16"/>
            <w:tabs>
              <w:tab w:val="right" w:leader="dot" w:pos="8299"/>
              <w:tab w:val="clear" w:pos="8296"/>
            </w:tabs>
          </w:pPr>
          <w:r>
            <w:fldChar w:fldCharType="begin"/>
          </w:r>
          <w:r>
            <w:instrText xml:space="preserve"> HYPERLINK \l _Toc596 </w:instrText>
          </w:r>
          <w:r>
            <w:fldChar w:fldCharType="separate"/>
          </w:r>
          <w:r>
            <w:rPr>
              <w:rFonts w:hint="eastAsia" w:ascii="仿宋" w:hAnsi="仿宋" w:eastAsia="仿宋" w:cs="仿宋"/>
              <w:bCs/>
              <w:szCs w:val="32"/>
              <w:lang w:val="en-US" w:eastAsia="zh-CN"/>
            </w:rPr>
            <w:t>三、支出决算情况说明</w:t>
          </w:r>
          <w:r>
            <w:tab/>
          </w:r>
          <w:r>
            <w:fldChar w:fldCharType="begin"/>
          </w:r>
          <w:r>
            <w:instrText xml:space="preserve"> PAGEREF _Toc596 \h </w:instrText>
          </w:r>
          <w:r>
            <w:fldChar w:fldCharType="separate"/>
          </w:r>
          <w:r>
            <w:t>7</w:t>
          </w:r>
          <w:r>
            <w:fldChar w:fldCharType="end"/>
          </w:r>
          <w:r>
            <w:fldChar w:fldCharType="end"/>
          </w:r>
        </w:p>
        <w:p>
          <w:pPr>
            <w:pStyle w:val="16"/>
            <w:tabs>
              <w:tab w:val="right" w:leader="dot" w:pos="8299"/>
              <w:tab w:val="clear" w:pos="8296"/>
            </w:tabs>
          </w:pPr>
          <w:r>
            <w:fldChar w:fldCharType="begin"/>
          </w:r>
          <w:r>
            <w:instrText xml:space="preserve"> HYPERLINK \l _Toc28437 </w:instrText>
          </w:r>
          <w:r>
            <w:fldChar w:fldCharType="separate"/>
          </w:r>
          <w:r>
            <w:rPr>
              <w:rFonts w:hint="eastAsia" w:ascii="黑体" w:hAnsi="Times New Roman" w:eastAsia="黑体" w:cs="Times New Roman"/>
              <w:szCs w:val="32"/>
              <w:lang w:val="en-US" w:eastAsia="zh-CN"/>
            </w:rPr>
            <w:t>四、财政拨款收入支出决算总体情况说明</w:t>
          </w:r>
          <w:r>
            <w:tab/>
          </w:r>
          <w:r>
            <w:fldChar w:fldCharType="begin"/>
          </w:r>
          <w:r>
            <w:instrText xml:space="preserve"> PAGEREF _Toc28437 \h </w:instrText>
          </w:r>
          <w:r>
            <w:fldChar w:fldCharType="separate"/>
          </w:r>
          <w:r>
            <w:t>7</w:t>
          </w:r>
          <w:r>
            <w:fldChar w:fldCharType="end"/>
          </w:r>
          <w:r>
            <w:fldChar w:fldCharType="end"/>
          </w:r>
        </w:p>
        <w:p>
          <w:pPr>
            <w:pStyle w:val="16"/>
            <w:tabs>
              <w:tab w:val="right" w:leader="dot" w:pos="8299"/>
              <w:tab w:val="clear" w:pos="8296"/>
            </w:tabs>
          </w:pPr>
          <w:r>
            <w:fldChar w:fldCharType="begin"/>
          </w:r>
          <w:r>
            <w:instrText xml:space="preserve"> HYPERLINK \l _Toc12786 </w:instrText>
          </w:r>
          <w:r>
            <w:fldChar w:fldCharType="separate"/>
          </w:r>
          <w:r>
            <w:rPr>
              <w:rFonts w:hint="eastAsia" w:ascii="黑体" w:hAnsi="Times New Roman" w:eastAsia="黑体" w:cs="Times New Roman"/>
              <w:szCs w:val="32"/>
              <w:lang w:val="en-US" w:eastAsia="zh-CN"/>
            </w:rPr>
            <w:t>五、一般公共预算财政拨款支出决算情况说明</w:t>
          </w:r>
          <w:r>
            <w:tab/>
          </w:r>
          <w:r>
            <w:fldChar w:fldCharType="begin"/>
          </w:r>
          <w:r>
            <w:instrText xml:space="preserve"> PAGEREF _Toc12786 \h </w:instrText>
          </w:r>
          <w:r>
            <w:fldChar w:fldCharType="separate"/>
          </w:r>
          <w:r>
            <w:t>8</w:t>
          </w:r>
          <w:r>
            <w:fldChar w:fldCharType="end"/>
          </w:r>
          <w:r>
            <w:fldChar w:fldCharType="end"/>
          </w:r>
        </w:p>
        <w:p>
          <w:pPr>
            <w:pStyle w:val="9"/>
            <w:tabs>
              <w:tab w:val="right" w:leader="dot" w:pos="8299"/>
              <w:tab w:val="clear" w:pos="8296"/>
            </w:tabs>
          </w:pPr>
          <w:r>
            <w:fldChar w:fldCharType="begin"/>
          </w:r>
          <w:r>
            <w:instrText xml:space="preserve"> HYPERLINK \l _Toc11946 </w:instrText>
          </w:r>
          <w:r>
            <w:fldChar w:fldCharType="separate"/>
          </w:r>
          <w:r>
            <w:rPr>
              <w:rFonts w:hint="eastAsia" w:ascii="仿宋" w:hAnsi="仿宋" w:eastAsia="仿宋"/>
              <w:szCs w:val="32"/>
            </w:rPr>
            <w:t>（一）一般公共预算财政拨款支出决算总体情况</w:t>
          </w:r>
          <w:r>
            <w:tab/>
          </w:r>
          <w:r>
            <w:fldChar w:fldCharType="begin"/>
          </w:r>
          <w:r>
            <w:instrText xml:space="preserve"> PAGEREF _Toc11946 \h </w:instrText>
          </w:r>
          <w:r>
            <w:fldChar w:fldCharType="separate"/>
          </w:r>
          <w:r>
            <w:t>8</w:t>
          </w:r>
          <w:r>
            <w:fldChar w:fldCharType="end"/>
          </w:r>
          <w:r>
            <w:fldChar w:fldCharType="end"/>
          </w:r>
        </w:p>
        <w:p>
          <w:pPr>
            <w:pStyle w:val="9"/>
            <w:tabs>
              <w:tab w:val="right" w:leader="dot" w:pos="8299"/>
              <w:tab w:val="clear" w:pos="8296"/>
            </w:tabs>
          </w:pPr>
          <w:r>
            <w:fldChar w:fldCharType="begin"/>
          </w:r>
          <w:r>
            <w:instrText xml:space="preserve"> HYPERLINK \l _Toc1672 </w:instrText>
          </w:r>
          <w:r>
            <w:fldChar w:fldCharType="separate"/>
          </w:r>
          <w:r>
            <w:rPr>
              <w:rFonts w:hint="eastAsia" w:ascii="仿宋" w:hAnsi="仿宋" w:eastAsia="仿宋" w:cs="仿宋"/>
              <w:bCs/>
              <w:szCs w:val="32"/>
              <w:lang w:val="en-US" w:eastAsia="zh-CN"/>
            </w:rPr>
            <w:t>（二）一般公共预算财政拨款支出决算结构情况</w:t>
          </w:r>
          <w:r>
            <w:tab/>
          </w:r>
          <w:r>
            <w:fldChar w:fldCharType="begin"/>
          </w:r>
          <w:r>
            <w:instrText xml:space="preserve"> PAGEREF _Toc1672 \h </w:instrText>
          </w:r>
          <w:r>
            <w:fldChar w:fldCharType="separate"/>
          </w:r>
          <w:r>
            <w:t>9</w:t>
          </w:r>
          <w:r>
            <w:fldChar w:fldCharType="end"/>
          </w:r>
          <w:r>
            <w:fldChar w:fldCharType="end"/>
          </w:r>
        </w:p>
        <w:p>
          <w:pPr>
            <w:pStyle w:val="9"/>
            <w:tabs>
              <w:tab w:val="right" w:leader="dot" w:pos="8299"/>
              <w:tab w:val="clear" w:pos="8296"/>
            </w:tabs>
          </w:pPr>
          <w:r>
            <w:fldChar w:fldCharType="begin"/>
          </w:r>
          <w:r>
            <w:instrText xml:space="preserve"> HYPERLINK \l _Toc31506 </w:instrText>
          </w:r>
          <w:r>
            <w:fldChar w:fldCharType="separate"/>
          </w:r>
          <w:r>
            <w:rPr>
              <w:rFonts w:hint="eastAsia" w:ascii="仿宋" w:hAnsi="仿宋" w:eastAsia="仿宋" w:cs="仿宋"/>
              <w:bCs/>
              <w:szCs w:val="32"/>
              <w:lang w:val="en-US" w:eastAsia="zh-CN"/>
            </w:rPr>
            <w:t>（三）一般公共预算财政拨款支出决算具体情况</w:t>
          </w:r>
          <w:r>
            <w:tab/>
          </w:r>
          <w:r>
            <w:fldChar w:fldCharType="begin"/>
          </w:r>
          <w:r>
            <w:instrText xml:space="preserve"> PAGEREF _Toc31506 \h </w:instrText>
          </w:r>
          <w:r>
            <w:fldChar w:fldCharType="separate"/>
          </w:r>
          <w:r>
            <w:t>9</w:t>
          </w:r>
          <w:r>
            <w:fldChar w:fldCharType="end"/>
          </w:r>
          <w:r>
            <w:fldChar w:fldCharType="end"/>
          </w:r>
        </w:p>
        <w:p>
          <w:pPr>
            <w:pStyle w:val="16"/>
            <w:tabs>
              <w:tab w:val="right" w:leader="dot" w:pos="8299"/>
              <w:tab w:val="clear" w:pos="8296"/>
            </w:tabs>
          </w:pPr>
          <w:r>
            <w:fldChar w:fldCharType="begin"/>
          </w:r>
          <w:r>
            <w:instrText xml:space="preserve"> HYPERLINK \l _Toc13942 </w:instrText>
          </w:r>
          <w:r>
            <w:fldChar w:fldCharType="separate"/>
          </w:r>
          <w:r>
            <w:rPr>
              <w:rFonts w:hint="eastAsia" w:ascii="黑体" w:hAnsi="Times New Roman" w:eastAsia="黑体" w:cs="Times New Roman"/>
              <w:szCs w:val="32"/>
              <w:lang w:val="en-US" w:eastAsia="zh-CN"/>
            </w:rPr>
            <w:t>六、一般公共预算财政拨款基本支出决算情况说明</w:t>
          </w:r>
          <w:r>
            <w:tab/>
          </w:r>
          <w:r>
            <w:fldChar w:fldCharType="begin"/>
          </w:r>
          <w:r>
            <w:instrText xml:space="preserve"> PAGEREF _Toc13942 \h </w:instrText>
          </w:r>
          <w:r>
            <w:fldChar w:fldCharType="separate"/>
          </w:r>
          <w:r>
            <w:t>10</w:t>
          </w:r>
          <w:r>
            <w:fldChar w:fldCharType="end"/>
          </w:r>
          <w:r>
            <w:fldChar w:fldCharType="end"/>
          </w:r>
        </w:p>
        <w:p>
          <w:pPr>
            <w:pStyle w:val="16"/>
            <w:tabs>
              <w:tab w:val="right" w:leader="dot" w:pos="8299"/>
              <w:tab w:val="clear" w:pos="8296"/>
            </w:tabs>
          </w:pPr>
          <w:r>
            <w:fldChar w:fldCharType="begin"/>
          </w:r>
          <w:r>
            <w:instrText xml:space="preserve"> HYPERLINK \l _Toc20724 </w:instrText>
          </w:r>
          <w:r>
            <w:fldChar w:fldCharType="separate"/>
          </w:r>
          <w:r>
            <w:rPr>
              <w:rFonts w:hint="eastAsia" w:ascii="黑体" w:eastAsia="黑体"/>
              <w:szCs w:val="32"/>
            </w:rPr>
            <w:t>七、</w:t>
          </w:r>
          <w:r>
            <w:rPr>
              <w:rFonts w:hint="eastAsia" w:ascii="黑体" w:hAnsi="黑体" w:eastAsia="黑体"/>
            </w:rPr>
            <w:t>财政拨款“三公”经费支出决算情况说明</w:t>
          </w:r>
          <w:r>
            <w:tab/>
          </w:r>
          <w:r>
            <w:fldChar w:fldCharType="begin"/>
          </w:r>
          <w:r>
            <w:instrText xml:space="preserve"> PAGEREF _Toc20724 \h </w:instrText>
          </w:r>
          <w:r>
            <w:fldChar w:fldCharType="separate"/>
          </w:r>
          <w:r>
            <w:t>11</w:t>
          </w:r>
          <w:r>
            <w:fldChar w:fldCharType="end"/>
          </w:r>
          <w:r>
            <w:fldChar w:fldCharType="end"/>
          </w:r>
        </w:p>
        <w:p>
          <w:pPr>
            <w:pStyle w:val="9"/>
            <w:tabs>
              <w:tab w:val="right" w:leader="dot" w:pos="8299"/>
              <w:tab w:val="clear" w:pos="8296"/>
            </w:tabs>
          </w:pPr>
          <w:r>
            <w:fldChar w:fldCharType="begin"/>
          </w:r>
          <w:r>
            <w:instrText xml:space="preserve"> HYPERLINK \l _Toc5229 </w:instrText>
          </w:r>
          <w:r>
            <w:fldChar w:fldCharType="separate"/>
          </w:r>
          <w:r>
            <w:rPr>
              <w:rFonts w:hint="eastAsia" w:ascii="仿宋" w:hAnsi="仿宋" w:eastAsia="仿宋" w:cs="仿宋"/>
              <w:bCs/>
              <w:szCs w:val="32"/>
              <w:lang w:val="en-US" w:eastAsia="zh-CN"/>
            </w:rPr>
            <w:t>（一）“三公”经费财政拨款支出决算总体情况说明</w:t>
          </w:r>
          <w:r>
            <w:tab/>
          </w:r>
          <w:r>
            <w:fldChar w:fldCharType="begin"/>
          </w:r>
          <w:r>
            <w:instrText xml:space="preserve"> PAGEREF _Toc5229 \h </w:instrText>
          </w:r>
          <w:r>
            <w:fldChar w:fldCharType="separate"/>
          </w:r>
          <w:r>
            <w:t>11</w:t>
          </w:r>
          <w:r>
            <w:fldChar w:fldCharType="end"/>
          </w:r>
          <w:r>
            <w:fldChar w:fldCharType="end"/>
          </w:r>
        </w:p>
        <w:p>
          <w:pPr>
            <w:pStyle w:val="9"/>
            <w:tabs>
              <w:tab w:val="right" w:leader="dot" w:pos="8299"/>
              <w:tab w:val="clear" w:pos="8296"/>
            </w:tabs>
          </w:pPr>
          <w:r>
            <w:fldChar w:fldCharType="begin"/>
          </w:r>
          <w:r>
            <w:instrText xml:space="preserve"> HYPERLINK \l _Toc26199 </w:instrText>
          </w:r>
          <w:r>
            <w:fldChar w:fldCharType="separate"/>
          </w:r>
          <w:r>
            <w:rPr>
              <w:rFonts w:hint="eastAsia" w:ascii="仿宋" w:hAnsi="仿宋" w:eastAsia="仿宋" w:cs="仿宋"/>
              <w:bCs/>
              <w:szCs w:val="32"/>
              <w:lang w:val="en-US" w:eastAsia="zh-CN"/>
            </w:rPr>
            <w:t>（二）“三公”经费财政拨款支出决算具体情况说明</w:t>
          </w:r>
          <w:r>
            <w:tab/>
          </w:r>
          <w:r>
            <w:fldChar w:fldCharType="begin"/>
          </w:r>
          <w:r>
            <w:instrText xml:space="preserve"> PAGEREF _Toc26199 \h </w:instrText>
          </w:r>
          <w:r>
            <w:fldChar w:fldCharType="separate"/>
          </w:r>
          <w:r>
            <w:t>11</w:t>
          </w:r>
          <w:r>
            <w:fldChar w:fldCharType="end"/>
          </w:r>
          <w:r>
            <w:fldChar w:fldCharType="end"/>
          </w:r>
        </w:p>
        <w:p>
          <w:pPr>
            <w:pStyle w:val="16"/>
            <w:tabs>
              <w:tab w:val="right" w:leader="dot" w:pos="8299"/>
              <w:tab w:val="clear" w:pos="8296"/>
            </w:tabs>
          </w:pPr>
          <w:r>
            <w:fldChar w:fldCharType="begin"/>
          </w:r>
          <w:r>
            <w:instrText xml:space="preserve"> HYPERLINK \l _Toc23560 </w:instrText>
          </w:r>
          <w:r>
            <w:fldChar w:fldCharType="separate"/>
          </w:r>
          <w:r>
            <w:rPr>
              <w:rFonts w:hint="eastAsia" w:ascii="黑体" w:hAnsi="Times New Roman" w:eastAsia="黑体" w:cs="Times New Roman"/>
              <w:szCs w:val="32"/>
              <w:lang w:val="en-US" w:eastAsia="zh-CN"/>
            </w:rPr>
            <w:t>八、政府性基金预算支出决算情况说明</w:t>
          </w:r>
          <w:r>
            <w:tab/>
          </w:r>
          <w:r>
            <w:fldChar w:fldCharType="begin"/>
          </w:r>
          <w:r>
            <w:instrText xml:space="preserve"> PAGEREF _Toc23560 \h </w:instrText>
          </w:r>
          <w:r>
            <w:fldChar w:fldCharType="separate"/>
          </w:r>
          <w:r>
            <w:t>12</w:t>
          </w:r>
          <w:r>
            <w:fldChar w:fldCharType="end"/>
          </w:r>
          <w:r>
            <w:fldChar w:fldCharType="end"/>
          </w:r>
        </w:p>
        <w:p>
          <w:pPr>
            <w:pStyle w:val="16"/>
            <w:tabs>
              <w:tab w:val="right" w:leader="dot" w:pos="8299"/>
              <w:tab w:val="clear" w:pos="8296"/>
            </w:tabs>
          </w:pPr>
          <w:r>
            <w:fldChar w:fldCharType="begin"/>
          </w:r>
          <w:r>
            <w:instrText xml:space="preserve"> HYPERLINK \l _Toc14166 </w:instrText>
          </w:r>
          <w:r>
            <w:fldChar w:fldCharType="separate"/>
          </w:r>
          <w:r>
            <w:rPr>
              <w:rFonts w:hint="eastAsia" w:ascii="黑体" w:hAnsi="Times New Roman" w:eastAsia="黑体" w:cs="Times New Roman"/>
              <w:szCs w:val="32"/>
              <w:lang w:val="en-US" w:eastAsia="zh-CN"/>
            </w:rPr>
            <w:t>九、国有资本经营预算支出决算情况说明</w:t>
          </w:r>
          <w:r>
            <w:tab/>
          </w:r>
          <w:r>
            <w:fldChar w:fldCharType="begin"/>
          </w:r>
          <w:r>
            <w:instrText xml:space="preserve"> PAGEREF _Toc14166 \h </w:instrText>
          </w:r>
          <w:r>
            <w:fldChar w:fldCharType="separate"/>
          </w:r>
          <w:r>
            <w:t>12</w:t>
          </w:r>
          <w:r>
            <w:fldChar w:fldCharType="end"/>
          </w:r>
          <w:r>
            <w:fldChar w:fldCharType="end"/>
          </w:r>
        </w:p>
        <w:p>
          <w:pPr>
            <w:pStyle w:val="16"/>
            <w:tabs>
              <w:tab w:val="right" w:leader="dot" w:pos="8299"/>
              <w:tab w:val="clear" w:pos="8296"/>
            </w:tabs>
          </w:pPr>
          <w:r>
            <w:fldChar w:fldCharType="begin"/>
          </w:r>
          <w:r>
            <w:instrText xml:space="preserve"> HYPERLINK \l _Toc13371 </w:instrText>
          </w:r>
          <w:r>
            <w:fldChar w:fldCharType="separate"/>
          </w:r>
          <w:r>
            <w:rPr>
              <w:rFonts w:hint="eastAsia" w:ascii="仿宋" w:hAnsi="仿宋" w:eastAsia="仿宋" w:cs="仿宋"/>
              <w:bCs/>
              <w:szCs w:val="32"/>
              <w:lang w:val="en-US" w:eastAsia="zh-CN"/>
            </w:rPr>
            <w:t>十、其他重要事项的情况说明</w:t>
          </w:r>
          <w:r>
            <w:tab/>
          </w:r>
          <w:r>
            <w:fldChar w:fldCharType="begin"/>
          </w:r>
          <w:r>
            <w:instrText xml:space="preserve"> PAGEREF _Toc13371 \h </w:instrText>
          </w:r>
          <w:r>
            <w:fldChar w:fldCharType="separate"/>
          </w:r>
          <w:r>
            <w:t>13</w:t>
          </w:r>
          <w:r>
            <w:fldChar w:fldCharType="end"/>
          </w:r>
          <w:r>
            <w:fldChar w:fldCharType="end"/>
          </w:r>
        </w:p>
        <w:p>
          <w:pPr>
            <w:pStyle w:val="9"/>
            <w:tabs>
              <w:tab w:val="right" w:leader="dot" w:pos="8299"/>
              <w:tab w:val="clear" w:pos="8296"/>
            </w:tabs>
          </w:pPr>
          <w:r>
            <w:fldChar w:fldCharType="begin"/>
          </w:r>
          <w:r>
            <w:instrText xml:space="preserve"> HYPERLINK \l _Toc1357 </w:instrText>
          </w:r>
          <w:r>
            <w:fldChar w:fldCharType="separate"/>
          </w:r>
          <w:r>
            <w:rPr>
              <w:rFonts w:hint="eastAsia" w:ascii="仿宋" w:hAnsi="仿宋" w:eastAsia="仿宋" w:cs="仿宋"/>
              <w:bCs/>
              <w:szCs w:val="32"/>
              <w:lang w:val="en-US" w:eastAsia="zh-CN"/>
            </w:rPr>
            <w:t>（一）机关运行经费支出情况</w:t>
          </w:r>
          <w:r>
            <w:tab/>
          </w:r>
          <w:r>
            <w:fldChar w:fldCharType="begin"/>
          </w:r>
          <w:r>
            <w:instrText xml:space="preserve"> PAGEREF _Toc1357 \h </w:instrText>
          </w:r>
          <w:r>
            <w:fldChar w:fldCharType="separate"/>
          </w:r>
          <w:r>
            <w:t>13</w:t>
          </w:r>
          <w:r>
            <w:fldChar w:fldCharType="end"/>
          </w:r>
          <w:r>
            <w:fldChar w:fldCharType="end"/>
          </w:r>
        </w:p>
        <w:p>
          <w:pPr>
            <w:pStyle w:val="9"/>
            <w:tabs>
              <w:tab w:val="right" w:leader="dot" w:pos="8299"/>
              <w:tab w:val="clear" w:pos="8296"/>
            </w:tabs>
          </w:pPr>
          <w:r>
            <w:fldChar w:fldCharType="begin"/>
          </w:r>
          <w:r>
            <w:instrText xml:space="preserve"> HYPERLINK \l _Toc7746 </w:instrText>
          </w:r>
          <w:r>
            <w:fldChar w:fldCharType="separate"/>
          </w:r>
          <w:r>
            <w:rPr>
              <w:rFonts w:hint="eastAsia" w:ascii="仿宋" w:hAnsi="仿宋" w:eastAsia="仿宋" w:cs="仿宋"/>
              <w:bCs/>
              <w:szCs w:val="32"/>
              <w:lang w:val="en-US" w:eastAsia="zh-CN"/>
            </w:rPr>
            <w:t>（二）政府采购支出情况</w:t>
          </w:r>
          <w:r>
            <w:tab/>
          </w:r>
          <w:r>
            <w:fldChar w:fldCharType="begin"/>
          </w:r>
          <w:r>
            <w:instrText xml:space="preserve"> PAGEREF _Toc7746 \h </w:instrText>
          </w:r>
          <w:r>
            <w:fldChar w:fldCharType="separate"/>
          </w:r>
          <w:r>
            <w:t>13</w:t>
          </w:r>
          <w:r>
            <w:fldChar w:fldCharType="end"/>
          </w:r>
          <w:r>
            <w:fldChar w:fldCharType="end"/>
          </w:r>
        </w:p>
        <w:p>
          <w:pPr>
            <w:pStyle w:val="9"/>
            <w:tabs>
              <w:tab w:val="right" w:leader="dot" w:pos="8299"/>
              <w:tab w:val="clear" w:pos="8296"/>
            </w:tabs>
          </w:pPr>
          <w:r>
            <w:fldChar w:fldCharType="begin"/>
          </w:r>
          <w:r>
            <w:instrText xml:space="preserve"> HYPERLINK \l _Toc17559 </w:instrText>
          </w:r>
          <w:r>
            <w:fldChar w:fldCharType="separate"/>
          </w:r>
          <w:r>
            <w:rPr>
              <w:rFonts w:hint="eastAsia" w:ascii="仿宋" w:hAnsi="仿宋" w:eastAsia="仿宋" w:cs="仿宋"/>
              <w:bCs/>
              <w:szCs w:val="32"/>
              <w:lang w:val="en-US" w:eastAsia="zh-CN"/>
            </w:rPr>
            <w:t>（三）国有资产占有使用情况</w:t>
          </w:r>
          <w:r>
            <w:tab/>
          </w:r>
          <w:r>
            <w:fldChar w:fldCharType="begin"/>
          </w:r>
          <w:r>
            <w:instrText xml:space="preserve"> PAGEREF _Toc17559 \h </w:instrText>
          </w:r>
          <w:r>
            <w:fldChar w:fldCharType="separate"/>
          </w:r>
          <w:r>
            <w:t>13</w:t>
          </w:r>
          <w:r>
            <w:fldChar w:fldCharType="end"/>
          </w:r>
          <w:r>
            <w:fldChar w:fldCharType="end"/>
          </w:r>
        </w:p>
        <w:p>
          <w:pPr>
            <w:pStyle w:val="9"/>
            <w:tabs>
              <w:tab w:val="right" w:leader="dot" w:pos="8299"/>
              <w:tab w:val="clear" w:pos="8296"/>
            </w:tabs>
          </w:pPr>
          <w:r>
            <w:fldChar w:fldCharType="begin"/>
          </w:r>
          <w:r>
            <w:instrText xml:space="preserve"> HYPERLINK \l _Toc31981 </w:instrText>
          </w:r>
          <w:r>
            <w:fldChar w:fldCharType="separate"/>
          </w:r>
          <w:r>
            <w:rPr>
              <w:rFonts w:hint="eastAsia" w:ascii="仿宋" w:hAnsi="仿宋" w:eastAsia="仿宋" w:cs="仿宋"/>
              <w:bCs/>
              <w:szCs w:val="32"/>
              <w:lang w:val="en-US" w:eastAsia="zh-CN"/>
            </w:rPr>
            <w:t>（四）预算绩效管理情况</w:t>
          </w:r>
          <w:r>
            <w:tab/>
          </w:r>
          <w:r>
            <w:fldChar w:fldCharType="begin"/>
          </w:r>
          <w:r>
            <w:instrText xml:space="preserve"> PAGEREF _Toc31981 \h </w:instrText>
          </w:r>
          <w:r>
            <w:fldChar w:fldCharType="separate"/>
          </w:r>
          <w:r>
            <w:t>13</w:t>
          </w:r>
          <w:r>
            <w:fldChar w:fldCharType="end"/>
          </w:r>
          <w:r>
            <w:fldChar w:fldCharType="end"/>
          </w:r>
        </w:p>
        <w:p>
          <w:pPr>
            <w:pStyle w:val="14"/>
            <w:tabs>
              <w:tab w:val="right" w:leader="dot" w:pos="8299"/>
              <w:tab w:val="clear" w:pos="8296"/>
            </w:tabs>
          </w:pPr>
          <w:r>
            <w:fldChar w:fldCharType="begin"/>
          </w:r>
          <w:r>
            <w:instrText xml:space="preserve"> HYPERLINK \l _Toc5400 </w:instrText>
          </w:r>
          <w:r>
            <w:fldChar w:fldCharType="separate"/>
          </w:r>
          <w:r>
            <w:rPr>
              <w:rFonts w:hint="eastAsia" w:ascii="方正小标宋简体" w:hAnsi="方正小标宋简体" w:eastAsia="方正小标宋简体" w:cs="方正小标宋简体"/>
              <w:szCs w:val="44"/>
            </w:rPr>
            <w:t>第</w:t>
          </w:r>
          <w:r>
            <w:rPr>
              <w:rFonts w:hint="eastAsia" w:ascii="方正小标宋简体" w:hAnsi="方正小标宋简体" w:eastAsia="方正小标宋简体" w:cs="方正小标宋简体"/>
              <w:szCs w:val="44"/>
              <w:lang w:val="en-US" w:eastAsia="zh-CN"/>
            </w:rPr>
            <w:t>三</w:t>
          </w:r>
          <w:r>
            <w:rPr>
              <w:rFonts w:hint="eastAsia" w:ascii="方正小标宋简体" w:hAnsi="方正小标宋简体" w:eastAsia="方正小标宋简体" w:cs="方正小标宋简体"/>
              <w:szCs w:val="44"/>
            </w:rPr>
            <w:t>部分</w:t>
          </w:r>
          <w:r>
            <w:rPr>
              <w:rFonts w:hint="eastAsia" w:ascii="方正小标宋简体" w:hAnsi="方正小标宋简体" w:eastAsia="方正小标宋简体" w:cs="方正小标宋简体"/>
              <w:szCs w:val="44"/>
              <w:lang w:val="en-US" w:eastAsia="zh-CN"/>
            </w:rPr>
            <w:t xml:space="preserve">  名词解释</w:t>
          </w:r>
          <w:r>
            <w:tab/>
          </w:r>
          <w:r>
            <w:fldChar w:fldCharType="begin"/>
          </w:r>
          <w:r>
            <w:instrText xml:space="preserve"> PAGEREF _Toc5400 \h </w:instrText>
          </w:r>
          <w:r>
            <w:fldChar w:fldCharType="separate"/>
          </w:r>
          <w:r>
            <w:t>15</w:t>
          </w:r>
          <w:r>
            <w:fldChar w:fldCharType="end"/>
          </w:r>
          <w:r>
            <w:fldChar w:fldCharType="end"/>
          </w:r>
        </w:p>
        <w:p>
          <w:pPr>
            <w:pStyle w:val="14"/>
            <w:tabs>
              <w:tab w:val="right" w:leader="dot" w:pos="8299"/>
              <w:tab w:val="clear" w:pos="8296"/>
            </w:tabs>
          </w:pPr>
          <w:r>
            <w:fldChar w:fldCharType="begin"/>
          </w:r>
          <w:r>
            <w:instrText xml:space="preserve"> HYPERLINK \l _Toc32646 </w:instrText>
          </w:r>
          <w:r>
            <w:fldChar w:fldCharType="separate"/>
          </w:r>
          <w:r>
            <w:rPr>
              <w:rFonts w:hint="eastAsia" w:ascii="方正小标宋简体" w:hAnsi="方正小标宋简体" w:eastAsia="方正小标宋简体" w:cs="方正小标宋简体"/>
              <w:szCs w:val="44"/>
              <w:lang w:val="en-US" w:eastAsia="zh-CN"/>
            </w:rPr>
            <w:t>第四部分 附件</w:t>
          </w:r>
          <w:r>
            <w:tab/>
          </w:r>
          <w:r>
            <w:fldChar w:fldCharType="begin"/>
          </w:r>
          <w:r>
            <w:instrText xml:space="preserve"> PAGEREF _Toc32646 \h </w:instrText>
          </w:r>
          <w:r>
            <w:fldChar w:fldCharType="separate"/>
          </w:r>
          <w:r>
            <w:t>18</w:t>
          </w:r>
          <w:r>
            <w:fldChar w:fldCharType="end"/>
          </w:r>
          <w:r>
            <w:fldChar w:fldCharType="end"/>
          </w:r>
        </w:p>
        <w:p>
          <w:pPr>
            <w:pStyle w:val="16"/>
            <w:tabs>
              <w:tab w:val="right" w:leader="dot" w:pos="8299"/>
              <w:tab w:val="clear" w:pos="8296"/>
            </w:tabs>
          </w:pPr>
          <w:r>
            <w:fldChar w:fldCharType="begin"/>
          </w:r>
          <w:r>
            <w:instrText xml:space="preserve"> HYPERLINK \l _Toc1054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1</w:t>
          </w:r>
          <w:r>
            <w:tab/>
          </w:r>
          <w:r>
            <w:fldChar w:fldCharType="begin"/>
          </w:r>
          <w:r>
            <w:instrText xml:space="preserve"> PAGEREF _Toc1054 \h </w:instrText>
          </w:r>
          <w:r>
            <w:fldChar w:fldCharType="separate"/>
          </w:r>
          <w:r>
            <w:t>18</w:t>
          </w:r>
          <w:r>
            <w:fldChar w:fldCharType="end"/>
          </w:r>
          <w:r>
            <w:fldChar w:fldCharType="end"/>
          </w:r>
        </w:p>
        <w:p>
          <w:pPr>
            <w:pStyle w:val="16"/>
            <w:tabs>
              <w:tab w:val="right" w:leader="dot" w:pos="8299"/>
              <w:tab w:val="clear" w:pos="8296"/>
            </w:tabs>
          </w:pPr>
          <w:r>
            <w:fldChar w:fldCharType="begin"/>
          </w:r>
          <w:r>
            <w:instrText xml:space="preserve"> HYPERLINK \l _Toc21663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2</w:t>
          </w:r>
          <w:r>
            <w:tab/>
          </w:r>
          <w:r>
            <w:fldChar w:fldCharType="begin"/>
          </w:r>
          <w:r>
            <w:instrText xml:space="preserve"> PAGEREF _Toc21663 \h </w:instrText>
          </w:r>
          <w:r>
            <w:fldChar w:fldCharType="separate"/>
          </w:r>
          <w:r>
            <w:t>24</w:t>
          </w:r>
          <w:r>
            <w:fldChar w:fldCharType="end"/>
          </w:r>
          <w:r>
            <w:fldChar w:fldCharType="end"/>
          </w:r>
        </w:p>
        <w:p>
          <w:pPr>
            <w:pStyle w:val="16"/>
            <w:tabs>
              <w:tab w:val="right" w:leader="dot" w:pos="8299"/>
              <w:tab w:val="clear" w:pos="8296"/>
            </w:tabs>
          </w:pPr>
          <w:r>
            <w:fldChar w:fldCharType="begin"/>
          </w:r>
          <w:r>
            <w:instrText xml:space="preserve"> HYPERLINK \l _Toc2668 </w:instrText>
          </w:r>
          <w:r>
            <w:fldChar w:fldCharType="separate"/>
          </w:r>
          <w:r>
            <w:rPr>
              <w:rFonts w:hint="eastAsia" w:ascii="黑体" w:hAnsi="黑体" w:eastAsia="黑体" w:cs="黑体"/>
              <w:szCs w:val="32"/>
            </w:rPr>
            <w:t>附件</w:t>
          </w:r>
          <w:r>
            <w:rPr>
              <w:rFonts w:hint="eastAsia" w:ascii="黑体" w:hAnsi="黑体" w:eastAsia="黑体" w:cs="黑体"/>
              <w:szCs w:val="32"/>
              <w:lang w:val="en-US" w:eastAsia="zh-CN"/>
            </w:rPr>
            <w:t>3</w:t>
          </w:r>
          <w:r>
            <w:tab/>
          </w:r>
          <w:r>
            <w:fldChar w:fldCharType="begin"/>
          </w:r>
          <w:r>
            <w:instrText xml:space="preserve"> PAGEREF _Toc2668 \h </w:instrText>
          </w:r>
          <w:r>
            <w:fldChar w:fldCharType="separate"/>
          </w:r>
          <w:r>
            <w:t>27</w:t>
          </w:r>
          <w:r>
            <w:fldChar w:fldCharType="end"/>
          </w:r>
          <w:r>
            <w:fldChar w:fldCharType="end"/>
          </w:r>
        </w:p>
        <w:p>
          <w:pPr>
            <w:pStyle w:val="14"/>
            <w:tabs>
              <w:tab w:val="right" w:leader="dot" w:pos="8299"/>
              <w:tab w:val="clear" w:pos="8296"/>
            </w:tabs>
          </w:pPr>
          <w:r>
            <w:fldChar w:fldCharType="begin"/>
          </w:r>
          <w:r>
            <w:instrText xml:space="preserve"> HYPERLINK \l _Toc27783 </w:instrText>
          </w:r>
          <w:r>
            <w:fldChar w:fldCharType="separate"/>
          </w:r>
          <w:r>
            <w:rPr>
              <w:rFonts w:hint="eastAsia" w:ascii="黑体" w:hAnsi="黑体" w:eastAsia="黑体"/>
              <w:szCs w:val="44"/>
            </w:rPr>
            <w:t>第</w:t>
          </w:r>
          <w:r>
            <w:rPr>
              <w:rFonts w:hint="eastAsia" w:ascii="黑体" w:hAnsi="黑体" w:eastAsia="黑体"/>
            </w:rPr>
            <w:t>五部分 附表</w:t>
          </w:r>
          <w:r>
            <w:tab/>
          </w:r>
          <w:r>
            <w:fldChar w:fldCharType="begin"/>
          </w:r>
          <w:r>
            <w:instrText xml:space="preserve"> PAGEREF _Toc27783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_Toc3938 </w:instrText>
          </w:r>
          <w:r>
            <w:fldChar w:fldCharType="separate"/>
          </w:r>
          <w:r>
            <w:rPr>
              <w:rFonts w:hint="eastAsia" w:ascii="仿宋" w:hAnsi="仿宋" w:eastAsia="仿宋"/>
            </w:rPr>
            <w:t>一、收</w:t>
          </w:r>
          <w:r>
            <w:rPr>
              <w:rFonts w:hint="eastAsia" w:ascii="仿宋" w:hAnsi="仿宋" w:eastAsia="仿宋"/>
              <w:bCs w:val="0"/>
            </w:rPr>
            <w:t>入支出决算总表</w:t>
          </w:r>
          <w:r>
            <w:tab/>
          </w:r>
          <w:r>
            <w:fldChar w:fldCharType="begin"/>
          </w:r>
          <w:r>
            <w:instrText xml:space="preserve"> PAGEREF _Toc3938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_Toc4155 </w:instrText>
          </w:r>
          <w:r>
            <w:fldChar w:fldCharType="separate"/>
          </w:r>
          <w:r>
            <w:rPr>
              <w:rFonts w:hint="eastAsia" w:ascii="仿宋" w:hAnsi="仿宋" w:eastAsia="仿宋"/>
            </w:rPr>
            <w:t>二、收</w:t>
          </w:r>
          <w:r>
            <w:rPr>
              <w:rFonts w:hint="eastAsia" w:ascii="仿宋" w:hAnsi="仿宋" w:eastAsia="仿宋"/>
              <w:bCs w:val="0"/>
            </w:rPr>
            <w:t>入决算表</w:t>
          </w:r>
          <w:r>
            <w:tab/>
          </w:r>
          <w:r>
            <w:fldChar w:fldCharType="begin"/>
          </w:r>
          <w:r>
            <w:instrText xml:space="preserve"> PAGEREF _Toc4155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_Toc17058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fldChar w:fldCharType="begin"/>
          </w:r>
          <w:r>
            <w:instrText xml:space="preserve"> PAGEREF _Toc17058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_Toc30987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fldChar w:fldCharType="begin"/>
          </w:r>
          <w:r>
            <w:instrText xml:space="preserve"> PAGEREF _Toc30987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_Toc26530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fldChar w:fldCharType="begin"/>
          </w:r>
          <w:r>
            <w:instrText xml:space="preserve"> PAGEREF _Toc26530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_Toc13908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fldChar w:fldCharType="begin"/>
          </w:r>
          <w:r>
            <w:instrText xml:space="preserve"> PAGEREF _Toc13908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_Toc19211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fldChar w:fldCharType="begin"/>
          </w:r>
          <w:r>
            <w:instrText xml:space="preserve"> PAGEREF _Toc19211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_Toc23024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般公共预算财政拨款基本支出决算表</w:t>
          </w:r>
          <w:r>
            <w:tab/>
          </w:r>
          <w:r>
            <w:fldChar w:fldCharType="begin"/>
          </w:r>
          <w:r>
            <w:instrText xml:space="preserve"> PAGEREF _Toc23024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_Toc6102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fldChar w:fldCharType="begin"/>
          </w:r>
          <w:r>
            <w:instrText xml:space="preserve"> PAGEREF _Toc6102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_Toc26962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fldChar w:fldCharType="begin"/>
          </w:r>
          <w:r>
            <w:instrText xml:space="preserve"> PAGEREF _Toc26962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_Toc12932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fldChar w:fldCharType="begin"/>
          </w:r>
          <w:r>
            <w:instrText xml:space="preserve"> PAGEREF _Toc12932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_Toc16493 </w:instrText>
          </w:r>
          <w:r>
            <w:fldChar w:fldCharType="separate"/>
          </w:r>
          <w:r>
            <w:rPr>
              <w:rFonts w:hint="eastAsia" w:ascii="仿宋" w:hAnsi="仿宋" w:eastAsia="仿宋"/>
              <w:bCs w:val="0"/>
            </w:rPr>
            <w:t>十二、国有资本经营预算财政拨款支出决算表</w:t>
          </w:r>
          <w:r>
            <w:tab/>
          </w:r>
          <w:r>
            <w:fldChar w:fldCharType="begin"/>
          </w:r>
          <w:r>
            <w:instrText xml:space="preserve"> PAGEREF _Toc16493 \h </w:instrText>
          </w:r>
          <w:r>
            <w:fldChar w:fldCharType="separate"/>
          </w:r>
          <w:r>
            <w:t>30</w:t>
          </w:r>
          <w:r>
            <w:fldChar w:fldCharType="end"/>
          </w:r>
          <w:r>
            <w:fldChar w:fldCharType="end"/>
          </w:r>
        </w:p>
        <w:p>
          <w:pPr>
            <w:pStyle w:val="16"/>
            <w:tabs>
              <w:tab w:val="right" w:leader="dot" w:pos="8299"/>
              <w:tab w:val="clear" w:pos="8296"/>
            </w:tabs>
          </w:pPr>
          <w:r>
            <w:fldChar w:fldCharType="begin"/>
          </w:r>
          <w:r>
            <w:instrText xml:space="preserve"> HYPERLINK \l _Toc13029 </w:instrText>
          </w:r>
          <w:r>
            <w:fldChar w:fldCharType="separate"/>
          </w:r>
          <w:r>
            <w:rPr>
              <w:rFonts w:hint="eastAsia" w:ascii="仿宋" w:hAnsi="仿宋" w:eastAsia="仿宋"/>
              <w:bCs w:val="0"/>
            </w:rPr>
            <w:t>十三、财政拨款“三公”经费支出决算表</w:t>
          </w:r>
          <w:r>
            <w:tab/>
          </w:r>
          <w:r>
            <w:fldChar w:fldCharType="begin"/>
          </w:r>
          <w:r>
            <w:instrText xml:space="preserve"> PAGEREF _Toc13029 \h </w:instrText>
          </w:r>
          <w:r>
            <w:fldChar w:fldCharType="separate"/>
          </w:r>
          <w:r>
            <w:t>30</w:t>
          </w:r>
          <w:r>
            <w:fldChar w:fldCharType="end"/>
          </w:r>
          <w:r>
            <w:fldChar w:fldCharType="end"/>
          </w:r>
        </w:p>
        <w:p>
          <w:r>
            <w:fldChar w:fldCharType="end"/>
          </w:r>
        </w:p>
      </w:sdtContent>
    </w:sdt>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rPr>
        <w:br w:type="page"/>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14" w:name="_Toc30799"/>
      <w:r>
        <w:rPr>
          <w:rFonts w:hint="eastAsia" w:ascii="方正小标宋简体" w:hAnsi="方正小标宋简体" w:eastAsia="方正小标宋简体" w:cs="方正小标宋简体"/>
          <w:sz w:val="44"/>
          <w:szCs w:val="44"/>
        </w:rPr>
        <w:t xml:space="preserve">第一部分 </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rPr>
        <w:t>单位概况</w:t>
      </w:r>
      <w:bookmarkEnd w:id="12"/>
      <w:bookmarkEnd w:id="13"/>
      <w:bookmarkEnd w:id="14"/>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rPr>
      </w:pPr>
    </w:p>
    <w:p>
      <w:pPr>
        <w:pStyle w:val="16"/>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left="-10" w:leftChars="0" w:firstLine="640" w:firstLineChars="0"/>
        <w:jc w:val="left"/>
        <w:textAlignment w:val="auto"/>
        <w:outlineLvl w:val="1"/>
        <w:rPr>
          <w:rFonts w:hint="eastAsia" w:ascii="黑体" w:hAnsi="黑体" w:eastAsia="黑体" w:cs="黑体"/>
          <w:sz w:val="32"/>
          <w:szCs w:val="32"/>
        </w:rPr>
      </w:pPr>
      <w:bookmarkStart w:id="15" w:name="_Toc9675"/>
      <w:bookmarkStart w:id="16" w:name="_Toc15377197"/>
      <w:bookmarkStart w:id="17" w:name="_Toc15396600"/>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基本职能及主要工作</w:t>
      </w:r>
      <w:bookmarkEnd w:id="15"/>
      <w:bookmarkEnd w:id="16"/>
      <w:bookmarkEnd w:id="17"/>
      <w:bookmarkStart w:id="18" w:name="_Toc15378445"/>
      <w:bookmarkStart w:id="19" w:name="_Toc15377198"/>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rPr>
      </w:pPr>
      <w:bookmarkStart w:id="20" w:name="_Toc31577"/>
      <w:r>
        <w:rPr>
          <w:rFonts w:hint="eastAsia" w:ascii="仿宋" w:hAnsi="仿宋" w:eastAsia="仿宋" w:cs="仿宋"/>
          <w:b/>
          <w:bCs/>
          <w:sz w:val="32"/>
          <w:szCs w:val="32"/>
        </w:rPr>
        <w:t>（一）主要职能。</w:t>
      </w:r>
      <w:bookmarkEnd w:id="18"/>
      <w:bookmarkEnd w:id="19"/>
      <w:bookmarkEnd w:id="20"/>
      <w:bookmarkStart w:id="21" w:name="_Toc15378446"/>
      <w:bookmarkStart w:id="22" w:name="_Toc15377199"/>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w:t>
      </w:r>
      <w:r>
        <w:rPr>
          <w:rFonts w:hint="eastAsia" w:ascii="仿宋" w:hAnsi="仿宋" w:eastAsia="仿宋" w:cs="仿宋"/>
          <w:color w:val="000000"/>
          <w:sz w:val="32"/>
          <w:szCs w:val="32"/>
        </w:rPr>
        <w:t>负责管理全县国有森林资源，培育林木种苗，保护生态系统、促进旅游发展</w:t>
      </w:r>
      <w:r>
        <w:rPr>
          <w:rFonts w:hint="eastAsia" w:ascii="仿宋" w:hAnsi="仿宋" w:eastAsia="仿宋" w:cs="仿宋"/>
          <w:color w:val="000000"/>
          <w:sz w:val="32"/>
          <w:szCs w:val="32"/>
          <w:lang w:val="en-US" w:eastAsia="zh-CN"/>
        </w:rPr>
        <w:t xml:space="preserve">  </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研究调查并拟定相应林业发展措施、资源林地管理</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rPr>
        <w:t>野生动物保护管理、护林防火、病虫害防治等工作。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承办县委、县政府交办的其他阶段性工作。</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highlight w:val="none"/>
        </w:rPr>
      </w:pPr>
      <w:bookmarkStart w:id="23" w:name="_Toc25438"/>
      <w:r>
        <w:rPr>
          <w:rFonts w:hint="eastAsia" w:ascii="仿宋" w:hAnsi="仿宋" w:eastAsia="仿宋" w:cs="仿宋"/>
          <w:b/>
          <w:bCs/>
          <w:sz w:val="32"/>
          <w:szCs w:val="32"/>
          <w:highlight w:val="none"/>
        </w:rPr>
        <w:t>（二）20</w:t>
      </w:r>
      <w:r>
        <w:rPr>
          <w:rFonts w:hint="eastAsia" w:ascii="仿宋" w:hAnsi="仿宋" w:eastAsia="仿宋" w:cs="仿宋"/>
          <w:b/>
          <w:bCs/>
          <w:sz w:val="32"/>
          <w:szCs w:val="32"/>
          <w:highlight w:val="none"/>
          <w:lang w:val="en-US" w:eastAsia="zh-CN"/>
        </w:rPr>
        <w:t>22</w:t>
      </w:r>
      <w:r>
        <w:rPr>
          <w:rFonts w:hint="eastAsia" w:ascii="仿宋" w:hAnsi="仿宋" w:eastAsia="仿宋" w:cs="仿宋"/>
          <w:b/>
          <w:bCs/>
          <w:sz w:val="32"/>
          <w:szCs w:val="32"/>
          <w:highlight w:val="none"/>
        </w:rPr>
        <w:t>年重点工作完成情况</w:t>
      </w:r>
      <w:bookmarkEnd w:id="2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1.资源管理和保护。积极宣传和贯彻执行新《森林法》和《天然林保护条例》等林业政策法规，严格林木林地管理，打击各类毁林开垦，乱捕乱猎，乱砍滥伐，乱占林地等违法违纪行为，实施好天然林保护工程，加强公益林建设，持续巩固好天然林保护建设成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2.深化林长制工作。加强检查、监督和督查，促进林长、副林长和网格员责任意识进一步加强，工作主动性进一步提高，勇于担当作为，举措更加到位，务实更加有力，成效更加显著。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3.森林防灭火。以森林防灭火专项整治“回头看”为抓手，在宣传力度、深度、广度上做文章，在隐患排查整治上求实效，在基础设施建设物资配备上补短板，在提升队伍能力上强培训，在处突应急上提速增效。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4.林业有害生物防治。以全县松材线虫病害疫区摘帽预计时间为目标，抢抓有利时节，全面开展普查和除治处置工作，确保松材线虫病疫木及枯死树除治处置在最佳时间段完成作业任务。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5.苗圃生产管理。核桃穗条下枝、贮存、入库提早准备，保证供给。二龙、普安、公兴、江油四个实验点基地要加强整形修剪、施肥除草、防虫治病等日常田间管理。严格林木种苗生产经营许可证办理，规范行政管理。组织开展</w:t>
      </w:r>
      <w:r>
        <w:rPr>
          <w:rFonts w:hint="default" w:ascii="仿宋" w:hAnsi="仿宋" w:eastAsia="仿宋" w:cs="仿宋"/>
          <w:color w:val="000000"/>
          <w:sz w:val="32"/>
          <w:szCs w:val="32"/>
          <w:lang w:val="en" w:eastAsia="zh-CN"/>
        </w:rPr>
        <w:t>“双随机、一公开”</w:t>
      </w:r>
      <w:r>
        <w:rPr>
          <w:rFonts w:hint="eastAsia" w:ascii="仿宋" w:hAnsi="仿宋" w:eastAsia="仿宋" w:cs="仿宋"/>
          <w:color w:val="000000"/>
          <w:sz w:val="32"/>
          <w:szCs w:val="32"/>
          <w:lang w:val="en-US" w:eastAsia="zh-CN"/>
        </w:rPr>
        <w:t>和“双打”工作，打击制售假劣林草种苗行为，维护好全县林草种苗生产经营秩序。加强剑门1号科技推广和品种审定。</w:t>
      </w:r>
    </w:p>
    <w:p>
      <w:pPr>
        <w:rPr>
          <w:rFonts w:hint="eastAsia"/>
        </w:rPr>
      </w:pPr>
    </w:p>
    <w:bookmarkEnd w:id="21"/>
    <w:bookmarkEnd w:id="22"/>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黑体" w:eastAsia="黑体" w:cs="黑体"/>
          <w:sz w:val="32"/>
          <w:szCs w:val="32"/>
        </w:rPr>
      </w:pPr>
      <w:bookmarkStart w:id="24" w:name="_Toc15396601"/>
      <w:bookmarkStart w:id="25" w:name="_Toc15377200"/>
      <w:bookmarkStart w:id="26" w:name="_Toc10551"/>
      <w:bookmarkStart w:id="27" w:name="_Toc15396602"/>
      <w:bookmarkStart w:id="28" w:name="_Toc15377204"/>
      <w:r>
        <w:rPr>
          <w:rFonts w:hint="eastAsia" w:ascii="黑体" w:hAnsi="黑体" w:eastAsia="黑体" w:cs="黑体"/>
          <w:sz w:val="32"/>
          <w:szCs w:val="32"/>
        </w:rPr>
        <w:t>二、机构设置</w:t>
      </w:r>
      <w:bookmarkEnd w:id="24"/>
      <w:bookmarkEnd w:id="25"/>
      <w:bookmarkEnd w:id="26"/>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剑门关国家森林公园事务</w:t>
      </w:r>
      <w:r>
        <w:rPr>
          <w:rFonts w:hint="eastAsia" w:ascii="仿宋" w:hAnsi="仿宋" w:eastAsia="仿宋" w:cs="仿宋"/>
          <w:sz w:val="32"/>
          <w:szCs w:val="32"/>
          <w:lang w:eastAsia="zh-CN"/>
        </w:rPr>
        <w:t>中心为财政一级预算副科级单位，</w:t>
      </w:r>
      <w:r>
        <w:rPr>
          <w:rFonts w:hint="eastAsia" w:ascii="仿宋" w:hAnsi="仿宋" w:eastAsia="仿宋" w:cs="仿宋"/>
          <w:sz w:val="32"/>
          <w:szCs w:val="32"/>
        </w:rPr>
        <w:t>总编制</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rPr>
        <w:t>名，事业编制</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rPr>
        <w:t>名</w:t>
      </w:r>
      <w:r>
        <w:rPr>
          <w:rFonts w:hint="eastAsia" w:ascii="仿宋" w:hAnsi="仿宋" w:eastAsia="仿宋" w:cs="仿宋"/>
          <w:sz w:val="32"/>
          <w:szCs w:val="32"/>
          <w:lang w:eastAsia="zh-CN"/>
        </w:rPr>
        <w:t>，</w:t>
      </w:r>
      <w:r>
        <w:rPr>
          <w:rFonts w:hint="eastAsia" w:ascii="仿宋" w:hAnsi="仿宋" w:eastAsia="仿宋" w:cs="仿宋"/>
          <w:sz w:val="32"/>
          <w:szCs w:val="32"/>
        </w:rPr>
        <w:t>在职人员总数</w:t>
      </w:r>
      <w:r>
        <w:rPr>
          <w:rFonts w:hint="eastAsia" w:ascii="仿宋" w:hAnsi="仿宋" w:eastAsia="仿宋" w:cs="仿宋"/>
          <w:sz w:val="32"/>
          <w:szCs w:val="32"/>
          <w:highlight w:val="none"/>
          <w:lang w:val="en-US" w:eastAsia="zh-CN"/>
        </w:rPr>
        <w:t>36</w:t>
      </w:r>
      <w:r>
        <w:rPr>
          <w:rFonts w:hint="eastAsia" w:ascii="仿宋" w:hAnsi="仿宋" w:eastAsia="仿宋" w:cs="仿宋"/>
          <w:sz w:val="32"/>
          <w:szCs w:val="32"/>
        </w:rPr>
        <w:t>人</w:t>
      </w:r>
      <w:r>
        <w:rPr>
          <w:rFonts w:hint="eastAsia" w:ascii="仿宋" w:hAnsi="仿宋" w:eastAsia="仿宋" w:cs="仿宋"/>
          <w:sz w:val="32"/>
          <w:szCs w:val="32"/>
          <w:lang w:eastAsia="zh-CN"/>
        </w:rPr>
        <w:t>。</w:t>
      </w:r>
    </w:p>
    <w:p>
      <w:pPr>
        <w:pStyle w:val="10"/>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rPr>
      </w:pPr>
      <w:bookmarkStart w:id="29" w:name="_Toc30242"/>
      <w:r>
        <w:rPr>
          <w:rFonts w:hint="eastAsia" w:ascii="方正小标宋简体" w:hAnsi="方正小标宋简体" w:eastAsia="方正小标宋简体" w:cs="方正小标宋简体"/>
          <w:sz w:val="44"/>
          <w:szCs w:val="44"/>
        </w:rPr>
        <w:t>第二部分 202</w:t>
      </w:r>
      <w:r>
        <w:rPr>
          <w:rFonts w:hint="eastAsia" w:ascii="方正小标宋简体" w:hAnsi="方正小标宋简体" w:eastAsia="方正小标宋简体" w:cs="方正小标宋简体"/>
          <w:sz w:val="44"/>
          <w:szCs w:val="44"/>
          <w:lang w:val="en-US" w:eastAsia="zh-CN"/>
        </w:rPr>
        <w:t>2</w:t>
      </w:r>
      <w:r>
        <w:rPr>
          <w:rFonts w:hint="eastAsia" w:ascii="方正小标宋简体" w:hAnsi="方正小标宋简体" w:eastAsia="方正小标宋简体" w:cs="方正小标宋简体"/>
          <w:sz w:val="44"/>
          <w:szCs w:val="44"/>
        </w:rPr>
        <w:t>年度部门决算情况说明</w:t>
      </w:r>
      <w:bookmarkEnd w:id="27"/>
      <w:bookmarkEnd w:id="28"/>
      <w:bookmarkEnd w:id="29"/>
    </w:p>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rPr>
      </w:pPr>
      <w:bookmarkStart w:id="30" w:name="_Toc15377205"/>
      <w:bookmarkStart w:id="31" w:name="_Toc15396603"/>
      <w:bookmarkStart w:id="32" w:name="_Toc11117"/>
      <w:r>
        <w:rPr>
          <w:rFonts w:hint="eastAsia" w:ascii="仿宋" w:hAnsi="仿宋" w:eastAsia="仿宋" w:cs="仿宋"/>
          <w:b/>
          <w:bCs/>
          <w:sz w:val="32"/>
          <w:szCs w:val="32"/>
          <w:lang w:val="en-US" w:eastAsia="zh-CN"/>
        </w:rPr>
        <w:t>一、</w:t>
      </w:r>
      <w:r>
        <w:rPr>
          <w:rFonts w:hint="eastAsia" w:ascii="仿宋" w:hAnsi="仿宋" w:eastAsia="仿宋" w:cs="仿宋"/>
          <w:b/>
          <w:bCs/>
          <w:sz w:val="32"/>
          <w:szCs w:val="32"/>
        </w:rPr>
        <w:t>收入支出决算总体情况说明</w:t>
      </w:r>
      <w:bookmarkEnd w:id="30"/>
      <w:bookmarkEnd w:id="31"/>
      <w:bookmarkEnd w:id="32"/>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sz w:val="32"/>
          <w:szCs w:val="32"/>
        </w:rPr>
        <w:t>2022年度收、支总计</w:t>
      </w:r>
      <w:r>
        <w:rPr>
          <w:rFonts w:hint="eastAsia" w:ascii="仿宋" w:hAnsi="仿宋" w:eastAsia="仿宋"/>
          <w:sz w:val="32"/>
          <w:szCs w:val="32"/>
          <w:lang w:val="en-US" w:eastAsia="zh-CN"/>
        </w:rPr>
        <w:t>884.68万元（含年初结转结余指标）</w:t>
      </w:r>
      <w:r>
        <w:rPr>
          <w:rFonts w:hint="eastAsia" w:ascii="仿宋" w:hAnsi="仿宋" w:eastAsia="仿宋"/>
          <w:sz w:val="32"/>
          <w:szCs w:val="32"/>
        </w:rPr>
        <w:t>。与2021年相比，收、支总计各增加</w:t>
      </w:r>
      <w:r>
        <w:rPr>
          <w:rFonts w:hint="eastAsia" w:ascii="仿宋" w:hAnsi="仿宋" w:eastAsia="仿宋"/>
          <w:sz w:val="32"/>
          <w:szCs w:val="32"/>
          <w:lang w:val="en-US" w:eastAsia="zh-CN"/>
        </w:rPr>
        <w:t>129.57万元，</w:t>
      </w:r>
      <w:r>
        <w:rPr>
          <w:rFonts w:hint="eastAsia" w:ascii="仿宋" w:hAnsi="仿宋" w:eastAsia="仿宋"/>
          <w:sz w:val="32"/>
          <w:szCs w:val="32"/>
        </w:rPr>
        <w:t>增长</w:t>
      </w:r>
      <w:r>
        <w:rPr>
          <w:rFonts w:hint="eastAsia" w:ascii="仿宋" w:hAnsi="仿宋" w:eastAsia="仿宋"/>
          <w:sz w:val="32"/>
          <w:szCs w:val="32"/>
          <w:lang w:val="en-US" w:eastAsia="zh-CN"/>
        </w:rPr>
        <w:t>17.16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业务项目增加，人员开支增加</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rPr>
      </w:pPr>
      <w:r>
        <w:drawing>
          <wp:anchor distT="0" distB="0" distL="114300" distR="114300" simplePos="0" relativeHeight="251664384" behindDoc="0" locked="0" layoutInCell="1" allowOverlap="1">
            <wp:simplePos x="0" y="0"/>
            <wp:positionH relativeFrom="column">
              <wp:posOffset>290195</wp:posOffset>
            </wp:positionH>
            <wp:positionV relativeFrom="page">
              <wp:posOffset>975995</wp:posOffset>
            </wp:positionV>
            <wp:extent cx="4572000" cy="2743200"/>
            <wp:effectExtent l="4445" t="4445" r="14605" b="14605"/>
            <wp:wrapTopAndBottom/>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r>
        <w:rPr>
          <w:rFonts w:hint="eastAsia" w:ascii="仿宋" w:hAnsi="仿宋" w:eastAsia="仿宋" w:cs="仿宋"/>
          <w:sz w:val="32"/>
          <w:szCs w:val="32"/>
        </w:rPr>
        <w:t>（图1：收、支决算总计变动情况图）</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黑体" w:hAnsi="黑体" w:eastAsia="黑体" w:cs="黑体"/>
          <w:sz w:val="32"/>
          <w:szCs w:val="32"/>
          <w:lang w:val="en-US" w:eastAsia="zh-CN"/>
        </w:rPr>
      </w:pPr>
      <w:bookmarkStart w:id="33" w:name="_Toc15396604"/>
      <w:bookmarkStart w:id="34" w:name="_Toc15377206"/>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bCs/>
          <w:sz w:val="32"/>
          <w:szCs w:val="32"/>
          <w:lang w:val="en-US" w:eastAsia="zh-CN"/>
        </w:rPr>
      </w:pPr>
      <w:bookmarkStart w:id="35" w:name="_Toc4378"/>
      <w:r>
        <w:rPr>
          <w:rFonts w:hint="eastAsia" w:ascii="仿宋" w:hAnsi="仿宋" w:eastAsia="仿宋" w:cs="仿宋"/>
          <w:b/>
          <w:bCs/>
          <w:sz w:val="32"/>
          <w:szCs w:val="32"/>
          <w:lang w:val="en-US" w:eastAsia="zh-CN"/>
        </w:rPr>
        <w:t>二、收入决算情况说明</w:t>
      </w:r>
      <w:bookmarkEnd w:id="33"/>
      <w:bookmarkEnd w:id="34"/>
      <w:bookmarkEnd w:id="35"/>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rPr>
      </w:pPr>
      <w:r>
        <w:drawing>
          <wp:anchor distT="0" distB="0" distL="114300" distR="114300" simplePos="0" relativeHeight="251659264" behindDoc="0" locked="0" layoutInCell="1" allowOverlap="1">
            <wp:simplePos x="0" y="0"/>
            <wp:positionH relativeFrom="column">
              <wp:posOffset>404495</wp:posOffset>
            </wp:positionH>
            <wp:positionV relativeFrom="page">
              <wp:posOffset>6120130</wp:posOffset>
            </wp:positionV>
            <wp:extent cx="4572000" cy="2743200"/>
            <wp:effectExtent l="4445" t="4445" r="14605" b="14605"/>
            <wp:wrapTopAndBottom/>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hint="eastAsia" w:ascii="仿宋" w:hAnsi="仿宋" w:eastAsia="仿宋" w:cs="仿宋"/>
          <w:sz w:val="32"/>
          <w:szCs w:val="32"/>
          <w:lang w:val="en-US" w:eastAsia="zh-CN"/>
        </w:rPr>
        <w:t>2022年本年收入合计</w:t>
      </w:r>
      <w:r>
        <w:rPr>
          <w:rFonts w:hint="eastAsia" w:ascii="仿宋" w:hAnsi="仿宋" w:eastAsia="仿宋"/>
          <w:sz w:val="32"/>
          <w:szCs w:val="32"/>
          <w:lang w:val="en-US" w:eastAsia="zh-CN"/>
        </w:rPr>
        <w:t>884.68</w:t>
      </w:r>
      <w:r>
        <w:rPr>
          <w:rFonts w:hint="eastAsia" w:ascii="仿宋" w:hAnsi="仿宋" w:eastAsia="仿宋" w:cs="仿宋"/>
          <w:kern w:val="2"/>
          <w:sz w:val="32"/>
          <w:szCs w:val="32"/>
          <w:lang w:val="en-US" w:eastAsia="zh-CN" w:bidi="ar-SA"/>
        </w:rPr>
        <w:t>万元</w:t>
      </w:r>
      <w:r>
        <w:rPr>
          <w:rFonts w:hint="eastAsia" w:ascii="仿宋" w:hAnsi="仿宋" w:eastAsia="仿宋"/>
          <w:sz w:val="32"/>
          <w:szCs w:val="32"/>
          <w:lang w:val="en-US" w:eastAsia="zh-CN"/>
        </w:rPr>
        <w:t>（含年初结转结余71.05万元）</w:t>
      </w:r>
      <w:r>
        <w:rPr>
          <w:rFonts w:hint="eastAsia" w:ascii="仿宋" w:hAnsi="仿宋" w:eastAsia="仿宋" w:cs="仿宋"/>
          <w:kern w:val="2"/>
          <w:sz w:val="32"/>
          <w:szCs w:val="32"/>
          <w:lang w:val="en-US" w:eastAsia="zh-CN" w:bidi="ar-SA"/>
        </w:rPr>
        <w:t>，其中：一般公共预算财政拨款收入813.63万元</w:t>
      </w:r>
      <w:r>
        <w:rPr>
          <w:rFonts w:hint="eastAsia" w:ascii="仿宋" w:hAnsi="仿宋" w:eastAsia="仿宋"/>
          <w:sz w:val="32"/>
          <w:szCs w:val="32"/>
          <w:lang w:val="en-US" w:eastAsia="zh-CN"/>
        </w:rPr>
        <w:t>（含年初结转结余71.05万元）</w:t>
      </w:r>
      <w:r>
        <w:rPr>
          <w:rFonts w:hint="eastAsia" w:ascii="仿宋" w:hAnsi="仿宋" w:eastAsia="仿宋" w:cs="仿宋"/>
          <w:kern w:val="2"/>
          <w:sz w:val="32"/>
          <w:szCs w:val="32"/>
          <w:lang w:val="en-US" w:eastAsia="zh-CN" w:bidi="ar-SA"/>
        </w:rPr>
        <w:t>，占100%</w:t>
      </w:r>
      <w:r>
        <w:rPr>
          <w:rFonts w:hint="eastAsia" w:ascii="仿宋" w:hAnsi="仿宋" w:eastAsia="仿宋" w:cs="仿宋"/>
          <w:sz w:val="32"/>
          <w:szCs w:val="32"/>
          <w:lang w:val="en-US" w:eastAsia="zh-CN"/>
        </w:rPr>
        <w:t>。</w:t>
      </w:r>
    </w:p>
    <w:p>
      <w:pPr>
        <w:spacing w:line="600" w:lineRule="exact"/>
        <w:ind w:firstLine="640" w:firstLineChars="200"/>
        <w:rPr>
          <w:rFonts w:hint="eastAsia" w:ascii="黑体" w:hAnsi="黑体" w:eastAsia="黑体" w:cs="黑体"/>
          <w:sz w:val="32"/>
          <w:szCs w:val="32"/>
          <w:lang w:val="en-US" w:eastAsia="zh-CN"/>
        </w:rPr>
      </w:pPr>
      <w:r>
        <w:rPr>
          <w:rFonts w:hint="eastAsia" w:ascii="仿宋" w:hAnsi="仿宋" w:eastAsia="仿宋" w:cs="仿宋"/>
          <w:sz w:val="32"/>
          <w:szCs w:val="32"/>
        </w:rPr>
        <w:t>（图2：收入决算结构图）</w:t>
      </w:r>
      <w:bookmarkStart w:id="36" w:name="_Toc15396605"/>
      <w:bookmarkStart w:id="37" w:name="_Toc15377207"/>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left"/>
        <w:textAlignment w:val="auto"/>
        <w:rPr>
          <w:rFonts w:hint="eastAsia" w:ascii="黑体" w:hAnsi="黑体" w:eastAsia="黑体" w:cs="黑体"/>
          <w:sz w:val="32"/>
          <w:szCs w:val="32"/>
          <w:lang w:val="en-US" w:eastAsia="zh-CN"/>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sz w:val="32"/>
          <w:szCs w:val="32"/>
          <w:lang w:val="en-US" w:eastAsia="zh-CN"/>
        </w:rPr>
      </w:pPr>
      <w:bookmarkStart w:id="38" w:name="_Toc596"/>
      <w:r>
        <w:rPr>
          <w:rFonts w:hint="eastAsia" w:ascii="仿宋" w:hAnsi="仿宋" w:eastAsia="仿宋" w:cs="仿宋"/>
          <w:b/>
          <w:bCs/>
          <w:sz w:val="32"/>
          <w:szCs w:val="32"/>
          <w:lang w:val="en-US" w:eastAsia="zh-CN"/>
        </w:rPr>
        <w:t>三、支出决算情况说明</w:t>
      </w:r>
      <w:bookmarkEnd w:id="36"/>
      <w:bookmarkEnd w:id="37"/>
      <w:bookmarkEnd w:id="38"/>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lang w:val="en-US" w:eastAsia="zh-CN"/>
        </w:rPr>
      </w:pPr>
      <w:r>
        <w:drawing>
          <wp:anchor distT="0" distB="0" distL="114300" distR="114300" simplePos="0" relativeHeight="251660288" behindDoc="0" locked="0" layoutInCell="1" allowOverlap="1">
            <wp:simplePos x="0" y="0"/>
            <wp:positionH relativeFrom="column">
              <wp:posOffset>347345</wp:posOffset>
            </wp:positionH>
            <wp:positionV relativeFrom="page">
              <wp:posOffset>2071370</wp:posOffset>
            </wp:positionV>
            <wp:extent cx="4572000" cy="2743200"/>
            <wp:effectExtent l="4445" t="4445" r="14605" b="14605"/>
            <wp:wrapTopAndBottom/>
            <wp:docPr id="6"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仿宋" w:hAnsi="仿宋" w:eastAsia="仿宋" w:cs="仿宋"/>
          <w:sz w:val="32"/>
          <w:szCs w:val="32"/>
          <w:lang w:val="en-US" w:eastAsia="zh-CN"/>
        </w:rPr>
        <w:t>2022年本年支出合计884.68万元，其中：基本支出512.38万元，占57.92%；项目支出372.3万元，占42.08%。</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（图3：支出决算结构图）</w:t>
      </w:r>
      <w:bookmarkStart w:id="39" w:name="_Toc15377208"/>
      <w:bookmarkStart w:id="40" w:name="_Toc15396606"/>
    </w:p>
    <w:p>
      <w:pPr>
        <w:pStyle w:val="10"/>
        <w:rPr>
          <w:rFonts w:hint="eastAsia" w:ascii="黑体" w:hAnsi="黑体" w:eastAsia="黑体" w:cs="黑体"/>
          <w:sz w:val="32"/>
          <w:szCs w:val="32"/>
          <w:lang w:val="en-US" w:eastAsia="zh-CN"/>
        </w:rPr>
      </w:pP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41" w:name="_Toc28437"/>
      <w:r>
        <w:rPr>
          <w:rFonts w:hint="eastAsia" w:ascii="黑体" w:hAnsi="Times New Roman" w:eastAsia="黑体" w:cs="Times New Roman"/>
          <w:sz w:val="32"/>
          <w:szCs w:val="32"/>
          <w:lang w:val="en-US" w:eastAsia="zh-CN"/>
        </w:rPr>
        <w:t>四、财政拨款收入支出决算总体情况说明</w:t>
      </w:r>
      <w:bookmarkEnd w:id="39"/>
      <w:bookmarkEnd w:id="40"/>
      <w:bookmarkEnd w:id="41"/>
    </w:p>
    <w:p>
      <w:pPr>
        <w:spacing w:line="600" w:lineRule="exact"/>
        <w:ind w:firstLine="640" w:firstLineChars="200"/>
        <w:rPr>
          <w:rFonts w:hint="eastAsia" w:ascii="仿宋" w:hAnsi="仿宋" w:eastAsia="仿宋"/>
          <w:sz w:val="32"/>
          <w:szCs w:val="32"/>
        </w:rPr>
      </w:pPr>
      <w:bookmarkStart w:id="42" w:name="_Toc15396607"/>
      <w:bookmarkStart w:id="43" w:name="_Toc15377209"/>
      <w:r>
        <w:rPr>
          <w:rFonts w:ascii="仿宋" w:hAnsi="仿宋" w:eastAsia="仿宋" w:cs="Times New Roman"/>
          <w:sz w:val="32"/>
          <w:szCs w:val="32"/>
        </w:rPr>
        <w:t>20</w:t>
      </w:r>
      <w:r>
        <w:rPr>
          <w:rFonts w:hint="eastAsia" w:ascii="仿宋" w:hAnsi="仿宋" w:eastAsia="仿宋" w:cs="Times New Roman"/>
          <w:sz w:val="32"/>
          <w:szCs w:val="32"/>
        </w:rPr>
        <w:t>22年财政拨款收、支总计</w:t>
      </w:r>
      <w:r>
        <w:rPr>
          <w:rFonts w:hint="eastAsia" w:ascii="仿宋" w:hAnsi="仿宋" w:eastAsia="仿宋"/>
          <w:sz w:val="32"/>
          <w:szCs w:val="32"/>
          <w:lang w:val="en-US" w:eastAsia="zh-CN"/>
        </w:rPr>
        <w:t>884.68</w:t>
      </w:r>
      <w:r>
        <w:rPr>
          <w:rFonts w:hint="eastAsia" w:ascii="仿宋" w:hAnsi="仿宋" w:eastAsia="仿宋" w:cs="Times New Roman"/>
          <w:sz w:val="32"/>
          <w:szCs w:val="32"/>
        </w:rPr>
        <w:t>万元。与</w:t>
      </w:r>
      <w:r>
        <w:rPr>
          <w:rFonts w:ascii="仿宋" w:hAnsi="仿宋" w:eastAsia="仿宋" w:cs="Times New Roman"/>
          <w:sz w:val="32"/>
          <w:szCs w:val="32"/>
        </w:rPr>
        <w:t>20</w:t>
      </w:r>
      <w:r>
        <w:rPr>
          <w:rFonts w:hint="eastAsia" w:ascii="仿宋" w:hAnsi="仿宋" w:eastAsia="仿宋" w:cs="Times New Roman"/>
          <w:sz w:val="32"/>
          <w:szCs w:val="32"/>
        </w:rPr>
        <w:t>21年相比，财政拨款</w:t>
      </w:r>
      <w:r>
        <w:rPr>
          <w:rFonts w:hint="eastAsia" w:ascii="仿宋" w:hAnsi="仿宋" w:eastAsia="仿宋"/>
          <w:sz w:val="32"/>
          <w:szCs w:val="32"/>
        </w:rPr>
        <w:t>收、支总计各增加</w:t>
      </w:r>
      <w:r>
        <w:rPr>
          <w:rFonts w:hint="eastAsia" w:ascii="仿宋" w:hAnsi="仿宋" w:eastAsia="仿宋"/>
          <w:sz w:val="32"/>
          <w:szCs w:val="32"/>
          <w:lang w:val="en-US" w:eastAsia="zh-CN"/>
        </w:rPr>
        <w:t>129.57万元，</w:t>
      </w:r>
      <w:r>
        <w:rPr>
          <w:rFonts w:hint="eastAsia" w:ascii="仿宋" w:hAnsi="仿宋" w:eastAsia="仿宋"/>
          <w:sz w:val="32"/>
          <w:szCs w:val="32"/>
        </w:rPr>
        <w:t>增长</w:t>
      </w:r>
      <w:r>
        <w:rPr>
          <w:rFonts w:hint="eastAsia" w:ascii="仿宋" w:hAnsi="仿宋" w:eastAsia="仿宋"/>
          <w:sz w:val="32"/>
          <w:szCs w:val="32"/>
          <w:lang w:val="en-US" w:eastAsia="zh-CN"/>
        </w:rPr>
        <w:t>17.16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业务项目增加，人员开支增加</w:t>
      </w:r>
      <w:r>
        <w:rPr>
          <w:rFonts w:hint="eastAsia" w:ascii="仿宋" w:hAnsi="仿宋" w:eastAsia="仿宋" w:cs="Times New Roman"/>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2"/>
        <w:rPr>
          <w:rFonts w:ascii="仿宋" w:hAnsi="仿宋" w:eastAsia="仿宋"/>
          <w:b/>
          <w:sz w:val="32"/>
          <w:szCs w:val="32"/>
        </w:rPr>
      </w:pPr>
    </w:p>
    <w:p>
      <w:pPr>
        <w:pStyle w:val="4"/>
        <w:rPr>
          <w:rFonts w:ascii="仿宋" w:hAnsi="仿宋" w:eastAsia="仿宋"/>
          <w:b/>
          <w:sz w:val="32"/>
          <w:szCs w:val="32"/>
        </w:rPr>
      </w:pPr>
    </w:p>
    <w:p>
      <w:pPr>
        <w:pStyle w:val="4"/>
        <w:rPr>
          <w:rFonts w:ascii="仿宋" w:hAnsi="仿宋" w:eastAsia="仿宋"/>
          <w:b/>
          <w:sz w:val="32"/>
          <w:szCs w:val="32"/>
        </w:rPr>
      </w:pPr>
    </w:p>
    <w:p>
      <w:pPr>
        <w:pStyle w:val="4"/>
        <w:keepNext w:val="0"/>
        <w:keepLines w:val="0"/>
        <w:pageBreakBefore w:val="0"/>
        <w:widowControl w:val="0"/>
        <w:kinsoku/>
        <w:wordWrap/>
        <w:overflowPunct/>
        <w:topLinePunct w:val="0"/>
        <w:autoSpaceDE/>
        <w:autoSpaceDN/>
        <w:bidi w:val="0"/>
        <w:adjustRightInd/>
        <w:snapToGrid/>
        <w:ind w:left="0" w:leftChars="0" w:firstLine="600" w:firstLineChars="200"/>
        <w:textAlignment w:val="auto"/>
        <w:rPr>
          <w:rFonts w:hint="eastAsia" w:ascii="仿宋" w:hAnsi="仿宋" w:eastAsia="仿宋" w:cs="仿宋"/>
          <w:sz w:val="32"/>
          <w:szCs w:val="32"/>
          <w:lang w:val="en-US" w:eastAsia="zh-CN"/>
        </w:rPr>
      </w:pPr>
      <w:r>
        <w:drawing>
          <wp:inline distT="0" distB="0" distL="114300" distR="114300">
            <wp:extent cx="4572000" cy="2743200"/>
            <wp:effectExtent l="4445" t="4445" r="14605" b="14605"/>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Pr>
          <w:rFonts w:hint="eastAsia" w:ascii="仿宋" w:hAnsi="仿宋" w:eastAsia="仿宋" w:cs="仿宋"/>
          <w:sz w:val="32"/>
          <w:szCs w:val="32"/>
          <w:lang w:val="en-US" w:eastAsia="zh-CN"/>
        </w:rPr>
        <w:t>（图4：财政拨款收、支决算总计变动情况）</w:t>
      </w:r>
    </w:p>
    <w:p>
      <w:pPr>
        <w:spacing w:line="600" w:lineRule="exact"/>
        <w:rPr>
          <w:rFonts w:ascii="仿宋" w:hAnsi="仿宋" w:eastAsia="仿宋"/>
          <w:sz w:val="32"/>
          <w:szCs w:val="32"/>
        </w:rPr>
      </w:pP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44" w:name="_Toc12786"/>
      <w:r>
        <w:rPr>
          <w:rFonts w:hint="eastAsia" w:ascii="黑体" w:hAnsi="Times New Roman" w:eastAsia="黑体" w:cs="Times New Roman"/>
          <w:sz w:val="32"/>
          <w:szCs w:val="32"/>
          <w:lang w:val="en-US" w:eastAsia="zh-CN"/>
        </w:rPr>
        <w:t>五、一般公共预算财政拨款支出决算情况说明</w:t>
      </w:r>
      <w:bookmarkEnd w:id="42"/>
      <w:bookmarkEnd w:id="43"/>
      <w:bookmarkEnd w:id="44"/>
    </w:p>
    <w:p>
      <w:pPr>
        <w:spacing w:line="600" w:lineRule="exact"/>
        <w:ind w:firstLine="642" w:firstLineChars="200"/>
        <w:outlineLvl w:val="2"/>
        <w:rPr>
          <w:rFonts w:ascii="仿宋" w:hAnsi="仿宋" w:eastAsia="仿宋"/>
          <w:b/>
          <w:sz w:val="32"/>
          <w:szCs w:val="32"/>
        </w:rPr>
      </w:pPr>
      <w:bookmarkStart w:id="45" w:name="_Toc11946"/>
      <w:bookmarkStart w:id="46" w:name="_Toc15377210"/>
      <w:r>
        <w:rPr>
          <w:rFonts w:hint="eastAsia" w:ascii="仿宋" w:hAnsi="仿宋" w:eastAsia="仿宋"/>
          <w:b/>
          <w:sz w:val="32"/>
          <w:szCs w:val="32"/>
        </w:rPr>
        <w:t>（一）一般公共预算财政拨款支出决算总体情况</w:t>
      </w:r>
      <w:bookmarkEnd w:id="45"/>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hint="eastAsia" w:ascii="仿宋" w:hAnsi="仿宋" w:eastAsia="仿宋"/>
          <w:sz w:val="32"/>
          <w:szCs w:val="32"/>
          <w:lang w:val="en-US" w:eastAsia="zh-CN"/>
        </w:rPr>
        <w:t>884.68</w:t>
      </w:r>
      <w:r>
        <w:rPr>
          <w:rFonts w:hint="eastAsia" w:ascii="仿宋" w:hAnsi="仿宋" w:eastAsia="仿宋"/>
          <w:sz w:val="32"/>
          <w:szCs w:val="32"/>
        </w:rPr>
        <w:t>万元，占本年支出合计的</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w:t>
      </w:r>
      <w:r>
        <w:rPr>
          <w:rFonts w:hint="eastAsia" w:ascii="仿宋" w:hAnsi="仿宋" w:eastAsia="仿宋"/>
          <w:sz w:val="32"/>
          <w:szCs w:val="32"/>
          <w:lang w:val="en-US" w:eastAsia="zh-CN"/>
        </w:rPr>
        <w:t>增加200.62</w:t>
      </w:r>
      <w:r>
        <w:rPr>
          <w:rFonts w:hint="eastAsia" w:ascii="仿宋" w:hAnsi="仿宋" w:eastAsia="仿宋"/>
          <w:sz w:val="32"/>
          <w:szCs w:val="32"/>
        </w:rPr>
        <w:t>万元，</w:t>
      </w:r>
      <w:r>
        <w:rPr>
          <w:rFonts w:hint="eastAsia" w:ascii="仿宋" w:hAnsi="仿宋" w:eastAsia="仿宋"/>
          <w:sz w:val="32"/>
          <w:szCs w:val="32"/>
          <w:lang w:val="en-US" w:eastAsia="zh-CN"/>
        </w:rPr>
        <w:t>增长29.33%</w:t>
      </w:r>
      <w:r>
        <w:rPr>
          <w:rFonts w:hint="eastAsia" w:ascii="仿宋" w:hAnsi="仿宋" w:eastAsia="仿宋"/>
          <w:sz w:val="32"/>
          <w:szCs w:val="32"/>
        </w:rPr>
        <w:t>。主要变动原因</w:t>
      </w:r>
      <w:r>
        <w:rPr>
          <w:rFonts w:hint="eastAsia" w:ascii="仿宋" w:hAnsi="仿宋" w:eastAsia="仿宋"/>
          <w:sz w:val="32"/>
          <w:szCs w:val="32"/>
          <w:lang w:val="en-US" w:eastAsia="zh-CN"/>
        </w:rPr>
        <w:t>是业务项目增加，人员开支增加</w:t>
      </w:r>
      <w:r>
        <w:rPr>
          <w:rFonts w:hint="eastAsia" w:ascii="仿宋" w:hAnsi="仿宋" w:eastAsia="仿宋"/>
          <w:sz w:val="32"/>
          <w:szCs w:val="32"/>
        </w:rPr>
        <w:t>。</w:t>
      </w:r>
    </w:p>
    <w:p>
      <w:pPr>
        <w:spacing w:line="600" w:lineRule="exact"/>
        <w:ind w:firstLine="420" w:firstLineChars="200"/>
        <w:rPr>
          <w:rFonts w:ascii="仿宋" w:hAnsi="仿宋" w:eastAsia="仿宋"/>
          <w:sz w:val="32"/>
          <w:szCs w:val="32"/>
        </w:rPr>
      </w:pPr>
      <w:r>
        <w:drawing>
          <wp:anchor distT="0" distB="0" distL="114300" distR="114300" simplePos="0" relativeHeight="251661312" behindDoc="1" locked="0" layoutInCell="1" allowOverlap="1">
            <wp:simplePos x="0" y="0"/>
            <wp:positionH relativeFrom="column">
              <wp:posOffset>775970</wp:posOffset>
            </wp:positionH>
            <wp:positionV relativeFrom="page">
              <wp:posOffset>6908800</wp:posOffset>
            </wp:positionV>
            <wp:extent cx="3992245" cy="2239645"/>
            <wp:effectExtent l="4445" t="4445" r="22860" b="22860"/>
            <wp:wrapTight wrapText="bothSides">
              <wp:wrapPolygon>
                <wp:start x="-24" y="-43"/>
                <wp:lineTo x="-24" y="21453"/>
                <wp:lineTo x="21518" y="21453"/>
                <wp:lineTo x="21518" y="-43"/>
                <wp:lineTo x="-24" y="-43"/>
              </wp:wrapPolygon>
            </wp:wrapTight>
            <wp:docPr id="4"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bookmarkEnd w:id="46"/>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（图5：一般公共预算财政拨款支出决算变动情况）</w:t>
      </w:r>
    </w:p>
    <w:p>
      <w:pPr>
        <w:pStyle w:val="10"/>
        <w:rPr>
          <w:rFonts w:hint="eastAsia" w:ascii="仿宋" w:hAnsi="仿宋" w:eastAsia="仿宋" w:cs="仿宋"/>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bCs/>
          <w:sz w:val="32"/>
          <w:szCs w:val="32"/>
          <w:lang w:val="en-US" w:eastAsia="zh-CN"/>
        </w:rPr>
      </w:pPr>
      <w:bookmarkStart w:id="47" w:name="_Toc1672"/>
      <w:bookmarkStart w:id="48" w:name="_Toc15377211"/>
      <w:r>
        <w:rPr>
          <w:rFonts w:hint="eastAsia" w:ascii="仿宋" w:hAnsi="仿宋" w:eastAsia="仿宋" w:cs="仿宋"/>
          <w:b/>
          <w:bCs/>
          <w:sz w:val="32"/>
          <w:szCs w:val="32"/>
          <w:lang w:val="en-US" w:eastAsia="zh-CN"/>
        </w:rPr>
        <w:t>（二）一般公共预算财政拨款支出决算结构情况</w:t>
      </w:r>
      <w:bookmarkEnd w:id="47"/>
      <w:bookmarkEnd w:id="48"/>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lang w:val="en-US" w:eastAsia="zh-CN"/>
        </w:rPr>
      </w:pPr>
      <w:r>
        <w:rPr>
          <w:rFonts w:hint="eastAsia" w:ascii="仿宋" w:hAnsi="仿宋" w:eastAsia="仿宋" w:cs="仿宋"/>
          <w:sz w:val="32"/>
          <w:szCs w:val="32"/>
          <w:lang w:val="en-US" w:eastAsia="zh-CN"/>
        </w:rPr>
        <w:t>2022年一般公共预算财政拨款支出</w:t>
      </w:r>
      <w:r>
        <w:rPr>
          <w:rFonts w:hint="eastAsia" w:ascii="仿宋" w:hAnsi="仿宋" w:eastAsia="仿宋"/>
          <w:sz w:val="32"/>
          <w:szCs w:val="32"/>
          <w:lang w:val="en-US" w:eastAsia="zh-CN"/>
        </w:rPr>
        <w:t>884.68</w:t>
      </w:r>
      <w:r>
        <w:rPr>
          <w:rFonts w:hint="eastAsia" w:ascii="仿宋" w:hAnsi="仿宋" w:eastAsia="仿宋" w:cs="仿宋"/>
          <w:sz w:val="32"/>
          <w:szCs w:val="32"/>
          <w:lang w:val="en-US" w:eastAsia="zh-CN"/>
        </w:rPr>
        <w:t>万元，主要用于以下方面:</w:t>
      </w:r>
      <w:r>
        <w:rPr>
          <w:rFonts w:hint="eastAsia" w:ascii="仿宋" w:hAnsi="仿宋" w:eastAsia="仿宋" w:cs="仿宋"/>
          <w:b/>
          <w:bCs/>
          <w:sz w:val="32"/>
          <w:szCs w:val="32"/>
          <w:lang w:val="en-US" w:eastAsia="zh-CN"/>
        </w:rPr>
        <w:t>社会保障和就业支出</w:t>
      </w:r>
      <w:r>
        <w:rPr>
          <w:rFonts w:hint="eastAsia" w:ascii="仿宋" w:hAnsi="仿宋" w:eastAsia="仿宋" w:cs="仿宋"/>
          <w:sz w:val="32"/>
          <w:szCs w:val="32"/>
          <w:lang w:val="en-US" w:eastAsia="zh-CN"/>
        </w:rPr>
        <w:t>35.18万元，占3.98%；</w:t>
      </w:r>
      <w:r>
        <w:rPr>
          <w:rFonts w:hint="eastAsia" w:ascii="仿宋" w:hAnsi="仿宋" w:eastAsia="仿宋" w:cs="仿宋"/>
          <w:b/>
          <w:bCs/>
          <w:sz w:val="32"/>
          <w:szCs w:val="32"/>
          <w:lang w:val="en-US" w:eastAsia="zh-CN"/>
        </w:rPr>
        <w:t>卫生健康支出</w:t>
      </w:r>
      <w:r>
        <w:rPr>
          <w:rFonts w:hint="eastAsia" w:ascii="仿宋" w:hAnsi="仿宋" w:eastAsia="仿宋" w:cs="仿宋"/>
          <w:sz w:val="32"/>
          <w:szCs w:val="32"/>
          <w:lang w:val="en-US" w:eastAsia="zh-CN"/>
        </w:rPr>
        <w:t>18.98万元，占2.15%；</w:t>
      </w:r>
      <w:r>
        <w:rPr>
          <w:rFonts w:hint="eastAsia" w:ascii="仿宋" w:hAnsi="仿宋" w:eastAsia="仿宋" w:cs="仿宋"/>
          <w:b/>
          <w:bCs/>
          <w:sz w:val="32"/>
          <w:szCs w:val="32"/>
          <w:lang w:val="en-US" w:eastAsia="zh-CN"/>
        </w:rPr>
        <w:t>农林水支出</w:t>
      </w:r>
      <w:r>
        <w:rPr>
          <w:rFonts w:hint="eastAsia" w:ascii="仿宋" w:hAnsi="仿宋" w:eastAsia="仿宋" w:cs="仿宋"/>
          <w:sz w:val="32"/>
          <w:szCs w:val="32"/>
          <w:lang w:val="en-US" w:eastAsia="zh-CN"/>
        </w:rPr>
        <w:t>804.15万元，占90.90%；</w:t>
      </w:r>
      <w:r>
        <w:rPr>
          <w:rFonts w:hint="eastAsia" w:ascii="仿宋" w:hAnsi="仿宋" w:eastAsia="仿宋" w:cs="仿宋"/>
          <w:b/>
          <w:bCs/>
          <w:sz w:val="32"/>
          <w:szCs w:val="32"/>
          <w:lang w:val="en-US" w:eastAsia="zh-CN"/>
        </w:rPr>
        <w:t>住房保障支出</w:t>
      </w:r>
      <w:r>
        <w:rPr>
          <w:rFonts w:hint="eastAsia" w:ascii="仿宋" w:hAnsi="仿宋" w:eastAsia="仿宋" w:cs="仿宋"/>
          <w:sz w:val="32"/>
          <w:szCs w:val="32"/>
          <w:lang w:val="en-US" w:eastAsia="zh-CN"/>
        </w:rPr>
        <w:t>26.38万元，占2.97%。</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sz w:val="32"/>
          <w:szCs w:val="32"/>
          <w:lang w:val="en-US" w:eastAsia="zh-CN"/>
        </w:rPr>
      </w:pPr>
      <w:r>
        <w:drawing>
          <wp:anchor distT="0" distB="0" distL="114300" distR="114300" simplePos="0" relativeHeight="251662336" behindDoc="1" locked="0" layoutInCell="1" allowOverlap="1">
            <wp:simplePos x="0" y="0"/>
            <wp:positionH relativeFrom="column">
              <wp:posOffset>337820</wp:posOffset>
            </wp:positionH>
            <wp:positionV relativeFrom="page">
              <wp:posOffset>2821305</wp:posOffset>
            </wp:positionV>
            <wp:extent cx="4848225" cy="2743200"/>
            <wp:effectExtent l="4445" t="4445" r="5080" b="14605"/>
            <wp:wrapTight wrapText="bothSides">
              <wp:wrapPolygon>
                <wp:start x="-20" y="-35"/>
                <wp:lineTo x="-20" y="21565"/>
                <wp:lineTo x="21538" y="21565"/>
                <wp:lineTo x="21538" y="-35"/>
                <wp:lineTo x="-20" y="-35"/>
              </wp:wrapPolygon>
            </wp:wrapTight>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s="仿宋"/>
          <w:sz w:val="32"/>
          <w:szCs w:val="32"/>
          <w:lang w:val="en-US" w:eastAsia="zh-CN"/>
        </w:rPr>
        <w:t>（图6：一般公共预算财政拨款支出决算结构）</w:t>
      </w:r>
    </w:p>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bCs/>
          <w:sz w:val="32"/>
          <w:szCs w:val="32"/>
          <w:lang w:val="en-US" w:eastAsia="zh-CN"/>
        </w:rPr>
      </w:pPr>
      <w:bookmarkStart w:id="49" w:name="_Toc31506"/>
      <w:bookmarkStart w:id="50" w:name="_Toc15377212"/>
      <w:r>
        <w:rPr>
          <w:rFonts w:hint="eastAsia" w:ascii="仿宋" w:hAnsi="仿宋" w:eastAsia="仿宋" w:cs="仿宋"/>
          <w:b/>
          <w:bCs/>
          <w:sz w:val="32"/>
          <w:szCs w:val="32"/>
          <w:lang w:val="en-US" w:eastAsia="zh-CN"/>
        </w:rPr>
        <w:t>（三）一般公共预算财政拨款支出决算具体情况</w:t>
      </w:r>
      <w:bookmarkEnd w:id="49"/>
      <w:bookmarkEnd w:id="50"/>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b/>
          <w:bCs/>
          <w:sz w:val="32"/>
          <w:szCs w:val="32"/>
          <w:lang w:val="en-US" w:eastAsia="zh-CN"/>
        </w:rPr>
      </w:pPr>
      <w:bookmarkStart w:id="51" w:name="_Toc15378460"/>
      <w:bookmarkStart w:id="52" w:name="_Toc15377444"/>
      <w:bookmarkStart w:id="53" w:name="_Toc15377213"/>
      <w:r>
        <w:rPr>
          <w:rFonts w:hint="eastAsia" w:ascii="仿宋" w:hAnsi="仿宋" w:eastAsia="仿宋" w:cs="仿宋"/>
          <w:b/>
          <w:bCs/>
          <w:sz w:val="32"/>
          <w:szCs w:val="32"/>
          <w:lang w:val="en-US" w:eastAsia="zh-CN"/>
        </w:rPr>
        <w:t>2022年一般公共预算支出决算数为</w:t>
      </w:r>
      <w:r>
        <w:rPr>
          <w:rFonts w:hint="eastAsia" w:ascii="仿宋" w:hAnsi="仿宋" w:eastAsia="仿宋"/>
          <w:b/>
          <w:bCs/>
          <w:sz w:val="32"/>
          <w:szCs w:val="32"/>
          <w:lang w:val="en-US" w:eastAsia="zh-CN"/>
        </w:rPr>
        <w:t>884.68</w:t>
      </w:r>
      <w:r>
        <w:rPr>
          <w:rFonts w:hint="eastAsia" w:ascii="仿宋" w:hAnsi="仿宋" w:eastAsia="仿宋" w:cs="仿宋"/>
          <w:b/>
          <w:bCs/>
          <w:sz w:val="32"/>
          <w:szCs w:val="32"/>
          <w:lang w:val="en-US" w:eastAsia="zh-CN"/>
        </w:rPr>
        <w:t>万元，完成预算100%。其中：</w:t>
      </w:r>
      <w:bookmarkEnd w:id="51"/>
      <w:bookmarkEnd w:id="52"/>
      <w:bookmarkEnd w:id="53"/>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1.社会保障和就业（类）行政事业单位养老支出（款）  机关事业单位基本养老保险缴费支出（项）:</w:t>
      </w:r>
      <w:r>
        <w:rPr>
          <w:rStyle w:val="20"/>
          <w:rFonts w:hint="eastAsia" w:ascii="仿宋" w:hAnsi="仿宋" w:eastAsia="仿宋"/>
          <w:b w:val="0"/>
          <w:bCs/>
          <w:sz w:val="32"/>
          <w:szCs w:val="32"/>
        </w:rPr>
        <w:t>支出决算为</w:t>
      </w:r>
      <w:r>
        <w:rPr>
          <w:rFonts w:hint="eastAsia" w:ascii="仿宋" w:hAnsi="仿宋" w:eastAsia="仿宋" w:cs="仿宋"/>
          <w:sz w:val="32"/>
          <w:szCs w:val="32"/>
          <w:lang w:val="en-US" w:eastAsia="zh-CN"/>
        </w:rPr>
        <w:t>35.18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2.卫生健康支出（类）行政事业单位医疗（款）事业单位医疗（项）:</w:t>
      </w:r>
      <w:r>
        <w:rPr>
          <w:rStyle w:val="20"/>
          <w:rFonts w:hint="eastAsia" w:ascii="仿宋" w:hAnsi="仿宋" w:eastAsia="仿宋"/>
          <w:b w:val="0"/>
          <w:bCs/>
          <w:sz w:val="32"/>
          <w:szCs w:val="32"/>
        </w:rPr>
        <w:t>支出决算为</w:t>
      </w:r>
      <w:r>
        <w:rPr>
          <w:rFonts w:hint="eastAsia" w:ascii="仿宋" w:hAnsi="仿宋" w:eastAsia="仿宋" w:cs="仿宋"/>
          <w:sz w:val="32"/>
          <w:szCs w:val="32"/>
          <w:lang w:val="en-US" w:eastAsia="zh-CN"/>
        </w:rPr>
        <w:t>18.98</w:t>
      </w:r>
      <w:r>
        <w:rPr>
          <w:rStyle w:val="20"/>
          <w:rFonts w:hint="eastAsia" w:ascii="仿宋" w:hAnsi="仿宋" w:eastAsia="仿宋"/>
          <w:b w:val="0"/>
          <w:bCs/>
          <w:sz w:val="32"/>
          <w:szCs w:val="32"/>
        </w:rPr>
        <w:t>万元，完成预算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lang w:eastAsia="zh-CN"/>
        </w:rPr>
        <w:t>，</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3.农林水支出（类）林业和草原（款）事业机构（项）：</w:t>
      </w:r>
      <w:r>
        <w:rPr>
          <w:rFonts w:hint="eastAsia" w:ascii="仿宋" w:hAnsi="仿宋" w:eastAsia="仿宋" w:cs="仿宋"/>
          <w:sz w:val="32"/>
          <w:szCs w:val="32"/>
          <w:lang w:val="en-US" w:eastAsia="zh-CN"/>
        </w:rPr>
        <w:t>支出决算为431.84万元，完成预算100%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4.农林水支出（类）林业和草原（款）技术推广转化（项）：</w:t>
      </w:r>
      <w:r>
        <w:rPr>
          <w:rFonts w:hint="eastAsia" w:ascii="仿宋" w:hAnsi="仿宋" w:eastAsia="仿宋" w:cs="仿宋"/>
          <w:sz w:val="32"/>
          <w:szCs w:val="32"/>
          <w:lang w:val="en-US" w:eastAsia="zh-CN"/>
        </w:rPr>
        <w:t>支出决算为15万元，完成预算100%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5.农林水支出（类）林业和草原（款）林业草原防灾减灾（项）：</w:t>
      </w:r>
      <w:r>
        <w:rPr>
          <w:rFonts w:hint="eastAsia" w:ascii="仿宋" w:hAnsi="仿宋" w:eastAsia="仿宋" w:cs="仿宋"/>
          <w:sz w:val="32"/>
          <w:szCs w:val="32"/>
          <w:lang w:val="en-US" w:eastAsia="zh-CN"/>
        </w:rPr>
        <w:t>支出决算为139.74万元，完成预算100%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6.农林水支出（类）林业和草原（款）其他林业和草原支出（项）：</w:t>
      </w:r>
      <w:r>
        <w:rPr>
          <w:rFonts w:hint="eastAsia" w:ascii="仿宋" w:hAnsi="仿宋" w:eastAsia="仿宋" w:cs="仿宋"/>
          <w:sz w:val="32"/>
          <w:szCs w:val="32"/>
          <w:lang w:val="en-US" w:eastAsia="zh-CN"/>
        </w:rPr>
        <w:t>支出决算为54.57万元，完成预算100%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7.住房保障支出（类）住房改革支出（款） 住房公积金（项）：</w:t>
      </w:r>
      <w:r>
        <w:rPr>
          <w:rFonts w:hint="eastAsia" w:ascii="仿宋" w:hAnsi="仿宋" w:eastAsia="仿宋" w:cs="仿宋"/>
          <w:sz w:val="32"/>
          <w:szCs w:val="32"/>
          <w:lang w:val="en-US" w:eastAsia="zh-CN"/>
        </w:rPr>
        <w:t>支出决算为26.38万元，完成预算100%</w:t>
      </w:r>
      <w:r>
        <w:rPr>
          <w:rStyle w:val="20"/>
          <w:rFonts w:hint="eastAsia" w:ascii="仿宋" w:hAnsi="仿宋" w:eastAsia="仿宋"/>
          <w:b w:val="0"/>
          <w:bCs/>
          <w:sz w:val="32"/>
          <w:szCs w:val="32"/>
        </w:rPr>
        <w:t>，决算数等于预算数</w:t>
      </w:r>
      <w:r>
        <w:rPr>
          <w:rFonts w:hint="eastAsia" w:ascii="仿宋" w:hAnsi="仿宋" w:eastAsia="仿宋" w:cs="仿宋"/>
          <w:sz w:val="32"/>
          <w:szCs w:val="32"/>
          <w:lang w:val="en-US" w:eastAsia="zh-CN"/>
        </w:rPr>
        <w:t>。</w:t>
      </w:r>
    </w:p>
    <w:p>
      <w:pPr>
        <w:rPr>
          <w:rFonts w:hint="eastAsia"/>
          <w:lang w:val="en-US" w:eastAsia="zh-CN"/>
        </w:rPr>
      </w:pP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黑体" w:hAnsi="Times New Roman" w:eastAsia="黑体" w:cs="Times New Roman"/>
          <w:sz w:val="32"/>
          <w:szCs w:val="32"/>
          <w:lang w:val="en-US" w:eastAsia="zh-CN"/>
        </w:rPr>
      </w:pPr>
      <w:bookmarkStart w:id="54" w:name="_Toc13942"/>
      <w:bookmarkStart w:id="55" w:name="_Toc15377214"/>
      <w:bookmarkStart w:id="56" w:name="_Toc15396608"/>
      <w:r>
        <w:rPr>
          <w:rFonts w:hint="eastAsia" w:ascii="黑体" w:hAnsi="Times New Roman" w:eastAsia="黑体" w:cs="Times New Roman"/>
          <w:sz w:val="32"/>
          <w:szCs w:val="32"/>
          <w:lang w:val="en-US" w:eastAsia="zh-CN"/>
        </w:rPr>
        <w:t>六、一般公共预算财政拨款基本支出决算情况说明</w:t>
      </w:r>
      <w:bookmarkEnd w:id="54"/>
      <w:bookmarkEnd w:id="55"/>
      <w:bookmarkEnd w:id="56"/>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2022年一般公共预算财政拨款基本支出512.38万元，其中：</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人员经费484.44万元，主要包括：</w:t>
      </w:r>
      <w:r>
        <w:rPr>
          <w:rFonts w:hint="eastAsia" w:ascii="仿宋" w:hAnsi="仿宋" w:eastAsia="仿宋"/>
          <w:sz w:val="32"/>
          <w:szCs w:val="32"/>
        </w:rPr>
        <w:t>基本工资、津贴补贴、绩效工资、机关事业单位基本养老保险缴费、职工基本医疗保险缴费</w:t>
      </w:r>
      <w:r>
        <w:rPr>
          <w:rFonts w:hint="eastAsia" w:ascii="仿宋" w:hAnsi="仿宋" w:eastAsia="仿宋"/>
          <w:sz w:val="32"/>
          <w:szCs w:val="32"/>
          <w:lang w:eastAsia="zh-CN"/>
        </w:rPr>
        <w:t>、</w:t>
      </w:r>
      <w:r>
        <w:rPr>
          <w:rFonts w:hint="eastAsia" w:ascii="仿宋" w:hAnsi="仿宋" w:eastAsia="仿宋"/>
          <w:sz w:val="32"/>
          <w:szCs w:val="32"/>
        </w:rPr>
        <w:t>其他社会保障缴费、住房公积金</w:t>
      </w:r>
      <w:r>
        <w:rPr>
          <w:rFonts w:hint="eastAsia" w:ascii="仿宋" w:hAnsi="仿宋" w:eastAsia="仿宋"/>
          <w:sz w:val="32"/>
          <w:szCs w:val="32"/>
          <w:lang w:eastAsia="zh-CN"/>
        </w:rPr>
        <w:t>、医疗费、</w:t>
      </w:r>
      <w:r>
        <w:rPr>
          <w:rFonts w:hint="eastAsia" w:ascii="仿宋" w:hAnsi="仿宋" w:eastAsia="仿宋"/>
          <w:sz w:val="32"/>
          <w:szCs w:val="32"/>
        </w:rPr>
        <w:t>其他工资福利支出、生活补助、其他对个人和家庭的补助支出等</w:t>
      </w:r>
      <w:r>
        <w:rPr>
          <w:rFonts w:hint="eastAsia" w:ascii="仿宋" w:hAnsi="仿宋" w:eastAsia="仿宋" w:cs="仿宋"/>
          <w:b w:val="0"/>
          <w:bCs w:val="0"/>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公用经费27.94万元，主要包括：</w:t>
      </w:r>
      <w:r>
        <w:rPr>
          <w:rFonts w:hint="eastAsia" w:ascii="仿宋" w:hAnsi="仿宋" w:eastAsia="仿宋"/>
          <w:sz w:val="32"/>
          <w:szCs w:val="32"/>
        </w:rPr>
        <w:t>办公费、印刷费、水费、电费、邮电费</w:t>
      </w:r>
      <w:r>
        <w:rPr>
          <w:rFonts w:hint="eastAsia" w:ascii="仿宋" w:hAnsi="仿宋" w:eastAsia="仿宋"/>
          <w:sz w:val="32"/>
          <w:szCs w:val="32"/>
          <w:lang w:eastAsia="zh-CN"/>
        </w:rPr>
        <w:t>、</w:t>
      </w:r>
      <w:r>
        <w:rPr>
          <w:rFonts w:hint="eastAsia" w:ascii="仿宋" w:hAnsi="仿宋" w:eastAsia="仿宋"/>
          <w:sz w:val="32"/>
          <w:szCs w:val="32"/>
        </w:rPr>
        <w:t>差旅费、工会经费等</w:t>
      </w:r>
      <w:r>
        <w:rPr>
          <w:rFonts w:hint="eastAsia" w:ascii="仿宋" w:hAnsi="仿宋" w:eastAsia="仿宋" w:cs="仿宋"/>
          <w:b w:val="0"/>
          <w:bCs w:val="0"/>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（注：数据来源于财决07表和财决08-1表，仅罗列本部门实际支出涉及的经济分类科目。）</w:t>
      </w:r>
    </w:p>
    <w:p>
      <w:pPr>
        <w:pStyle w:val="16"/>
        <w:keepNext w:val="0"/>
        <w:keepLines w:val="0"/>
        <w:pageBreakBefore w:val="0"/>
        <w:numPr>
          <w:ilvl w:val="0"/>
          <w:numId w:val="0"/>
        </w:numPr>
        <w:kinsoku/>
        <w:wordWrap/>
        <w:overflowPunct/>
        <w:topLinePunct w:val="0"/>
        <w:autoSpaceDE/>
        <w:autoSpaceDN/>
        <w:bidi w:val="0"/>
        <w:adjustRightInd w:val="0"/>
        <w:snapToGrid w:val="0"/>
        <w:spacing w:line="576" w:lineRule="exact"/>
        <w:ind w:left="0" w:leftChars="0" w:firstLine="640" w:firstLineChars="200"/>
        <w:jc w:val="left"/>
        <w:textAlignment w:val="auto"/>
        <w:outlineLvl w:val="1"/>
        <w:rPr>
          <w:rFonts w:hint="eastAsia" w:ascii="仿宋" w:hAnsi="仿宋" w:eastAsia="仿宋" w:cs="仿宋"/>
          <w:b/>
          <w:bCs/>
          <w:sz w:val="32"/>
          <w:szCs w:val="32"/>
          <w:lang w:val="en-US" w:eastAsia="zh-CN"/>
        </w:rPr>
      </w:pPr>
      <w:bookmarkStart w:id="57" w:name="_Toc22806"/>
      <w:bookmarkStart w:id="58" w:name="_Toc20724"/>
      <w:bookmarkStart w:id="59" w:name="_Toc15377215"/>
      <w:bookmarkStart w:id="60" w:name="_Toc15396609"/>
      <w:r>
        <w:rPr>
          <w:rFonts w:hint="eastAsia" w:ascii="黑体" w:eastAsia="黑体"/>
          <w:sz w:val="32"/>
          <w:szCs w:val="32"/>
        </w:rPr>
        <w:t>七、</w:t>
      </w:r>
      <w:r>
        <w:rPr>
          <w:rStyle w:val="45"/>
          <w:rFonts w:hint="eastAsia" w:ascii="黑体" w:hAnsi="黑体" w:eastAsia="黑体"/>
          <w:b w:val="0"/>
        </w:rPr>
        <w:t>财政拨款</w:t>
      </w:r>
      <w:r>
        <w:rPr>
          <w:rStyle w:val="45"/>
          <w:rFonts w:hint="eastAsia" w:ascii="黑体" w:hAnsi="黑体" w:eastAsia="黑体"/>
        </w:rPr>
        <w:t>“</w:t>
      </w:r>
      <w:r>
        <w:rPr>
          <w:rStyle w:val="45"/>
          <w:rFonts w:hint="eastAsia" w:ascii="黑体" w:hAnsi="黑体" w:eastAsia="黑体"/>
          <w:b w:val="0"/>
        </w:rPr>
        <w:t>三公”经费支出决算情况说明</w:t>
      </w:r>
      <w:bookmarkEnd w:id="57"/>
      <w:bookmarkEnd w:id="58"/>
      <w:bookmarkEnd w:id="59"/>
      <w:bookmarkEnd w:id="60"/>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val="0"/>
          <w:bCs w:val="0"/>
          <w:sz w:val="32"/>
          <w:szCs w:val="32"/>
          <w:lang w:val="en-US" w:eastAsia="zh-CN"/>
        </w:rPr>
      </w:pPr>
      <w:bookmarkStart w:id="61" w:name="_Toc15377216"/>
      <w:bookmarkStart w:id="62" w:name="_Toc5229"/>
      <w:r>
        <w:rPr>
          <w:rFonts w:hint="eastAsia" w:ascii="仿宋" w:hAnsi="仿宋" w:eastAsia="仿宋" w:cs="仿宋"/>
          <w:b/>
          <w:bCs/>
          <w:sz w:val="32"/>
          <w:szCs w:val="32"/>
          <w:lang w:val="en-US" w:eastAsia="zh-CN"/>
        </w:rPr>
        <w:t>（一）“三公”经费财政拨款支出决算总体情况说明</w:t>
      </w:r>
      <w:bookmarkEnd w:id="61"/>
      <w:bookmarkEnd w:id="62"/>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420" w:firstLineChars="200"/>
        <w:jc w:val="left"/>
        <w:textAlignment w:val="auto"/>
        <w:rPr>
          <w:rFonts w:hint="eastAsia" w:ascii="仿宋" w:hAnsi="仿宋" w:eastAsia="仿宋" w:cs="仿宋"/>
          <w:b w:val="0"/>
          <w:bCs w:val="0"/>
          <w:sz w:val="32"/>
          <w:szCs w:val="32"/>
          <w:lang w:val="en-US" w:eastAsia="zh-CN"/>
        </w:rPr>
      </w:pPr>
      <w:r>
        <w:drawing>
          <wp:anchor distT="0" distB="0" distL="114300" distR="114300" simplePos="0" relativeHeight="251663360" behindDoc="0" locked="0" layoutInCell="1" allowOverlap="1">
            <wp:simplePos x="0" y="0"/>
            <wp:positionH relativeFrom="column">
              <wp:posOffset>420370</wp:posOffset>
            </wp:positionH>
            <wp:positionV relativeFrom="page">
              <wp:posOffset>5950585</wp:posOffset>
            </wp:positionV>
            <wp:extent cx="4847590" cy="2695575"/>
            <wp:effectExtent l="4445" t="5080" r="5715" b="4445"/>
            <wp:wrapTopAndBottom/>
            <wp:docPr id="7"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ascii="仿宋" w:hAnsi="仿宋" w:eastAsia="仿宋"/>
          <w:sz w:val="32"/>
          <w:szCs w:val="32"/>
        </w:rPr>
        <w:t>20</w:t>
      </w:r>
      <w:r>
        <w:rPr>
          <w:rFonts w:hint="eastAsia" w:ascii="仿宋" w:hAnsi="仿宋" w:eastAsia="仿宋"/>
          <w:sz w:val="32"/>
          <w:szCs w:val="32"/>
        </w:rPr>
        <w:t>22年“三公”经费财政拨款支出决算为</w:t>
      </w:r>
      <w:r>
        <w:rPr>
          <w:rFonts w:hint="eastAsia" w:ascii="仿宋" w:hAnsi="仿宋" w:eastAsia="仿宋"/>
          <w:sz w:val="32"/>
          <w:szCs w:val="32"/>
          <w:lang w:val="en-US" w:eastAsia="zh-CN"/>
        </w:rPr>
        <w:t>0</w:t>
      </w:r>
      <w:r>
        <w:rPr>
          <w:rFonts w:hint="eastAsia" w:ascii="仿宋" w:hAnsi="仿宋" w:eastAsia="仿宋"/>
          <w:sz w:val="32"/>
          <w:szCs w:val="32"/>
        </w:rPr>
        <w:t>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0.5</w:t>
      </w:r>
      <w:r>
        <w:rPr>
          <w:rFonts w:hint="eastAsia" w:ascii="仿宋" w:hAnsi="仿宋" w:eastAsia="仿宋"/>
          <w:sz w:val="32"/>
          <w:szCs w:val="32"/>
        </w:rPr>
        <w:t>万元，下降</w:t>
      </w:r>
      <w:r>
        <w:rPr>
          <w:rFonts w:hint="eastAsia" w:ascii="仿宋" w:hAnsi="仿宋" w:eastAsia="仿宋"/>
          <w:sz w:val="32"/>
          <w:szCs w:val="32"/>
          <w:lang w:val="en-US" w:eastAsia="zh-CN"/>
        </w:rPr>
        <w:t>100</w:t>
      </w:r>
      <w:r>
        <w:rPr>
          <w:rFonts w:hint="eastAsia" w:ascii="仿宋" w:hAnsi="仿宋" w:eastAsia="仿宋"/>
          <w:sz w:val="32"/>
          <w:szCs w:val="32"/>
        </w:rPr>
        <w:t>%。决算数与预算数持平</w:t>
      </w:r>
      <w:r>
        <w:rPr>
          <w:rFonts w:hint="eastAsia" w:ascii="仿宋" w:hAnsi="仿宋" w:eastAsia="仿宋" w:cs="仿宋"/>
          <w:b w:val="0"/>
          <w:bCs w:val="0"/>
          <w:sz w:val="32"/>
          <w:szCs w:val="32"/>
          <w:lang w:val="en-US" w:eastAsia="zh-CN"/>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2"/>
        <w:rPr>
          <w:rFonts w:hint="eastAsia" w:ascii="仿宋" w:hAnsi="仿宋" w:eastAsia="仿宋" w:cs="仿宋"/>
          <w:b/>
          <w:bCs/>
          <w:sz w:val="32"/>
          <w:szCs w:val="32"/>
          <w:lang w:val="en-US" w:eastAsia="zh-CN"/>
        </w:rPr>
      </w:pPr>
      <w:bookmarkStart w:id="63" w:name="_Toc15377217"/>
      <w:bookmarkStart w:id="64" w:name="_Toc26199"/>
      <w:r>
        <w:rPr>
          <w:rFonts w:hint="eastAsia" w:ascii="仿宋" w:hAnsi="仿宋" w:eastAsia="仿宋" w:cs="仿宋"/>
          <w:b/>
          <w:bCs/>
          <w:sz w:val="32"/>
          <w:szCs w:val="32"/>
          <w:lang w:val="en-US" w:eastAsia="zh-CN"/>
        </w:rPr>
        <w:t>（二）“三公”经费财政拨款支出决算具体情况说明</w:t>
      </w:r>
      <w:bookmarkEnd w:id="63"/>
      <w:bookmarkEnd w:id="64"/>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lang w:val="en-US" w:eastAsia="zh-CN"/>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；公务接待费支出决算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。具体情况如下</w:t>
      </w:r>
      <w:r>
        <w:rPr>
          <w:rFonts w:hint="eastAsia" w:ascii="仿宋" w:hAnsi="仿宋" w:eastAsia="仿宋" w:cs="仿宋"/>
          <w:b w:val="0"/>
          <w:bCs w:val="0"/>
          <w:sz w:val="32"/>
          <w:szCs w:val="32"/>
          <w:lang w:val="en-US" w:eastAsia="zh-CN"/>
        </w:rPr>
        <w:t>：</w:t>
      </w:r>
    </w:p>
    <w:p>
      <w:pPr>
        <w:spacing w:line="600" w:lineRule="exact"/>
        <w:ind w:firstLine="640"/>
        <w:rPr>
          <w:rFonts w:hint="eastAsia" w:ascii="仿宋" w:hAnsi="仿宋" w:eastAsia="仿宋"/>
          <w:sz w:val="32"/>
          <w:szCs w:val="32"/>
        </w:rPr>
      </w:pPr>
      <w:r>
        <w:rPr>
          <w:rFonts w:hint="eastAsia" w:ascii="仿宋" w:hAnsi="仿宋" w:eastAsia="仿宋"/>
          <w:sz w:val="32"/>
          <w:szCs w:val="32"/>
        </w:rPr>
        <w:t>（图7：“三公”经费财政拨款支出结构）（饼状图）</w:t>
      </w:r>
    </w:p>
    <w:p>
      <w:pPr>
        <w:spacing w:line="600" w:lineRule="exact"/>
        <w:ind w:firstLine="640"/>
        <w:rPr>
          <w:rFonts w:ascii="仿宋_GB2312" w:eastAsia="仿宋_GB2312"/>
          <w:sz w:val="32"/>
          <w:szCs w:val="32"/>
        </w:rPr>
      </w:pPr>
      <w:bookmarkStart w:id="65" w:name="_Toc15396610"/>
      <w:bookmarkStart w:id="66" w:name="_Toc15377218"/>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20"/>
          <w:rFonts w:hint="eastAsia" w:ascii="仿宋" w:hAnsi="仿宋" w:eastAsia="仿宋"/>
          <w:b w:val="0"/>
          <w:bCs/>
          <w:sz w:val="32"/>
          <w:szCs w:val="32"/>
        </w:rPr>
        <w:t>完成预算</w:t>
      </w:r>
      <w:r>
        <w:rPr>
          <w:rStyle w:val="20"/>
          <w:rFonts w:hint="eastAsia" w:ascii="仿宋" w:hAnsi="仿宋" w:eastAsia="仿宋"/>
          <w:b w:val="0"/>
          <w:bCs/>
          <w:sz w:val="32"/>
          <w:szCs w:val="32"/>
          <w:lang w:val="en-US" w:eastAsia="zh-CN"/>
        </w:rPr>
        <w:t>100</w:t>
      </w:r>
      <w:r>
        <w:rPr>
          <w:rStyle w:val="20"/>
          <w:rFonts w:ascii="仿宋" w:hAnsi="仿宋" w:eastAsia="仿宋"/>
          <w:b w:val="0"/>
          <w:bCs/>
          <w:sz w:val="32"/>
          <w:szCs w:val="32"/>
        </w:rPr>
        <w:t>%</w:t>
      </w:r>
      <w:r>
        <w:rPr>
          <w:rStyle w:val="20"/>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0.5</w:t>
      </w:r>
      <w:r>
        <w:rPr>
          <w:rFonts w:hint="eastAsia" w:ascii="仿宋_GB2312" w:eastAsia="仿宋_GB2312"/>
          <w:sz w:val="32"/>
          <w:szCs w:val="32"/>
        </w:rPr>
        <w:t>万元，下降</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落实过紧日子的政策，节约公务开支</w:t>
      </w:r>
      <w:r>
        <w:rPr>
          <w:rFonts w:hint="eastAsia" w:ascii="仿宋_GB2312" w:eastAsia="仿宋_GB2312"/>
          <w:sz w:val="32"/>
          <w:szCs w:val="32"/>
        </w:rPr>
        <w:t>。其中：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val="en-US" w:eastAsia="zh-CN"/>
        </w:rPr>
        <w:t>0</w:t>
      </w:r>
      <w:r>
        <w:rPr>
          <w:rFonts w:hint="eastAsia" w:ascii="仿宋_GB2312" w:eastAsia="仿宋_GB2312"/>
          <w:sz w:val="32"/>
          <w:szCs w:val="32"/>
        </w:rPr>
        <w:t>万元，主要用于执行公务、开展业务活动开支的交通费、住宿费、用餐费等。国内公务接待</w:t>
      </w:r>
      <w:r>
        <w:rPr>
          <w:rFonts w:hint="eastAsia" w:ascii="仿宋_GB2312" w:eastAsia="仿宋_GB2312"/>
          <w:sz w:val="32"/>
          <w:szCs w:val="32"/>
          <w:lang w:val="en-US" w:eastAsia="zh-CN"/>
        </w:rPr>
        <w:t>25</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万元，具体内容包括：执行公务、开展业务活动开支的交通费、住宿费、用餐费等。</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b/>
          <w:sz w:val="32"/>
          <w:szCs w:val="32"/>
        </w:rPr>
        <w:t>外事接待支出</w:t>
      </w:r>
      <w:r>
        <w:rPr>
          <w:rFonts w:hint="eastAsia" w:ascii="仿宋" w:hAnsi="仿宋" w:eastAsia="仿宋"/>
          <w:sz w:val="32"/>
          <w:szCs w:val="32"/>
          <w:lang w:val="en-US" w:eastAsia="zh-CN"/>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 w:hAnsi="仿宋" w:eastAsia="仿宋" w:cs="仿宋"/>
          <w:b w:val="0"/>
          <w:bCs w:val="0"/>
          <w:sz w:val="32"/>
          <w:szCs w:val="32"/>
          <w:lang w:val="en-US" w:eastAsia="zh-CN"/>
        </w:rPr>
        <w:t>。</w:t>
      </w:r>
    </w:p>
    <w:p>
      <w:pPr>
        <w:spacing w:line="600" w:lineRule="exact"/>
        <w:ind w:firstLine="640"/>
        <w:outlineLvl w:val="1"/>
        <w:rPr>
          <w:rFonts w:hint="eastAsia" w:ascii="黑体" w:hAnsi="Times New Roman" w:eastAsia="黑体" w:cs="Times New Roman"/>
          <w:sz w:val="32"/>
          <w:szCs w:val="32"/>
          <w:lang w:val="en-US" w:eastAsia="zh-CN"/>
        </w:rPr>
      </w:pPr>
      <w:bookmarkStart w:id="67" w:name="_Toc23560"/>
      <w:r>
        <w:rPr>
          <w:rFonts w:hint="eastAsia" w:ascii="黑体" w:hAnsi="Times New Roman" w:eastAsia="黑体" w:cs="Times New Roman"/>
          <w:sz w:val="32"/>
          <w:szCs w:val="32"/>
          <w:lang w:val="en-US" w:eastAsia="zh-CN"/>
        </w:rPr>
        <w:t>八、政府性基金预算支出决算情况说明</w:t>
      </w:r>
      <w:bookmarkEnd w:id="65"/>
      <w:bookmarkEnd w:id="66"/>
      <w:bookmarkEnd w:id="67"/>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2022年政府性基金预算财政拨款：无。</w:t>
      </w:r>
      <w:bookmarkStart w:id="68" w:name="_Toc15396611"/>
      <w:bookmarkStart w:id="69" w:name="_Toc15377219"/>
    </w:p>
    <w:p>
      <w:pPr>
        <w:pStyle w:val="2"/>
        <w:ind w:left="0" w:leftChars="0" w:firstLine="0" w:firstLineChars="0"/>
        <w:rPr>
          <w:rFonts w:hint="eastAsia"/>
          <w:lang w:val="en-US" w:eastAsia="zh-CN"/>
        </w:rPr>
      </w:pPr>
    </w:p>
    <w:p>
      <w:pPr>
        <w:spacing w:line="600" w:lineRule="exact"/>
        <w:ind w:firstLine="640"/>
        <w:outlineLvl w:val="1"/>
        <w:rPr>
          <w:rFonts w:hint="eastAsia" w:ascii="黑体" w:hAnsi="Times New Roman" w:eastAsia="黑体" w:cs="Times New Roman"/>
          <w:sz w:val="32"/>
          <w:szCs w:val="32"/>
          <w:lang w:val="en-US" w:eastAsia="zh-CN"/>
        </w:rPr>
      </w:pPr>
      <w:bookmarkStart w:id="70" w:name="_Toc14166"/>
      <w:r>
        <w:rPr>
          <w:rFonts w:hint="eastAsia" w:ascii="黑体" w:hAnsi="Times New Roman" w:eastAsia="黑体" w:cs="Times New Roman"/>
          <w:sz w:val="32"/>
          <w:szCs w:val="32"/>
          <w:lang w:val="en-US" w:eastAsia="zh-CN"/>
        </w:rPr>
        <w:t>九、国有资本经营预算支出决算情况说明</w:t>
      </w:r>
      <w:bookmarkEnd w:id="70"/>
    </w:p>
    <w:bookmarkEnd w:id="68"/>
    <w:bookmarkEnd w:id="69"/>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2022年国有资本经营预算财政拨款支出：无。</w:t>
      </w:r>
      <w:bookmarkStart w:id="71" w:name="_Toc15396612"/>
      <w:bookmarkStart w:id="72" w:name="_Toc15377221"/>
    </w:p>
    <w:p>
      <w:pPr>
        <w:rPr>
          <w:rFonts w:hint="eastAsia"/>
          <w:lang w:val="en-US" w:eastAsia="zh-CN"/>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2" w:firstLineChars="200"/>
        <w:jc w:val="left"/>
        <w:textAlignment w:val="auto"/>
        <w:outlineLvl w:val="1"/>
        <w:rPr>
          <w:rFonts w:hint="eastAsia" w:ascii="仿宋" w:hAnsi="仿宋" w:eastAsia="仿宋" w:cs="仿宋"/>
          <w:b w:val="0"/>
          <w:bCs w:val="0"/>
          <w:sz w:val="32"/>
          <w:szCs w:val="32"/>
          <w:lang w:val="en-US" w:eastAsia="zh-CN"/>
        </w:rPr>
      </w:pPr>
      <w:bookmarkStart w:id="73" w:name="_Toc13371"/>
      <w:r>
        <w:rPr>
          <w:rFonts w:hint="eastAsia" w:ascii="仿宋" w:hAnsi="仿宋" w:eastAsia="仿宋" w:cs="仿宋"/>
          <w:b/>
          <w:bCs/>
          <w:sz w:val="32"/>
          <w:szCs w:val="32"/>
          <w:lang w:val="en-US" w:eastAsia="zh-CN"/>
        </w:rPr>
        <w:t>十、其他重要事项的情况说明</w:t>
      </w:r>
      <w:bookmarkEnd w:id="71"/>
      <w:bookmarkEnd w:id="72"/>
      <w:bookmarkEnd w:id="73"/>
    </w:p>
    <w:p>
      <w:pPr>
        <w:spacing w:line="600" w:lineRule="exact"/>
        <w:ind w:firstLine="640"/>
        <w:outlineLvl w:val="2"/>
        <w:rPr>
          <w:rFonts w:hint="eastAsia" w:ascii="仿宋" w:hAnsi="仿宋" w:eastAsia="仿宋" w:cs="仿宋"/>
          <w:b/>
          <w:bCs/>
          <w:sz w:val="32"/>
          <w:szCs w:val="32"/>
          <w:lang w:val="en-US" w:eastAsia="zh-CN"/>
        </w:rPr>
      </w:pPr>
      <w:bookmarkStart w:id="74" w:name="_Toc1357"/>
      <w:bookmarkStart w:id="75" w:name="_Toc15377222"/>
      <w:r>
        <w:rPr>
          <w:rFonts w:hint="eastAsia" w:ascii="仿宋" w:hAnsi="仿宋" w:eastAsia="仿宋" w:cs="仿宋"/>
          <w:b/>
          <w:bCs/>
          <w:sz w:val="32"/>
          <w:szCs w:val="32"/>
          <w:lang w:val="en-US" w:eastAsia="zh-CN"/>
        </w:rPr>
        <w:t>（一）机关运行经费支出情况</w:t>
      </w:r>
      <w:bookmarkEnd w:id="74"/>
      <w:bookmarkEnd w:id="75"/>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eastAsia="zh-CN"/>
        </w:rPr>
      </w:pPr>
      <w:r>
        <w:rPr>
          <w:rFonts w:hint="eastAsia" w:ascii="仿宋" w:hAnsi="仿宋" w:eastAsia="仿宋" w:cs="仿宋"/>
          <w:b w:val="0"/>
          <w:bCs w:val="0"/>
          <w:sz w:val="32"/>
          <w:szCs w:val="32"/>
          <w:lang w:val="en-US" w:eastAsia="zh-CN"/>
        </w:rPr>
        <w:t>2022年，机关运行经费支出</w:t>
      </w:r>
      <w:r>
        <w:rPr>
          <w:rFonts w:hint="eastAsia" w:ascii="仿宋" w:hAnsi="仿宋" w:eastAsia="仿宋" w:cs="仿宋"/>
          <w:sz w:val="32"/>
          <w:szCs w:val="32"/>
          <w:lang w:val="en-US" w:eastAsia="zh-CN"/>
        </w:rPr>
        <w:t>0万元，</w:t>
      </w:r>
      <w:r>
        <w:rPr>
          <w:rFonts w:hint="eastAsia" w:ascii="仿宋_GB2312" w:eastAsia="仿宋_GB2312"/>
          <w:sz w:val="32"/>
          <w:szCs w:val="32"/>
          <w:lang w:val="en-US" w:eastAsia="zh-CN"/>
        </w:rPr>
        <w:t>与</w:t>
      </w: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val="en-US" w:eastAsia="zh-CN"/>
        </w:rPr>
        <w:t>持平</w:t>
      </w:r>
      <w:r>
        <w:rPr>
          <w:rFonts w:hint="eastAsia" w:ascii="仿宋_GB2312" w:eastAsia="仿宋_GB2312"/>
          <w:sz w:val="32"/>
          <w:szCs w:val="32"/>
        </w:rPr>
        <w:t>。</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76" w:name="_Toc7746"/>
      <w:bookmarkStart w:id="77" w:name="_Toc15377223"/>
      <w:r>
        <w:rPr>
          <w:rFonts w:hint="eastAsia" w:ascii="仿宋" w:hAnsi="仿宋" w:eastAsia="仿宋" w:cs="仿宋"/>
          <w:b/>
          <w:bCs/>
          <w:sz w:val="32"/>
          <w:szCs w:val="32"/>
          <w:lang w:val="en-US" w:eastAsia="zh-CN"/>
        </w:rPr>
        <w:t>（二）政府采购支出情况</w:t>
      </w:r>
      <w:bookmarkEnd w:id="76"/>
      <w:bookmarkEnd w:id="77"/>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2022年，剑门关国家森林公园事务中心无政府采购支出。</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78" w:name="_Toc17559"/>
      <w:bookmarkStart w:id="79" w:name="_Toc15377224"/>
      <w:r>
        <w:rPr>
          <w:rFonts w:hint="eastAsia" w:ascii="仿宋" w:hAnsi="仿宋" w:eastAsia="仿宋" w:cs="仿宋"/>
          <w:b/>
          <w:bCs/>
          <w:sz w:val="32"/>
          <w:szCs w:val="32"/>
          <w:lang w:val="en-US" w:eastAsia="zh-CN"/>
        </w:rPr>
        <w:t>（三）国有资产占有使用情况</w:t>
      </w:r>
      <w:bookmarkEnd w:id="78"/>
      <w:bookmarkEnd w:id="79"/>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截至2022年12月31日，剑门关国家森林公园事务中心无车辆，无单价100万元以上专用设备。</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p>
    <w:p>
      <w:pPr>
        <w:spacing w:line="600" w:lineRule="exact"/>
        <w:ind w:firstLine="640"/>
        <w:outlineLvl w:val="2"/>
        <w:rPr>
          <w:rFonts w:hint="eastAsia" w:ascii="仿宋" w:hAnsi="仿宋" w:eastAsia="仿宋" w:cs="仿宋"/>
          <w:b/>
          <w:bCs/>
          <w:sz w:val="32"/>
          <w:szCs w:val="32"/>
          <w:lang w:val="en-US" w:eastAsia="zh-CN"/>
        </w:rPr>
      </w:pPr>
      <w:bookmarkStart w:id="80" w:name="_Toc31981"/>
      <w:r>
        <w:rPr>
          <w:rFonts w:hint="eastAsia" w:ascii="仿宋" w:hAnsi="仿宋" w:eastAsia="仿宋" w:cs="仿宋"/>
          <w:b/>
          <w:bCs/>
          <w:sz w:val="32"/>
          <w:szCs w:val="32"/>
          <w:lang w:val="en-US" w:eastAsia="zh-CN"/>
        </w:rPr>
        <w:t>（四）预算绩效管理情况</w:t>
      </w:r>
      <w:bookmarkEnd w:id="80"/>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根据预算绩效管理要求，在年初预算编制阶段，根据预</w:t>
      </w:r>
    </w:p>
    <w:p>
      <w:pPr>
        <w:pStyle w:val="16"/>
        <w:keepNext w:val="0"/>
        <w:keepLines w:val="0"/>
        <w:pageBreakBefore w:val="0"/>
        <w:widowControl w:val="0"/>
        <w:kinsoku/>
        <w:wordWrap/>
        <w:overflowPunct/>
        <w:topLinePunct w:val="0"/>
        <w:autoSpaceDE/>
        <w:autoSpaceDN/>
        <w:bidi w:val="0"/>
        <w:adjustRightInd w:val="0"/>
        <w:snapToGrid w:val="0"/>
        <w:spacing w:line="576" w:lineRule="exact"/>
        <w:ind w:left="0" w:leftChars="0" w:firstLine="0" w:firstLineChars="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算绩效管理要求，剑门关国家森林公园事务中心在年初预算编制阶段，组织对</w:t>
      </w:r>
      <w:r>
        <w:rPr>
          <w:rFonts w:hint="eastAsia" w:ascii="仿宋" w:hAnsi="仿宋" w:eastAsia="仿宋" w:cs="仿宋"/>
          <w:b w:val="0"/>
          <w:bCs w:val="0"/>
          <w:sz w:val="32"/>
          <w:szCs w:val="32"/>
          <w:highlight w:val="none"/>
          <w:lang w:val="en-US" w:eastAsia="zh-CN"/>
        </w:rPr>
        <w:t>对 2个项目编制了绩效目标，预算执行过程中，选取 2个项目开展绩效监控，年终执行完毕后，对 2 个项目开展了绩效目标完成情况梳理填报。同时，本部门对 2022 年部门整体开展</w:t>
      </w:r>
      <w:r>
        <w:rPr>
          <w:rFonts w:hint="eastAsia" w:ascii="仿宋" w:hAnsi="仿宋" w:eastAsia="仿宋" w:cs="仿宋"/>
          <w:b w:val="0"/>
          <w:bCs w:val="0"/>
          <w:sz w:val="32"/>
          <w:szCs w:val="32"/>
          <w:lang w:val="en-US" w:eastAsia="zh-CN"/>
        </w:rPr>
        <w:t>绩效自评，《2022 年剑门关国家森林公园事务中心部门整体绩效评价报告》见附件（第四部分）</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bookmarkStart w:id="81" w:name="_Toc15396613"/>
      <w:bookmarkStart w:id="82" w:name="_Toc15377225"/>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5"/>
        <w:rPr>
          <w:rFonts w:hint="eastAsia" w:ascii="方正小标宋简体" w:hAnsi="方正小标宋简体" w:eastAsia="方正小标宋简体" w:cs="方正小标宋简体"/>
          <w:sz w:val="44"/>
          <w:szCs w:val="44"/>
        </w:rPr>
      </w:pPr>
    </w:p>
    <w:p>
      <w:pPr>
        <w:pStyle w:val="10"/>
        <w:rPr>
          <w:rFonts w:hint="eastAsia"/>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rPr>
          <w:rFonts w:hint="eastAsia" w:ascii="方正小标宋简体" w:hAnsi="方正小标宋简体" w:eastAsia="方正小标宋简体" w:cs="方正小标宋简体"/>
          <w:sz w:val="44"/>
          <w:szCs w:val="44"/>
        </w:rPr>
      </w:pPr>
    </w:p>
    <w:p>
      <w:pPr>
        <w:pStyle w:val="2"/>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4"/>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rPr>
          <w:rFonts w:hint="eastAsia" w:ascii="方正小标宋简体" w:hAnsi="方正小标宋简体" w:eastAsia="方正小标宋简体" w:cs="方正小标宋简体"/>
          <w:sz w:val="44"/>
          <w:szCs w:val="44"/>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bookmarkStart w:id="83" w:name="_Toc5400"/>
      <w:r>
        <w:rPr>
          <w:rFonts w:hint="eastAsia" w:ascii="方正小标宋简体" w:hAnsi="方正小标宋简体" w:eastAsia="方正小标宋简体" w:cs="方正小标宋简体"/>
          <w:sz w:val="44"/>
          <w:szCs w:val="44"/>
        </w:rPr>
        <w:t>第</w:t>
      </w:r>
      <w:r>
        <w:rPr>
          <w:rFonts w:hint="eastAsia" w:ascii="方正小标宋简体" w:hAnsi="方正小标宋简体" w:eastAsia="方正小标宋简体" w:cs="方正小标宋简体"/>
          <w:sz w:val="44"/>
          <w:szCs w:val="44"/>
          <w:lang w:val="en-US" w:eastAsia="zh-CN"/>
        </w:rPr>
        <w:t>三</w:t>
      </w:r>
      <w:r>
        <w:rPr>
          <w:rFonts w:hint="eastAsia" w:ascii="方正小标宋简体" w:hAnsi="方正小标宋简体" w:eastAsia="方正小标宋简体" w:cs="方正小标宋简体"/>
          <w:sz w:val="44"/>
          <w:szCs w:val="44"/>
        </w:rPr>
        <w:t>部分</w:t>
      </w:r>
      <w:r>
        <w:rPr>
          <w:rFonts w:hint="eastAsia" w:ascii="方正小标宋简体" w:hAnsi="方正小标宋简体" w:eastAsia="方正小标宋简体" w:cs="方正小标宋简体"/>
          <w:sz w:val="44"/>
          <w:szCs w:val="44"/>
          <w:lang w:val="en-US" w:eastAsia="zh-CN"/>
        </w:rPr>
        <w:t xml:space="preserve">  名词解释</w:t>
      </w:r>
      <w:bookmarkEnd w:id="81"/>
      <w:bookmarkEnd w:id="82"/>
      <w:bookmarkEnd w:id="83"/>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_GB2312" w:hAnsi="仿宋_GB2312" w:eastAsia="仿宋_GB2312" w:cs="仿宋_GB2312"/>
          <w:sz w:val="32"/>
          <w:szCs w:val="32"/>
          <w:lang w:val="en-US" w:eastAsia="zh-CN"/>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bookmarkStart w:id="84" w:name="_Toc15377226"/>
      <w:r>
        <w:rPr>
          <w:rFonts w:hint="eastAsia" w:ascii="仿宋" w:hAnsi="仿宋" w:eastAsia="仿宋" w:cs="仿宋"/>
          <w:sz w:val="32"/>
          <w:szCs w:val="32"/>
          <w:lang w:val="en-US" w:eastAsia="zh-CN"/>
        </w:rPr>
        <w:t>1.财政拨款收入：指单位从同级财政部门取得的财政预算资金。</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2.事业收入：指事业单位开展专业业务活动及辅助活动取得的收入。</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3.其他收入：指单位取得的除上述收入以外的各项收入。 </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5.使用非财政拨款结余：指事业单位使用以前年度积累的非财政拨款结余弥补当年收支差额的金额。 </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6.年初结转和结余：指以前年度尚未完成、结转到本年按有关规定继续使用的资金。 </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7.结余分配：指事业单位按照会计制度规定缴纳的所得税、提取的专用结余以及转入非财政拨款结余的金额等。</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8.年末结转和结余：指单位按有关规定结转到下年或以后年度继续使用的资金。</w:t>
      </w:r>
    </w:p>
    <w:p>
      <w:pPr>
        <w:keepNext w:val="0"/>
        <w:keepLines w:val="0"/>
        <w:pageBreakBefore w:val="0"/>
        <w:widowControl w:val="0"/>
        <w:kinsoku/>
        <w:wordWrap/>
        <w:overflowPunct/>
        <w:topLinePunct w:val="0"/>
        <w:bidi w:val="0"/>
        <w:snapToGrid/>
        <w:spacing w:line="600" w:lineRule="exact"/>
        <w:ind w:firstLine="640"/>
        <w:textAlignment w:val="auto"/>
        <w:outlineLvl w:val="9"/>
        <w:rPr>
          <w:rFonts w:hint="eastAsia" w:ascii="仿宋_GB2312" w:eastAsia="仿宋_GB2312"/>
          <w:sz w:val="32"/>
          <w:szCs w:val="32"/>
          <w:lang w:val="en-US" w:eastAsia="zh-CN"/>
        </w:rPr>
      </w:pPr>
      <w:r>
        <w:rPr>
          <w:rFonts w:ascii="仿宋_GB2312" w:eastAsia="仿宋_GB2312"/>
          <w:sz w:val="32"/>
          <w:szCs w:val="32"/>
        </w:rPr>
        <w:t>9.</w:t>
      </w:r>
      <w:r>
        <w:rPr>
          <w:rFonts w:hint="eastAsia" w:ascii="仿宋_GB2312" w:eastAsia="仿宋_GB2312"/>
          <w:sz w:val="32"/>
          <w:szCs w:val="32"/>
          <w:lang w:val="en-US" w:eastAsia="zh-CN"/>
        </w:rPr>
        <w:t>社会保障和就业支出（类）行政事业单位养老支出（款）机关事业单位基本养老保险缴费（项）：指实施养老保险制度后，单位按规定由单位缴纳的基本养老保险费支出。</w:t>
      </w:r>
      <w:r>
        <w:rPr>
          <w:rFonts w:hint="eastAsia" w:ascii="仿宋_GB2312" w:eastAsia="仿宋_GB2312"/>
          <w:sz w:val="32"/>
          <w:szCs w:val="32"/>
          <w:lang w:val="en-US" w:eastAsia="zh-CN"/>
        </w:rPr>
        <w:br w:type="textWrapping"/>
      </w:r>
      <w:r>
        <w:rPr>
          <w:rFonts w:hint="eastAsia" w:ascii="仿宋_GB2312" w:eastAsia="仿宋_GB2312"/>
          <w:sz w:val="32"/>
          <w:szCs w:val="32"/>
          <w:lang w:val="en-US" w:eastAsia="zh-CN"/>
        </w:rPr>
        <w:t>　  10.卫生健康支出（类）行政事业单位医疗（款）事业单位医疗（项）：指单位基本医疗保险缴费支出。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11.农林水支出（类）林业和草原（款）事业机构（项）：指事业单位的基本支出，不包括行政单位（含实行公务员管理的事业单位）后勤服务中心等附属事业单位的支出。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12.农林水支出（类）林业和草原（款）森林资源培育（项）：指育苗（种）、造林、抚育、退化林修复、义务植树及生物质能能源建设等方面支出。</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13.</w:t>
      </w:r>
      <w:r>
        <w:rPr>
          <w:rFonts w:hint="default" w:ascii="仿宋_GB2312" w:eastAsia="仿宋_GB2312"/>
          <w:sz w:val="32"/>
          <w:szCs w:val="32"/>
          <w:lang w:val="en-US" w:eastAsia="zh-CN"/>
        </w:rPr>
        <w:t>农林水支出（类）林业和草原（款）技术推广与转化（项）</w:t>
      </w:r>
      <w:r>
        <w:rPr>
          <w:rFonts w:hint="eastAsia" w:ascii="仿宋_GB2312" w:eastAsia="仿宋_GB2312"/>
          <w:sz w:val="32"/>
          <w:szCs w:val="32"/>
          <w:lang w:val="en-US" w:eastAsia="zh-CN"/>
        </w:rPr>
        <w:t>：指</w:t>
      </w:r>
      <w:r>
        <w:rPr>
          <w:rFonts w:hint="default" w:ascii="仿宋_GB2312" w:eastAsia="仿宋_GB2312"/>
          <w:sz w:val="32"/>
          <w:szCs w:val="32"/>
          <w:lang w:val="en-US" w:eastAsia="zh-CN"/>
        </w:rPr>
        <w:t>反应良种繁育、新技术引进、区域化试验、示范、技术推广、成果转化、科学普及等方面的支出</w:t>
      </w:r>
      <w:r>
        <w:rPr>
          <w:rFonts w:hint="eastAsia" w:ascii="仿宋_GB2312" w:eastAsia="仿宋_GB2312"/>
          <w:sz w:val="32"/>
          <w:szCs w:val="32"/>
          <w:lang w:val="en-US" w:eastAsia="zh-CN"/>
        </w:rPr>
        <w:t>。</w:t>
      </w:r>
    </w:p>
    <w:p>
      <w:pPr>
        <w:spacing w:line="600" w:lineRule="exact"/>
        <w:ind w:firstLine="640"/>
        <w:rPr>
          <w:rFonts w:hint="eastAsia" w:ascii="仿宋_GB2312" w:eastAsia="仿宋_GB2312"/>
          <w:sz w:val="32"/>
          <w:szCs w:val="32"/>
          <w:lang w:val="en-US" w:eastAsia="zh-CN"/>
        </w:rPr>
      </w:pPr>
      <w:r>
        <w:rPr>
          <w:rFonts w:hint="eastAsia" w:ascii="仿宋_GB2312" w:eastAsia="仿宋_GB2312"/>
          <w:sz w:val="32"/>
          <w:szCs w:val="32"/>
          <w:lang w:val="en-US" w:eastAsia="zh-CN"/>
        </w:rPr>
        <w:t>14.农林水支出（类）林业和草原（款）林业草原防灾减灾（项）：指病虫害等有害生物灾害、森林草原防火、野生动物疫病灾害等方面支出。</w:t>
      </w:r>
    </w:p>
    <w:p>
      <w:pPr>
        <w:spacing w:line="600" w:lineRule="exact"/>
        <w:ind w:firstLine="64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5</w:t>
      </w:r>
      <w:r>
        <w:rPr>
          <w:rFonts w:hint="eastAsia" w:ascii="仿宋_GB2312" w:hAnsi="Times New Roman" w:eastAsia="仿宋_GB2312" w:cs="Times New Roman"/>
          <w:sz w:val="32"/>
          <w:szCs w:val="32"/>
          <w:lang w:val="en-US" w:eastAsia="zh-CN"/>
        </w:rPr>
        <w:t>.农林水支出（类）林业和草原（款）其他林业和草原支出（项）：反映除上述项目之外其他用于林业和草原方面的支出。</w:t>
      </w:r>
    </w:p>
    <w:p>
      <w:pPr>
        <w:spacing w:line="600" w:lineRule="exact"/>
        <w:ind w:firstLine="640"/>
        <w:rPr>
          <w:rFonts w:hint="eastAsia" w:ascii="仿宋_GB2312" w:eastAsia="仿宋_GB2312"/>
          <w:sz w:val="32"/>
          <w:szCs w:val="32"/>
          <w:lang w:val="en-US" w:eastAsia="zh-CN"/>
        </w:rPr>
      </w:pPr>
      <w:r>
        <w:rPr>
          <w:rFonts w:hint="eastAsia" w:ascii="仿宋_GB2312" w:hAnsi="Times New Roman" w:eastAsia="仿宋_GB2312" w:cs="Times New Roman"/>
          <w:sz w:val="32"/>
          <w:szCs w:val="32"/>
          <w:lang w:val="en-US" w:eastAsia="zh-CN"/>
        </w:rPr>
        <w:t>1</w:t>
      </w:r>
      <w:r>
        <w:rPr>
          <w:rFonts w:hint="eastAsia" w:ascii="仿宋_GB2312" w:eastAsia="仿宋_GB2312" w:cs="Times New Roman"/>
          <w:sz w:val="32"/>
          <w:szCs w:val="32"/>
          <w:lang w:val="en-US" w:eastAsia="zh-CN"/>
        </w:rPr>
        <w:t>6</w:t>
      </w:r>
      <w:r>
        <w:rPr>
          <w:rFonts w:hint="eastAsia" w:ascii="仿宋_GB2312" w:hAnsi="Times New Roman" w:eastAsia="仿宋_GB2312" w:cs="Times New Roman"/>
          <w:sz w:val="32"/>
          <w:szCs w:val="32"/>
          <w:lang w:val="en-US" w:eastAsia="zh-CN"/>
        </w:rPr>
        <w:t>.住房保障</w:t>
      </w:r>
      <w:r>
        <w:rPr>
          <w:rFonts w:hint="eastAsia" w:ascii="仿宋_GB2312" w:eastAsia="仿宋_GB2312"/>
          <w:sz w:val="32"/>
          <w:szCs w:val="32"/>
          <w:lang w:val="en-US" w:eastAsia="zh-CN"/>
        </w:rPr>
        <w:t>支出（类）住房改革支出（款）住房公积金(项)：指部门按人力资源和社会保障部、财政部规定的基本工资和津贴补贴以及规定比例为职工缴纳的住房公积金支出。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17</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hint="eastAsia" w:ascii="仿宋_GB2312" w:eastAsia="仿宋_GB2312"/>
          <w:sz w:val="32"/>
          <w:szCs w:val="32"/>
          <w:lang w:val="en-US" w:eastAsia="zh-CN"/>
        </w:rPr>
        <w:t>18</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hint="eastAsia" w:ascii="仿宋_GB2312" w:eastAsia="仿宋_GB2312"/>
          <w:sz w:val="32"/>
          <w:szCs w:val="32"/>
          <w:lang w:val="en-US" w:eastAsia="zh-CN"/>
        </w:rPr>
        <w:t>19</w:t>
      </w:r>
      <w:r>
        <w:rPr>
          <w:rFonts w:ascii="仿宋_GB2312" w:eastAsia="仿宋_GB2312"/>
          <w:sz w:val="32"/>
          <w:szCs w:val="32"/>
        </w:rPr>
        <w:t>.</w:t>
      </w:r>
      <w:r>
        <w:rPr>
          <w:rFonts w:hint="eastAsia" w:ascii="仿宋_GB2312" w:eastAsia="仿宋_GB2312"/>
          <w:sz w:val="32"/>
          <w:szCs w:val="32"/>
        </w:rPr>
        <w:t>经营支出：指事业单位在专业业务活动及其辅助活动之外开展非独立核算经营活动发生的支出。</w:t>
      </w:r>
    </w:p>
    <w:p>
      <w:pPr>
        <w:pStyle w:val="29"/>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640" w:firstLineChars="200"/>
        <w:jc w:val="left"/>
        <w:textAlignment w:val="auto"/>
        <w:rPr>
          <w:rFonts w:hint="eastAsia" w:ascii="仿宋" w:hAnsi="仿宋" w:eastAsia="仿宋" w:cs="仿宋"/>
          <w:sz w:val="32"/>
          <w:szCs w:val="32"/>
          <w:lang w:val="en-US" w:eastAsia="zh-CN"/>
        </w:rPr>
      </w:pPr>
      <w:r>
        <w:rPr>
          <w:rFonts w:hint="eastAsia" w:ascii="仿宋_GB2312" w:eastAsia="仿宋_GB2312"/>
          <w:color w:val="auto"/>
          <w:sz w:val="32"/>
          <w:szCs w:val="32"/>
          <w:lang w:val="en-US" w:eastAsia="zh-CN"/>
        </w:rPr>
        <w:t>21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仿宋" w:hAnsi="仿宋" w:eastAsia="仿宋" w:cs="仿宋"/>
          <w:sz w:val="32"/>
          <w:szCs w:val="32"/>
          <w:lang w:val="en-US" w:eastAsia="zh-CN"/>
        </w:rPr>
        <w:t>。</w:t>
      </w:r>
    </w:p>
    <w:p>
      <w:pPr>
        <w:rPr>
          <w:rFonts w:hint="eastAsia" w:ascii="仿宋" w:hAnsi="仿宋" w:eastAsia="仿宋" w:cs="仿宋"/>
          <w:sz w:val="32"/>
          <w:szCs w:val="32"/>
          <w:lang w:val="en-US" w:eastAsia="zh-CN"/>
        </w:rPr>
      </w:pPr>
    </w:p>
    <w:p>
      <w:pPr>
        <w:pStyle w:val="2"/>
        <w:rPr>
          <w:rFonts w:hint="eastAsia" w:ascii="仿宋" w:hAnsi="仿宋" w:eastAsia="仿宋" w:cs="仿宋"/>
          <w:sz w:val="32"/>
          <w:szCs w:val="32"/>
          <w:lang w:val="en-US" w:eastAsia="zh-CN"/>
        </w:rPr>
      </w:pPr>
    </w:p>
    <w:p>
      <w:pPr>
        <w:pStyle w:val="4"/>
        <w:rPr>
          <w:rFonts w:hint="eastAsia" w:ascii="仿宋" w:hAnsi="仿宋" w:eastAsia="仿宋" w:cs="仿宋"/>
          <w:sz w:val="32"/>
          <w:szCs w:val="32"/>
          <w:lang w:val="en-US" w:eastAsia="zh-CN"/>
        </w:rPr>
      </w:pPr>
    </w:p>
    <w:p>
      <w:pPr>
        <w:pStyle w:val="4"/>
        <w:rPr>
          <w:rFonts w:hint="eastAsia" w:ascii="仿宋" w:hAnsi="仿宋" w:eastAsia="仿宋" w:cs="仿宋"/>
          <w:sz w:val="32"/>
          <w:szCs w:val="32"/>
          <w:lang w:val="en-US" w:eastAsia="zh-CN"/>
        </w:rPr>
      </w:pPr>
    </w:p>
    <w:p>
      <w:pPr>
        <w:pStyle w:val="4"/>
        <w:rPr>
          <w:rFonts w:hint="eastAsia" w:ascii="仿宋" w:hAnsi="仿宋" w:eastAsia="仿宋" w:cs="仿宋"/>
          <w:sz w:val="32"/>
          <w:szCs w:val="32"/>
          <w:lang w:val="en-US" w:eastAsia="zh-CN"/>
        </w:rPr>
      </w:pPr>
    </w:p>
    <w:p>
      <w:pPr>
        <w:pStyle w:val="4"/>
        <w:rPr>
          <w:rFonts w:hint="eastAsia" w:ascii="仿宋" w:hAnsi="仿宋" w:eastAsia="仿宋" w:cs="仿宋"/>
          <w:sz w:val="32"/>
          <w:szCs w:val="32"/>
          <w:lang w:val="en-US" w:eastAsia="zh-CN"/>
        </w:rPr>
      </w:pPr>
    </w:p>
    <w:p>
      <w:pPr>
        <w:pStyle w:val="4"/>
        <w:rPr>
          <w:rFonts w:hint="eastAsia" w:ascii="仿宋" w:hAnsi="仿宋" w:eastAsia="仿宋" w:cs="仿宋"/>
          <w:sz w:val="32"/>
          <w:szCs w:val="32"/>
          <w:lang w:val="en-US" w:eastAsia="zh-CN"/>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both"/>
        <w:textAlignment w:val="auto"/>
        <w:rPr>
          <w:rFonts w:ascii="宋体"/>
          <w:b/>
          <w:sz w:val="44"/>
          <w:szCs w:val="44"/>
        </w:rPr>
      </w:pPr>
      <w:bookmarkStart w:id="85" w:name="_Toc15396614"/>
    </w:p>
    <w:p>
      <w:pPr>
        <w:pStyle w:val="16"/>
        <w:keepNext w:val="0"/>
        <w:keepLines w:val="0"/>
        <w:pageBreakBefore w:val="0"/>
        <w:numPr>
          <w:ilvl w:val="0"/>
          <w:numId w:val="1"/>
        </w:numPr>
        <w:kinsoku/>
        <w:wordWrap/>
        <w:overflowPunct/>
        <w:topLinePunct w:val="0"/>
        <w:autoSpaceDE/>
        <w:autoSpaceDN/>
        <w:bidi w:val="0"/>
        <w:adjustRightInd w:val="0"/>
        <w:snapToGrid w:val="0"/>
        <w:spacing w:line="576" w:lineRule="exact"/>
        <w:ind w:left="0" w:leftChars="0" w:firstLine="0" w:firstLineChars="0"/>
        <w:jc w:val="center"/>
        <w:textAlignment w:val="auto"/>
        <w:outlineLvl w:val="0"/>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bookmarkStart w:id="86" w:name="_Toc32646"/>
      <w:r>
        <w:rPr>
          <w:rFonts w:hint="eastAsia" w:ascii="方正小标宋简体" w:hAnsi="方正小标宋简体" w:eastAsia="方正小标宋简体" w:cs="方正小标宋简体"/>
          <w:sz w:val="44"/>
          <w:szCs w:val="44"/>
          <w:lang w:val="en-US" w:eastAsia="zh-CN"/>
        </w:rPr>
        <w:t>附件</w:t>
      </w:r>
      <w:bookmarkEnd w:id="86"/>
    </w:p>
    <w:p>
      <w:pPr>
        <w:outlineLvl w:val="1"/>
        <w:rPr>
          <w:rFonts w:hint="eastAsia"/>
          <w:lang w:val="en-US" w:eastAsia="zh-CN"/>
        </w:rPr>
      </w:pPr>
      <w:bookmarkStart w:id="87" w:name="_Toc25195"/>
      <w:bookmarkStart w:id="88" w:name="_Toc1054"/>
      <w:r>
        <w:rPr>
          <w:rFonts w:hint="eastAsia" w:ascii="黑体" w:hAnsi="黑体" w:eastAsia="黑体" w:cs="黑体"/>
          <w:sz w:val="32"/>
          <w:szCs w:val="32"/>
        </w:rPr>
        <w:t>附件</w:t>
      </w:r>
      <w:bookmarkEnd w:id="87"/>
      <w:r>
        <w:rPr>
          <w:rFonts w:hint="eastAsia" w:ascii="黑体" w:hAnsi="黑体" w:eastAsia="黑体" w:cs="黑体"/>
          <w:sz w:val="32"/>
          <w:szCs w:val="32"/>
          <w:lang w:val="en-US" w:eastAsia="zh-CN"/>
        </w:rPr>
        <w:t>1</w:t>
      </w:r>
      <w:bookmarkEnd w:id="88"/>
    </w:p>
    <w:tbl>
      <w:tblPr>
        <w:tblStyle w:val="18"/>
        <w:tblW w:w="5644" w:type="pct"/>
        <w:tblInd w:w="-5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03"/>
        <w:gridCol w:w="1098"/>
        <w:gridCol w:w="951"/>
        <w:gridCol w:w="1064"/>
        <w:gridCol w:w="532"/>
        <w:gridCol w:w="893"/>
        <w:gridCol w:w="861"/>
        <w:gridCol w:w="675"/>
        <w:gridCol w:w="300"/>
        <w:gridCol w:w="239"/>
        <w:gridCol w:w="18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39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51082322T000005501809-国有林区病虫防治及松材线虫处置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剑阁县林业局部门</w:t>
            </w:r>
          </w:p>
        </w:tc>
        <w:tc>
          <w:tcPr>
            <w:tcW w:w="356" w:type="pct"/>
            <w:shd w:val="clear" w:color="auto" w:fill="auto"/>
            <w:vAlign w:val="center"/>
          </w:tcPr>
          <w:p>
            <w:pPr>
              <w:keepNext w:val="0"/>
              <w:keepLines w:val="0"/>
              <w:widowControl/>
              <w:suppressLineNumbers w:val="0"/>
              <w:jc w:val="left"/>
              <w:textAlignment w:val="center"/>
              <w:rPr>
                <w:rFonts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剑门关国家森林公园事务中心（剑阁县国有林场）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松材线虫防治及处置</w:t>
            </w:r>
          </w:p>
        </w:tc>
        <w:tc>
          <w:tcPr>
            <w:tcW w:w="1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39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40.13</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19.60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产出指标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数量指标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防治及处置面积</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5000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亩</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质量指标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资金按规定使用率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时效指标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资金及时拨付率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效益指标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生态效益指标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保护生态环境率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满意度指标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服务对象满意度指标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群众满意度</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95</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480" w:type="pct"/>
            <w:shd w:val="clear" w:color="auto" w:fill="auto"/>
            <w:vAlign w:val="center"/>
          </w:tcPr>
          <w:p>
            <w:pPr>
              <w:rPr>
                <w:rFonts w:hint="eastAsia" w:ascii="宋体" w:hAnsi="宋体" w:eastAsia="宋体" w:cs="宋体"/>
                <w:i w:val="0"/>
                <w:color w:val="000000"/>
                <w:sz w:val="18"/>
                <w:szCs w:val="18"/>
                <w:u w:val="none"/>
              </w:rPr>
            </w:pPr>
          </w:p>
        </w:tc>
        <w:tc>
          <w:tcPr>
            <w:tcW w:w="583" w:type="pct"/>
            <w:shd w:val="clear" w:color="auto" w:fill="auto"/>
            <w:vAlign w:val="center"/>
          </w:tcPr>
          <w:p>
            <w:pPr>
              <w:rPr>
                <w:rFonts w:hint="eastAsia" w:ascii="宋体" w:hAnsi="宋体" w:eastAsia="宋体" w:cs="宋体"/>
                <w:i w:val="0"/>
                <w:color w:val="000000"/>
                <w:sz w:val="18"/>
                <w:szCs w:val="18"/>
                <w:u w:val="none"/>
              </w:rPr>
            </w:pPr>
          </w:p>
        </w:tc>
        <w:tc>
          <w:tcPr>
            <w:tcW w:w="506" w:type="pct"/>
            <w:shd w:val="clear" w:color="auto" w:fill="auto"/>
            <w:vAlign w:val="center"/>
          </w:tcPr>
          <w:p>
            <w:pPr>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keepNext w:val="0"/>
              <w:keepLines w:val="0"/>
              <w:pageBreakBefore w:val="0"/>
              <w:widowControl w:val="0"/>
              <w:kinsoku/>
              <w:wordWrap/>
              <w:overflowPunct/>
              <w:topLinePunct w:val="0"/>
              <w:autoSpaceDE/>
              <w:autoSpaceDN/>
              <w:bidi w:val="0"/>
              <w:adjustRightInd/>
              <w:snapToGrid/>
              <w:textAlignment w:val="auto"/>
              <w:outlineLvl w:val="1"/>
              <w:rPr>
                <w:rFonts w:hint="eastAsia" w:ascii="宋体" w:hAnsi="宋体" w:eastAsia="宋体" w:cs="宋体"/>
                <w:i w:val="0"/>
                <w:color w:val="000000"/>
                <w:sz w:val="18"/>
                <w:szCs w:val="18"/>
                <w:u w:val="none"/>
              </w:rPr>
            </w:pPr>
          </w:p>
        </w:tc>
        <w:tc>
          <w:tcPr>
            <w:tcW w:w="566" w:type="pct"/>
            <w:shd w:val="clear" w:color="auto" w:fill="auto"/>
            <w:vAlign w:val="center"/>
          </w:tcPr>
          <w:p>
            <w:pPr>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tc>
        <w:tc>
          <w:tcPr>
            <w:tcW w:w="281" w:type="pct"/>
            <w:shd w:val="clear" w:color="auto" w:fill="auto"/>
            <w:vAlign w:val="center"/>
          </w:tcPr>
          <w:p>
            <w:pPr>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p>
            <w:pPr>
              <w:pStyle w:val="5"/>
              <w:rPr>
                <w:rFonts w:hint="eastAsia" w:ascii="宋体" w:hAnsi="宋体" w:eastAsia="宋体" w:cs="宋体"/>
                <w:i w:val="0"/>
                <w:color w:val="000000"/>
                <w:sz w:val="18"/>
                <w:szCs w:val="18"/>
                <w:u w:val="none"/>
              </w:rPr>
            </w:pPr>
          </w:p>
        </w:tc>
        <w:tc>
          <w:tcPr>
            <w:tcW w:w="475" w:type="pct"/>
            <w:shd w:val="clear" w:color="auto" w:fill="auto"/>
            <w:vAlign w:val="center"/>
          </w:tcPr>
          <w:p>
            <w:pPr>
              <w:rPr>
                <w:rFonts w:hint="eastAsia" w:ascii="宋体" w:hAnsi="宋体" w:eastAsia="宋体" w:cs="宋体"/>
                <w:i w:val="0"/>
                <w:color w:val="000000"/>
                <w:sz w:val="18"/>
                <w:szCs w:val="18"/>
                <w:u w:val="none"/>
              </w:rPr>
            </w:pPr>
          </w:p>
        </w:tc>
        <w:tc>
          <w:tcPr>
            <w:tcW w:w="456" w:type="pct"/>
            <w:shd w:val="clear" w:color="auto" w:fill="auto"/>
            <w:vAlign w:val="center"/>
          </w:tcPr>
          <w:p>
            <w:pPr>
              <w:rPr>
                <w:rFonts w:hint="eastAsia" w:ascii="宋体" w:hAnsi="宋体" w:eastAsia="宋体" w:cs="宋体"/>
                <w:i w:val="0"/>
                <w:color w:val="000000"/>
                <w:sz w:val="18"/>
                <w:szCs w:val="18"/>
                <w:u w:val="none"/>
              </w:rPr>
            </w:pPr>
          </w:p>
        </w:tc>
        <w:tc>
          <w:tcPr>
            <w:tcW w:w="356" w:type="pct"/>
            <w:shd w:val="clear" w:color="auto" w:fill="auto"/>
            <w:vAlign w:val="center"/>
          </w:tcPr>
          <w:p>
            <w:pPr>
              <w:rPr>
                <w:rFonts w:hint="eastAsia" w:ascii="宋体" w:hAnsi="宋体" w:eastAsia="宋体" w:cs="宋体"/>
                <w:i w:val="0"/>
                <w:color w:val="000000"/>
                <w:sz w:val="18"/>
                <w:szCs w:val="18"/>
                <w:u w:val="none"/>
              </w:rPr>
            </w:pPr>
          </w:p>
        </w:tc>
        <w:tc>
          <w:tcPr>
            <w:tcW w:w="159" w:type="pct"/>
            <w:shd w:val="clear" w:color="auto" w:fill="auto"/>
            <w:vAlign w:val="center"/>
          </w:tcPr>
          <w:p>
            <w:pPr>
              <w:rPr>
                <w:rFonts w:hint="eastAsia" w:ascii="宋体" w:hAnsi="宋体" w:eastAsia="宋体" w:cs="宋体"/>
                <w:i w:val="0"/>
                <w:color w:val="000000"/>
                <w:sz w:val="18"/>
                <w:szCs w:val="18"/>
                <w:u w:val="none"/>
              </w:rPr>
            </w:pPr>
          </w:p>
        </w:tc>
        <w:tc>
          <w:tcPr>
            <w:tcW w:w="127" w:type="pct"/>
            <w:shd w:val="clear" w:color="auto" w:fill="auto"/>
            <w:vAlign w:val="center"/>
          </w:tcPr>
          <w:p>
            <w:pPr>
              <w:rPr>
                <w:rFonts w:hint="eastAsia" w:ascii="宋体" w:hAnsi="宋体" w:eastAsia="宋体" w:cs="宋体"/>
                <w:i w:val="0"/>
                <w:color w:val="000000"/>
                <w:sz w:val="18"/>
                <w:szCs w:val="18"/>
                <w:u w:val="none"/>
              </w:rPr>
            </w:pPr>
          </w:p>
        </w:tc>
        <w:tc>
          <w:tcPr>
            <w:tcW w:w="1004" w:type="pct"/>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0" w:hRule="atLeast"/>
        </w:trPr>
        <w:tc>
          <w:tcPr>
            <w:tcW w:w="500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i w:val="0"/>
                <w:color w:val="000000"/>
                <w:sz w:val="30"/>
                <w:szCs w:val="30"/>
                <w:u w:val="none"/>
              </w:rPr>
            </w:pPr>
            <w:r>
              <w:rPr>
                <w:rFonts w:hint="eastAsia" w:ascii="黑体" w:hAnsi="宋体" w:eastAsia="黑体" w:cs="黑体"/>
                <w:b/>
                <w:i w:val="0"/>
                <w:color w:val="000000"/>
                <w:kern w:val="0"/>
                <w:sz w:val="30"/>
                <w:szCs w:val="30"/>
                <w:u w:val="none"/>
                <w:lang w:val="en-US" w:eastAsia="zh-CN" w:bidi="ar"/>
              </w:rPr>
              <w:t>部门预算项目支出绩效自评表（2022年度）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项目名称</w:t>
            </w:r>
          </w:p>
        </w:tc>
        <w:tc>
          <w:tcPr>
            <w:tcW w:w="39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51082322T000007381295-乡村振兴整合项目资金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6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主管部门</w:t>
            </w: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剑阁县林业局部门</w:t>
            </w:r>
          </w:p>
        </w:tc>
        <w:tc>
          <w:tcPr>
            <w:tcW w:w="356" w:type="pct"/>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实施单位 （盖章）</w:t>
            </w:r>
          </w:p>
        </w:tc>
        <w:tc>
          <w:tcPr>
            <w:tcW w:w="129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剑门关国家森林公园事务中心（剑阁县国有林场）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86"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项目基本情况</w:t>
            </w:r>
          </w:p>
        </w:tc>
        <w:tc>
          <w:tcPr>
            <w:tcW w:w="5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1.项目年度目标完成情况</w:t>
            </w: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项目年度目标</w:t>
            </w:r>
          </w:p>
        </w:tc>
        <w:tc>
          <w:tcPr>
            <w:tcW w:w="1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0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64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对照年度目标，说明相关任务目标的完成情况（100字以内）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2.项目实施内容及过程概述</w:t>
            </w:r>
          </w:p>
        </w:tc>
        <w:tc>
          <w:tcPr>
            <w:tcW w:w="3935" w:type="pct"/>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0"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预算执行情况（10分）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年度预算数（万元）</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年初预算</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调整后预算数</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预算执行率</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7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总额</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283.00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20.38</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color w:val="000000"/>
                <w:sz w:val="18"/>
                <w:szCs w:val="18"/>
                <w:u w:val="none"/>
              </w:rPr>
            </w:pPr>
            <w:r>
              <w:rPr>
                <w:rFonts w:hint="eastAsia" w:ascii="黑体" w:hAnsi="黑体" w:eastAsia="黑体" w:cs="黑体"/>
                <w:i/>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其中：财政资金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283.00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20.38</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7.20%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财政专户管理资金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单位资金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0.00%</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其他资金</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21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w:t>
            </w:r>
          </w:p>
        </w:tc>
        <w:tc>
          <w:tcPr>
            <w:tcW w:w="10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黑体" w:hAnsi="黑体" w:eastAsia="黑体" w:cs="黑体"/>
                <w:i/>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0" w:hRule="atLeast"/>
        </w:trPr>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绩效指标（90分）</w:t>
            </w: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一级指标</w:t>
            </w: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二级指标</w:t>
            </w: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三级指标</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指标性质</w:t>
            </w: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指标值</w:t>
            </w: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度量单位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完成值</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权重</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得分</w:t>
            </w: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30" w:hRule="atLeast"/>
        </w:trPr>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8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0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56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微软雅黑" w:hAnsi="微软雅黑" w:eastAsia="微软雅黑" w:cs="微软雅黑"/>
                <w:i/>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3709"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合计</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100</w:t>
            </w:r>
          </w:p>
        </w:tc>
        <w:tc>
          <w:tcPr>
            <w:tcW w:w="12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c>
          <w:tcPr>
            <w:tcW w:w="100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评价结论</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结合自评情况，说明项目自评总分，说明项目实施取得的成效或成果。（200字以内）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存在问题</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结合自评情况，分析存在的问题及原因。（200字以内）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改进措施</w:t>
            </w:r>
          </w:p>
        </w:tc>
        <w:tc>
          <w:tcPr>
            <w:tcW w:w="451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微软雅黑" w:hAnsi="微软雅黑" w:eastAsia="微软雅黑" w:cs="微软雅黑"/>
                <w:i/>
                <w:color w:val="000000"/>
                <w:sz w:val="16"/>
                <w:szCs w:val="16"/>
                <w:u w:val="none"/>
              </w:rPr>
            </w:pPr>
            <w:r>
              <w:rPr>
                <w:rFonts w:hint="eastAsia" w:ascii="微软雅黑" w:hAnsi="微软雅黑" w:eastAsia="微软雅黑" w:cs="微软雅黑"/>
                <w:i/>
                <w:color w:val="000000"/>
                <w:kern w:val="0"/>
                <w:sz w:val="16"/>
                <w:szCs w:val="16"/>
                <w:u w:val="none"/>
                <w:lang w:val="en-US" w:eastAsia="zh-CN" w:bidi="ar"/>
              </w:rPr>
              <w:t>针对项目自评中发现的问题，提出下一步改进完善的意见及有关政策性建议。（200字以内）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241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项目负责人：</w:t>
            </w:r>
          </w:p>
        </w:tc>
        <w:tc>
          <w:tcPr>
            <w:tcW w:w="2580"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18"/>
                <w:szCs w:val="18"/>
                <w:u w:val="none"/>
                <w:lang w:val="en-US" w:eastAsia="zh-CN" w:bidi="ar"/>
              </w:rPr>
              <w:t>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1、报表说明:该报表查询项目信息、绩效目标信息、预算及执行情况，用于预算单位查询导出开展项目自评。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适用地区：全省范围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6" w:hRule="atLeast"/>
        </w:trPr>
        <w:tc>
          <w:tcPr>
            <w:tcW w:w="5000" w:type="pct"/>
            <w:gridSpan w:val="11"/>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适用用户：部门用户、单位用户</w:t>
            </w:r>
          </w:p>
        </w:tc>
      </w:tr>
      <w:bookmarkEnd w:id="84"/>
      <w:bookmarkEnd w:id="85"/>
    </w:tbl>
    <w:p>
      <w:pPr>
        <w:keepNext w:val="0"/>
        <w:keepLines w:val="0"/>
        <w:pageBreakBefore w:val="0"/>
        <w:widowControl w:val="0"/>
        <w:kinsoku/>
        <w:wordWrap/>
        <w:overflowPunct/>
        <w:topLinePunct w:val="0"/>
        <w:autoSpaceDE/>
        <w:autoSpaceDN/>
        <w:bidi w:val="0"/>
        <w:adjustRightInd/>
        <w:snapToGrid/>
        <w:textAlignment w:val="auto"/>
        <w:outlineLvl w:val="1"/>
      </w:pPr>
      <w:bookmarkStart w:id="89" w:name="_Toc21663"/>
      <w:r>
        <w:rPr>
          <w:rFonts w:hint="eastAsia" w:ascii="黑体" w:hAnsi="黑体" w:eastAsia="黑体" w:cs="黑体"/>
          <w:sz w:val="32"/>
          <w:szCs w:val="32"/>
        </w:rPr>
        <w:t>附件</w:t>
      </w:r>
      <w:r>
        <w:rPr>
          <w:rFonts w:hint="eastAsia" w:ascii="黑体" w:hAnsi="黑体" w:eastAsia="黑体" w:cs="黑体"/>
          <w:sz w:val="32"/>
          <w:szCs w:val="32"/>
          <w:lang w:val="en-US" w:eastAsia="zh-CN"/>
        </w:rPr>
        <w:t>2</w:t>
      </w:r>
      <w:bookmarkEnd w:id="89"/>
    </w:p>
    <w:p>
      <w:pPr>
        <w:jc w:val="center"/>
        <w:rPr>
          <w:rFonts w:ascii="宋体" w:hAnsi="宋体" w:eastAsia="宋体" w:cs="宋体"/>
          <w:b/>
          <w:sz w:val="36"/>
          <w:szCs w:val="44"/>
        </w:rPr>
      </w:pPr>
      <w:r>
        <w:rPr>
          <w:rFonts w:hint="eastAsia" w:ascii="Arial" w:hAnsi="Arial" w:eastAsia="宋体" w:cs="Arial"/>
          <w:b/>
          <w:sz w:val="36"/>
          <w:szCs w:val="44"/>
        </w:rPr>
        <w:t>中央财政林业草原改革发展专项资金（第三批）</w:t>
      </w:r>
      <w:r>
        <w:rPr>
          <w:rFonts w:hint="eastAsia" w:ascii="宋体" w:hAnsi="宋体" w:eastAsia="宋体" w:cs="宋体"/>
          <w:b/>
          <w:sz w:val="36"/>
          <w:szCs w:val="44"/>
        </w:rPr>
        <w:t>转移支付剑阁县国有林场2022年度松材线虫病治理项目绩效自评报告</w:t>
      </w:r>
    </w:p>
    <w:p>
      <w:pPr>
        <w:jc w:val="center"/>
        <w:rPr>
          <w:rFonts w:ascii="仿宋_GB2312"/>
          <w:szCs w:val="32"/>
        </w:rPr>
      </w:pPr>
    </w:p>
    <w:p>
      <w:pPr>
        <w:ind w:firstLine="640" w:firstLineChars="200"/>
        <w:rPr>
          <w:rFonts w:hint="eastAsia" w:ascii="黑体" w:hAnsi="黑体" w:eastAsia="黑体" w:cs="黑体"/>
          <w:bCs/>
          <w:sz w:val="32"/>
          <w:szCs w:val="32"/>
        </w:rPr>
      </w:pPr>
      <w:r>
        <w:rPr>
          <w:rFonts w:hint="eastAsia" w:ascii="黑体" w:hAnsi="黑体" w:eastAsia="黑体" w:cs="黑体"/>
          <w:bCs/>
          <w:sz w:val="32"/>
          <w:szCs w:val="32"/>
        </w:rPr>
        <w:t>一、基本情况</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（一）转移支付概况。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根据《四川省财政厅四川省林业和草原局关于下达2022年中央财政林业草原改革发展专项资金（第三批）预算的通知》川财资环〔2022〕66号文件，</w:t>
      </w:r>
      <w:r>
        <w:rPr>
          <w:rFonts w:hint="eastAsia" w:ascii="仿宋" w:hAnsi="仿宋" w:eastAsia="仿宋" w:cs="仿宋"/>
          <w:sz w:val="32"/>
          <w:szCs w:val="32"/>
          <w:lang w:val="en-US" w:eastAsia="zh-CN"/>
        </w:rPr>
        <w:t>2022</w:t>
      </w:r>
      <w:r>
        <w:rPr>
          <w:rFonts w:hint="eastAsia" w:ascii="仿宋" w:hAnsi="仿宋" w:eastAsia="仿宋" w:cs="仿宋"/>
          <w:sz w:val="32"/>
          <w:szCs w:val="32"/>
          <w:lang w:val="zh-CN"/>
        </w:rPr>
        <w:t>年度，剑门关国家森林公园事务中心（剑阁县国有林场）转移支付松材线虫资金</w:t>
      </w:r>
      <w:r>
        <w:rPr>
          <w:rFonts w:hint="eastAsia" w:ascii="仿宋" w:hAnsi="仿宋" w:eastAsia="仿宋" w:cs="仿宋"/>
          <w:sz w:val="32"/>
          <w:szCs w:val="32"/>
          <w:lang w:val="en-US" w:eastAsia="zh-CN"/>
        </w:rPr>
        <w:t>120万元</w:t>
      </w:r>
      <w:r>
        <w:rPr>
          <w:rFonts w:hint="eastAsia" w:ascii="仿宋" w:hAnsi="仿宋" w:eastAsia="仿宋" w:cs="仿宋"/>
          <w:sz w:val="32"/>
          <w:szCs w:val="32"/>
          <w:lang w:val="zh-CN" w:eastAsia="zh-CN"/>
        </w:rPr>
        <w:t>。</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（二）整体绩效目标情况。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全面完成剑阁县国有林场</w:t>
      </w:r>
      <w:r>
        <w:rPr>
          <w:rFonts w:hint="eastAsia" w:ascii="仿宋" w:hAnsi="仿宋" w:eastAsia="仿宋" w:cs="仿宋"/>
          <w:sz w:val="32"/>
          <w:szCs w:val="32"/>
          <w:lang w:val="en-US" w:eastAsia="zh-CN"/>
        </w:rPr>
        <w:t>2022年度</w:t>
      </w:r>
      <w:r>
        <w:rPr>
          <w:rFonts w:hint="eastAsia" w:ascii="仿宋" w:hAnsi="仿宋" w:eastAsia="仿宋" w:cs="仿宋"/>
          <w:sz w:val="32"/>
          <w:szCs w:val="32"/>
          <w:lang w:eastAsia="zh-CN"/>
        </w:rPr>
        <w:t>松材线虫病疫木除治处置作业任务。</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rPr>
      </w:pPr>
      <w:r>
        <w:rPr>
          <w:rFonts w:hint="eastAsia" w:ascii="仿宋" w:hAnsi="仿宋" w:eastAsia="仿宋" w:cs="仿宋"/>
          <w:b/>
          <w:bCs/>
          <w:sz w:val="32"/>
          <w:szCs w:val="32"/>
        </w:rPr>
        <w:t>（三）区域绩效目标情况。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zh-CN" w:eastAsia="zh-CN"/>
        </w:rPr>
        <w:t>完成松材线虫病疫木处置面积</w:t>
      </w:r>
      <w:r>
        <w:rPr>
          <w:rFonts w:hint="eastAsia" w:ascii="仿宋" w:hAnsi="仿宋" w:eastAsia="仿宋" w:cs="仿宋"/>
          <w:sz w:val="32"/>
          <w:szCs w:val="32"/>
          <w:lang w:val="en-US" w:eastAsia="zh-CN"/>
        </w:rPr>
        <w:t>6000亩。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二、综合评价结论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全面完成目标作业任务，自评得分</w:t>
      </w:r>
      <w:r>
        <w:rPr>
          <w:rFonts w:hint="eastAsia" w:ascii="仿宋" w:hAnsi="仿宋" w:eastAsia="仿宋" w:cs="仿宋"/>
          <w:sz w:val="32"/>
          <w:szCs w:val="32"/>
          <w:lang w:val="en-US" w:eastAsia="zh-CN"/>
        </w:rPr>
        <w:t>95分</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三、绩效情况分析</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（一）资金情况分析。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sz w:val="32"/>
          <w:szCs w:val="32"/>
          <w:lang w:eastAsia="zh-CN"/>
        </w:rPr>
        <w:t>已完成资金支付</w:t>
      </w:r>
      <w:r>
        <w:rPr>
          <w:rFonts w:hint="eastAsia" w:ascii="仿宋" w:hAnsi="仿宋" w:eastAsia="仿宋" w:cs="仿宋"/>
          <w:sz w:val="32"/>
          <w:szCs w:val="32"/>
          <w:lang w:val="en-US" w:eastAsia="zh-CN"/>
        </w:rPr>
        <w:t>14.1万元，资金使用率为12%，主要原因是县财政资金下达不及时。</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（二）资金管理情况分析。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按照中央财政林业改革发展资金管理办法，加强了绩效目标申报、监控和自评，坚持专款专用，强化会计核算，严格规范</w:t>
      </w:r>
      <w:r>
        <w:rPr>
          <w:rFonts w:hint="eastAsia" w:ascii="仿宋" w:hAnsi="仿宋" w:eastAsia="仿宋" w:cs="仿宋"/>
          <w:sz w:val="32"/>
          <w:szCs w:val="32"/>
        </w:rPr>
        <w:t>管理。</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（三）总体目标完成情况分析。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目标任务完成率100%。</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（四）绩效指标完成情况分析。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1.数量指标：松材线虫病疫木作业面积6000亩，完成率100%。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2.质量指标：正在组织实施作业验收，计划4月30日前全面完成作业区验收工作。</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3时效指标：项目到期完成率100%。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4.成本指标。项目总投资≤120万元。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5.社会效益指标。为当地村民就近就地提供了≥50工作岗位，增加了当地村民收入。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6.可持续影响指标。松材线虫病疫木的除治处置，精准地清除了林分内的松材线虫病疫木载体，林分卫生状况得到明显改善，确保了森林可持续健康生长。</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7.服务对象满意度指标。受益群众满意度90%。</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四、发现的主要问题和改进措施</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zh-CN" w:eastAsia="zh-CN"/>
        </w:rPr>
        <w:t>主要问题。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w:t>
      </w:r>
      <w:r>
        <w:rPr>
          <w:rFonts w:hint="eastAsia" w:ascii="仿宋" w:hAnsi="仿宋" w:eastAsia="仿宋" w:cs="仿宋"/>
          <w:sz w:val="32"/>
          <w:szCs w:val="32"/>
          <w:lang w:val="en-US" w:eastAsia="zh-CN"/>
        </w:rPr>
        <w:t>是县财政在资金支付上下达不及时；二是作业验收工作滞后。</w:t>
      </w:r>
    </w:p>
    <w:p>
      <w:pPr>
        <w:keepNext w:val="0"/>
        <w:keepLines w:val="0"/>
        <w:pageBreakBefore w:val="0"/>
        <w:widowControl w:val="0"/>
        <w:numPr>
          <w:ilvl w:val="0"/>
          <w:numId w:val="2"/>
        </w:numPr>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一是积极争取县财政的支持，及时下达资金支付指标，确保</w:t>
      </w:r>
      <w:r>
        <w:rPr>
          <w:rFonts w:hint="eastAsia" w:ascii="仿宋" w:hAnsi="仿宋" w:eastAsia="仿宋" w:cs="仿宋"/>
          <w:sz w:val="32"/>
          <w:szCs w:val="32"/>
          <w:lang w:val="en-US" w:eastAsia="zh-CN"/>
        </w:rPr>
        <w:t>资金支付率100%</w:t>
      </w:r>
      <w:r>
        <w:rPr>
          <w:rFonts w:hint="eastAsia" w:ascii="仿宋" w:hAnsi="仿宋" w:eastAsia="仿宋" w:cs="仿宋"/>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绩效自评结果应用于项目建设进度、质量、费用和安全控制，确保进度合理、质量合格、费用可控、安全高效</w:t>
      </w:r>
      <w:r>
        <w:rPr>
          <w:rFonts w:hint="eastAsia" w:ascii="仿宋" w:hAnsi="仿宋" w:eastAsia="仿宋" w:cs="仿宋"/>
          <w:sz w:val="32"/>
          <w:szCs w:val="32"/>
        </w:rPr>
        <w:t>。</w:t>
      </w:r>
      <w:r>
        <w:rPr>
          <w:rFonts w:hint="eastAsia" w:ascii="仿宋" w:hAnsi="仿宋" w:eastAsia="仿宋" w:cs="仿宋"/>
          <w:sz w:val="32"/>
          <w:szCs w:val="32"/>
          <w:lang w:eastAsia="zh-CN"/>
        </w:rPr>
        <w:t>绩效自评结果已公开。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六、绩效自评工作开展情况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全面完成作业区松材线虫病疫木除治处置作业任务，严格按照松材线虫病疫木除治处置技术规范要求对每一株松材线虫病疫木载体实施处置，作业规范，清除到位，处置到位，质量合格。</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七、其他需要说明的问题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5"/>
        <w:rPr>
          <w:rFonts w:hint="eastAsia" w:ascii="仿宋" w:hAnsi="仿宋" w:eastAsia="仿宋" w:cs="仿宋"/>
          <w:sz w:val="32"/>
          <w:szCs w:val="32"/>
        </w:rPr>
      </w:pPr>
    </w:p>
    <w:p>
      <w:pPr>
        <w:pStyle w:val="15"/>
        <w:keepNext w:val="0"/>
        <w:keepLines w:val="0"/>
        <w:pageBreakBefore w:val="0"/>
        <w:kinsoku/>
        <w:wordWrap/>
        <w:overflowPunct/>
        <w:topLinePunct w:val="0"/>
        <w:autoSpaceDE/>
        <w:autoSpaceDN/>
        <w:bidi w:val="0"/>
        <w:ind w:left="0" w:leftChars="0" w:firstLine="0" w:firstLineChars="0"/>
        <w:textAlignment w:val="auto"/>
        <w:outlineLvl w:val="9"/>
        <w:rPr>
          <w:rFonts w:hint="eastAsia"/>
        </w:rPr>
      </w:pPr>
    </w:p>
    <w:p>
      <w:pPr>
        <w:rPr>
          <w:rFonts w:hint="eastAsia"/>
        </w:rPr>
      </w:pPr>
    </w:p>
    <w:p>
      <w:pPr>
        <w:outlineLvl w:val="1"/>
        <w:rPr>
          <w:rFonts w:hint="default"/>
          <w:lang w:val="en-US"/>
        </w:rPr>
      </w:pPr>
      <w:bookmarkStart w:id="90" w:name="_Toc2668"/>
      <w:r>
        <w:rPr>
          <w:rFonts w:hint="eastAsia" w:ascii="黑体" w:hAnsi="黑体" w:eastAsia="黑体" w:cs="黑体"/>
          <w:sz w:val="32"/>
          <w:szCs w:val="32"/>
        </w:rPr>
        <w:t>附件</w:t>
      </w:r>
      <w:r>
        <w:rPr>
          <w:rFonts w:hint="eastAsia" w:ascii="黑体" w:hAnsi="黑体" w:eastAsia="黑体" w:cs="黑体"/>
          <w:sz w:val="32"/>
          <w:szCs w:val="32"/>
          <w:lang w:val="en-US" w:eastAsia="zh-CN"/>
        </w:rPr>
        <w:t>3</w:t>
      </w:r>
      <w:bookmarkEnd w:id="90"/>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宋体" w:hAnsi="宋体" w:eastAsia="宋体" w:cs="宋体"/>
          <w:b/>
          <w:sz w:val="36"/>
          <w:szCs w:val="44"/>
        </w:rPr>
      </w:pPr>
      <w:r>
        <w:rPr>
          <w:rFonts w:hint="eastAsia" w:ascii="Arial" w:hAnsi="Arial" w:eastAsia="宋体" w:cs="Arial"/>
          <w:b/>
          <w:sz w:val="36"/>
          <w:szCs w:val="44"/>
        </w:rPr>
        <w:t>中央财政林业草原改革发展专项资金（第三批）</w:t>
      </w:r>
      <w:r>
        <w:rPr>
          <w:rFonts w:hint="eastAsia" w:ascii="宋体" w:hAnsi="宋体" w:eastAsia="宋体" w:cs="宋体"/>
          <w:b/>
          <w:sz w:val="36"/>
          <w:szCs w:val="44"/>
        </w:rPr>
        <w:t>转移支付</w:t>
      </w:r>
      <w:r>
        <w:rPr>
          <w:rFonts w:hint="eastAsia" w:ascii="宋体" w:hAnsi="宋体" w:eastAsia="宋体" w:cs="宋体"/>
          <w:b/>
          <w:sz w:val="36"/>
          <w:szCs w:val="44"/>
          <w:lang w:val="en-US" w:eastAsia="zh-CN"/>
        </w:rPr>
        <w:t>2022年度剑阁县国有林场油茶保障性苗圃项目</w:t>
      </w:r>
      <w:r>
        <w:rPr>
          <w:rFonts w:hint="eastAsia" w:ascii="宋体" w:hAnsi="宋体" w:eastAsia="宋体" w:cs="宋体"/>
          <w:b/>
          <w:sz w:val="36"/>
          <w:szCs w:val="44"/>
        </w:rPr>
        <w:t>绩效自评报告</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ascii="仿宋_GB231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rPr>
      </w:pPr>
      <w:r>
        <w:rPr>
          <w:rFonts w:hint="eastAsia" w:ascii="黑体" w:hAnsi="黑体" w:eastAsia="黑体" w:cs="黑体"/>
          <w:bCs/>
          <w:sz w:val="32"/>
          <w:szCs w:val="32"/>
        </w:rPr>
        <w:t>一、基本情况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（一）转移支付概况。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lang w:val="zh-CN"/>
        </w:rPr>
        <w:t>根据《四川省财政厅四川省林业和草原局关于下达2022年中央财政林业草原改革发展专项资金（第三批）预算的通知》川财资环〔2022〕66号文件，</w:t>
      </w:r>
      <w:r>
        <w:rPr>
          <w:rFonts w:hint="eastAsia" w:ascii="仿宋" w:hAnsi="仿宋" w:eastAsia="仿宋" w:cs="仿宋"/>
          <w:sz w:val="32"/>
          <w:szCs w:val="32"/>
          <w:lang w:val="en-US" w:eastAsia="zh-CN"/>
        </w:rPr>
        <w:t>2022</w:t>
      </w:r>
      <w:r>
        <w:rPr>
          <w:rFonts w:hint="eastAsia" w:ascii="仿宋" w:hAnsi="仿宋" w:eastAsia="仿宋" w:cs="仿宋"/>
          <w:sz w:val="32"/>
          <w:szCs w:val="32"/>
          <w:lang w:val="zh-CN"/>
        </w:rPr>
        <w:t>年度，剑门关国家森林公园事务中心（剑阁县国有林场）转移支付林木良种培育资金</w:t>
      </w:r>
      <w:r>
        <w:rPr>
          <w:rFonts w:hint="eastAsia" w:ascii="仿宋" w:hAnsi="仿宋" w:eastAsia="仿宋" w:cs="仿宋"/>
          <w:sz w:val="32"/>
          <w:szCs w:val="32"/>
          <w:lang w:val="en-US" w:eastAsia="zh-CN"/>
        </w:rPr>
        <w:t>150万元</w:t>
      </w:r>
      <w:r>
        <w:rPr>
          <w:rFonts w:hint="eastAsia" w:ascii="仿宋" w:hAnsi="仿宋" w:eastAsia="仿宋" w:cs="仿宋"/>
          <w:sz w:val="32"/>
          <w:szCs w:val="32"/>
          <w:lang w:val="zh-CN" w:eastAsia="zh-CN"/>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（二）整体绩效目标情况。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根据《四川省林业和草原局关于做好油茶良种穗条和苗木生产供应的通知》（川林场</w:t>
      </w:r>
      <w:r>
        <w:rPr>
          <w:rFonts w:hint="eastAsia" w:ascii="仿宋" w:hAnsi="仿宋" w:eastAsia="仿宋" w:cs="仿宋"/>
          <w:sz w:val="32"/>
          <w:szCs w:val="32"/>
          <w:lang w:val="zh-CN"/>
        </w:rPr>
        <w:t>〔2022〕</w:t>
      </w:r>
      <w:r>
        <w:rPr>
          <w:rFonts w:hint="eastAsia" w:ascii="仿宋" w:hAnsi="仿宋" w:eastAsia="仿宋" w:cs="仿宋"/>
          <w:sz w:val="32"/>
          <w:szCs w:val="32"/>
          <w:lang w:val="en-US" w:eastAsia="zh-CN"/>
        </w:rPr>
        <w:t>863号</w:t>
      </w:r>
      <w:r>
        <w:rPr>
          <w:rFonts w:hint="eastAsia" w:ascii="仿宋" w:hAnsi="仿宋" w:eastAsia="仿宋" w:cs="仿宋"/>
          <w:sz w:val="32"/>
          <w:szCs w:val="32"/>
          <w:lang w:eastAsia="zh-CN"/>
        </w:rPr>
        <w:t>）要求，剑阁县国有林场新建油茶保障性苗圃为</w:t>
      </w:r>
      <w:r>
        <w:rPr>
          <w:rFonts w:hint="eastAsia" w:ascii="仿宋" w:hAnsi="仿宋" w:eastAsia="仿宋" w:cs="仿宋"/>
          <w:sz w:val="32"/>
          <w:szCs w:val="32"/>
          <w:lang w:val="en-US" w:eastAsia="zh-CN"/>
        </w:rPr>
        <w:t>100亩。</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rPr>
      </w:pPr>
      <w:r>
        <w:rPr>
          <w:rFonts w:hint="eastAsia" w:ascii="仿宋" w:hAnsi="仿宋" w:eastAsia="仿宋" w:cs="仿宋"/>
          <w:sz w:val="32"/>
          <w:szCs w:val="32"/>
        </w:rPr>
        <w:t>（三）区域绩效目标情况。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剑阁县国有林场新建</w:t>
      </w:r>
      <w:r>
        <w:rPr>
          <w:rFonts w:hint="eastAsia" w:ascii="仿宋" w:hAnsi="仿宋" w:eastAsia="仿宋" w:cs="仿宋"/>
          <w:sz w:val="32"/>
          <w:szCs w:val="32"/>
          <w:lang w:val="en-US" w:eastAsia="zh-CN"/>
        </w:rPr>
        <w:t>100亩</w:t>
      </w:r>
      <w:r>
        <w:rPr>
          <w:rFonts w:hint="eastAsia" w:ascii="仿宋" w:hAnsi="仿宋" w:eastAsia="仿宋" w:cs="仿宋"/>
          <w:sz w:val="32"/>
          <w:szCs w:val="32"/>
          <w:lang w:eastAsia="zh-CN"/>
        </w:rPr>
        <w:t>油茶保障性苗圃基地，分两期两个基地实施，现已完成一期基地</w:t>
      </w:r>
      <w:r>
        <w:rPr>
          <w:rFonts w:hint="eastAsia" w:ascii="仿宋" w:hAnsi="仿宋" w:eastAsia="仿宋" w:cs="仿宋"/>
          <w:sz w:val="32"/>
          <w:szCs w:val="32"/>
          <w:lang w:val="en-US" w:eastAsia="zh-CN"/>
        </w:rPr>
        <w:t>30亩基地的施工作业任务，且苗木生产培育已基本完成，预计本月底可完成一期基地120万株油茶苗木的栽植培育；二期基地</w:t>
      </w:r>
      <w:r>
        <w:rPr>
          <w:rFonts w:hint="eastAsia" w:ascii="仿宋" w:hAnsi="仿宋" w:eastAsia="仿宋" w:cs="仿宋"/>
          <w:sz w:val="32"/>
          <w:szCs w:val="32"/>
        </w:rPr>
        <w:t>计划在6月底全面完成各项建设任务，确保在9月份完成杯苗培育320万株。</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二、综合评价结论</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按期完成</w:t>
      </w:r>
      <w:r>
        <w:rPr>
          <w:rFonts w:hint="eastAsia" w:ascii="仿宋" w:hAnsi="仿宋" w:eastAsia="仿宋" w:cs="仿宋"/>
          <w:sz w:val="32"/>
          <w:szCs w:val="32"/>
          <w:lang w:val="en-US" w:eastAsia="zh-CN"/>
        </w:rPr>
        <w:t>100亩</w:t>
      </w:r>
      <w:r>
        <w:rPr>
          <w:rFonts w:hint="eastAsia" w:ascii="仿宋" w:hAnsi="仿宋" w:eastAsia="仿宋" w:cs="仿宋"/>
          <w:sz w:val="32"/>
          <w:szCs w:val="32"/>
          <w:lang w:eastAsia="zh-CN"/>
        </w:rPr>
        <w:t>油茶保障性苗圃建设，自评得分</w:t>
      </w:r>
      <w:r>
        <w:rPr>
          <w:rFonts w:hint="eastAsia" w:ascii="仿宋" w:hAnsi="仿宋" w:eastAsia="仿宋" w:cs="仿宋"/>
          <w:sz w:val="32"/>
          <w:szCs w:val="32"/>
          <w:lang w:val="en-US" w:eastAsia="zh-CN"/>
        </w:rPr>
        <w:t>95分。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三、绩效情况分析</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highlight w:val="none"/>
          <w:lang w:eastAsia="zh-CN"/>
        </w:rPr>
      </w:pPr>
      <w:r>
        <w:rPr>
          <w:rFonts w:hint="eastAsia" w:ascii="仿宋" w:hAnsi="仿宋" w:eastAsia="仿宋" w:cs="仿宋"/>
          <w:b/>
          <w:bCs/>
          <w:sz w:val="32"/>
          <w:szCs w:val="32"/>
          <w:highlight w:val="none"/>
          <w:lang w:eastAsia="zh-CN"/>
        </w:rPr>
        <w:t>（一）资金情况分析。</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b/>
          <w:bCs/>
          <w:sz w:val="32"/>
          <w:szCs w:val="32"/>
          <w:highlight w:val="none"/>
          <w:lang w:val="en-US" w:eastAsia="zh-CN"/>
        </w:rPr>
      </w:pPr>
      <w:r>
        <w:rPr>
          <w:rFonts w:hint="eastAsia" w:ascii="仿宋" w:hAnsi="仿宋" w:eastAsia="仿宋" w:cs="仿宋"/>
          <w:sz w:val="32"/>
          <w:szCs w:val="32"/>
          <w:lang w:eastAsia="zh-CN"/>
        </w:rPr>
        <w:t>完成资金支付</w:t>
      </w:r>
      <w:r>
        <w:rPr>
          <w:rFonts w:hint="eastAsia" w:ascii="仿宋" w:hAnsi="仿宋" w:eastAsia="仿宋" w:cs="仿宋"/>
          <w:sz w:val="32"/>
          <w:szCs w:val="32"/>
          <w:lang w:val="en-US" w:eastAsia="zh-CN"/>
        </w:rPr>
        <w:t>20万元，资金使用支付率13.3%，主要原因是县财政资金下达不及时。</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（二）资金管理情况分析。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sz w:val="32"/>
          <w:szCs w:val="32"/>
          <w:lang w:val="en-US" w:eastAsia="zh-CN"/>
        </w:rPr>
        <w:t>按照中央财政林业改革发展资金管理办法，加强了绩效目标申报、监控和自评，坚持专款专用，强化会计核算，严格规范</w:t>
      </w:r>
      <w:r>
        <w:rPr>
          <w:rFonts w:hint="eastAsia" w:ascii="仿宋" w:hAnsi="仿宋" w:eastAsia="仿宋" w:cs="仿宋"/>
          <w:sz w:val="32"/>
          <w:szCs w:val="32"/>
        </w:rPr>
        <w:t>管理。</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eastAsia="zh-CN"/>
        </w:rPr>
      </w:pPr>
      <w:r>
        <w:rPr>
          <w:rFonts w:hint="eastAsia" w:ascii="仿宋" w:hAnsi="仿宋" w:eastAsia="仿宋" w:cs="仿宋"/>
          <w:b/>
          <w:bCs/>
          <w:sz w:val="32"/>
          <w:szCs w:val="32"/>
          <w:lang w:eastAsia="zh-CN"/>
        </w:rPr>
        <w:t>（三）总体目标完成情况分析。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目标任务完成率30%。</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sz w:val="32"/>
          <w:szCs w:val="32"/>
          <w:lang w:eastAsia="zh-CN"/>
        </w:rPr>
      </w:pPr>
      <w:r>
        <w:rPr>
          <w:rFonts w:hint="eastAsia" w:ascii="仿宋" w:hAnsi="仿宋" w:eastAsia="仿宋" w:cs="仿宋"/>
          <w:b/>
          <w:bCs/>
          <w:sz w:val="32"/>
          <w:szCs w:val="32"/>
          <w:lang w:eastAsia="zh-CN"/>
        </w:rPr>
        <w:t>（四）绩效指标完成情况分析。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1.数量指标：新建油茶保障性苗圃100亩，完成率100%。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2.质量指标：计划6月全面完成油茶保障性苗圃100亩建设任务。</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3时效指标：项目到期完成率100%。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4.成本指标。项目总投资≤150万元。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5.社会效益指标。可提供就业工作岗位（个）≥10。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6.可持续影响指标。项目发挥作用年限≥10。</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7.服务对象满意度指标。受益群众满意度90%。</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四、发现的主要问题和改进措施</w:t>
      </w:r>
    </w:p>
    <w:p>
      <w:pPr>
        <w:keepNext w:val="0"/>
        <w:keepLines w:val="0"/>
        <w:pageBreakBefore w:val="0"/>
        <w:widowControl w:val="0"/>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en-US" w:eastAsia="zh-CN"/>
        </w:rPr>
        <w:t>（一）</w:t>
      </w:r>
      <w:r>
        <w:rPr>
          <w:rFonts w:hint="eastAsia" w:ascii="仿宋" w:hAnsi="仿宋" w:eastAsia="仿宋" w:cs="仿宋"/>
          <w:b/>
          <w:bCs/>
          <w:sz w:val="32"/>
          <w:szCs w:val="32"/>
          <w:lang w:val="zh-CN" w:eastAsia="zh-CN"/>
        </w:rPr>
        <w:t>主要问题。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w:t>
      </w:r>
      <w:r>
        <w:rPr>
          <w:rFonts w:hint="eastAsia" w:ascii="仿宋" w:hAnsi="仿宋" w:eastAsia="仿宋" w:cs="仿宋"/>
          <w:sz w:val="32"/>
          <w:szCs w:val="32"/>
          <w:lang w:val="en-US" w:eastAsia="zh-CN"/>
        </w:rPr>
        <w:t>是县财政在资金支付上下达不及时；二是作业验收工作滞后。</w:t>
      </w:r>
    </w:p>
    <w:p>
      <w:pPr>
        <w:keepNext w:val="0"/>
        <w:keepLines w:val="0"/>
        <w:pageBreakBefore w:val="0"/>
        <w:widowControl w:val="0"/>
        <w:numPr>
          <w:ilvl w:val="0"/>
          <w:numId w:val="2"/>
        </w:numPr>
        <w:kinsoku/>
        <w:wordWrap/>
        <w:overflowPunct/>
        <w:topLinePunct w:val="0"/>
        <w:autoSpaceDE/>
        <w:autoSpaceDN/>
        <w:bidi w:val="0"/>
        <w:adjustRightInd/>
        <w:snapToGrid/>
        <w:ind w:firstLine="642" w:firstLineChars="200"/>
        <w:textAlignment w:val="auto"/>
        <w:outlineLvl w:val="9"/>
        <w:rPr>
          <w:rFonts w:hint="eastAsia" w:ascii="仿宋" w:hAnsi="仿宋" w:eastAsia="仿宋" w:cs="仿宋"/>
          <w:b/>
          <w:bCs/>
          <w:sz w:val="32"/>
          <w:szCs w:val="32"/>
          <w:lang w:val="zh-CN" w:eastAsia="zh-CN"/>
        </w:rPr>
      </w:pPr>
      <w:r>
        <w:rPr>
          <w:rFonts w:hint="eastAsia" w:ascii="仿宋" w:hAnsi="仿宋" w:eastAsia="仿宋" w:cs="仿宋"/>
          <w:b/>
          <w:bCs/>
          <w:sz w:val="32"/>
          <w:szCs w:val="32"/>
          <w:lang w:val="zh-CN" w:eastAsia="zh-CN"/>
        </w:rPr>
        <w:t>改进措施。</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kern w:val="2"/>
          <w:sz w:val="32"/>
          <w:szCs w:val="32"/>
          <w:lang w:val="zh-CN" w:eastAsia="zh-CN" w:bidi="ar-SA"/>
        </w:rPr>
      </w:pPr>
      <w:r>
        <w:rPr>
          <w:rFonts w:hint="eastAsia" w:ascii="仿宋" w:hAnsi="仿宋" w:eastAsia="仿宋" w:cs="仿宋"/>
          <w:kern w:val="2"/>
          <w:sz w:val="32"/>
          <w:szCs w:val="32"/>
          <w:lang w:val="zh-CN" w:eastAsia="zh-CN" w:bidi="ar-SA"/>
        </w:rPr>
        <w:t>一是积极争取县财政的支持，及时下达资金支付指标，确保</w:t>
      </w:r>
      <w:r>
        <w:rPr>
          <w:rFonts w:hint="eastAsia" w:ascii="仿宋" w:hAnsi="仿宋" w:eastAsia="仿宋" w:cs="仿宋"/>
          <w:sz w:val="32"/>
          <w:szCs w:val="32"/>
          <w:lang w:val="en-US" w:eastAsia="zh-CN"/>
        </w:rPr>
        <w:t>资金支付率100%</w:t>
      </w:r>
      <w:r>
        <w:rPr>
          <w:rFonts w:hint="eastAsia" w:ascii="仿宋" w:hAnsi="仿宋" w:eastAsia="仿宋" w:cs="仿宋"/>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五、绩效自评结果拟应用和公开情况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eastAsia="zh-CN"/>
        </w:rPr>
        <w:t>绩效自评结果应用于项目建设进度、质量、费用和安全控制，确保进度合理、质量合格、费用可控、安全高效</w:t>
      </w:r>
      <w:r>
        <w:rPr>
          <w:rFonts w:hint="eastAsia" w:ascii="仿宋" w:hAnsi="仿宋" w:eastAsia="仿宋" w:cs="仿宋"/>
          <w:sz w:val="32"/>
          <w:szCs w:val="32"/>
        </w:rPr>
        <w:t>。</w:t>
      </w:r>
      <w:r>
        <w:rPr>
          <w:rFonts w:hint="eastAsia" w:ascii="仿宋" w:hAnsi="仿宋" w:eastAsia="仿宋" w:cs="仿宋"/>
          <w:sz w:val="32"/>
          <w:szCs w:val="32"/>
          <w:lang w:eastAsia="zh-CN"/>
        </w:rPr>
        <w:t>绩效自评结果已公开。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六、绩效自评工作开展情况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因地制宜，科学规划，严格施工作业，多方想法，及时解决因天旱水源缺乏的现实问题，确保油茶保障性苗圃基地建设达标，保证油茶苗木培育生产需要。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黑体" w:hAnsi="黑体" w:eastAsia="黑体" w:cs="黑体"/>
          <w:bCs/>
          <w:sz w:val="32"/>
          <w:szCs w:val="32"/>
          <w:lang w:eastAsia="zh-CN"/>
        </w:rPr>
      </w:pPr>
      <w:r>
        <w:rPr>
          <w:rFonts w:hint="eastAsia" w:ascii="黑体" w:hAnsi="黑体" w:eastAsia="黑体" w:cs="黑体"/>
          <w:bCs/>
          <w:sz w:val="32"/>
          <w:szCs w:val="32"/>
          <w:lang w:eastAsia="zh-CN"/>
        </w:rPr>
        <w:t>七、其他需要说明的问题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 w:hAnsi="仿宋" w:eastAsia="仿宋" w:cs="仿宋"/>
          <w:sz w:val="32"/>
          <w:szCs w:val="32"/>
          <w:lang w:eastAsia="zh-CN"/>
        </w:rPr>
      </w:pPr>
      <w:r>
        <w:rPr>
          <w:rFonts w:hint="eastAsia" w:ascii="仿宋" w:hAnsi="仿宋" w:eastAsia="仿宋" w:cs="仿宋"/>
          <w:sz w:val="32"/>
          <w:szCs w:val="32"/>
          <w:lang w:eastAsia="zh-CN"/>
        </w:rPr>
        <w:t>无。</w:t>
      </w:r>
    </w:p>
    <w:p>
      <w:pPr>
        <w:rPr>
          <w:rFonts w:hint="eastAsia" w:ascii="黑体" w:hAnsi="黑体" w:eastAsia="黑体" w:cs="黑体"/>
          <w:sz w:val="32"/>
          <w:szCs w:val="32"/>
        </w:rPr>
      </w:pPr>
    </w:p>
    <w:p>
      <w:pPr>
        <w:pStyle w:val="5"/>
        <w:rPr>
          <w:rFonts w:hint="eastAsia" w:ascii="黑体" w:hAnsi="黑体" w:eastAsia="黑体" w:cs="黑体"/>
          <w:sz w:val="32"/>
          <w:szCs w:val="32"/>
        </w:rPr>
      </w:pPr>
    </w:p>
    <w:p>
      <w:pPr>
        <w:pStyle w:val="5"/>
        <w:rPr>
          <w:rFonts w:hint="eastAsia" w:ascii="黑体" w:hAnsi="黑体" w:eastAsia="黑体" w:cs="黑体"/>
          <w:sz w:val="32"/>
          <w:szCs w:val="32"/>
        </w:rPr>
      </w:pPr>
    </w:p>
    <w:p>
      <w:pPr>
        <w:rPr>
          <w:rFonts w:hint="eastAsia" w:ascii="黑体" w:hAnsi="黑体" w:eastAsia="黑体" w:cs="黑体"/>
          <w:sz w:val="32"/>
          <w:szCs w:val="32"/>
        </w:rPr>
      </w:pPr>
    </w:p>
    <w:p>
      <w:pPr>
        <w:pStyle w:val="16"/>
        <w:keepNext w:val="0"/>
        <w:keepLines w:val="0"/>
        <w:pageBreakBefore w:val="0"/>
        <w:kinsoku/>
        <w:wordWrap/>
        <w:overflowPunct/>
        <w:topLinePunct w:val="0"/>
        <w:autoSpaceDE/>
        <w:autoSpaceDN/>
        <w:bidi w:val="0"/>
        <w:adjustRightInd w:val="0"/>
        <w:snapToGrid w:val="0"/>
        <w:spacing w:line="576" w:lineRule="exact"/>
        <w:ind w:left="0" w:leftChars="0" w:firstLine="0" w:firstLineChars="0"/>
        <w:jc w:val="both"/>
        <w:textAlignment w:val="auto"/>
        <w:rPr>
          <w:rFonts w:hint="eastAsia" w:ascii="方正小标宋简体" w:hAnsi="方正小标宋简体" w:eastAsia="方正小标宋简体" w:cs="方正小标宋简体"/>
          <w:sz w:val="44"/>
          <w:szCs w:val="44"/>
        </w:rPr>
      </w:pPr>
      <w:bookmarkStart w:id="91" w:name="_Toc15396618"/>
    </w:p>
    <w:bookmarkEnd w:id="91"/>
    <w:p>
      <w:pPr>
        <w:pStyle w:val="5"/>
        <w:spacing w:before="93"/>
        <w:rPr>
          <w:rFonts w:hAnsi="Calibri" w:cs="仿宋"/>
          <w:sz w:val="32"/>
          <w:szCs w:val="32"/>
        </w:rPr>
      </w:pPr>
    </w:p>
    <w:p>
      <w:pPr>
        <w:spacing w:line="600" w:lineRule="exact"/>
        <w:jc w:val="center"/>
        <w:outlineLvl w:val="0"/>
        <w:rPr>
          <w:rFonts w:ascii="仿宋" w:hAnsi="仿宋" w:eastAsia="仿宋"/>
        </w:rPr>
      </w:pPr>
      <w:bookmarkStart w:id="92" w:name="_Toc27783"/>
      <w:bookmarkStart w:id="93" w:name="_Toc7496"/>
      <w:r>
        <w:rPr>
          <w:rFonts w:hint="eastAsia" w:ascii="黑体" w:hAnsi="黑体" w:eastAsia="黑体"/>
          <w:sz w:val="44"/>
          <w:szCs w:val="44"/>
        </w:rPr>
        <w:t>第</w:t>
      </w:r>
      <w:r>
        <w:rPr>
          <w:rStyle w:val="49"/>
          <w:rFonts w:hint="eastAsia" w:ascii="黑体" w:hAnsi="黑体" w:eastAsia="黑体"/>
          <w:b w:val="0"/>
        </w:rPr>
        <w:t>五部分 附表</w:t>
      </w:r>
      <w:bookmarkEnd w:id="92"/>
      <w:bookmarkEnd w:id="93"/>
      <w:bookmarkStart w:id="94" w:name="_Toc15396619"/>
    </w:p>
    <w:p>
      <w:pPr>
        <w:pStyle w:val="7"/>
        <w:rPr>
          <w:rFonts w:ascii="仿宋" w:hAnsi="仿宋" w:eastAsia="仿宋"/>
        </w:rPr>
      </w:pPr>
      <w:bookmarkStart w:id="95" w:name="_Toc3938"/>
      <w:bookmarkStart w:id="96" w:name="_Toc4761"/>
      <w:r>
        <w:rPr>
          <w:rFonts w:hint="eastAsia" w:ascii="仿宋" w:hAnsi="仿宋" w:eastAsia="仿宋"/>
          <w:b w:val="0"/>
        </w:rPr>
        <w:t>一、收</w:t>
      </w:r>
      <w:r>
        <w:rPr>
          <w:rStyle w:val="45"/>
          <w:rFonts w:hint="eastAsia" w:ascii="仿宋" w:hAnsi="仿宋" w:eastAsia="仿宋"/>
          <w:b w:val="0"/>
          <w:bCs w:val="0"/>
        </w:rPr>
        <w:t>入支出决算总表</w:t>
      </w:r>
      <w:bookmarkEnd w:id="94"/>
      <w:bookmarkEnd w:id="95"/>
      <w:bookmarkEnd w:id="96"/>
    </w:p>
    <w:p>
      <w:pPr>
        <w:pStyle w:val="7"/>
        <w:rPr>
          <w:rFonts w:ascii="仿宋" w:hAnsi="仿宋" w:eastAsia="仿宋"/>
        </w:rPr>
      </w:pPr>
      <w:bookmarkStart w:id="97" w:name="_Toc5102"/>
      <w:bookmarkStart w:id="98" w:name="_Toc4155"/>
      <w:bookmarkStart w:id="99" w:name="_Toc15396620"/>
      <w:r>
        <w:rPr>
          <w:rFonts w:hint="eastAsia" w:ascii="仿宋" w:hAnsi="仿宋" w:eastAsia="仿宋"/>
          <w:b w:val="0"/>
        </w:rPr>
        <w:t>二、收</w:t>
      </w:r>
      <w:r>
        <w:rPr>
          <w:rStyle w:val="45"/>
          <w:rFonts w:hint="eastAsia" w:ascii="仿宋" w:hAnsi="仿宋" w:eastAsia="仿宋"/>
          <w:b w:val="0"/>
          <w:bCs w:val="0"/>
        </w:rPr>
        <w:t>入决算表</w:t>
      </w:r>
      <w:bookmarkEnd w:id="97"/>
      <w:bookmarkEnd w:id="98"/>
      <w:bookmarkEnd w:id="99"/>
    </w:p>
    <w:p>
      <w:pPr>
        <w:pStyle w:val="7"/>
        <w:rPr>
          <w:rFonts w:ascii="仿宋" w:hAnsi="仿宋" w:eastAsia="仿宋"/>
        </w:rPr>
      </w:pPr>
      <w:bookmarkStart w:id="100" w:name="_Toc17058"/>
      <w:bookmarkStart w:id="101" w:name="_Toc9796"/>
      <w:bookmarkStart w:id="102" w:name="_Toc15396621"/>
      <w:r>
        <w:rPr>
          <w:rStyle w:val="45"/>
          <w:rFonts w:hint="eastAsia" w:ascii="仿宋" w:hAnsi="仿宋" w:eastAsia="仿宋"/>
          <w:b w:val="0"/>
          <w:bCs w:val="0"/>
        </w:rPr>
        <w:t>三、</w:t>
      </w:r>
      <w:r>
        <w:rPr>
          <w:rFonts w:hint="eastAsia" w:ascii="仿宋" w:hAnsi="仿宋" w:eastAsia="仿宋"/>
          <w:b w:val="0"/>
        </w:rPr>
        <w:t>支</w:t>
      </w:r>
      <w:r>
        <w:rPr>
          <w:rStyle w:val="45"/>
          <w:rFonts w:hint="eastAsia" w:ascii="仿宋" w:hAnsi="仿宋" w:eastAsia="仿宋"/>
          <w:b w:val="0"/>
          <w:bCs w:val="0"/>
        </w:rPr>
        <w:t>出决算表</w:t>
      </w:r>
      <w:bookmarkEnd w:id="100"/>
      <w:bookmarkEnd w:id="101"/>
      <w:bookmarkEnd w:id="102"/>
    </w:p>
    <w:p>
      <w:pPr>
        <w:pStyle w:val="7"/>
        <w:rPr>
          <w:rFonts w:ascii="仿宋" w:hAnsi="仿宋" w:eastAsia="仿宋"/>
          <w:b w:val="0"/>
        </w:rPr>
      </w:pPr>
      <w:bookmarkStart w:id="103" w:name="_Toc30987"/>
      <w:bookmarkStart w:id="104" w:name="_Toc15396622"/>
      <w:bookmarkStart w:id="105" w:name="_Toc15792"/>
      <w:r>
        <w:rPr>
          <w:rStyle w:val="45"/>
          <w:rFonts w:hint="eastAsia" w:ascii="仿宋" w:hAnsi="仿宋" w:eastAsia="仿宋"/>
          <w:b w:val="0"/>
          <w:bCs w:val="0"/>
        </w:rPr>
        <w:t>四、</w:t>
      </w:r>
      <w:r>
        <w:rPr>
          <w:rFonts w:hint="eastAsia" w:ascii="仿宋" w:hAnsi="仿宋" w:eastAsia="仿宋"/>
          <w:b w:val="0"/>
        </w:rPr>
        <w:t>财</w:t>
      </w:r>
      <w:r>
        <w:rPr>
          <w:rStyle w:val="45"/>
          <w:rFonts w:hint="eastAsia" w:ascii="仿宋" w:hAnsi="仿宋" w:eastAsia="仿宋"/>
          <w:b w:val="0"/>
          <w:bCs w:val="0"/>
        </w:rPr>
        <w:t>政拨款收入支出决算总表</w:t>
      </w:r>
      <w:bookmarkEnd w:id="103"/>
      <w:bookmarkEnd w:id="104"/>
      <w:bookmarkEnd w:id="105"/>
    </w:p>
    <w:p>
      <w:pPr>
        <w:pStyle w:val="7"/>
        <w:rPr>
          <w:rStyle w:val="45"/>
          <w:rFonts w:ascii="仿宋" w:hAnsi="仿宋" w:eastAsia="仿宋"/>
          <w:b w:val="0"/>
          <w:bCs w:val="0"/>
        </w:rPr>
      </w:pPr>
      <w:bookmarkStart w:id="106" w:name="_Toc15396623"/>
      <w:bookmarkStart w:id="107" w:name="_Toc26530"/>
      <w:bookmarkStart w:id="108" w:name="_Toc6096"/>
      <w:r>
        <w:rPr>
          <w:rStyle w:val="45"/>
          <w:rFonts w:hint="eastAsia" w:ascii="仿宋" w:hAnsi="仿宋" w:eastAsia="仿宋"/>
          <w:b w:val="0"/>
          <w:bCs w:val="0"/>
        </w:rPr>
        <w:t>五、</w:t>
      </w:r>
      <w:r>
        <w:rPr>
          <w:rFonts w:hint="eastAsia" w:ascii="仿宋" w:hAnsi="仿宋" w:eastAsia="仿宋"/>
          <w:b w:val="0"/>
        </w:rPr>
        <w:t>财</w:t>
      </w:r>
      <w:r>
        <w:rPr>
          <w:rStyle w:val="45"/>
          <w:rFonts w:hint="eastAsia" w:ascii="仿宋" w:hAnsi="仿宋" w:eastAsia="仿宋"/>
          <w:b w:val="0"/>
          <w:bCs w:val="0"/>
        </w:rPr>
        <w:t>政拨款支出决算明细表</w:t>
      </w:r>
      <w:bookmarkEnd w:id="106"/>
      <w:bookmarkEnd w:id="107"/>
      <w:bookmarkEnd w:id="108"/>
      <w:bookmarkStart w:id="109" w:name="_Toc15396624"/>
    </w:p>
    <w:p>
      <w:pPr>
        <w:pStyle w:val="7"/>
        <w:rPr>
          <w:rFonts w:ascii="仿宋" w:hAnsi="仿宋" w:eastAsia="仿宋"/>
        </w:rPr>
      </w:pPr>
      <w:bookmarkStart w:id="110" w:name="_Toc13908"/>
      <w:bookmarkStart w:id="111" w:name="_Toc17720"/>
      <w:r>
        <w:rPr>
          <w:rStyle w:val="45"/>
          <w:rFonts w:hint="eastAsia" w:ascii="仿宋" w:hAnsi="仿宋" w:eastAsia="仿宋"/>
          <w:b w:val="0"/>
          <w:bCs w:val="0"/>
        </w:rPr>
        <w:t>六、</w:t>
      </w:r>
      <w:r>
        <w:rPr>
          <w:rFonts w:hint="eastAsia" w:ascii="仿宋" w:hAnsi="仿宋" w:eastAsia="仿宋"/>
          <w:b w:val="0"/>
        </w:rPr>
        <w:t>一</w:t>
      </w:r>
      <w:r>
        <w:rPr>
          <w:rStyle w:val="45"/>
          <w:rFonts w:hint="eastAsia" w:ascii="仿宋" w:hAnsi="仿宋" w:eastAsia="仿宋"/>
          <w:b w:val="0"/>
          <w:bCs w:val="0"/>
        </w:rPr>
        <w:t>般公共预算财政拨款支出决算表</w:t>
      </w:r>
      <w:bookmarkEnd w:id="109"/>
      <w:bookmarkEnd w:id="110"/>
      <w:bookmarkEnd w:id="111"/>
    </w:p>
    <w:p>
      <w:pPr>
        <w:pStyle w:val="7"/>
        <w:rPr>
          <w:rFonts w:ascii="仿宋" w:hAnsi="仿宋" w:eastAsia="仿宋"/>
        </w:rPr>
      </w:pPr>
      <w:bookmarkStart w:id="112" w:name="_Toc29400"/>
      <w:bookmarkStart w:id="113" w:name="_Toc15396625"/>
      <w:bookmarkStart w:id="114" w:name="_Toc19211"/>
      <w:r>
        <w:rPr>
          <w:rStyle w:val="45"/>
          <w:rFonts w:hint="eastAsia" w:ascii="仿宋" w:hAnsi="仿宋" w:eastAsia="仿宋"/>
          <w:b w:val="0"/>
          <w:bCs w:val="0"/>
        </w:rPr>
        <w:t>七、</w:t>
      </w:r>
      <w:r>
        <w:rPr>
          <w:rFonts w:hint="eastAsia" w:ascii="仿宋" w:hAnsi="仿宋" w:eastAsia="仿宋"/>
          <w:b w:val="0"/>
        </w:rPr>
        <w:t>一</w:t>
      </w:r>
      <w:r>
        <w:rPr>
          <w:rStyle w:val="45"/>
          <w:rFonts w:hint="eastAsia" w:ascii="仿宋" w:hAnsi="仿宋" w:eastAsia="仿宋"/>
          <w:b w:val="0"/>
          <w:bCs w:val="0"/>
        </w:rPr>
        <w:t>般公共预算财政拨款支出决算明细表</w:t>
      </w:r>
      <w:bookmarkEnd w:id="112"/>
      <w:bookmarkEnd w:id="113"/>
      <w:bookmarkEnd w:id="114"/>
    </w:p>
    <w:p>
      <w:pPr>
        <w:pStyle w:val="7"/>
        <w:rPr>
          <w:rFonts w:ascii="仿宋" w:hAnsi="仿宋" w:eastAsia="仿宋"/>
        </w:rPr>
      </w:pPr>
      <w:bookmarkStart w:id="115" w:name="_Toc23024"/>
      <w:bookmarkStart w:id="116" w:name="_Toc15396626"/>
      <w:bookmarkStart w:id="117" w:name="_Toc19684"/>
      <w:r>
        <w:rPr>
          <w:rStyle w:val="45"/>
          <w:rFonts w:hint="eastAsia" w:ascii="仿宋" w:hAnsi="仿宋" w:eastAsia="仿宋"/>
          <w:b w:val="0"/>
          <w:bCs w:val="0"/>
        </w:rPr>
        <w:t>八、</w:t>
      </w:r>
      <w:r>
        <w:rPr>
          <w:rFonts w:hint="eastAsia" w:ascii="仿宋" w:hAnsi="仿宋" w:eastAsia="仿宋"/>
          <w:b w:val="0"/>
        </w:rPr>
        <w:t>一</w:t>
      </w:r>
      <w:r>
        <w:rPr>
          <w:rStyle w:val="45"/>
          <w:rFonts w:hint="eastAsia" w:ascii="仿宋" w:hAnsi="仿宋" w:eastAsia="仿宋"/>
          <w:b w:val="0"/>
          <w:bCs w:val="0"/>
        </w:rPr>
        <w:t>般公共预算财政拨款基本支出决算表</w:t>
      </w:r>
      <w:bookmarkEnd w:id="115"/>
      <w:bookmarkEnd w:id="116"/>
      <w:bookmarkEnd w:id="117"/>
    </w:p>
    <w:p>
      <w:pPr>
        <w:pStyle w:val="7"/>
        <w:rPr>
          <w:rFonts w:ascii="仿宋" w:hAnsi="仿宋" w:eastAsia="仿宋"/>
        </w:rPr>
      </w:pPr>
      <w:bookmarkStart w:id="118" w:name="_Toc15396627"/>
      <w:bookmarkStart w:id="119" w:name="_Toc18600"/>
      <w:bookmarkStart w:id="120" w:name="_Toc6102"/>
      <w:r>
        <w:rPr>
          <w:rStyle w:val="45"/>
          <w:rFonts w:hint="eastAsia" w:ascii="仿宋" w:hAnsi="仿宋" w:eastAsia="仿宋"/>
          <w:b w:val="0"/>
          <w:bCs w:val="0"/>
        </w:rPr>
        <w:t>九、</w:t>
      </w:r>
      <w:r>
        <w:rPr>
          <w:rFonts w:hint="eastAsia" w:ascii="仿宋" w:hAnsi="仿宋" w:eastAsia="仿宋"/>
          <w:b w:val="0"/>
        </w:rPr>
        <w:t>一</w:t>
      </w:r>
      <w:r>
        <w:rPr>
          <w:rStyle w:val="45"/>
          <w:rFonts w:hint="eastAsia" w:ascii="仿宋" w:hAnsi="仿宋" w:eastAsia="仿宋"/>
          <w:b w:val="0"/>
          <w:bCs w:val="0"/>
        </w:rPr>
        <w:t>般公共预算财政拨款项目支出决算表</w:t>
      </w:r>
      <w:bookmarkEnd w:id="118"/>
      <w:bookmarkEnd w:id="119"/>
      <w:bookmarkEnd w:id="120"/>
    </w:p>
    <w:p>
      <w:pPr>
        <w:pStyle w:val="7"/>
        <w:rPr>
          <w:rFonts w:ascii="仿宋" w:hAnsi="仿宋" w:eastAsia="仿宋"/>
        </w:rPr>
      </w:pPr>
      <w:bookmarkStart w:id="121" w:name="_Toc15396628"/>
      <w:bookmarkStart w:id="122" w:name="_Toc26962"/>
      <w:bookmarkStart w:id="123" w:name="_Toc24466"/>
      <w:r>
        <w:rPr>
          <w:rStyle w:val="45"/>
          <w:rFonts w:hint="eastAsia" w:ascii="仿宋" w:hAnsi="仿宋" w:eastAsia="仿宋"/>
          <w:b w:val="0"/>
          <w:bCs w:val="0"/>
        </w:rPr>
        <w:t>十、</w:t>
      </w:r>
      <w:bookmarkEnd w:id="121"/>
      <w:r>
        <w:rPr>
          <w:rFonts w:hint="eastAsia" w:ascii="仿宋" w:hAnsi="仿宋" w:eastAsia="仿宋"/>
          <w:b w:val="0"/>
        </w:rPr>
        <w:t>政</w:t>
      </w:r>
      <w:r>
        <w:rPr>
          <w:rStyle w:val="45"/>
          <w:rFonts w:hint="eastAsia" w:ascii="仿宋" w:hAnsi="仿宋" w:eastAsia="仿宋"/>
          <w:b w:val="0"/>
          <w:bCs w:val="0"/>
        </w:rPr>
        <w:t>府性基金预算财政拨款收入支出决算表</w:t>
      </w:r>
      <w:bookmarkEnd w:id="122"/>
      <w:bookmarkEnd w:id="123"/>
    </w:p>
    <w:p>
      <w:pPr>
        <w:pStyle w:val="7"/>
        <w:rPr>
          <w:rFonts w:ascii="仿宋" w:hAnsi="仿宋" w:eastAsia="仿宋"/>
        </w:rPr>
      </w:pPr>
      <w:bookmarkStart w:id="124" w:name="_Toc15396629"/>
      <w:bookmarkStart w:id="125" w:name="_Toc17512"/>
      <w:bookmarkStart w:id="126" w:name="_Toc12932"/>
      <w:r>
        <w:rPr>
          <w:rStyle w:val="45"/>
          <w:rFonts w:hint="eastAsia" w:ascii="仿宋" w:hAnsi="仿宋" w:eastAsia="仿宋"/>
          <w:b w:val="0"/>
          <w:bCs w:val="0"/>
        </w:rPr>
        <w:t>十一、</w:t>
      </w:r>
      <w:bookmarkEnd w:id="124"/>
      <w:r>
        <w:rPr>
          <w:rFonts w:hint="eastAsia" w:ascii="仿宋" w:hAnsi="仿宋" w:eastAsia="仿宋"/>
          <w:b w:val="0"/>
        </w:rPr>
        <w:t>国</w:t>
      </w:r>
      <w:r>
        <w:rPr>
          <w:rStyle w:val="45"/>
          <w:rFonts w:hint="eastAsia" w:ascii="仿宋" w:hAnsi="仿宋" w:eastAsia="仿宋"/>
          <w:b w:val="0"/>
          <w:bCs w:val="0"/>
        </w:rPr>
        <w:t>有资本经营预算财政拨款收入支出决算表</w:t>
      </w:r>
      <w:bookmarkEnd w:id="125"/>
      <w:bookmarkEnd w:id="126"/>
    </w:p>
    <w:p>
      <w:pPr>
        <w:pStyle w:val="7"/>
        <w:rPr>
          <w:rFonts w:ascii="仿宋" w:hAnsi="仿宋" w:eastAsia="仿宋"/>
        </w:rPr>
      </w:pPr>
      <w:bookmarkStart w:id="127" w:name="_Toc15396630"/>
      <w:bookmarkStart w:id="128" w:name="_Toc156"/>
      <w:bookmarkStart w:id="129" w:name="_Toc16493"/>
      <w:r>
        <w:rPr>
          <w:rStyle w:val="45"/>
          <w:rFonts w:hint="eastAsia" w:ascii="仿宋" w:hAnsi="仿宋" w:eastAsia="仿宋"/>
          <w:b w:val="0"/>
          <w:bCs w:val="0"/>
        </w:rPr>
        <w:t>十二、</w:t>
      </w:r>
      <w:bookmarkEnd w:id="127"/>
      <w:r>
        <w:rPr>
          <w:rStyle w:val="45"/>
          <w:rFonts w:hint="eastAsia" w:ascii="仿宋" w:hAnsi="仿宋" w:eastAsia="仿宋"/>
          <w:b w:val="0"/>
          <w:bCs w:val="0"/>
        </w:rPr>
        <w:t>国有资本经营预算财政拨款支出决算表</w:t>
      </w:r>
      <w:bookmarkEnd w:id="128"/>
      <w:bookmarkEnd w:id="129"/>
    </w:p>
    <w:p>
      <w:pPr>
        <w:pStyle w:val="7"/>
        <w:rPr>
          <w:rFonts w:eastAsia="仿宋"/>
        </w:rPr>
      </w:pPr>
      <w:bookmarkStart w:id="130" w:name="_Toc15396631"/>
      <w:bookmarkStart w:id="131" w:name="_Toc5514"/>
      <w:bookmarkStart w:id="132" w:name="_Toc13029"/>
      <w:r>
        <w:rPr>
          <w:rStyle w:val="45"/>
          <w:rFonts w:hint="eastAsia" w:ascii="仿宋" w:hAnsi="仿宋" w:eastAsia="仿宋"/>
          <w:b w:val="0"/>
          <w:bCs w:val="0"/>
        </w:rPr>
        <w:t>十三、</w:t>
      </w:r>
      <w:bookmarkEnd w:id="130"/>
      <w:r>
        <w:rPr>
          <w:rStyle w:val="45"/>
          <w:rFonts w:hint="eastAsia" w:ascii="仿宋" w:hAnsi="仿宋" w:eastAsia="仿宋"/>
          <w:b w:val="0"/>
          <w:bCs w:val="0"/>
        </w:rPr>
        <w:t>财政拨款“三公”经费支出决算表</w:t>
      </w:r>
      <w:bookmarkEnd w:id="131"/>
      <w:bookmarkEnd w:id="132"/>
    </w:p>
    <w:p>
      <w:pPr>
        <w:pStyle w:val="44"/>
        <w:outlineLvl w:val="9"/>
        <w:rPr>
          <w:rFonts w:hint="eastAsia"/>
          <w:lang w:val="en-US" w:eastAsia="zh-CN"/>
        </w:rPr>
      </w:pPr>
    </w:p>
    <w:sectPr>
      <w:footerReference r:id="rId5" w:type="first"/>
      <w:headerReference r:id="rId3" w:type="default"/>
      <w:footerReference r:id="rId4" w:type="default"/>
      <w:pgSz w:w="11905" w:h="16838"/>
      <w:pgMar w:top="1440" w:right="1803" w:bottom="1440" w:left="1803" w:header="851" w:footer="992" w:gutter="0"/>
      <w:pgNumType w:fmt="decimal"/>
      <w:cols w:space="0" w:num="1"/>
      <w:titlePg/>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微软雅黑">
    <w:altName w:val="黑体"/>
    <w:panose1 w:val="020B0503020204020204"/>
    <w:charset w:val="86"/>
    <w:family w:val="auto"/>
    <w:pitch w:val="default"/>
    <w:sig w:usb0="00000000" w:usb1="00000000" w:usb2="00000016" w:usb3="00000000" w:csb0="0004001F"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Lucida Sans">
    <w:panose1 w:val="020B0602030504020204"/>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4"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sdt>
                          <w:sdtPr>
                            <w:id w:val="-1994781956"/>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wps:txbx>
                    <wps:bodyPr wrap="none" lIns="0" tIns="0" rIns="0" bIns="0" upright="false">
                      <a:spAutoFit/>
                    </wps:bodyPr>
                  </wps:wsp>
                </a:graphicData>
              </a:graphic>
            </wp:anchor>
          </w:drawing>
        </mc:Choice>
        <mc:Fallback>
          <w:pict>
            <v:shape id="文本框 7"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O+3RXu1AQAAUwMAAA4AAAAAAAAAAQAgAAAANAEAAGRycy9lMm9E&#10;b2MueG1sUEsFBgAAAAAGAAYAWQEAAFsFAAAAAA==&#10;">
              <v:fill on="f" focussize="0,0"/>
              <v:stroke on="f"/>
              <v:imagedata o:title=""/>
              <o:lock v:ext="edit" aspectratio="f"/>
              <v:textbox inset="0mm,0mm,0mm,0mm" style="mso-fit-shape-to-text:t;">
                <w:txbxContent>
                  <w:sdt>
                    <w:sdtPr>
                      <w:id w:val="-1994781956"/>
                    </w:sdtPr>
                    <w:sdtContent>
                      <w:p>
                        <w:pPr>
                          <w:pStyle w:val="12"/>
                          <w:jc w:val="cente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2</w:t>
                        </w:r>
                        <w:r>
                          <w:rPr>
                            <w:rFonts w:hint="eastAsia" w:ascii="宋体" w:hAnsi="宋体" w:eastAsia="宋体" w:cs="宋体"/>
                            <w:sz w:val="28"/>
                            <w:szCs w:val="28"/>
                          </w:rPr>
                          <w:fldChar w:fldCharType="end"/>
                        </w: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t>—</w:t>
                        </w:r>
                      </w:p>
                    </w:sdtContent>
                  </w:sdt>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rPr>
        <w:rFonts w:hint="eastAsia" w:ascii="宋体" w:hAnsi="宋体" w:eastAsia="宋体" w:cs="宋体"/>
        <w:sz w:val="28"/>
        <w:szCs w:val="28"/>
      </w:rPr>
    </w:pPr>
    <w:r>
      <w:rPr>
        <w:rFonts w:hint="eastAsia" w:ascii="宋体" w:hAnsi="宋体" w:eastAsia="宋体" w:cs="宋体"/>
        <w:sz w:val="28"/>
        <w:szCs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15"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8"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FgAAAGRycy9Q&#10;SwECFAAUAAAACACHTuJAzql5uc8AAAAFAQAADwAAAAAAAAABACAAAAA4AAAAZHJzL2Rvd25yZXYu&#10;eG1sUEsBAhQAFAAAAAgAh07iQHnmdgO1AQAAUwMAAA4AAAAAAAAAAQAgAAAANAEAAGRycy9lMm9E&#10;b2MueG1sUEsFBgAAAAAGAAYAWQEAAFsFA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BBA6B1"/>
    <w:multiLevelType w:val="singleLevel"/>
    <w:tmpl w:val="CCBBA6B1"/>
    <w:lvl w:ilvl="0" w:tentative="0">
      <w:start w:val="4"/>
      <w:numFmt w:val="chineseCounting"/>
      <w:suff w:val="space"/>
      <w:lvlText w:val="第%1部分"/>
      <w:lvlJc w:val="left"/>
      <w:rPr>
        <w:rFonts w:hint="eastAsia"/>
      </w:rPr>
    </w:lvl>
  </w:abstractNum>
  <w:abstractNum w:abstractNumId="1">
    <w:nsid w:val="7E1E71D4"/>
    <w:multiLevelType w:val="singleLevel"/>
    <w:tmpl w:val="7E1E71D4"/>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documentProtection w:enforcement="0"/>
  <w:defaultTabStop w:val="420"/>
  <w:drawingGridHorizontalSpacing w:val="105"/>
  <w:drawingGridVerticalSpacing w:val="162"/>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VmNmJmYTNkYjczNTQ4YWQ0MTg0MzhjNjg2ODRhZDMifQ=="/>
  </w:docVars>
  <w:rsids>
    <w:rsidRoot w:val="00F1361C"/>
    <w:rsid w:val="000222C6"/>
    <w:rsid w:val="00022F8F"/>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0819"/>
    <w:rsid w:val="001F7506"/>
    <w:rsid w:val="002006CD"/>
    <w:rsid w:val="00202B36"/>
    <w:rsid w:val="00204B7A"/>
    <w:rsid w:val="00204CDE"/>
    <w:rsid w:val="0021101A"/>
    <w:rsid w:val="00220536"/>
    <w:rsid w:val="00235629"/>
    <w:rsid w:val="00246569"/>
    <w:rsid w:val="00260C38"/>
    <w:rsid w:val="002616C0"/>
    <w:rsid w:val="00265372"/>
    <w:rsid w:val="002662AA"/>
    <w:rsid w:val="00280496"/>
    <w:rsid w:val="00294DC9"/>
    <w:rsid w:val="00295495"/>
    <w:rsid w:val="002A31DE"/>
    <w:rsid w:val="002B2613"/>
    <w:rsid w:val="002D6D05"/>
    <w:rsid w:val="002E6D3D"/>
    <w:rsid w:val="002F1818"/>
    <w:rsid w:val="002F567B"/>
    <w:rsid w:val="003216A9"/>
    <w:rsid w:val="00335A74"/>
    <w:rsid w:val="00354363"/>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586E"/>
    <w:rsid w:val="005664BB"/>
    <w:rsid w:val="00566FFA"/>
    <w:rsid w:val="0057481D"/>
    <w:rsid w:val="0058486E"/>
    <w:rsid w:val="00585B33"/>
    <w:rsid w:val="0059014D"/>
    <w:rsid w:val="005B5C64"/>
    <w:rsid w:val="005C5337"/>
    <w:rsid w:val="005C6BD0"/>
    <w:rsid w:val="005D1C8B"/>
    <w:rsid w:val="005D468D"/>
    <w:rsid w:val="005D5CED"/>
    <w:rsid w:val="005D5E9E"/>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5964"/>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E6BE2"/>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244C"/>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1041C4"/>
    <w:rsid w:val="015F3F38"/>
    <w:rsid w:val="019D0E8E"/>
    <w:rsid w:val="03123DCA"/>
    <w:rsid w:val="038D16A3"/>
    <w:rsid w:val="04525AA5"/>
    <w:rsid w:val="04A66578"/>
    <w:rsid w:val="04E22D82"/>
    <w:rsid w:val="04E70EC2"/>
    <w:rsid w:val="04F53E50"/>
    <w:rsid w:val="060F45F1"/>
    <w:rsid w:val="066E0107"/>
    <w:rsid w:val="073F2CB4"/>
    <w:rsid w:val="0765096C"/>
    <w:rsid w:val="07765CBE"/>
    <w:rsid w:val="079524DE"/>
    <w:rsid w:val="07996F6E"/>
    <w:rsid w:val="08141F8D"/>
    <w:rsid w:val="08A07782"/>
    <w:rsid w:val="08C23B9D"/>
    <w:rsid w:val="08EE04EE"/>
    <w:rsid w:val="0A2032A3"/>
    <w:rsid w:val="0B126CF2"/>
    <w:rsid w:val="0C344175"/>
    <w:rsid w:val="0C8D626F"/>
    <w:rsid w:val="0D6276FC"/>
    <w:rsid w:val="0D645487"/>
    <w:rsid w:val="0DC069AA"/>
    <w:rsid w:val="0E536F6F"/>
    <w:rsid w:val="0EBB0A2F"/>
    <w:rsid w:val="0EBC2447"/>
    <w:rsid w:val="0F553C71"/>
    <w:rsid w:val="0F8120BC"/>
    <w:rsid w:val="0FAB538A"/>
    <w:rsid w:val="0FCF0FFD"/>
    <w:rsid w:val="0FEB1C2B"/>
    <w:rsid w:val="101860EC"/>
    <w:rsid w:val="10C055FF"/>
    <w:rsid w:val="10D12BCF"/>
    <w:rsid w:val="114E421F"/>
    <w:rsid w:val="118107EC"/>
    <w:rsid w:val="123F566C"/>
    <w:rsid w:val="12865DC8"/>
    <w:rsid w:val="12AA7B7B"/>
    <w:rsid w:val="13AE369B"/>
    <w:rsid w:val="13D50BC4"/>
    <w:rsid w:val="14820041"/>
    <w:rsid w:val="1573515B"/>
    <w:rsid w:val="158A5A42"/>
    <w:rsid w:val="166676E7"/>
    <w:rsid w:val="16797C84"/>
    <w:rsid w:val="16BB723D"/>
    <w:rsid w:val="171952CF"/>
    <w:rsid w:val="184958B6"/>
    <w:rsid w:val="19887FF9"/>
    <w:rsid w:val="199A2E83"/>
    <w:rsid w:val="1A7C004F"/>
    <w:rsid w:val="1AA650CC"/>
    <w:rsid w:val="1AFC1190"/>
    <w:rsid w:val="1B3A5710"/>
    <w:rsid w:val="1B4D10A5"/>
    <w:rsid w:val="1BE8440E"/>
    <w:rsid w:val="1BE91714"/>
    <w:rsid w:val="1C057BD0"/>
    <w:rsid w:val="1C555ABC"/>
    <w:rsid w:val="1C9170B1"/>
    <w:rsid w:val="1CB3762C"/>
    <w:rsid w:val="1D155CEE"/>
    <w:rsid w:val="1D7F5DED"/>
    <w:rsid w:val="1E9A6CF6"/>
    <w:rsid w:val="1EC75611"/>
    <w:rsid w:val="20925420"/>
    <w:rsid w:val="218850C1"/>
    <w:rsid w:val="2197576F"/>
    <w:rsid w:val="22C02AA3"/>
    <w:rsid w:val="23860B96"/>
    <w:rsid w:val="238F04F9"/>
    <w:rsid w:val="23DB0BE6"/>
    <w:rsid w:val="240371BF"/>
    <w:rsid w:val="247104F9"/>
    <w:rsid w:val="25A62424"/>
    <w:rsid w:val="26103D41"/>
    <w:rsid w:val="268E4E42"/>
    <w:rsid w:val="26C13266"/>
    <w:rsid w:val="27AE736E"/>
    <w:rsid w:val="2916166F"/>
    <w:rsid w:val="29202790"/>
    <w:rsid w:val="298E194B"/>
    <w:rsid w:val="29A10548"/>
    <w:rsid w:val="29FD04D3"/>
    <w:rsid w:val="2B3202B6"/>
    <w:rsid w:val="2BBA09D7"/>
    <w:rsid w:val="2C2959EE"/>
    <w:rsid w:val="2C4C35F9"/>
    <w:rsid w:val="2C8A61B5"/>
    <w:rsid w:val="2DCC2120"/>
    <w:rsid w:val="2DE955A4"/>
    <w:rsid w:val="2DF04E50"/>
    <w:rsid w:val="2F034443"/>
    <w:rsid w:val="2F5E5B1E"/>
    <w:rsid w:val="2F9F469B"/>
    <w:rsid w:val="303B046A"/>
    <w:rsid w:val="319F7F4E"/>
    <w:rsid w:val="340F73E6"/>
    <w:rsid w:val="345E3ECA"/>
    <w:rsid w:val="363C4382"/>
    <w:rsid w:val="366E2AEA"/>
    <w:rsid w:val="368C04D7"/>
    <w:rsid w:val="36AA5135"/>
    <w:rsid w:val="37753A04"/>
    <w:rsid w:val="37E16F03"/>
    <w:rsid w:val="38082F8A"/>
    <w:rsid w:val="38876604"/>
    <w:rsid w:val="38C72B84"/>
    <w:rsid w:val="3902751A"/>
    <w:rsid w:val="39283904"/>
    <w:rsid w:val="39A607ED"/>
    <w:rsid w:val="3A887EF3"/>
    <w:rsid w:val="3A8D2DAF"/>
    <w:rsid w:val="3B39355D"/>
    <w:rsid w:val="3BE70C49"/>
    <w:rsid w:val="3C522FC2"/>
    <w:rsid w:val="3CA5217A"/>
    <w:rsid w:val="3D98207C"/>
    <w:rsid w:val="3DEC33EB"/>
    <w:rsid w:val="3EB53E23"/>
    <w:rsid w:val="3F2A1578"/>
    <w:rsid w:val="3F6205AA"/>
    <w:rsid w:val="3F6603C3"/>
    <w:rsid w:val="3FA3073A"/>
    <w:rsid w:val="3FC74763"/>
    <w:rsid w:val="404E1296"/>
    <w:rsid w:val="40B01F51"/>
    <w:rsid w:val="419B7208"/>
    <w:rsid w:val="42530DE6"/>
    <w:rsid w:val="43AF029E"/>
    <w:rsid w:val="43B35A16"/>
    <w:rsid w:val="4402653D"/>
    <w:rsid w:val="446949D8"/>
    <w:rsid w:val="44E268DA"/>
    <w:rsid w:val="450C60CA"/>
    <w:rsid w:val="45603F46"/>
    <w:rsid w:val="45AA7D54"/>
    <w:rsid w:val="47217203"/>
    <w:rsid w:val="47280BE7"/>
    <w:rsid w:val="477A0BC3"/>
    <w:rsid w:val="479035AD"/>
    <w:rsid w:val="48EC789E"/>
    <w:rsid w:val="48F93285"/>
    <w:rsid w:val="4A627F82"/>
    <w:rsid w:val="4A747BC1"/>
    <w:rsid w:val="4AA46683"/>
    <w:rsid w:val="4B4F25DA"/>
    <w:rsid w:val="4BCF6BD1"/>
    <w:rsid w:val="4BE068DB"/>
    <w:rsid w:val="4CDA2830"/>
    <w:rsid w:val="4D577224"/>
    <w:rsid w:val="4D5D0D6B"/>
    <w:rsid w:val="4D8E53C8"/>
    <w:rsid w:val="4D9C3A21"/>
    <w:rsid w:val="4E013DEC"/>
    <w:rsid w:val="4E437F61"/>
    <w:rsid w:val="4EAB630A"/>
    <w:rsid w:val="4ECE2238"/>
    <w:rsid w:val="4EEF4971"/>
    <w:rsid w:val="4FCE5E25"/>
    <w:rsid w:val="5001004A"/>
    <w:rsid w:val="502142D2"/>
    <w:rsid w:val="503E30D6"/>
    <w:rsid w:val="50485D02"/>
    <w:rsid w:val="51437D30"/>
    <w:rsid w:val="51A056CA"/>
    <w:rsid w:val="51B573C7"/>
    <w:rsid w:val="52DE0A10"/>
    <w:rsid w:val="52E57031"/>
    <w:rsid w:val="53204D14"/>
    <w:rsid w:val="5452714F"/>
    <w:rsid w:val="54DE09E3"/>
    <w:rsid w:val="54ED5F2F"/>
    <w:rsid w:val="550A7A2A"/>
    <w:rsid w:val="555B44F0"/>
    <w:rsid w:val="571C57F3"/>
    <w:rsid w:val="57203535"/>
    <w:rsid w:val="57437513"/>
    <w:rsid w:val="57981F87"/>
    <w:rsid w:val="58904160"/>
    <w:rsid w:val="58F5454D"/>
    <w:rsid w:val="59271254"/>
    <w:rsid w:val="5927788B"/>
    <w:rsid w:val="59B00012"/>
    <w:rsid w:val="5A6B4EAA"/>
    <w:rsid w:val="5AF92295"/>
    <w:rsid w:val="5C975E09"/>
    <w:rsid w:val="5CD71FC4"/>
    <w:rsid w:val="5DB749C6"/>
    <w:rsid w:val="604638DA"/>
    <w:rsid w:val="610C68D8"/>
    <w:rsid w:val="61B948AC"/>
    <w:rsid w:val="61F00501"/>
    <w:rsid w:val="61F25C40"/>
    <w:rsid w:val="61F56C4F"/>
    <w:rsid w:val="62035F2D"/>
    <w:rsid w:val="621F1A52"/>
    <w:rsid w:val="62631A9F"/>
    <w:rsid w:val="64883182"/>
    <w:rsid w:val="64D8478D"/>
    <w:rsid w:val="64FF6CE6"/>
    <w:rsid w:val="65384140"/>
    <w:rsid w:val="673F58BB"/>
    <w:rsid w:val="6874323F"/>
    <w:rsid w:val="688A2DC0"/>
    <w:rsid w:val="69D05266"/>
    <w:rsid w:val="6BB77172"/>
    <w:rsid w:val="6C4A05C8"/>
    <w:rsid w:val="6C643630"/>
    <w:rsid w:val="6CFC4128"/>
    <w:rsid w:val="6D215889"/>
    <w:rsid w:val="6D5E36D0"/>
    <w:rsid w:val="6DDF2172"/>
    <w:rsid w:val="6E1D6461"/>
    <w:rsid w:val="6E7E3605"/>
    <w:rsid w:val="6F2562D3"/>
    <w:rsid w:val="6F5A62BD"/>
    <w:rsid w:val="6F6D2E5F"/>
    <w:rsid w:val="6FC950B8"/>
    <w:rsid w:val="6FF5CC65"/>
    <w:rsid w:val="70620C5D"/>
    <w:rsid w:val="715C0E4B"/>
    <w:rsid w:val="71CC00E9"/>
    <w:rsid w:val="72001B41"/>
    <w:rsid w:val="72734D90"/>
    <w:rsid w:val="72871A5C"/>
    <w:rsid w:val="7346304C"/>
    <w:rsid w:val="737F2F3A"/>
    <w:rsid w:val="73AD73D5"/>
    <w:rsid w:val="73B6EB34"/>
    <w:rsid w:val="7498674F"/>
    <w:rsid w:val="75994786"/>
    <w:rsid w:val="7662101C"/>
    <w:rsid w:val="79EE5BA4"/>
    <w:rsid w:val="7A007B1F"/>
    <w:rsid w:val="7A6F5AB6"/>
    <w:rsid w:val="7A894339"/>
    <w:rsid w:val="7C162205"/>
    <w:rsid w:val="7C8B0BA1"/>
    <w:rsid w:val="7DF17122"/>
    <w:rsid w:val="7E2E3EDA"/>
    <w:rsid w:val="7E511691"/>
    <w:rsid w:val="7EBF4531"/>
    <w:rsid w:val="7EEF11D3"/>
    <w:rsid w:val="7FA30C79"/>
    <w:rsid w:val="7FC96657"/>
    <w:rsid w:val="D8D6DB89"/>
    <w:rsid w:val="DB6F4CAB"/>
    <w:rsid w:val="DF6F9789"/>
    <w:rsid w:val="FFF7967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7">
    <w:name w:val="heading 2"/>
    <w:basedOn w:val="1"/>
    <w:next w:val="1"/>
    <w:link w:val="4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8">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pPr>
      <w:spacing w:line="560" w:lineRule="exact"/>
      <w:ind w:firstLine="640" w:firstLineChars="200"/>
      <w:jc w:val="left"/>
    </w:pPr>
    <w:rPr>
      <w:rFonts w:ascii="仿宋_GB2312" w:eastAsia="仿宋_GB2312"/>
      <w:sz w:val="32"/>
    </w:rPr>
  </w:style>
  <w:style w:type="paragraph" w:styleId="4">
    <w:name w:val="Body Text First Indent"/>
    <w:basedOn w:val="5"/>
    <w:qFormat/>
    <w:uiPriority w:val="0"/>
    <w:pPr>
      <w:ind w:firstLine="420" w:firstLineChars="100"/>
    </w:pPr>
  </w:style>
  <w:style w:type="paragraph" w:styleId="5">
    <w:name w:val="Body Text"/>
    <w:basedOn w:val="1"/>
    <w:link w:val="28"/>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Plain Text"/>
    <w:basedOn w:val="1"/>
    <w:qFormat/>
    <w:uiPriority w:val="0"/>
    <w:rPr>
      <w:rFonts w:ascii="宋体" w:hAnsi="Courier New" w:cs="Courier New"/>
      <w:szCs w:val="21"/>
    </w:rPr>
  </w:style>
  <w:style w:type="paragraph" w:styleId="11">
    <w:name w:val="Balloon Text"/>
    <w:basedOn w:val="1"/>
    <w:link w:val="34"/>
    <w:semiHidden/>
    <w:unhideWhenUsed/>
    <w:qFormat/>
    <w:uiPriority w:val="99"/>
    <w:rPr>
      <w:sz w:val="18"/>
      <w:szCs w:val="18"/>
    </w:rPr>
  </w:style>
  <w:style w:type="paragraph" w:styleId="12">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table of figures"/>
    <w:basedOn w:val="1"/>
    <w:next w:val="1"/>
    <w:qFormat/>
    <w:uiPriority w:val="99"/>
    <w:pPr>
      <w:ind w:left="200" w:leftChars="200" w:hanging="200" w:hangingChars="200"/>
    </w:pPr>
    <w:rPr>
      <w:rFonts w:eastAsia="宋体"/>
      <w:szCs w:val="22"/>
    </w:rPr>
  </w:style>
  <w:style w:type="paragraph" w:styleId="16">
    <w:name w:val="toc 2"/>
    <w:basedOn w:val="1"/>
    <w:next w:val="1"/>
    <w:unhideWhenUsed/>
    <w:qFormat/>
    <w:uiPriority w:val="39"/>
    <w:pPr>
      <w:tabs>
        <w:tab w:val="right" w:leader="dot" w:pos="8296"/>
      </w:tabs>
      <w:ind w:left="420" w:leftChars="200"/>
    </w:pPr>
  </w:style>
  <w:style w:type="paragraph" w:styleId="17">
    <w:name w:val="Normal (Web)"/>
    <w:basedOn w:val="1"/>
    <w:qFormat/>
    <w:uiPriority w:val="99"/>
    <w:pPr>
      <w:widowControl/>
      <w:jc w:val="left"/>
    </w:pPr>
    <w:rPr>
      <w:rFonts w:ascii="微软雅黑" w:hAnsi="微软雅黑" w:cs="微软雅黑"/>
      <w:kern w:val="0"/>
      <w:sz w:val="24"/>
      <w:szCs w:val="24"/>
    </w:rPr>
  </w:style>
  <w:style w:type="character" w:styleId="20">
    <w:name w:val="Strong"/>
    <w:basedOn w:val="19"/>
    <w:qFormat/>
    <w:uiPriority w:val="99"/>
    <w:rPr>
      <w:b/>
    </w:rPr>
  </w:style>
  <w:style w:type="character" w:styleId="21">
    <w:name w:val="page number"/>
    <w:basedOn w:val="19"/>
    <w:qFormat/>
    <w:uiPriority w:val="0"/>
  </w:style>
  <w:style w:type="character" w:styleId="22">
    <w:name w:val="Hyperlink"/>
    <w:basedOn w:val="19"/>
    <w:unhideWhenUsed/>
    <w:qFormat/>
    <w:uiPriority w:val="99"/>
    <w:rPr>
      <w:color w:val="0000FF" w:themeColor="hyperlink"/>
      <w:u w:val="single"/>
      <w14:textFill>
        <w14:solidFill>
          <w14:schemeClr w14:val="hlink"/>
        </w14:solidFill>
      </w14:textFill>
    </w:rPr>
  </w:style>
  <w:style w:type="character" w:customStyle="1" w:styleId="23">
    <w:name w:val="Header Char"/>
    <w:basedOn w:val="19"/>
    <w:semiHidden/>
    <w:qFormat/>
    <w:uiPriority w:val="99"/>
    <w:rPr>
      <w:rFonts w:ascii="Times New Roman" w:hAnsi="Times New Roman"/>
      <w:sz w:val="18"/>
      <w:szCs w:val="18"/>
    </w:rPr>
  </w:style>
  <w:style w:type="character" w:customStyle="1" w:styleId="24">
    <w:name w:val="页眉 Char"/>
    <w:link w:val="13"/>
    <w:semiHidden/>
    <w:qFormat/>
    <w:locked/>
    <w:uiPriority w:val="99"/>
    <w:rPr>
      <w:sz w:val="18"/>
    </w:rPr>
  </w:style>
  <w:style w:type="character" w:customStyle="1" w:styleId="25">
    <w:name w:val="Footer Char"/>
    <w:basedOn w:val="19"/>
    <w:semiHidden/>
    <w:qFormat/>
    <w:uiPriority w:val="99"/>
    <w:rPr>
      <w:rFonts w:ascii="Times New Roman" w:hAnsi="Times New Roman"/>
      <w:sz w:val="18"/>
      <w:szCs w:val="18"/>
    </w:rPr>
  </w:style>
  <w:style w:type="character" w:customStyle="1" w:styleId="26">
    <w:name w:val="页脚 Char"/>
    <w:link w:val="12"/>
    <w:qFormat/>
    <w:locked/>
    <w:uiPriority w:val="99"/>
    <w:rPr>
      <w:sz w:val="18"/>
    </w:rPr>
  </w:style>
  <w:style w:type="character" w:customStyle="1" w:styleId="27">
    <w:name w:val="Body Text Char"/>
    <w:basedOn w:val="19"/>
    <w:semiHidden/>
    <w:qFormat/>
    <w:uiPriority w:val="99"/>
    <w:rPr>
      <w:rFonts w:ascii="Times New Roman" w:hAnsi="Times New Roman"/>
      <w:szCs w:val="24"/>
    </w:rPr>
  </w:style>
  <w:style w:type="character" w:customStyle="1" w:styleId="28">
    <w:name w:val="正文文本 Char"/>
    <w:link w:val="5"/>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19"/>
    <w:link w:val="6"/>
    <w:qFormat/>
    <w:uiPriority w:val="9"/>
    <w:rPr>
      <w:rFonts w:ascii="Times New Roman" w:hAnsi="Times New Roman"/>
      <w:b/>
      <w:bCs/>
      <w:kern w:val="44"/>
      <w:sz w:val="44"/>
      <w:szCs w:val="44"/>
    </w:rPr>
  </w:style>
  <w:style w:type="character" w:customStyle="1" w:styleId="32">
    <w:name w:val="标题 2 Char"/>
    <w:basedOn w:val="19"/>
    <w:link w:val="7"/>
    <w:qFormat/>
    <w:uiPriority w:val="9"/>
    <w:rPr>
      <w:rFonts w:asciiTheme="majorHAnsi" w:hAnsiTheme="majorHAnsi" w:eastAsiaTheme="majorEastAsia" w:cstheme="majorBidi"/>
      <w:b/>
      <w:bCs/>
      <w:kern w:val="2"/>
      <w:sz w:val="32"/>
      <w:szCs w:val="32"/>
    </w:rPr>
  </w:style>
  <w:style w:type="paragraph" w:customStyle="1" w:styleId="33">
    <w:name w:val="TOC 标题1"/>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19"/>
    <w:link w:val="11"/>
    <w:semiHidden/>
    <w:qFormat/>
    <w:uiPriority w:val="99"/>
    <w:rPr>
      <w:rFonts w:ascii="Times New Roman" w:hAnsi="Times New Roman"/>
      <w:kern w:val="2"/>
      <w:sz w:val="18"/>
      <w:szCs w:val="18"/>
    </w:rPr>
  </w:style>
  <w:style w:type="character" w:customStyle="1" w:styleId="35">
    <w:name w:val="标题 3 Char"/>
    <w:basedOn w:val="19"/>
    <w:link w:val="8"/>
    <w:qFormat/>
    <w:uiPriority w:val="9"/>
    <w:rPr>
      <w:rFonts w:ascii="Times New Roman" w:hAnsi="Times New Roman"/>
      <w:b/>
      <w:bCs/>
      <w:kern w:val="2"/>
      <w:sz w:val="32"/>
      <w:szCs w:val="32"/>
    </w:rPr>
  </w:style>
  <w:style w:type="paragraph" w:customStyle="1" w:styleId="36">
    <w:name w:val="TOC 标题2"/>
    <w:basedOn w:val="6"/>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8">
    <w:name w:val="font91"/>
    <w:basedOn w:val="19"/>
    <w:qFormat/>
    <w:uiPriority w:val="0"/>
    <w:rPr>
      <w:rFonts w:hint="eastAsia" w:ascii="宋体" w:hAnsi="宋体" w:eastAsia="宋体" w:cs="宋体"/>
      <w:b/>
      <w:bCs/>
      <w:color w:val="000000"/>
      <w:sz w:val="32"/>
      <w:szCs w:val="32"/>
      <w:u w:val="none"/>
    </w:rPr>
  </w:style>
  <w:style w:type="character" w:customStyle="1" w:styleId="39">
    <w:name w:val="font11"/>
    <w:basedOn w:val="19"/>
    <w:qFormat/>
    <w:uiPriority w:val="0"/>
    <w:rPr>
      <w:rFonts w:hint="eastAsia" w:ascii="宋体" w:hAnsi="宋体" w:eastAsia="宋体" w:cs="宋体"/>
      <w:color w:val="000000"/>
      <w:sz w:val="32"/>
      <w:szCs w:val="32"/>
      <w:u w:val="none"/>
    </w:rPr>
  </w:style>
  <w:style w:type="character" w:customStyle="1" w:styleId="40">
    <w:name w:val="font31"/>
    <w:basedOn w:val="19"/>
    <w:qFormat/>
    <w:uiPriority w:val="0"/>
    <w:rPr>
      <w:rFonts w:hint="eastAsia" w:ascii="宋体" w:hAnsi="宋体" w:eastAsia="宋体" w:cs="宋体"/>
      <w:color w:val="000000"/>
      <w:sz w:val="20"/>
      <w:szCs w:val="20"/>
      <w:u w:val="none"/>
    </w:rPr>
  </w:style>
  <w:style w:type="character" w:customStyle="1" w:styleId="41">
    <w:name w:val="font81"/>
    <w:basedOn w:val="19"/>
    <w:qFormat/>
    <w:uiPriority w:val="0"/>
    <w:rPr>
      <w:rFonts w:hint="default" w:ascii="Arial" w:hAnsi="Arial" w:cs="Arial"/>
      <w:color w:val="000000"/>
      <w:sz w:val="20"/>
      <w:szCs w:val="20"/>
      <w:u w:val="none"/>
    </w:rPr>
  </w:style>
  <w:style w:type="character" w:customStyle="1" w:styleId="42">
    <w:name w:val="font101"/>
    <w:basedOn w:val="19"/>
    <w:qFormat/>
    <w:uiPriority w:val="0"/>
    <w:rPr>
      <w:rFonts w:hint="eastAsia" w:ascii="宋体" w:hAnsi="宋体" w:eastAsia="宋体" w:cs="宋体"/>
      <w:color w:val="000000"/>
      <w:sz w:val="20"/>
      <w:szCs w:val="20"/>
      <w:u w:val="none"/>
    </w:rPr>
  </w:style>
  <w:style w:type="paragraph" w:customStyle="1" w:styleId="43">
    <w:name w:val="_Style 3"/>
    <w:qFormat/>
    <w:uiPriority w:val="34"/>
    <w:pPr>
      <w:widowControl w:val="0"/>
      <w:ind w:firstLine="420" w:firstLineChars="200"/>
      <w:jc w:val="both"/>
    </w:pPr>
    <w:rPr>
      <w:rFonts w:ascii="Calibri" w:hAnsi="Calibri" w:eastAsia="宋体" w:cs="Times New Roman"/>
      <w:kern w:val="2"/>
      <w:sz w:val="20"/>
      <w:szCs w:val="20"/>
      <w:lang w:val="en-US" w:eastAsia="zh-CN" w:bidi="ar-SA"/>
    </w:rPr>
  </w:style>
  <w:style w:type="paragraph" w:customStyle="1" w:styleId="44">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45">
    <w:name w:val="标题 2 字符"/>
    <w:basedOn w:val="19"/>
    <w:link w:val="7"/>
    <w:qFormat/>
    <w:uiPriority w:val="9"/>
    <w:rPr>
      <w:rFonts w:asciiTheme="majorHAnsi" w:hAnsiTheme="majorHAnsi" w:eastAsiaTheme="majorEastAsia" w:cstheme="majorBidi"/>
      <w:b/>
      <w:bCs/>
      <w:kern w:val="2"/>
      <w:sz w:val="32"/>
      <w:szCs w:val="32"/>
    </w:rPr>
  </w:style>
  <w:style w:type="paragraph" w:customStyle="1" w:styleId="46">
    <w:name w:val="WPSOffice手动目录 1"/>
    <w:qFormat/>
    <w:uiPriority w:val="0"/>
    <w:pPr>
      <w:ind w:leftChars="0"/>
    </w:pPr>
    <w:rPr>
      <w:rFonts w:ascii="Times New Roman" w:hAnsi="Times New Roman" w:eastAsia="宋体" w:cs="Times New Roman"/>
      <w:sz w:val="20"/>
      <w:szCs w:val="20"/>
    </w:rPr>
  </w:style>
  <w:style w:type="paragraph" w:customStyle="1" w:styleId="47">
    <w:name w:val="WPSOffice手动目录 2"/>
    <w:qFormat/>
    <w:uiPriority w:val="0"/>
    <w:pPr>
      <w:ind w:leftChars="200"/>
    </w:pPr>
    <w:rPr>
      <w:rFonts w:ascii="Times New Roman" w:hAnsi="Times New Roman" w:eastAsia="宋体" w:cs="Times New Roman"/>
      <w:sz w:val="20"/>
      <w:szCs w:val="20"/>
    </w:rPr>
  </w:style>
  <w:style w:type="paragraph" w:customStyle="1" w:styleId="48">
    <w:name w:val="WPSOffice手动目录 3"/>
    <w:qFormat/>
    <w:uiPriority w:val="0"/>
    <w:pPr>
      <w:ind w:leftChars="400"/>
    </w:pPr>
    <w:rPr>
      <w:rFonts w:ascii="Times New Roman" w:hAnsi="Times New Roman" w:eastAsia="宋体" w:cs="Times New Roman"/>
      <w:sz w:val="20"/>
      <w:szCs w:val="20"/>
    </w:rPr>
  </w:style>
  <w:style w:type="character" w:customStyle="1" w:styleId="49">
    <w:name w:val="标题 1 字符"/>
    <w:basedOn w:val="19"/>
    <w:link w:val="6"/>
    <w:qFormat/>
    <w:uiPriority w:val="9"/>
    <w:rPr>
      <w:rFonts w:ascii="Times New Roman" w:hAnsi="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chart" Target="charts/chart3.xml"/><Relationship Id="rId8" Type="http://schemas.openxmlformats.org/officeDocument/2006/relationships/chart" Target="charts/chart2.xml"/><Relationship Id="rId7" Type="http://schemas.openxmlformats.org/officeDocument/2006/relationships/chart" Target="charts/chart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7.xml"/><Relationship Id="rId12" Type="http://schemas.openxmlformats.org/officeDocument/2006/relationships/chart" Target="charts/chart6.xml"/><Relationship Id="rId11" Type="http://schemas.openxmlformats.org/officeDocument/2006/relationships/chart" Target="charts/chart5.xml"/><Relationship Id="rId10" Type="http://schemas.openxmlformats.org/officeDocument/2006/relationships/chart" Target="charts/chart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39044;&#20915;&#31639;\&#20915;&#31639;&#20844;&#24320;\2022&#24180;&#20915;&#31639;&#20844;&#24320;\2022&#24180;&#20915;&#31639;&#20844;&#24320;&#65288;&#27169;&#26495;&#31867;&#65289;\&#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barChart>
        <c:barDir val="col"/>
        <c:grouping val="clustered"/>
        <c:varyColors val="false"/>
        <c:ser>
          <c:idx val="0"/>
          <c:order val="0"/>
          <c:spPr>
            <a:solidFill>
              <a:schemeClr val="accent1"/>
            </a:solidFill>
          </c:spPr>
          <c:invertIfNegative val="false"/>
          <c:dPt>
            <c:idx val="1"/>
            <c:invertIfNegative val="false"/>
            <c:bubble3D val="false"/>
            <c:spPr>
              <a:solidFill>
                <a:srgbClr val="FFC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755.11</c:v>
                </c:pt>
                <c:pt idx="1">
                  <c:v>884.68</c:v>
                </c:pt>
              </c:numCache>
            </c:numRef>
          </c:val>
        </c:ser>
        <c:dLbls>
          <c:showLegendKey val="false"/>
          <c:showVal val="true"/>
          <c:showCatName val="false"/>
          <c:showSerName val="false"/>
          <c:showPercent val="false"/>
          <c:showBubbleSize val="false"/>
        </c:dLbls>
        <c:gapWidth val="150"/>
        <c:axId val="132649344"/>
        <c:axId val="132650880"/>
      </c:barChart>
      <c:catAx>
        <c:axId val="132649344"/>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50880"/>
        <c:crosses val="autoZero"/>
        <c:auto val="true"/>
        <c:lblAlgn val="ctr"/>
        <c:lblOffset val="100"/>
        <c:noMultiLvlLbl val="false"/>
      </c:catAx>
      <c:valAx>
        <c:axId val="132650880"/>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manualLayout>
          <c:xMode val="edge"/>
          <c:yMode val="edge"/>
          <c:x val="0.321597222222222"/>
          <c:y val="0.0138888888888889"/>
        </c:manualLayout>
      </c:layout>
      <c:overlay val="false"/>
      <c:spPr>
        <a:noFill/>
        <a:ln>
          <a:noFill/>
        </a:ln>
        <a:effectLst/>
      </c:spPr>
    </c:title>
    <c:autoTitleDeleted val="false"/>
    <c:plotArea>
      <c:layout>
        <c:manualLayout>
          <c:layoutTarget val="inner"/>
          <c:xMode val="edge"/>
          <c:yMode val="edge"/>
          <c:x val="0.342013888888889"/>
          <c:y val="0.176388888888889"/>
          <c:w val="0.324305555555556"/>
          <c:h val="0.540509259259259"/>
        </c:manualLayout>
      </c:layout>
      <c:pieChart>
        <c:varyColors val="true"/>
        <c:ser>
          <c:idx val="0"/>
          <c:order val="0"/>
          <c:spPr/>
          <c:explosion val="0"/>
          <c:dLbls>
            <c:delete val="true"/>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Ref>
          </c:val>
        </c:ser>
        <c:ser>
          <c:idx val="1"/>
          <c:order val="1"/>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Pt>
            <c:idx val="5"/>
            <c:bubble3D val="false"/>
            <c:spPr>
              <a:solidFill>
                <a:schemeClr val="accent6"/>
              </a:solidFill>
              <a:ln w="19050">
                <a:solidFill>
                  <a:schemeClr val="lt1"/>
                </a:solidFill>
              </a:ln>
              <a:effectLst/>
            </c:spPr>
          </c:dPt>
          <c:dLbls>
            <c:dLbl>
              <c:idx val="1"/>
              <c:layout>
                <c:manualLayout>
                  <c:x val="-0.0678345712083347"/>
                  <c:y val="-0.05604027458553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false"/>
          <c:showVal val="fals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69224846894138"/>
          <c:y val="0.150462962962963"/>
          <c:w val="0.566371172353456"/>
          <c:h val="0.689814814814815"/>
        </c:manualLayout>
      </c:layout>
      <c:pieChart>
        <c:varyColors val="true"/>
        <c:ser>
          <c:idx val="0"/>
          <c:order val="0"/>
          <c:explosion val="0"/>
          <c:dPt>
            <c:idx val="0"/>
            <c:bubble3D val="false"/>
          </c:dPt>
          <c:dPt>
            <c:idx val="1"/>
            <c:bubble3D val="false"/>
          </c:dPt>
          <c:dLbls>
            <c:dLbl>
              <c:idx val="0"/>
              <c:layout>
                <c:manualLayout>
                  <c:x val="0.0848707349081365"/>
                  <c:y val="-0.17157334499854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0286458880139982"/>
                  <c:y val="0.140147273257509"/>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0.443</c:v>
                </c:pt>
                <c:pt idx="1">
                  <c:v>0.557</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119668853893263"/>
          <c:y val="0.0514005540974045"/>
          <c:w val="0.587929790026247"/>
          <c:h val="0.824965368912219"/>
        </c:manualLayout>
      </c:layout>
      <c:barChart>
        <c:barDir val="col"/>
        <c:grouping val="clustered"/>
        <c:varyColors val="false"/>
        <c:ser>
          <c:idx val="0"/>
          <c:order val="0"/>
          <c:invertIfNegative val="false"/>
          <c:dPt>
            <c:idx val="1"/>
            <c:invertIfNegative val="false"/>
            <c:bubble3D val="false"/>
            <c:spPr>
              <a:solidFill>
                <a:srgbClr val="C0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755.11</c:v>
                </c:pt>
                <c:pt idx="1">
                  <c:v>884.68</c:v>
                </c:pt>
              </c:numCache>
            </c:numRef>
          </c:val>
        </c:ser>
        <c:dLbls>
          <c:showLegendKey val="false"/>
          <c:showVal val="true"/>
          <c:showCatName val="false"/>
          <c:showSerName val="false"/>
          <c:showPercent val="false"/>
          <c:showBubbleSize val="false"/>
        </c:dLbls>
        <c:gapWidth val="150"/>
        <c:axId val="133066112"/>
        <c:axId val="133084288"/>
      </c:barChart>
      <c:catAx>
        <c:axId val="133066112"/>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084288"/>
        <c:crosses val="autoZero"/>
        <c:auto val="true"/>
        <c:lblAlgn val="ctr"/>
        <c:lblOffset val="100"/>
        <c:noMultiLvlLbl val="false"/>
      </c:catAx>
      <c:valAx>
        <c:axId val="133084288"/>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manualLayout>
          <c:layoutTarget val="inner"/>
          <c:xMode val="edge"/>
          <c:yMode val="edge"/>
          <c:x val="0.098571741032371"/>
          <c:y val="0.168676727909011"/>
          <c:w val="0.606249125109361"/>
          <c:h val="0.679911417322835"/>
        </c:manualLayout>
      </c:layout>
      <c:barChart>
        <c:barDir val="col"/>
        <c:grouping val="clustered"/>
        <c:varyColors val="false"/>
        <c:ser>
          <c:idx val="0"/>
          <c:order val="0"/>
          <c:invertIfNegative val="false"/>
          <c:dPt>
            <c:idx val="1"/>
            <c:invertIfNegative val="false"/>
            <c:bubble3D val="false"/>
            <c:spPr>
              <a:solidFill>
                <a:srgbClr val="FF0000"/>
              </a:solidFill>
            </c:spPr>
          </c:dPt>
          <c:dLbls>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false"/>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684.06</c:v>
                </c:pt>
                <c:pt idx="1">
                  <c:v>884.68</c:v>
                </c:pt>
              </c:numCache>
            </c:numRef>
          </c:val>
        </c:ser>
        <c:dLbls>
          <c:showLegendKey val="false"/>
          <c:showVal val="true"/>
          <c:showCatName val="false"/>
          <c:showSerName val="false"/>
          <c:showPercent val="false"/>
          <c:showBubbleSize val="false"/>
        </c:dLbls>
        <c:gapWidth val="150"/>
        <c:axId val="133142016"/>
        <c:axId val="133143552"/>
      </c:barChart>
      <c:catAx>
        <c:axId val="133142016"/>
        <c:scaling>
          <c:orientation val="minMax"/>
        </c:scaling>
        <c:delete val="false"/>
        <c:axPos val="b"/>
        <c:majorTickMark val="out"/>
        <c:minorTickMark val="none"/>
        <c:tickLblPos val="nextTo"/>
        <c:txPr>
          <a:bodyPr rot="-60000000" spcFirstLastPara="0" vertOverflow="ellipsis" vert="horz" wrap="square" anchor="ctr" anchorCtr="true"/>
          <a:lstStyle/>
          <a:p>
            <a:pPr>
              <a:defRPr lang="zh-CN" sz="600" b="0" i="0" u="none" strike="noStrike" kern="1200" baseline="0">
                <a:solidFill>
                  <a:schemeClr val="tx1"/>
                </a:solidFill>
                <a:latin typeface="+mn-lt"/>
                <a:ea typeface="+mn-ea"/>
                <a:cs typeface="+mn-cs"/>
              </a:defRPr>
            </a:pPr>
          </a:p>
        </c:txPr>
        <c:crossAx val="133143552"/>
        <c:crosses val="autoZero"/>
        <c:auto val="true"/>
        <c:lblAlgn val="ctr"/>
        <c:lblOffset val="100"/>
        <c:noMultiLvlLbl val="false"/>
      </c:catAx>
      <c:valAx>
        <c:axId val="133143552"/>
        <c:scaling>
          <c:orientation val="minMax"/>
        </c:scaling>
        <c:delete val="false"/>
        <c:axPos val="l"/>
        <c:majorGridlines/>
        <c:numFmt formatCode="General" sourceLinked="true"/>
        <c:majorTickMark val="out"/>
        <c:minorTickMark val="none"/>
        <c:tickLblPos val="nextTo"/>
        <c:txPr>
          <a:bodyPr rot="-6000000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spPr>
              <a:solidFill>
                <a:schemeClr val="tx2">
                  <a:lumMod val="40000"/>
                  <a:lumOff val="60000"/>
                </a:schemeClr>
              </a:solidFill>
            </c:spPr>
          </c:dPt>
          <c:dPt>
            <c:idx val="1"/>
            <c:bubble3D val="false"/>
          </c:dPt>
          <c:dPt>
            <c:idx val="2"/>
            <c:bubble3D val="false"/>
          </c:dPt>
          <c:dPt>
            <c:idx val="3"/>
            <c:bubble3D val="false"/>
          </c:dPt>
          <c:dLbls>
            <c:dLbl>
              <c:idx val="0"/>
              <c:layout>
                <c:manualLayout>
                  <c:x val="0.0170716316710411"/>
                  <c:y val="-0.0237897346165063"/>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6212489063867"/>
                  <c:y val="-0.0151297754447361"/>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0830118110236221"/>
                  <c:y val="-0.0767228054826485"/>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3"/>
              <c:layout>
                <c:manualLayout>
                  <c:x val="-0.191020652962339"/>
                  <c:y val="0.0080094070770761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[决算公开插图制作示例.xlsx]图6!$A$2:$A$5</c:f>
              <c:strCache>
                <c:ptCount val="4"/>
                <c:pt idx="0">
                  <c:v>社会保障和就业（类）支出</c:v>
                </c:pt>
                <c:pt idx="1">
                  <c:v>卫生健康支出（类）支出</c:v>
                </c:pt>
                <c:pt idx="2">
                  <c:v>农林水（类）支出</c:v>
                </c:pt>
                <c:pt idx="3">
                  <c:v>住房保障（类）支出</c:v>
                </c:pt>
              </c:strCache>
            </c:strRef>
          </c:cat>
          <c:val>
            <c:numRef>
              <c:f>[决算公开插图制作示例.xlsx]图6!$B$2:$B$5</c:f>
              <c:numCache>
                <c:formatCode>General</c:formatCode>
                <c:ptCount val="4"/>
                <c:pt idx="0">
                  <c:v>35.18</c:v>
                </c:pt>
                <c:pt idx="1">
                  <c:v>18.98</c:v>
                </c:pt>
                <c:pt idx="2">
                  <c:v>804.15</c:v>
                </c:pt>
                <c:pt idx="3" c:formatCode="#,##0.00">
                  <c:v>26.38</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autoTitleDeleted val="true"/>
    <c:plotArea>
      <c:layout/>
      <c:pieChart>
        <c:varyColors val="true"/>
        <c:ser>
          <c:idx val="0"/>
          <c:order val="0"/>
          <c:explosion val="0"/>
          <c:dPt>
            <c:idx val="0"/>
            <c:bubble3D val="false"/>
          </c:dPt>
          <c:dPt>
            <c:idx val="1"/>
            <c:bubble3D val="false"/>
          </c:dPt>
          <c:dPt>
            <c:idx val="2"/>
            <c:bubble3D val="false"/>
          </c:dPt>
          <c:dLbls>
            <c:dLbl>
              <c:idx val="0"/>
              <c:layout>
                <c:manualLayout>
                  <c:x val="-0.0677309711286089"/>
                  <c:y val="-0.062589676290463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1"/>
              <c:layout>
                <c:manualLayout>
                  <c:x val="0.112130139982502"/>
                  <c:y val="-0.0498581948089822"/>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dLbl>
              <c:idx val="2"/>
              <c:layout>
                <c:manualLayout>
                  <c:x val="0.179491251093613"/>
                  <c:y val="0.0549697433654127"/>
                </c:manualLayout>
              </c:layout>
              <c:dLblPos val="bestFit"/>
              <c:showLegendKey val="false"/>
              <c:showVal val="true"/>
              <c:showCatName val="false"/>
              <c:showSerName val="false"/>
              <c:showPercent val="fals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1000" b="0" i="0" u="none" strike="noStrike" kern="1200" baseline="0">
                    <a:solidFill>
                      <a:schemeClr val="tx1"/>
                    </a:solidFill>
                    <a:latin typeface="+mn-lt"/>
                    <a:ea typeface="+mn-ea"/>
                    <a:cs typeface="+mn-cs"/>
                  </a:defRPr>
                </a:pPr>
              </a:p>
            </c:txPr>
            <c:dLblPos val="bestFit"/>
            <c:showLegendKey val="false"/>
            <c:showVal val="true"/>
            <c:showCatName val="false"/>
            <c:showSerName val="false"/>
            <c:showPercent val="false"/>
            <c:showBubbleSize val="false"/>
            <c:showLeaderLines val="true"/>
            <c:extLst>
              <c:ext xmlns:c15="http://schemas.microsoft.com/office/drawing/2012/chart" uri="{CE6537A1-D6FC-4f65-9D91-7224C49458BB}">
                <c15:layout/>
                <c15:showLeaderLines val="true"/>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9</c:v>
                </c:pt>
                <c:pt idx="2">
                  <c:v>0</c:v>
                </c:pt>
              </c:numCache>
            </c:numRef>
          </c:val>
        </c:ser>
        <c:dLbls>
          <c:showLegendKey val="false"/>
          <c:showVal val="true"/>
          <c:showCatName val="false"/>
          <c:showSerName val="false"/>
          <c:showPercent val="false"/>
          <c:showBubbleSize val="false"/>
          <c:showLeaderLines val="true"/>
        </c:dLbls>
        <c:firstSliceAng val="15"/>
      </c:pieChart>
      <c:spPr>
        <a:noFill/>
        <a:ln>
          <a:noFill/>
        </a:ln>
        <a:effectLst/>
      </c:spPr>
    </c:plotArea>
    <c:legend>
      <c:legendPos val="r"/>
      <c:layout>
        <c:manualLayout>
          <c:xMode val="edge"/>
          <c:yMode val="edge"/>
          <c:x val="0.664920094314907"/>
          <c:y val="0.341517389739563"/>
        </c:manualLayout>
      </c:layout>
      <c:overlay val="false"/>
      <c:txPr>
        <a:bodyPr rot="0" spcFirstLastPara="0" vertOverflow="ellipsis" vert="horz" wrap="square" anchor="ctr" anchorCtr="true"/>
        <a:lstStyle/>
        <a:p>
          <a:pPr>
            <a:defRPr lang="zh-CN" sz="1000" b="0" i="0" u="none" strike="noStrike" kern="1200" baseline="0">
              <a:solidFill>
                <a:schemeClr val="tx1"/>
              </a:solidFill>
              <a:latin typeface="+mn-lt"/>
              <a:ea typeface="+mn-ea"/>
              <a:cs typeface="+mn-cs"/>
            </a:defRPr>
          </a:pPr>
        </a:p>
      </c:txPr>
    </c:legend>
    <c:plotVisOnly val="true"/>
    <c:dispBlanksAs val="gap"/>
    <c:showDLblsOverMax val="false"/>
  </c:chart>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36</Pages>
  <Words>13953</Words>
  <Characters>14867</Characters>
  <Lines>57</Lines>
  <Paragraphs>16</Paragraphs>
  <TotalTime>5</TotalTime>
  <ScaleCrop>false</ScaleCrop>
  <LinksUpToDate>false</LinksUpToDate>
  <CharactersWithSpaces>14973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user</cp:lastModifiedBy>
  <cp:lastPrinted>2023-10-12T14:44:00Z</cp:lastPrinted>
  <dcterms:modified xsi:type="dcterms:W3CDTF">2025-01-15T15:30:28Z</dcterms:modified>
  <dc:title>四川省***</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FECE6E27536A4DB39A5E98C2473AD13E_13</vt:lpwstr>
  </property>
</Properties>
</file>