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宋体"/>
          <w:sz w:val="72"/>
          <w:szCs w:val="72"/>
        </w:rPr>
      </w:pPr>
      <w:bookmarkStart w:id="0" w:name="_Toc15377425"/>
      <w:bookmarkStart w:id="1" w:name="_Toc15378441"/>
      <w:bookmarkStart w:id="2" w:name="_Toc15377193"/>
      <w:bookmarkStart w:id="3" w:name="_Toc15396475"/>
      <w:bookmarkStart w:id="4" w:name="_Toc15396597"/>
      <w:bookmarkStart w:id="5" w:name="_Toc15306267"/>
    </w:p>
    <w:p>
      <w:pPr>
        <w:spacing w:line="600" w:lineRule="exact"/>
        <w:jc w:val="center"/>
        <w:outlineLvl w:val="0"/>
        <w:rPr>
          <w:rFonts w:hint="eastAsia" w:ascii="宋体"/>
          <w:sz w:val="72"/>
          <w:szCs w:val="72"/>
        </w:rPr>
      </w:pPr>
    </w:p>
    <w:p>
      <w:pPr>
        <w:spacing w:line="600" w:lineRule="exact"/>
        <w:jc w:val="center"/>
        <w:outlineLvl w:val="0"/>
        <w:rPr>
          <w:rFonts w:hint="eastAsia" w:ascii="宋体"/>
          <w:sz w:val="72"/>
          <w:szCs w:val="72"/>
        </w:rPr>
      </w:pPr>
    </w:p>
    <w:p>
      <w:pPr>
        <w:adjustRightInd w:val="0"/>
        <w:snapToGrid w:val="0"/>
        <w:spacing w:line="360" w:lineRule="auto"/>
        <w:jc w:val="center"/>
        <w:outlineLvl w:val="0"/>
        <w:rPr>
          <w:rFonts w:hint="eastAsia" w:ascii="宋体" w:cs="方正小标宋简体"/>
          <w:sz w:val="72"/>
          <w:szCs w:val="72"/>
        </w:rPr>
      </w:pPr>
      <w:r>
        <w:rPr>
          <w:rFonts w:hint="eastAsia" w:ascii="宋体" w:cs="方正小标宋简体"/>
          <w:sz w:val="72"/>
          <w:szCs w:val="72"/>
        </w:rPr>
        <w:t>2022年度</w:t>
      </w:r>
      <w:bookmarkEnd w:id="0"/>
      <w:bookmarkEnd w:id="1"/>
      <w:bookmarkEnd w:id="2"/>
      <w:bookmarkEnd w:id="3"/>
      <w:bookmarkEnd w:id="4"/>
    </w:p>
    <w:bookmarkEnd w:id="5"/>
    <w:p>
      <w:pPr>
        <w:adjustRightInd w:val="0"/>
        <w:snapToGrid w:val="0"/>
        <w:spacing w:line="360" w:lineRule="auto"/>
        <w:jc w:val="center"/>
        <w:outlineLvl w:val="0"/>
        <w:rPr>
          <w:rFonts w:ascii="宋体" w:cs="方正小标宋简体"/>
          <w:sz w:val="72"/>
          <w:szCs w:val="72"/>
        </w:rPr>
      </w:pPr>
      <w:r>
        <w:rPr>
          <w:rFonts w:hint="eastAsia" w:ascii="宋体" w:cs="方正小标宋简体"/>
          <w:sz w:val="72"/>
          <w:szCs w:val="72"/>
        </w:rPr>
        <w:t>中共剑阁县委办公室</w:t>
      </w:r>
    </w:p>
    <w:p>
      <w:pPr>
        <w:adjustRightInd w:val="0"/>
        <w:snapToGrid w:val="0"/>
        <w:spacing w:line="360" w:lineRule="auto"/>
        <w:jc w:val="center"/>
        <w:outlineLvl w:val="0"/>
        <w:rPr>
          <w:rFonts w:hint="eastAsia" w:ascii="宋体" w:cs="方正小标宋简体"/>
          <w:sz w:val="72"/>
          <w:szCs w:val="72"/>
        </w:rPr>
      </w:pPr>
      <w:r>
        <w:rPr>
          <w:rFonts w:ascii="宋体" w:cs="方正小标宋简体"/>
          <w:sz w:val="72"/>
          <w:szCs w:val="72"/>
        </w:rPr>
        <w:t>部门</w:t>
      </w:r>
      <w:r>
        <w:rPr>
          <w:rFonts w:hint="eastAsia" w:ascii="宋体" w:cs="方正小标宋简体"/>
          <w:sz w:val="72"/>
          <w:szCs w:val="72"/>
        </w:rPr>
        <w:t>决算</w:t>
      </w:r>
      <w:bookmarkStart w:id="59" w:name="_GoBack"/>
      <w:bookmarkEnd w:id="59"/>
    </w:p>
    <w:p>
      <w:pPr>
        <w:widowControl/>
        <w:jc w:val="center"/>
        <w:rPr>
          <w:rFonts w:hint="eastAsia" w:ascii="宋体"/>
          <w:b/>
          <w:bCs/>
          <w:sz w:val="48"/>
          <w:szCs w:val="48"/>
        </w:rPr>
      </w:pPr>
      <w:r>
        <w:rPr>
          <w:rFonts w:hint="eastAsia" w:ascii="宋体"/>
          <w:sz w:val="36"/>
          <w:szCs w:val="36"/>
        </w:rPr>
        <w:br w:type="page"/>
      </w:r>
      <w:r>
        <w:rPr>
          <w:rFonts w:hint="eastAsia" w:ascii="宋体"/>
          <w:b/>
          <w:bCs/>
          <w:sz w:val="48"/>
          <w:szCs w:val="48"/>
        </w:rPr>
        <w:t>目录</w:t>
      </w:r>
    </w:p>
    <w:p>
      <w:pPr>
        <w:pStyle w:val="12"/>
        <w:rPr>
          <w:rFonts w:hint="eastAsia" w:ascii="宋体" w:eastAsia="宋体" w:cs="宋体"/>
        </w:rPr>
      </w:pPr>
      <w:r>
        <w:rPr>
          <w:rFonts w:hint="eastAsia" w:ascii="宋体" w:eastAsia="宋体" w:cs="宋体"/>
        </w:rPr>
        <w:t>公开时间：2023年</w:t>
      </w:r>
      <w:r>
        <w:rPr>
          <w:rFonts w:hint="eastAsia" w:ascii="宋体" w:eastAsia="宋体" w:cs="宋体"/>
          <w:lang w:val="en-US" w:eastAsia="zh-CN"/>
        </w:rPr>
        <w:t>10</w:t>
      </w:r>
      <w:r>
        <w:rPr>
          <w:rFonts w:hint="eastAsia" w:ascii="宋体" w:eastAsia="宋体" w:cs="宋体"/>
        </w:rPr>
        <w:t>月</w:t>
      </w:r>
      <w:r>
        <w:rPr>
          <w:rFonts w:hint="eastAsia" w:ascii="宋体" w:eastAsia="宋体" w:cs="宋体"/>
          <w:lang w:val="en-US" w:eastAsia="zh-CN"/>
        </w:rPr>
        <w:t>16</w:t>
      </w:r>
      <w:r>
        <w:rPr>
          <w:rFonts w:hint="eastAsia" w:ascii="宋体" w:eastAsia="宋体" w:cs="宋体"/>
        </w:rPr>
        <w:t>日</w:t>
      </w:r>
    </w:p>
    <w:p>
      <w:pPr>
        <w:pStyle w:val="2"/>
        <w:rPr>
          <w:rFonts w:hint="eastAsia" w:ascii="宋体" w:eastAsia="宋体"/>
          <w:kern w:val="2"/>
          <w:sz w:val="24"/>
          <w:szCs w:val="28"/>
        </w:rPr>
      </w:pPr>
    </w:p>
    <w:p>
      <w:pPr>
        <w:pStyle w:val="12"/>
        <w:adjustRightInd w:val="0"/>
        <w:snapToGrid w:val="0"/>
        <w:spacing w:before="0" w:line="440" w:lineRule="exact"/>
        <w:jc w:val="left"/>
        <w:rPr>
          <w:rFonts w:hint="eastAsia" w:ascii="宋体" w:eastAsia="宋体" w:cs="宋体"/>
          <w:b/>
          <w:bCs/>
        </w:rPr>
      </w:pPr>
      <w:r>
        <w:rPr>
          <w:rFonts w:hint="eastAsia" w:ascii="宋体" w:eastAsia="宋体" w:cs="宋体"/>
          <w:b/>
          <w:bCs/>
          <w:sz w:val="24"/>
        </w:rPr>
        <w:t>第</w:t>
      </w:r>
      <w:r>
        <w:rPr>
          <w:rFonts w:hint="eastAsia" w:ascii="宋体" w:eastAsia="宋体" w:cs="宋体"/>
          <w:b/>
          <w:bCs/>
        </w:rPr>
        <w:t>一部分 部门单位概况</w:t>
      </w:r>
    </w:p>
    <w:p>
      <w:pPr>
        <w:pStyle w:val="13"/>
        <w:adjustRightInd w:val="0"/>
        <w:snapToGrid w:val="0"/>
        <w:spacing w:line="440" w:lineRule="exact"/>
        <w:jc w:val="left"/>
        <w:rPr>
          <w:rFonts w:hint="eastAsia" w:ascii="宋体" w:cs="宋体"/>
          <w:sz w:val="28"/>
          <w:szCs w:val="28"/>
        </w:rPr>
      </w:pPr>
      <w:r>
        <w:rPr>
          <w:rFonts w:hint="eastAsia" w:ascii="宋体" w:cs="宋体"/>
          <w:sz w:val="28"/>
          <w:szCs w:val="28"/>
        </w:rPr>
        <w:t>一、基本职能及主要工作</w:t>
      </w:r>
    </w:p>
    <w:p>
      <w:pPr>
        <w:pStyle w:val="13"/>
        <w:adjustRightInd w:val="0"/>
        <w:snapToGrid w:val="0"/>
        <w:spacing w:line="440" w:lineRule="exact"/>
        <w:jc w:val="left"/>
        <w:rPr>
          <w:rFonts w:hint="eastAsia" w:ascii="宋体" w:cs="宋体"/>
          <w:sz w:val="28"/>
          <w:szCs w:val="28"/>
        </w:rPr>
      </w:pPr>
      <w:r>
        <w:rPr>
          <w:rFonts w:hint="eastAsia" w:ascii="宋体" w:cs="宋体"/>
          <w:sz w:val="28"/>
          <w:szCs w:val="28"/>
        </w:rPr>
        <w:t>二、机构设置</w:t>
      </w:r>
    </w:p>
    <w:p>
      <w:pPr>
        <w:pStyle w:val="12"/>
        <w:adjustRightInd w:val="0"/>
        <w:snapToGrid w:val="0"/>
        <w:spacing w:before="0" w:line="440" w:lineRule="exact"/>
        <w:jc w:val="left"/>
        <w:rPr>
          <w:rFonts w:hint="eastAsia" w:ascii="宋体" w:eastAsia="宋体"/>
          <w:b/>
          <w:bCs/>
        </w:rPr>
      </w:pPr>
      <w:r>
        <w:rPr>
          <w:rFonts w:hint="eastAsia" w:ascii="宋体" w:eastAsia="宋体"/>
          <w:b/>
          <w:bCs/>
        </w:rPr>
        <w:t>第二部分 2022年度部门决算情况说明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一、收入支出决算总体情况说明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二、收入决算情况说明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三、支出决算情况说明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四、财政拨款收入支出决算总体情况说明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五、一般公共预算财政拨款支出决算情况说明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六、一般公共预算财政拨款基本支出决算情况说明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七、财政拨款“三公”经费支出决算情况说明</w:t>
      </w:r>
    </w:p>
    <w:p>
      <w:pPr>
        <w:pStyle w:val="13"/>
        <w:adjustRightInd w:val="0"/>
        <w:snapToGrid w:val="0"/>
        <w:spacing w:line="440" w:lineRule="exact"/>
        <w:jc w:val="left"/>
        <w:rPr>
          <w:rFonts w:hint="eastAsia" w:ascii="宋体" w:cs="Arial"/>
          <w:sz w:val="28"/>
          <w:szCs w:val="28"/>
        </w:rPr>
      </w:pPr>
      <w:r>
        <w:rPr>
          <w:rFonts w:hint="eastAsia" w:ascii="宋体"/>
          <w:sz w:val="28"/>
          <w:szCs w:val="28"/>
        </w:rPr>
        <w:t>八、政府性基金预算支出决算情况说明</w:t>
      </w:r>
    </w:p>
    <w:p>
      <w:pPr>
        <w:pStyle w:val="13"/>
        <w:adjustRightInd w:val="0"/>
        <w:snapToGrid w:val="0"/>
        <w:spacing w:line="440" w:lineRule="exact"/>
        <w:jc w:val="left"/>
        <w:rPr>
          <w:rFonts w:hint="eastAsia" w:ascii="宋体" w:cs="宋体"/>
          <w:sz w:val="28"/>
          <w:szCs w:val="28"/>
        </w:rPr>
      </w:pPr>
      <w:r>
        <w:rPr>
          <w:rFonts w:hint="eastAsia" w:ascii="宋体" w:cs="宋体"/>
          <w:sz w:val="28"/>
          <w:szCs w:val="28"/>
        </w:rPr>
        <w:t>九、国有资本经营预算支出决算情况说明</w:t>
      </w:r>
    </w:p>
    <w:p>
      <w:pPr>
        <w:adjustRightInd w:val="0"/>
        <w:snapToGrid w:val="0"/>
        <w:spacing w:line="440" w:lineRule="exact"/>
        <w:ind w:firstLine="560" w:firstLineChars="200"/>
        <w:jc w:val="left"/>
        <w:rPr>
          <w:rFonts w:hint="eastAsia" w:ascii="宋体" w:cs="宋体"/>
          <w:sz w:val="28"/>
          <w:szCs w:val="28"/>
        </w:rPr>
      </w:pPr>
      <w:r>
        <w:rPr>
          <w:rStyle w:val="20"/>
          <w:rFonts w:hint="eastAsia" w:ascii="宋体" w:cs="宋体"/>
          <w:color w:val="auto"/>
          <w:sz w:val="28"/>
          <w:szCs w:val="28"/>
          <w:u w:val="none"/>
        </w:rPr>
        <w:t>十、</w:t>
      </w:r>
      <w:r>
        <w:rPr>
          <w:rFonts w:hint="eastAsia" w:ascii="宋体" w:cs="宋体"/>
          <w:sz w:val="28"/>
          <w:szCs w:val="28"/>
        </w:rPr>
        <w:t>其他重要事项的情况说明</w:t>
      </w:r>
      <w:r>
        <w:rPr>
          <w:rFonts w:hint="eastAsia" w:ascii="宋体" w:cs="宋体"/>
          <w:sz w:val="28"/>
          <w:szCs w:val="28"/>
        </w:rPr>
        <w:tab/>
      </w:r>
    </w:p>
    <w:p>
      <w:pPr>
        <w:pStyle w:val="12"/>
        <w:adjustRightInd w:val="0"/>
        <w:snapToGrid w:val="0"/>
        <w:spacing w:before="0" w:line="440" w:lineRule="exact"/>
        <w:jc w:val="left"/>
        <w:rPr>
          <w:rFonts w:hint="eastAsia" w:ascii="宋体" w:eastAsia="宋体" w:cs="Arial"/>
          <w:b/>
          <w:bCs/>
        </w:rPr>
      </w:pPr>
      <w:r>
        <w:rPr>
          <w:rFonts w:hint="eastAsia" w:ascii="宋体" w:eastAsia="宋体"/>
          <w:b/>
          <w:bCs/>
        </w:rPr>
        <w:t>第三部分 名词解释</w:t>
      </w:r>
    </w:p>
    <w:p>
      <w:pPr>
        <w:pStyle w:val="12"/>
        <w:adjustRightInd w:val="0"/>
        <w:snapToGrid w:val="0"/>
        <w:spacing w:before="0" w:line="440" w:lineRule="exact"/>
        <w:jc w:val="left"/>
        <w:rPr>
          <w:rFonts w:hint="eastAsia" w:ascii="宋体" w:eastAsia="宋体" w:cs="Arial"/>
          <w:b/>
          <w:bCs/>
        </w:rPr>
      </w:pPr>
      <w:r>
        <w:rPr>
          <w:rFonts w:hint="eastAsia" w:ascii="宋体" w:eastAsia="宋体"/>
          <w:b/>
          <w:bCs/>
        </w:rPr>
        <w:t>第四部分 附件</w:t>
      </w:r>
    </w:p>
    <w:p>
      <w:pPr>
        <w:pStyle w:val="12"/>
        <w:adjustRightInd w:val="0"/>
        <w:snapToGrid w:val="0"/>
        <w:spacing w:before="0" w:line="440" w:lineRule="exact"/>
        <w:jc w:val="left"/>
        <w:rPr>
          <w:rFonts w:hint="eastAsia" w:ascii="宋体" w:eastAsia="宋体" w:cs="Arial"/>
          <w:b/>
          <w:bCs/>
        </w:rPr>
      </w:pPr>
      <w:r>
        <w:rPr>
          <w:rFonts w:hint="eastAsia" w:ascii="宋体" w:eastAsia="宋体"/>
          <w:b/>
          <w:bCs/>
        </w:rPr>
        <w:t>第五部分 附表</w:t>
      </w:r>
    </w:p>
    <w:p>
      <w:pPr>
        <w:pStyle w:val="13"/>
        <w:adjustRightInd w:val="0"/>
        <w:snapToGrid w:val="0"/>
        <w:spacing w:line="440" w:lineRule="exact"/>
        <w:jc w:val="left"/>
        <w:rPr>
          <w:rFonts w:hint="eastAsia" w:ascii="宋体"/>
          <w:sz w:val="28"/>
          <w:szCs w:val="28"/>
        </w:rPr>
      </w:pPr>
      <w:r>
        <w:rPr>
          <w:rFonts w:hint="eastAsia" w:ascii="宋体"/>
          <w:sz w:val="28"/>
          <w:szCs w:val="28"/>
        </w:rPr>
        <w:t>一、收入支出决算总表</w:t>
      </w:r>
    </w:p>
    <w:p>
      <w:pPr>
        <w:pStyle w:val="13"/>
        <w:adjustRightInd w:val="0"/>
        <w:snapToGrid w:val="0"/>
        <w:spacing w:line="440" w:lineRule="exact"/>
        <w:jc w:val="left"/>
        <w:rPr>
          <w:rFonts w:hint="eastAsia" w:ascii="宋体"/>
          <w:sz w:val="28"/>
          <w:szCs w:val="28"/>
        </w:rPr>
      </w:pPr>
      <w:r>
        <w:rPr>
          <w:rFonts w:hint="eastAsia" w:ascii="宋体"/>
          <w:sz w:val="28"/>
          <w:szCs w:val="28"/>
        </w:rPr>
        <w:t>二、收入决算表</w:t>
      </w:r>
    </w:p>
    <w:p>
      <w:pPr>
        <w:pStyle w:val="13"/>
        <w:adjustRightInd w:val="0"/>
        <w:snapToGrid w:val="0"/>
        <w:spacing w:line="440" w:lineRule="exact"/>
        <w:jc w:val="left"/>
        <w:rPr>
          <w:rFonts w:hint="eastAsia" w:ascii="宋体"/>
          <w:sz w:val="28"/>
          <w:szCs w:val="28"/>
        </w:rPr>
      </w:pPr>
      <w:r>
        <w:rPr>
          <w:rFonts w:hint="eastAsia" w:ascii="宋体"/>
          <w:sz w:val="28"/>
          <w:szCs w:val="28"/>
        </w:rPr>
        <w:t>三、支出决算表</w:t>
      </w:r>
    </w:p>
    <w:p>
      <w:pPr>
        <w:pStyle w:val="13"/>
        <w:adjustRightInd w:val="0"/>
        <w:snapToGrid w:val="0"/>
        <w:spacing w:line="440" w:lineRule="exact"/>
        <w:jc w:val="left"/>
        <w:rPr>
          <w:rFonts w:hint="eastAsia" w:ascii="宋体"/>
          <w:sz w:val="28"/>
          <w:szCs w:val="28"/>
        </w:rPr>
      </w:pPr>
      <w:r>
        <w:rPr>
          <w:rFonts w:hint="eastAsia" w:ascii="宋体"/>
          <w:sz w:val="28"/>
          <w:szCs w:val="28"/>
        </w:rPr>
        <w:t>四、财政拨款收入支出决算总表</w:t>
      </w:r>
    </w:p>
    <w:p>
      <w:pPr>
        <w:pStyle w:val="13"/>
        <w:adjustRightInd w:val="0"/>
        <w:snapToGrid w:val="0"/>
        <w:spacing w:line="440" w:lineRule="exact"/>
        <w:jc w:val="left"/>
        <w:rPr>
          <w:rFonts w:hint="eastAsia" w:ascii="宋体"/>
          <w:sz w:val="28"/>
          <w:szCs w:val="28"/>
        </w:rPr>
      </w:pPr>
      <w:r>
        <w:rPr>
          <w:rFonts w:hint="eastAsia" w:ascii="宋体"/>
          <w:sz w:val="28"/>
          <w:szCs w:val="28"/>
        </w:rPr>
        <w:t>五、财政拨款支出决算明细表</w:t>
      </w:r>
    </w:p>
    <w:p>
      <w:pPr>
        <w:pStyle w:val="13"/>
        <w:adjustRightInd w:val="0"/>
        <w:snapToGrid w:val="0"/>
        <w:spacing w:line="440" w:lineRule="exact"/>
        <w:jc w:val="left"/>
        <w:rPr>
          <w:rFonts w:hint="eastAsia" w:ascii="宋体"/>
          <w:sz w:val="28"/>
          <w:szCs w:val="28"/>
        </w:rPr>
      </w:pPr>
      <w:r>
        <w:rPr>
          <w:rFonts w:hint="eastAsia" w:ascii="宋体"/>
          <w:sz w:val="28"/>
          <w:szCs w:val="28"/>
        </w:rPr>
        <w:t>六、一般公共预算财政拨款支出决算表</w:t>
      </w:r>
    </w:p>
    <w:p>
      <w:pPr>
        <w:pStyle w:val="13"/>
        <w:adjustRightInd w:val="0"/>
        <w:snapToGrid w:val="0"/>
        <w:spacing w:line="440" w:lineRule="exact"/>
        <w:jc w:val="left"/>
        <w:rPr>
          <w:rFonts w:hint="eastAsia" w:ascii="宋体"/>
          <w:sz w:val="28"/>
          <w:szCs w:val="28"/>
        </w:rPr>
      </w:pPr>
      <w:r>
        <w:rPr>
          <w:rFonts w:hint="eastAsia" w:ascii="宋体"/>
          <w:sz w:val="28"/>
          <w:szCs w:val="28"/>
        </w:rPr>
        <w:t>七、一般公共预算财政拨款支出决算明细表</w:t>
      </w:r>
    </w:p>
    <w:p>
      <w:pPr>
        <w:pStyle w:val="13"/>
        <w:adjustRightInd w:val="0"/>
        <w:snapToGrid w:val="0"/>
        <w:spacing w:line="440" w:lineRule="exact"/>
        <w:jc w:val="left"/>
        <w:rPr>
          <w:rFonts w:hint="eastAsia" w:ascii="宋体"/>
          <w:sz w:val="28"/>
          <w:szCs w:val="28"/>
        </w:rPr>
      </w:pPr>
      <w:r>
        <w:rPr>
          <w:rFonts w:hint="eastAsia" w:ascii="宋体"/>
          <w:sz w:val="28"/>
          <w:szCs w:val="28"/>
        </w:rPr>
        <w:t>八、一般公共预算财政拨款基本支出决算明细表</w:t>
      </w:r>
    </w:p>
    <w:p>
      <w:pPr>
        <w:pStyle w:val="13"/>
        <w:adjustRightInd w:val="0"/>
        <w:snapToGrid w:val="0"/>
        <w:spacing w:line="440" w:lineRule="exact"/>
        <w:jc w:val="left"/>
        <w:rPr>
          <w:rFonts w:hint="eastAsia" w:ascii="宋体"/>
          <w:sz w:val="28"/>
          <w:szCs w:val="28"/>
        </w:rPr>
      </w:pPr>
      <w:r>
        <w:rPr>
          <w:rFonts w:hint="eastAsia" w:ascii="宋体"/>
          <w:sz w:val="28"/>
          <w:szCs w:val="28"/>
        </w:rPr>
        <w:t>九、一般公共预算财政拨款项目支出决算表</w:t>
      </w:r>
    </w:p>
    <w:p>
      <w:pPr>
        <w:pStyle w:val="13"/>
        <w:adjustRightInd w:val="0"/>
        <w:snapToGrid w:val="0"/>
        <w:spacing w:line="440" w:lineRule="exact"/>
        <w:jc w:val="left"/>
        <w:rPr>
          <w:rFonts w:hint="eastAsia" w:ascii="宋体"/>
          <w:sz w:val="28"/>
          <w:szCs w:val="28"/>
        </w:rPr>
      </w:pPr>
      <w:r>
        <w:rPr>
          <w:rFonts w:hint="eastAsia" w:ascii="宋体"/>
          <w:sz w:val="28"/>
          <w:szCs w:val="28"/>
        </w:rPr>
        <w:t>十、政府性基金预算财政拨款收入支出决算表</w:t>
      </w:r>
    </w:p>
    <w:p>
      <w:pPr>
        <w:pStyle w:val="13"/>
        <w:adjustRightInd w:val="0"/>
        <w:snapToGrid w:val="0"/>
        <w:spacing w:line="440" w:lineRule="exact"/>
        <w:jc w:val="left"/>
        <w:rPr>
          <w:rFonts w:hint="eastAsia" w:ascii="宋体"/>
          <w:sz w:val="28"/>
          <w:szCs w:val="28"/>
        </w:rPr>
      </w:pPr>
      <w:r>
        <w:rPr>
          <w:rFonts w:hint="eastAsia" w:ascii="宋体"/>
          <w:sz w:val="28"/>
          <w:szCs w:val="28"/>
        </w:rPr>
        <w:t>十一、国有资本经营预算财政拨款收入支出决算表</w:t>
      </w:r>
    </w:p>
    <w:p>
      <w:pPr>
        <w:pStyle w:val="13"/>
        <w:adjustRightInd w:val="0"/>
        <w:snapToGrid w:val="0"/>
        <w:spacing w:line="440" w:lineRule="exact"/>
        <w:jc w:val="left"/>
        <w:rPr>
          <w:rFonts w:hint="eastAsia" w:ascii="宋体"/>
          <w:sz w:val="28"/>
          <w:szCs w:val="28"/>
        </w:rPr>
      </w:pPr>
      <w:r>
        <w:rPr>
          <w:rFonts w:hint="eastAsia" w:ascii="宋体"/>
          <w:sz w:val="28"/>
          <w:szCs w:val="28"/>
        </w:rPr>
        <w:t>十二、国有资本经营预算财政拨款支出决算表</w:t>
      </w:r>
    </w:p>
    <w:p>
      <w:pPr>
        <w:pStyle w:val="13"/>
        <w:adjustRightInd w:val="0"/>
        <w:snapToGrid w:val="0"/>
        <w:spacing w:line="440" w:lineRule="exact"/>
        <w:jc w:val="left"/>
        <w:rPr>
          <w:rFonts w:hint="eastAsia" w:ascii="宋体" w:cs="宋体"/>
          <w:sz w:val="28"/>
          <w:szCs w:val="28"/>
        </w:rPr>
      </w:pPr>
      <w:r>
        <w:rPr>
          <w:rFonts w:hint="eastAsia" w:ascii="宋体"/>
          <w:sz w:val="28"/>
          <w:szCs w:val="28"/>
        </w:rPr>
        <w:t>十三、财政拨款“三公”经费支出决算表</w:t>
      </w:r>
    </w:p>
    <w:p>
      <w:pPr>
        <w:widowControl/>
        <w:spacing w:line="440" w:lineRule="exact"/>
        <w:jc w:val="left"/>
        <w:rPr>
          <w:rFonts w:hint="eastAsia" w:ascii="宋体"/>
          <w:bCs/>
          <w:kern w:val="44"/>
          <w:sz w:val="28"/>
          <w:szCs w:val="28"/>
        </w:rPr>
      </w:pPr>
      <w:bookmarkStart w:id="6" w:name="_Toc15377196"/>
      <w:bookmarkStart w:id="7" w:name="_Toc15396599"/>
      <w:r>
        <w:rPr>
          <w:rFonts w:hint="eastAsia" w:ascii="宋体"/>
          <w:b/>
          <w:sz w:val="28"/>
          <w:szCs w:val="28"/>
        </w:rPr>
        <w:br w:type="page"/>
      </w:r>
    </w:p>
    <w:p>
      <w:pPr>
        <w:pStyle w:val="3"/>
        <w:jc w:val="center"/>
        <w:rPr>
          <w:rStyle w:val="21"/>
          <w:rFonts w:hint="eastAsia" w:ascii="宋体"/>
          <w:b w:val="0"/>
          <w:bCs w:val="0"/>
        </w:rPr>
      </w:pPr>
      <w:r>
        <w:rPr>
          <w:rFonts w:hint="eastAsia" w:ascii="宋体"/>
        </w:rPr>
        <w:t xml:space="preserve">第一部分 </w:t>
      </w:r>
      <w:r>
        <w:rPr>
          <w:rStyle w:val="21"/>
          <w:rFonts w:hint="eastAsia" w:ascii="宋体"/>
          <w:b w:val="0"/>
          <w:bCs w:val="0"/>
        </w:rPr>
        <w:t>部门概况</w:t>
      </w:r>
      <w:bookmarkEnd w:id="6"/>
      <w:bookmarkEnd w:id="7"/>
    </w:p>
    <w:p>
      <w:pPr>
        <w:jc w:val="both"/>
        <w:rPr>
          <w:rFonts w:hint="eastAsia" w:ascii="宋体"/>
        </w:rPr>
      </w:pPr>
      <w:bookmarkStart w:id="8" w:name="_Toc15377204"/>
      <w:bookmarkStart w:id="9" w:name="_Toc15396602"/>
    </w:p>
    <w:p>
      <w:pPr>
        <w:pStyle w:val="13"/>
        <w:numPr>
          <w:ilvl w:val="0"/>
          <w:numId w:val="1"/>
        </w:numPr>
        <w:adjustRightInd w:val="0"/>
        <w:snapToGrid w:val="0"/>
        <w:spacing w:line="440" w:lineRule="exact"/>
        <w:ind w:leftChars="0"/>
        <w:jc w:val="left"/>
        <w:rPr>
          <w:rFonts w:hint="eastAsia" w:ascii="宋体"/>
          <w:b/>
          <w:bCs/>
          <w:sz w:val="28"/>
          <w:szCs w:val="28"/>
        </w:rPr>
      </w:pPr>
      <w:r>
        <w:rPr>
          <w:rFonts w:hint="eastAsia" w:ascii="宋体"/>
          <w:b/>
          <w:bCs/>
          <w:sz w:val="28"/>
          <w:szCs w:val="28"/>
        </w:rPr>
        <w:t>部门职责及重点工作</w:t>
      </w:r>
    </w:p>
    <w:p>
      <w:pPr>
        <w:ind w:firstLine="420" w:firstLineChars="150"/>
        <w:rPr>
          <w:rFonts w:hint="eastAsia" w:ascii="宋体"/>
          <w:sz w:val="28"/>
          <w:szCs w:val="28"/>
        </w:rPr>
      </w:pPr>
      <w:r>
        <w:rPr>
          <w:rFonts w:hint="eastAsia" w:ascii="宋体"/>
          <w:sz w:val="28"/>
          <w:szCs w:val="28"/>
        </w:rPr>
        <w:t>1.负责县委日常公文处理工作。承担县委（县委办）文件、县委领导同志讲话等文稿的起草、校核、印发；办理各类公文、资料的收发、传递、立卷、归档和查阅等工作；负责县委规范性文件报送市委备案工作。</w:t>
      </w:r>
    </w:p>
    <w:p>
      <w:pPr>
        <w:ind w:firstLine="420" w:firstLineChars="150"/>
        <w:rPr>
          <w:rFonts w:hint="eastAsia" w:ascii="宋体"/>
          <w:sz w:val="28"/>
          <w:szCs w:val="28"/>
        </w:rPr>
      </w:pPr>
      <w:r>
        <w:rPr>
          <w:rFonts w:hint="eastAsia" w:ascii="宋体"/>
          <w:sz w:val="28"/>
          <w:szCs w:val="28"/>
        </w:rPr>
        <w:t>2.围绕县委中心工作，领导关注的重大问题，群众反映的“热点”“难点”问题，组织调查研究，开展信息服务，为县委决策提供依据和建议。</w:t>
      </w:r>
    </w:p>
    <w:p>
      <w:pPr>
        <w:ind w:firstLine="420" w:firstLineChars="150"/>
        <w:rPr>
          <w:rFonts w:hint="eastAsia" w:ascii="宋体"/>
          <w:sz w:val="28"/>
          <w:szCs w:val="28"/>
        </w:rPr>
      </w:pPr>
      <w:r>
        <w:rPr>
          <w:rFonts w:hint="eastAsia" w:ascii="宋体"/>
          <w:sz w:val="28"/>
          <w:szCs w:val="28"/>
        </w:rPr>
        <w:t>3.负责县党代会、县委全委会、县委常委（扩大）会、书记办公会、县委工作会等有关会议的筹备和服务工作；负责县委重大活动、县委领导参加有关活动的安排协调。</w:t>
      </w:r>
    </w:p>
    <w:p>
      <w:pPr>
        <w:ind w:firstLine="420" w:firstLineChars="150"/>
        <w:rPr>
          <w:rFonts w:hint="eastAsia" w:ascii="宋体"/>
          <w:sz w:val="28"/>
          <w:szCs w:val="28"/>
        </w:rPr>
      </w:pPr>
      <w:r>
        <w:rPr>
          <w:rFonts w:hint="eastAsia" w:ascii="宋体"/>
          <w:sz w:val="28"/>
          <w:szCs w:val="28"/>
        </w:rPr>
        <w:t>4.负责对上级党委和县委指示、领导同志批示的转达和催办落实；办理县人大代表、政协委员提出的需由县委答复的有关议案、提案和建议；处理下级党组织给县委的请示、报告。</w:t>
      </w:r>
    </w:p>
    <w:p>
      <w:pPr>
        <w:ind w:firstLine="420" w:firstLineChars="150"/>
        <w:rPr>
          <w:rFonts w:hint="eastAsia" w:ascii="宋体"/>
          <w:sz w:val="28"/>
          <w:szCs w:val="28"/>
        </w:rPr>
      </w:pPr>
      <w:r>
        <w:rPr>
          <w:rFonts w:hint="eastAsia" w:ascii="宋体"/>
          <w:sz w:val="28"/>
          <w:szCs w:val="28"/>
        </w:rPr>
        <w:t>5.负责全县目标绩效管理工作，负责中央、省、市、县委工作部署、会议精神、重要文件等贯彻落实情况的督促检查。</w:t>
      </w:r>
    </w:p>
    <w:p>
      <w:pPr>
        <w:ind w:firstLine="420" w:firstLineChars="150"/>
        <w:rPr>
          <w:rFonts w:hint="eastAsia" w:ascii="宋体"/>
          <w:sz w:val="28"/>
          <w:szCs w:val="28"/>
        </w:rPr>
      </w:pPr>
      <w:r>
        <w:rPr>
          <w:rFonts w:hint="eastAsia" w:ascii="宋体"/>
          <w:sz w:val="28"/>
          <w:szCs w:val="28"/>
        </w:rPr>
        <w:t>6.依法履行保密机要工作行政管理职能，监督检查保密机要法律法规、条例、制度的实施；监督检查保密机要工作责任的落实和制度建设情况；负责全县党政系统的密码、密码通信及全县商用密码的管理；负责全县电子政务内网建设管理的综合协调和业务指导；负责涉及保密、机要、密码等领域其他相关工作。</w:t>
      </w:r>
    </w:p>
    <w:p>
      <w:pPr>
        <w:ind w:firstLine="420" w:firstLineChars="150"/>
        <w:rPr>
          <w:rFonts w:hint="eastAsia" w:ascii="宋体"/>
          <w:sz w:val="28"/>
          <w:szCs w:val="28"/>
        </w:rPr>
      </w:pPr>
      <w:r>
        <w:rPr>
          <w:rFonts w:hint="eastAsia" w:ascii="宋体"/>
          <w:sz w:val="28"/>
          <w:szCs w:val="28"/>
        </w:rPr>
        <w:t>7.负责全县档案工作的监督和指导。</w:t>
      </w:r>
    </w:p>
    <w:p>
      <w:pPr>
        <w:ind w:firstLine="420" w:firstLineChars="150"/>
        <w:rPr>
          <w:rFonts w:hint="eastAsia" w:ascii="宋体"/>
          <w:sz w:val="28"/>
          <w:szCs w:val="28"/>
        </w:rPr>
      </w:pPr>
      <w:r>
        <w:rPr>
          <w:rFonts w:hint="eastAsia" w:ascii="宋体"/>
          <w:sz w:val="28"/>
          <w:szCs w:val="28"/>
        </w:rPr>
        <w:t>8.负责全县深化改革工作，承担县委改革办日常工作；负责对全县重大问题和各方面的重大政策的贯彻落实情况进行调查研究，及时为县委提出建议；负责党史研究工作的监督管理和指导。</w:t>
      </w:r>
    </w:p>
    <w:p>
      <w:pPr>
        <w:ind w:firstLine="420" w:firstLineChars="150"/>
        <w:rPr>
          <w:rFonts w:hint="eastAsia" w:ascii="宋体"/>
          <w:sz w:val="28"/>
          <w:szCs w:val="28"/>
        </w:rPr>
      </w:pPr>
      <w:r>
        <w:rPr>
          <w:rFonts w:hint="eastAsia" w:ascii="宋体"/>
          <w:sz w:val="28"/>
          <w:szCs w:val="28"/>
        </w:rPr>
        <w:t>9.负责组织协调维护国家安全工作，承担县委国安办日常工作。</w:t>
      </w:r>
    </w:p>
    <w:p>
      <w:pPr>
        <w:ind w:firstLine="420" w:firstLineChars="150"/>
        <w:rPr>
          <w:rFonts w:hint="eastAsia" w:ascii="宋体"/>
          <w:sz w:val="28"/>
          <w:szCs w:val="28"/>
        </w:rPr>
      </w:pPr>
      <w:r>
        <w:rPr>
          <w:rFonts w:hint="eastAsia" w:ascii="宋体"/>
          <w:sz w:val="28"/>
          <w:szCs w:val="28"/>
        </w:rPr>
        <w:t>10.负责贯彻执行党和国家有关对外方面的政策法规，牵头协调本县重大涉外活动，统筹协调全县外事和港澳事务；承担县委外事办日常事务。</w:t>
      </w:r>
    </w:p>
    <w:p>
      <w:pPr>
        <w:ind w:firstLine="420" w:firstLineChars="150"/>
        <w:rPr>
          <w:rFonts w:hint="eastAsia" w:ascii="宋体"/>
          <w:sz w:val="28"/>
          <w:szCs w:val="28"/>
        </w:rPr>
      </w:pPr>
      <w:r>
        <w:rPr>
          <w:rFonts w:hint="eastAsia" w:ascii="宋体"/>
          <w:sz w:val="28"/>
          <w:szCs w:val="28"/>
        </w:rPr>
        <w:t>11.负责县党风廉政建设责任制领导小组办公室工作。</w:t>
      </w:r>
    </w:p>
    <w:p>
      <w:pPr>
        <w:ind w:firstLine="420" w:firstLineChars="150"/>
        <w:rPr>
          <w:rFonts w:hint="eastAsia" w:ascii="宋体"/>
          <w:sz w:val="28"/>
          <w:szCs w:val="28"/>
        </w:rPr>
      </w:pPr>
      <w:r>
        <w:rPr>
          <w:rFonts w:hint="eastAsia" w:ascii="宋体"/>
          <w:sz w:val="28"/>
          <w:szCs w:val="28"/>
        </w:rPr>
        <w:t>12.负责县委机关的后勤服务工作；管理县委机关不动产、办公设备及其它固定资产；负责县委办公室行政事业经费的预算、财务审计、基建计划及实施等工作。</w:t>
      </w:r>
    </w:p>
    <w:p>
      <w:pPr>
        <w:ind w:firstLine="420" w:firstLineChars="150"/>
        <w:rPr>
          <w:rFonts w:hint="eastAsia" w:ascii="宋体"/>
          <w:sz w:val="28"/>
          <w:szCs w:val="28"/>
        </w:rPr>
      </w:pPr>
      <w:r>
        <w:rPr>
          <w:rFonts w:hint="eastAsia" w:ascii="宋体"/>
          <w:sz w:val="28"/>
          <w:szCs w:val="28"/>
        </w:rPr>
        <w:t>13.负责县委办公室及直属事业单位机构编制、劳资人事、干部考核、人员培训等工作；负责县委机关党风廉政建设和反腐败工作、精神文明建设工作；负责县委办公室离退休人员的服务工作；负责对全县接待工作进行监督指导。</w:t>
      </w:r>
    </w:p>
    <w:p>
      <w:pPr>
        <w:ind w:firstLine="280" w:firstLineChars="100"/>
        <w:rPr>
          <w:rFonts w:hint="eastAsia" w:ascii="宋体"/>
          <w:sz w:val="28"/>
          <w:szCs w:val="28"/>
        </w:rPr>
      </w:pPr>
      <w:r>
        <w:rPr>
          <w:rFonts w:hint="eastAsia" w:ascii="宋体"/>
          <w:sz w:val="28"/>
          <w:szCs w:val="28"/>
        </w:rPr>
        <w:t>14.负责县委机关安全文明建设和社会治安综合治理工作；负责依法依规履行职责范围内的安全生产监管职责；负责县委日常值班、统筹节假日值班。</w:t>
      </w:r>
    </w:p>
    <w:p>
      <w:pPr>
        <w:ind w:firstLine="280" w:firstLineChars="100"/>
        <w:rPr>
          <w:rFonts w:hint="eastAsia" w:ascii="宋体"/>
          <w:sz w:val="28"/>
          <w:szCs w:val="28"/>
        </w:rPr>
      </w:pPr>
      <w:r>
        <w:rPr>
          <w:rFonts w:hint="eastAsia" w:ascii="宋体"/>
          <w:sz w:val="28"/>
          <w:szCs w:val="28"/>
        </w:rPr>
        <w:t>15.完成县委交办的其它任务。</w:t>
      </w:r>
    </w:p>
    <w:p>
      <w:pPr>
        <w:pStyle w:val="13"/>
        <w:adjustRightInd w:val="0"/>
        <w:snapToGrid w:val="0"/>
        <w:spacing w:line="440" w:lineRule="exact"/>
        <w:jc w:val="left"/>
        <w:rPr>
          <w:rFonts w:hint="eastAsia" w:ascii="宋体"/>
          <w:b/>
          <w:bCs/>
          <w:sz w:val="28"/>
          <w:szCs w:val="28"/>
        </w:rPr>
      </w:pPr>
      <w:r>
        <w:rPr>
          <w:rFonts w:hint="eastAsia" w:ascii="宋体"/>
          <w:b/>
          <w:bCs/>
          <w:sz w:val="28"/>
          <w:szCs w:val="28"/>
        </w:rPr>
        <w:t>2022年重点工作完成情况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jc w:val="left"/>
        <w:textAlignment w:val="auto"/>
        <w:outlineLvl w:val="9"/>
        <w:rPr>
          <w:rFonts w:hint="eastAsia" w:ascii="宋体" w:cs="Times New Roman"/>
          <w:color w:val="auto"/>
          <w:sz w:val="28"/>
          <w:szCs w:val="28"/>
        </w:rPr>
      </w:pPr>
      <w:r>
        <w:rPr>
          <w:rFonts w:hint="eastAsia" w:ascii="宋体" w:cs="方正楷体简体"/>
          <w:color w:val="auto"/>
          <w:sz w:val="24"/>
        </w:rPr>
        <w:t>（</w:t>
      </w:r>
      <w:r>
        <w:rPr>
          <w:rFonts w:hint="eastAsia" w:ascii="宋体" w:cs="方正楷体简体"/>
          <w:color w:val="auto"/>
          <w:sz w:val="28"/>
          <w:szCs w:val="28"/>
        </w:rPr>
        <w:t>一）</w:t>
      </w:r>
      <w:r>
        <w:rPr>
          <w:rFonts w:hint="eastAsia" w:ascii="宋体" w:cs="方正楷体简体"/>
          <w:color w:val="auto"/>
          <w:sz w:val="28"/>
          <w:szCs w:val="28"/>
          <w:lang w:eastAsia="zh-CN"/>
        </w:rPr>
        <w:t>紧紧围绕中心工作，服务经济发展大局</w:t>
      </w:r>
      <w:r>
        <w:rPr>
          <w:rFonts w:hint="eastAsia" w:ascii="宋体" w:cs="方正楷体简体"/>
          <w:color w:val="auto"/>
          <w:sz w:val="28"/>
          <w:szCs w:val="28"/>
        </w:rPr>
        <w:t>。</w:t>
      </w:r>
      <w:r>
        <w:rPr>
          <w:rFonts w:hint="eastAsia" w:ascii="宋体" w:cs="方正楷体简体"/>
          <w:color w:val="auto"/>
          <w:sz w:val="28"/>
          <w:szCs w:val="28"/>
          <w:lang w:eastAsia="zh-CN"/>
        </w:rPr>
        <w:t>一是充分发挥参谋辅政职能</w:t>
      </w:r>
      <w:r>
        <w:rPr>
          <w:rFonts w:hint="eastAsia" w:ascii="宋体" w:cs="方正楷体简体"/>
          <w:color w:val="auto"/>
          <w:sz w:val="28"/>
          <w:szCs w:val="28"/>
          <w:lang w:val="zh-CN" w:eastAsia="zh-CN"/>
        </w:rPr>
        <w:t>。</w:t>
      </w:r>
      <w:r>
        <w:rPr>
          <w:rFonts w:hint="eastAsia" w:ascii="宋体" w:cs="方正仿宋简体"/>
          <w:color w:val="auto"/>
          <w:sz w:val="28"/>
          <w:szCs w:val="28"/>
          <w:lang w:val="en-US" w:eastAsia="zh-CN"/>
        </w:rPr>
        <w:t>坚持边学习、边调研、边工作、边总结，聚焦中央和省市部署、县委中心工作，</w:t>
      </w:r>
      <w:r>
        <w:rPr>
          <w:rFonts w:hint="eastAsia" w:ascii="宋体" w:cs="方正仿宋简体"/>
          <w:color w:val="auto"/>
          <w:sz w:val="28"/>
          <w:szCs w:val="28"/>
          <w:lang w:val="zh-CN" w:eastAsia="zh-CN"/>
        </w:rPr>
        <w:t>深入乡镇、县级部门、产业基地等实地调研</w:t>
      </w:r>
      <w:r>
        <w:rPr>
          <w:rFonts w:hint="eastAsia" w:ascii="宋体" w:cs="方正仿宋简体"/>
          <w:color w:val="auto"/>
          <w:sz w:val="28"/>
          <w:szCs w:val="28"/>
          <w:lang w:val="en-US" w:eastAsia="zh-CN"/>
        </w:rPr>
        <w:t>49次，</w:t>
      </w:r>
      <w:r>
        <w:rPr>
          <w:rFonts w:hint="eastAsia" w:ascii="宋体" w:cs="方正仿宋简体"/>
          <w:color w:val="auto"/>
          <w:sz w:val="28"/>
          <w:szCs w:val="28"/>
          <w:lang w:val="zh-CN" w:eastAsia="zh-CN"/>
        </w:rPr>
        <w:t>为县委科学决策提供依据，</w:t>
      </w:r>
      <w:r>
        <w:rPr>
          <w:rFonts w:hint="eastAsia" w:ascii="宋体" w:cs="方正仿宋简体"/>
          <w:color w:val="auto"/>
          <w:sz w:val="28"/>
          <w:szCs w:val="28"/>
          <w:lang w:val="en-US" w:eastAsia="zh-CN"/>
        </w:rPr>
        <w:t>切实让调研转化为谋划工作的思路、促进发展的举措，全年</w:t>
      </w:r>
      <w:r>
        <w:rPr>
          <w:rFonts w:hint="eastAsia" w:ascii="宋体" w:cs="方正仿宋简体"/>
          <w:color w:val="auto"/>
          <w:sz w:val="28"/>
          <w:szCs w:val="28"/>
          <w:lang w:val="zh-CN" w:eastAsia="zh-CN"/>
        </w:rPr>
        <w:t>累计完成</w:t>
      </w:r>
      <w:r>
        <w:rPr>
          <w:rFonts w:hint="eastAsia" w:ascii="宋体" w:cs="方正仿宋简体"/>
          <w:color w:val="auto"/>
          <w:sz w:val="28"/>
          <w:szCs w:val="28"/>
          <w:lang w:val="zh-CN"/>
        </w:rPr>
        <w:t>工作总结、调研报告、讲话材料等高质量文稿</w:t>
      </w:r>
      <w:r>
        <w:rPr>
          <w:rFonts w:hint="eastAsia" w:ascii="宋体" w:cs="方正仿宋简体"/>
          <w:color w:val="auto"/>
          <w:sz w:val="28"/>
          <w:szCs w:val="28"/>
          <w:lang w:val="en-US" w:eastAsia="zh-CN"/>
        </w:rPr>
        <w:t>150</w:t>
      </w:r>
      <w:r>
        <w:rPr>
          <w:rFonts w:hint="eastAsia" w:ascii="宋体" w:cs="方正仿宋简体"/>
          <w:color w:val="auto"/>
          <w:sz w:val="28"/>
          <w:szCs w:val="28"/>
          <w:lang w:val="zh-CN"/>
        </w:rPr>
        <w:t>余篇。</w:t>
      </w:r>
      <w:r>
        <w:rPr>
          <w:rFonts w:hint="eastAsia" w:ascii="宋体" w:cs="方正楷体简体"/>
          <w:color w:val="auto"/>
          <w:sz w:val="28"/>
          <w:szCs w:val="28"/>
          <w:lang w:eastAsia="zh-CN"/>
        </w:rPr>
        <w:t>二是</w:t>
      </w:r>
      <w:r>
        <w:rPr>
          <w:rFonts w:hint="eastAsia" w:ascii="宋体" w:cs="方正楷体简体"/>
          <w:color w:val="auto"/>
          <w:sz w:val="28"/>
          <w:szCs w:val="28"/>
          <w:lang w:val="en-US" w:eastAsia="zh-CN"/>
        </w:rPr>
        <w:t>突出信息服务</w:t>
      </w:r>
      <w:r>
        <w:rPr>
          <w:rFonts w:hint="eastAsia" w:ascii="宋体" w:cs="方正楷体简体"/>
          <w:color w:val="auto"/>
          <w:sz w:val="28"/>
          <w:szCs w:val="28"/>
          <w:lang w:val="zh-CN" w:eastAsia="zh-CN"/>
        </w:rPr>
        <w:t>。</w:t>
      </w:r>
      <w:r>
        <w:rPr>
          <w:rFonts w:hint="eastAsia" w:ascii="宋体" w:cs="方正仿宋简体"/>
          <w:color w:val="auto"/>
          <w:sz w:val="28"/>
          <w:szCs w:val="28"/>
          <w:lang w:val="en-US" w:eastAsia="zh-CN"/>
        </w:rPr>
        <w:t>在全县29个乡镇、54个县级部门设立党委信息机构，择优聘请18名特约信息员、15名信息直报员，创新实施党委信息员“提能培优”工程，先后抽调6名信息员跟班学习。全年组织党委信息提能培训7次，举行好信息“大比武”1次，邀请省委办公厅、市委办公室市委办信息科来剑开展调研、培训5次。召开党委信息工作“每月谈”座谈会6次，约谈提醒信息工作完成较差的20余个单位。全年编发《剑阁信息》68期，上报省信息30条、市信息290条，信息得分全市排名前列。信息工作进入全市前3行列。</w:t>
      </w:r>
      <w:r>
        <w:rPr>
          <w:rFonts w:hint="eastAsia" w:ascii="宋体" w:cs="方正楷体简体"/>
          <w:color w:val="auto"/>
          <w:sz w:val="28"/>
          <w:szCs w:val="28"/>
          <w:lang w:eastAsia="zh-CN"/>
        </w:rPr>
        <w:t>三是</w:t>
      </w:r>
      <w:r>
        <w:rPr>
          <w:rFonts w:hint="eastAsia" w:ascii="宋体" w:cs="方正楷体简体"/>
          <w:color w:val="auto"/>
          <w:sz w:val="28"/>
          <w:szCs w:val="28"/>
          <w:lang w:val="en-US" w:eastAsia="zh-CN"/>
        </w:rPr>
        <w:t>持续</w:t>
      </w:r>
      <w:r>
        <w:rPr>
          <w:rFonts w:hint="eastAsia" w:ascii="宋体" w:cs="方正楷体简体"/>
          <w:color w:val="auto"/>
          <w:sz w:val="28"/>
          <w:szCs w:val="28"/>
          <w:lang w:val="zh-CN" w:eastAsia="zh-CN"/>
        </w:rPr>
        <w:t>规范文件运行。</w:t>
      </w:r>
      <w:r>
        <w:rPr>
          <w:rFonts w:hint="eastAsia" w:ascii="宋体" w:cs="方正仿宋简体"/>
          <w:i/>
          <w:iCs/>
          <w:color w:val="auto"/>
          <w:sz w:val="28"/>
          <w:szCs w:val="28"/>
          <w:lang w:val="en-US" w:eastAsia="zh-CN"/>
        </w:rPr>
        <w:t>大力压减文件数量，从严审核文件内容。严守“只减不增”底线，进一步加强源头管控，始终坚持没有实质内容、可发可不发的文件一律不发，做好每季度全县发文统计工作，</w:t>
      </w:r>
      <w:r>
        <w:rPr>
          <w:rFonts w:hint="eastAsia" w:ascii="宋体" w:cs="方正仿宋简体"/>
          <w:color w:val="auto"/>
          <w:sz w:val="28"/>
          <w:szCs w:val="28"/>
          <w:lang w:val="en-US" w:eastAsia="zh-CN"/>
        </w:rPr>
        <w:t>2022年全县发文总量同比下降8.7%。大力弘扬“短实新”的文风，从严把好文件质量关。</w:t>
      </w:r>
      <w:r>
        <w:rPr>
          <w:rFonts w:hint="eastAsia" w:ascii="宋体" w:cs="方正楷体简体"/>
          <w:color w:val="auto"/>
          <w:sz w:val="28"/>
          <w:szCs w:val="28"/>
          <w:lang w:eastAsia="zh-CN"/>
        </w:rPr>
        <w:t>四是</w:t>
      </w:r>
      <w:r>
        <w:rPr>
          <w:rFonts w:hint="eastAsia" w:ascii="宋体" w:cs="方正楷体简体"/>
          <w:color w:val="auto"/>
          <w:sz w:val="28"/>
          <w:szCs w:val="28"/>
          <w:lang w:val="en-US" w:eastAsia="zh-CN"/>
        </w:rPr>
        <w:t>高效统筹</w:t>
      </w:r>
      <w:r>
        <w:rPr>
          <w:rFonts w:hint="eastAsia" w:ascii="宋体" w:cs="方正楷体简体"/>
          <w:color w:val="auto"/>
          <w:sz w:val="28"/>
          <w:szCs w:val="28"/>
          <w:lang w:val="zh-CN" w:eastAsia="zh-CN"/>
        </w:rPr>
        <w:t>会议活动。</w:t>
      </w:r>
      <w:r>
        <w:rPr>
          <w:rFonts w:hint="eastAsia" w:ascii="宋体" w:cs="方正仿宋简体"/>
          <w:color w:val="auto"/>
          <w:sz w:val="28"/>
          <w:szCs w:val="28"/>
          <w:lang w:val="zh-CN"/>
        </w:rPr>
        <w:t>新设会议股，落实2名人员专职负责统筹县委办公室承办的各类会议和指导全县综合性会议服务工作，大型会议活动进一步规范化。</w:t>
      </w:r>
      <w:r>
        <w:rPr>
          <w:rFonts w:hint="eastAsia" w:ascii="宋体" w:cs="方正仿宋简体"/>
          <w:color w:val="auto"/>
          <w:sz w:val="28"/>
          <w:szCs w:val="28"/>
          <w:lang w:val="en-US" w:eastAsia="zh-CN"/>
        </w:rPr>
        <w:t>创新建立“1+1+N”会议活动机制（1个方案制定人员+1个现场指导人员+N个牵头单位办会人员），构建起“县委办统筹指导+牵头部门具体承办”筹办模式，不断提高会议活动质量水平。一年来，统筹组织县委全会、县委常委会会议、县委书记专题会议等重大会议，以及省委、市委主要领导来剑调研等重要活动260余场次。创新建立县委办公室科级干部联系县委常委工作机制，由2名科级干部联系服务1名县委常委，负责联系领导重要会议、活动、项目、接待等工作的统筹协调以及重要文稿的审核工作。</w:t>
      </w:r>
      <w:r>
        <w:rPr>
          <w:rFonts w:hint="eastAsia" w:ascii="宋体" w:cs="方正楷体简体"/>
          <w:color w:val="auto"/>
          <w:sz w:val="28"/>
          <w:szCs w:val="28"/>
          <w:lang w:eastAsia="zh-CN"/>
        </w:rPr>
        <w:t>五是督查、党史政研、保密机要、接待等工作成效显著。</w:t>
      </w:r>
      <w:r>
        <w:rPr>
          <w:rFonts w:hint="eastAsia" w:ascii="宋体" w:cs="方正仿宋简体"/>
          <w:color w:val="auto"/>
          <w:sz w:val="28"/>
          <w:szCs w:val="28"/>
        </w:rPr>
        <w:t>全面完成机构改革任务，按机构改革工作要求，国安、外事、改革、机要密码、目标绩效、档案、党史政研等职能职责均按要求组建到位。</w:t>
      </w:r>
      <w:r>
        <w:rPr>
          <w:rFonts w:hint="eastAsia" w:ascii="宋体" w:cs="方正仿宋简体"/>
          <w:color w:val="auto"/>
          <w:sz w:val="28"/>
          <w:szCs w:val="28"/>
          <w:lang w:val="en-US" w:eastAsia="zh-CN"/>
        </w:rPr>
        <w:t>成立由县委办公室副主任任组长，退职未退休老干部为常务副组长，常委办、信息股、调研股为成员的5个督查专班，开展调研70余次，收集困难、问题及经验做法200余条，并建立问题清单，通过“发点球”、召开调度会、督查督办工作会等形式逐一销号。进一步统筹县委办、政府办、目标绩效事务中心等3支督查督办力量，优化调整为3个督查督办组，跟踪督办县委县政府重点项目、重点工作推进情况，每周进行情况通报，同时，</w:t>
      </w:r>
      <w:r>
        <w:rPr>
          <w:rFonts w:hint="eastAsia" w:ascii="宋体" w:cs="方正仿宋简体"/>
          <w:color w:val="auto"/>
          <w:sz w:val="28"/>
          <w:szCs w:val="28"/>
          <w:lang w:eastAsia="zh-CN"/>
        </w:rPr>
        <w:t>督办有关部门落实县委主要领导批示指示、县委常委会会议议定事项等</w:t>
      </w:r>
      <w:r>
        <w:rPr>
          <w:rFonts w:hint="eastAsia" w:ascii="宋体" w:cs="方正仿宋简体"/>
          <w:color w:val="auto"/>
          <w:sz w:val="28"/>
          <w:szCs w:val="28"/>
          <w:lang w:val="en-US" w:eastAsia="zh-CN"/>
        </w:rPr>
        <w:t>147件</w:t>
      </w:r>
      <w:r>
        <w:rPr>
          <w:rFonts w:hint="eastAsia" w:ascii="宋体" w:cs="方正仿宋简体"/>
          <w:color w:val="auto"/>
          <w:sz w:val="28"/>
          <w:szCs w:val="28"/>
          <w:lang w:eastAsia="zh-CN"/>
        </w:rPr>
        <w:t>次。</w:t>
      </w:r>
      <w:r>
        <w:rPr>
          <w:rFonts w:hint="eastAsia" w:ascii="宋体" w:cs="方正仿宋简体"/>
          <w:color w:val="auto"/>
          <w:sz w:val="28"/>
          <w:szCs w:val="28"/>
        </w:rPr>
        <w:t>先后召开深化改革、国安、外事委员会会议，明确运行规则、全年工作要点。全年接待省部级领导多次，出色完成各项重要接待任务，较好地展示了剑阁形象。认真完成保密工作，调整完善县委保密委员会，抓好中央保密委督查组反馈意见整改工作。全年未发生泄密事件和定密违规问题。</w:t>
      </w:r>
      <w:r>
        <w:rPr>
          <w:rFonts w:hint="eastAsia" w:ascii="宋体" w:cs="方正仿宋简体"/>
          <w:color w:val="auto"/>
          <w:sz w:val="28"/>
          <w:szCs w:val="28"/>
          <w:lang w:val="en-US" w:eastAsia="zh-CN"/>
        </w:rPr>
        <w:t>每天定时收集全县领导工作动态及计划，发送《剑阁要情》240余条，整理汇总《县委大事记》4期。</w:t>
      </w:r>
      <w:r>
        <w:rPr>
          <w:rFonts w:hint="eastAsia" w:ascii="宋体" w:cs="方正仿宋简体"/>
          <w:color w:val="auto"/>
          <w:sz w:val="28"/>
          <w:szCs w:val="28"/>
        </w:rPr>
        <w:t>有序推进党史政研、档案等工作，全年无文件丢失发生。</w:t>
      </w:r>
    </w:p>
    <w:p>
      <w:pPr>
        <w:pStyle w:val="2"/>
        <w:widowControl w:val="0"/>
        <w:autoSpaceDE w:val="0"/>
        <w:autoSpaceDN w:val="0"/>
        <w:spacing w:before="0" w:beforeLines="0" w:beforeAutospacing="0" w:after="0" w:afterAutospacing="0" w:line="560" w:lineRule="exact"/>
        <w:ind w:firstLine="560" w:firstLineChars="200"/>
        <w:jc w:val="both"/>
        <w:rPr>
          <w:rFonts w:hint="eastAsia" w:ascii="宋体" w:eastAsia="宋体" w:cs="方正仿宋简体"/>
          <w:color w:val="auto"/>
          <w:sz w:val="28"/>
          <w:szCs w:val="28"/>
        </w:rPr>
      </w:pPr>
      <w:r>
        <w:rPr>
          <w:rFonts w:hint="eastAsia" w:ascii="宋体" w:eastAsia="宋体" w:cs="方正楷体简体"/>
          <w:color w:val="auto"/>
          <w:sz w:val="28"/>
          <w:szCs w:val="28"/>
        </w:rPr>
        <w:t>（</w:t>
      </w:r>
      <w:r>
        <w:rPr>
          <w:rFonts w:ascii="宋体" w:eastAsia="宋体" w:cs="方正楷体简体"/>
          <w:color w:val="auto"/>
          <w:sz w:val="28"/>
          <w:szCs w:val="28"/>
        </w:rPr>
        <w:t>二</w:t>
      </w:r>
      <w:r>
        <w:rPr>
          <w:rFonts w:hint="eastAsia" w:ascii="宋体" w:eastAsia="宋体" w:cs="方正楷体简体"/>
          <w:color w:val="auto"/>
          <w:sz w:val="28"/>
          <w:szCs w:val="28"/>
        </w:rPr>
        <w:t>）</w:t>
      </w:r>
      <w:r>
        <w:rPr>
          <w:rFonts w:hint="eastAsia" w:ascii="宋体" w:eastAsia="宋体" w:cs="方正楷体简体"/>
          <w:color w:val="auto"/>
          <w:sz w:val="28"/>
          <w:szCs w:val="28"/>
          <w:lang w:eastAsia="zh-CN"/>
        </w:rPr>
        <w:t>及时回应群众期盼</w:t>
      </w:r>
      <w:r>
        <w:rPr>
          <w:rFonts w:hint="eastAsia" w:ascii="宋体" w:eastAsia="宋体" w:cs="方正楷体简体"/>
          <w:color w:val="auto"/>
          <w:sz w:val="28"/>
          <w:szCs w:val="28"/>
        </w:rPr>
        <w:t>，</w:t>
      </w:r>
      <w:r>
        <w:rPr>
          <w:rFonts w:hint="eastAsia" w:ascii="宋体" w:eastAsia="宋体" w:cs="方正楷体简体"/>
          <w:color w:val="auto"/>
          <w:sz w:val="28"/>
          <w:szCs w:val="28"/>
          <w:lang w:eastAsia="zh-CN"/>
        </w:rPr>
        <w:t>切实做好民生服务</w:t>
      </w:r>
      <w:r>
        <w:rPr>
          <w:rFonts w:hint="eastAsia" w:ascii="宋体" w:eastAsia="宋体" w:cs="方正楷体简体"/>
          <w:color w:val="auto"/>
          <w:sz w:val="28"/>
          <w:szCs w:val="28"/>
        </w:rPr>
        <w:t>。</w:t>
      </w:r>
      <w:r>
        <w:rPr>
          <w:rFonts w:hint="eastAsia" w:ascii="宋体" w:eastAsia="宋体" w:cs="方正楷体简体"/>
          <w:color w:val="auto"/>
          <w:kern w:val="2"/>
          <w:sz w:val="28"/>
          <w:szCs w:val="28"/>
          <w:lang w:val="en-US" w:eastAsia="zh-CN" w:bidi="ar-SA"/>
        </w:rPr>
        <w:t>一是强化服务意识。</w:t>
      </w:r>
      <w:r>
        <w:rPr>
          <w:rFonts w:hint="eastAsia" w:ascii="宋体" w:eastAsia="宋体" w:cs="方正仿宋简体"/>
          <w:color w:val="auto"/>
          <w:kern w:val="2"/>
          <w:sz w:val="28"/>
          <w:szCs w:val="28"/>
          <w:lang w:val="en-US" w:eastAsia="zh-CN" w:bidi="ar-SA"/>
        </w:rPr>
        <w:t>为方便来访群众办事，进一步优化健全办事制度流程，全面推行制度上墙、楼道索引等措施，所有股室结合自身职能职责，将办事流程挂在办公室显眼处，设置楼道索引和门牌号，方便来访人员办事。改迁原县委三楼二会议室为信息等候室，方便来访人员休息等候。</w:t>
      </w:r>
      <w:r>
        <w:rPr>
          <w:rFonts w:hint="eastAsia" w:ascii="宋体" w:eastAsia="宋体" w:cs="方正楷体简体"/>
          <w:color w:val="auto"/>
          <w:kern w:val="2"/>
          <w:sz w:val="28"/>
          <w:szCs w:val="28"/>
          <w:lang w:val="en-US" w:eastAsia="zh-CN" w:bidi="ar-SA"/>
        </w:rPr>
        <w:t>二是强化宗旨意识。</w:t>
      </w:r>
      <w:r>
        <w:rPr>
          <w:rFonts w:hint="eastAsia" w:ascii="宋体" w:eastAsia="宋体" w:cs="方正仿宋简体"/>
          <w:color w:val="auto"/>
          <w:kern w:val="2"/>
          <w:sz w:val="28"/>
          <w:szCs w:val="28"/>
          <w:lang w:val="en-US" w:eastAsia="zh-CN" w:bidi="ar-SA"/>
        </w:rPr>
        <w:t>带头发挥党建示范引领作用，组织机关支部将“主题党日”等活动开到帮扶村去，带领党员干部到最基层一线去，党员干部一起参与帮助群众增收，与农村党员一起重温入党誓词、唱国歌等，干群关系和群众满意度得到空前提升。</w:t>
      </w:r>
      <w:r>
        <w:rPr>
          <w:rFonts w:hint="eastAsia" w:ascii="宋体" w:eastAsia="宋体" w:cs="方正楷体简体"/>
          <w:color w:val="auto"/>
          <w:kern w:val="2"/>
          <w:sz w:val="28"/>
          <w:szCs w:val="28"/>
          <w:lang w:val="en-US" w:eastAsia="zh-CN" w:bidi="ar-SA"/>
        </w:rPr>
        <w:t>三是提升履职能力</w:t>
      </w:r>
      <w:r>
        <w:rPr>
          <w:rFonts w:hint="eastAsia" w:ascii="宋体" w:eastAsia="宋体" w:cs="方正仿宋简体"/>
          <w:color w:val="auto"/>
          <w:sz w:val="28"/>
          <w:szCs w:val="28"/>
        </w:rPr>
        <w:t>。</w:t>
      </w:r>
      <w:r>
        <w:rPr>
          <w:rFonts w:hint="eastAsia" w:ascii="宋体" w:eastAsia="宋体" w:cs="方正仿宋简体"/>
          <w:color w:val="auto"/>
          <w:sz w:val="28"/>
          <w:szCs w:val="28"/>
          <w:lang w:val="en-US" w:eastAsia="zh-CN"/>
        </w:rPr>
        <w:t>按照“高标准、严要求、快节奏、学标杆、争一流”要求，</w:t>
      </w:r>
      <w:r>
        <w:rPr>
          <w:rFonts w:hint="eastAsia" w:ascii="宋体" w:eastAsia="宋体" w:cs="方正仿宋简体"/>
          <w:color w:val="auto"/>
          <w:sz w:val="28"/>
          <w:szCs w:val="28"/>
          <w:lang w:eastAsia="zh-CN"/>
        </w:rPr>
        <w:t>充分发扬“说干就干、干就干成、越干越好”的“三干”精神，</w:t>
      </w:r>
      <w:r>
        <w:rPr>
          <w:rFonts w:hint="eastAsia" w:ascii="宋体" w:eastAsia="宋体" w:cs="方正仿宋简体"/>
          <w:color w:val="auto"/>
          <w:sz w:val="28"/>
          <w:szCs w:val="28"/>
          <w:lang w:val="en-US" w:eastAsia="zh-CN"/>
        </w:rPr>
        <w:t>始终坚持以求真务实的工作作风和勇争一流的工作态度</w:t>
      </w:r>
      <w:r>
        <w:rPr>
          <w:rFonts w:hint="eastAsia" w:ascii="宋体" w:eastAsia="宋体" w:cs="方正仿宋简体"/>
          <w:color w:val="auto"/>
          <w:sz w:val="28"/>
          <w:szCs w:val="28"/>
        </w:rPr>
        <w:t>，</w:t>
      </w:r>
      <w:r>
        <w:rPr>
          <w:rFonts w:hint="eastAsia" w:ascii="宋体" w:eastAsia="宋体" w:cs="方正仿宋简体"/>
          <w:color w:val="auto"/>
          <w:sz w:val="28"/>
          <w:szCs w:val="28"/>
          <w:lang w:eastAsia="zh-CN"/>
        </w:rPr>
        <w:t>持续整治</w:t>
      </w:r>
      <w:r>
        <w:rPr>
          <w:rFonts w:hint="eastAsia" w:ascii="宋体" w:eastAsia="宋体" w:cs="方正仿宋简体"/>
          <w:color w:val="auto"/>
          <w:sz w:val="28"/>
          <w:szCs w:val="28"/>
          <w:shd w:val="clear" w:color="auto" w:fill="FFFFFF"/>
        </w:rPr>
        <w:t>“五个看不惯”问题，</w:t>
      </w:r>
      <w:r>
        <w:rPr>
          <w:rFonts w:hint="eastAsia" w:ascii="宋体" w:eastAsia="宋体" w:cs="方正仿宋简体"/>
          <w:color w:val="auto"/>
          <w:sz w:val="28"/>
          <w:szCs w:val="28"/>
        </w:rPr>
        <w:t>围绕办公室“三服务”工作职能，坚持从办公室办文、办会、办事等小事小节抓起，对办文、办会、信息、调研、服务能力和水平方面存在的问题和不足，召开室务会议专题分析研究，发点球、抓落实、督效果，促进工作效能全面提升。同时，加强与上级部门交流对接，积极向其他优秀县区沟通学习，取长补短，学习先进、赶先进、当先进，不断提高县委办公室履职能力和服务水平。</w:t>
      </w:r>
    </w:p>
    <w:p>
      <w:pPr>
        <w:pStyle w:val="2"/>
        <w:autoSpaceDE w:val="0"/>
        <w:autoSpaceDN w:val="0"/>
        <w:spacing w:before="0" w:beforeLines="0" w:line="560" w:lineRule="exact"/>
        <w:ind w:firstLine="420" w:firstLineChars="150"/>
        <w:rPr>
          <w:rFonts w:hint="eastAsia" w:ascii="宋体" w:eastAsia="宋体"/>
          <w:spacing w:val="-6"/>
          <w:sz w:val="28"/>
          <w:szCs w:val="28"/>
        </w:rPr>
      </w:pPr>
      <w:r>
        <w:rPr>
          <w:rFonts w:ascii="宋体" w:eastAsia="宋体" w:cs="方正楷体简体"/>
          <w:color w:val="auto"/>
          <w:sz w:val="28"/>
          <w:szCs w:val="28"/>
          <w:lang w:eastAsia="zh-CN"/>
        </w:rPr>
        <w:t>（三）</w:t>
      </w:r>
      <w:r>
        <w:rPr>
          <w:rFonts w:hint="eastAsia" w:ascii="宋体" w:eastAsia="宋体" w:cs="方正楷体简体"/>
          <w:color w:val="auto"/>
          <w:sz w:val="28"/>
          <w:szCs w:val="28"/>
          <w:lang w:eastAsia="zh-CN"/>
        </w:rPr>
        <w:t>着力</w:t>
      </w:r>
      <w:r>
        <w:rPr>
          <w:rFonts w:hint="eastAsia" w:ascii="宋体" w:eastAsia="宋体" w:cs="方正楷体简体"/>
          <w:color w:val="auto"/>
          <w:sz w:val="28"/>
          <w:szCs w:val="28"/>
        </w:rPr>
        <w:t>选优配强，持续加强自身建设。</w:t>
      </w:r>
      <w:r>
        <w:rPr>
          <w:rFonts w:hint="eastAsia" w:ascii="宋体" w:eastAsia="宋体" w:cs="方正楷体简体"/>
          <w:color w:val="auto"/>
          <w:kern w:val="2"/>
          <w:sz w:val="28"/>
          <w:szCs w:val="28"/>
          <w:lang w:val="en-US" w:eastAsia="zh-CN" w:bidi="ar-SA"/>
        </w:rPr>
        <w:t>一是优化机构设置</w:t>
      </w:r>
      <w:r>
        <w:rPr>
          <w:rFonts w:hint="eastAsia" w:ascii="宋体" w:eastAsia="宋体" w:cs="方正仿宋简体"/>
          <w:color w:val="auto"/>
          <w:spacing w:val="-6"/>
          <w:sz w:val="28"/>
          <w:szCs w:val="28"/>
          <w:lang w:eastAsia="zh-CN"/>
        </w:rPr>
        <w:t>。</w:t>
      </w:r>
      <w:r>
        <w:rPr>
          <w:rFonts w:hint="eastAsia" w:ascii="宋体" w:eastAsia="宋体" w:cs="方正仿宋简体"/>
          <w:color w:val="auto"/>
          <w:spacing w:val="-6"/>
          <w:sz w:val="28"/>
          <w:szCs w:val="28"/>
        </w:rPr>
        <w:t>为适应新形势新要求，通过外出考</w:t>
      </w:r>
      <w:r>
        <w:rPr>
          <w:rFonts w:hint="eastAsia" w:ascii="宋体" w:eastAsia="宋体" w:cs="方正仿宋简体"/>
          <w:color w:val="auto"/>
          <w:spacing w:val="-6"/>
          <w:sz w:val="28"/>
          <w:szCs w:val="28"/>
          <w:lang w:eastAsia="zh-CN"/>
        </w:rPr>
        <w:t>察</w:t>
      </w:r>
      <w:r>
        <w:rPr>
          <w:rFonts w:hint="eastAsia" w:ascii="宋体" w:eastAsia="宋体" w:cs="方正仿宋简体"/>
          <w:color w:val="auto"/>
          <w:spacing w:val="-6"/>
          <w:sz w:val="28"/>
          <w:szCs w:val="28"/>
        </w:rPr>
        <w:t>学习、广泛征求县领导、部门（单位）、干部职工等意见建议，经室务会研究、向编委会请示，对调研股、综合股、会议股等内设机构进行了调整。根据工作需要，在充分研判人员结构、特点等基础上，对领导班子进行了分工调整和股室人员轮岗锻炼。</w:t>
      </w:r>
      <w:r>
        <w:rPr>
          <w:rFonts w:hint="eastAsia" w:ascii="宋体" w:eastAsia="宋体" w:cs="方正楷体简体"/>
          <w:color w:val="auto"/>
          <w:kern w:val="2"/>
          <w:sz w:val="28"/>
          <w:szCs w:val="28"/>
          <w:lang w:val="en-US" w:eastAsia="zh-CN" w:bidi="ar-SA"/>
        </w:rPr>
        <w:t>二是选优配强干部队伍。</w:t>
      </w:r>
      <w:r>
        <w:rPr>
          <w:rFonts w:hint="eastAsia" w:ascii="宋体" w:eastAsia="宋体" w:cs="方正仿宋简体"/>
          <w:color w:val="auto"/>
          <w:spacing w:val="-6"/>
          <w:sz w:val="28"/>
          <w:szCs w:val="28"/>
        </w:rPr>
        <w:t>加强对外交流，主动“走出去”学习新发展理念，不断适应新形势新要求，先后选派2名干部到市委办公室顶岗锻炼，常态化与省、市和其他县区党委办公室的沟通对接，交流渠道全面打开，各类信息进一步畅通，促进更好建言献策。从各乡镇、县级各部门大力选拔优秀年轻干部到重点股室交流历练，切实培养锻炼干部本领，为干部队伍输入新鲜血液，充实队伍战斗力量。</w:t>
      </w:r>
      <w:r>
        <w:rPr>
          <w:rFonts w:hint="eastAsia" w:ascii="宋体" w:eastAsia="宋体" w:cs="方正楷体简体"/>
          <w:color w:val="auto"/>
          <w:kern w:val="2"/>
          <w:sz w:val="28"/>
          <w:szCs w:val="28"/>
          <w:lang w:val="en-US" w:eastAsia="zh-CN" w:bidi="ar-SA"/>
        </w:rPr>
        <w:t>三是健全完善办公室考核评比细则。</w:t>
      </w:r>
      <w:r>
        <w:rPr>
          <w:rFonts w:hint="eastAsia" w:ascii="宋体" w:eastAsia="宋体" w:cs="方正仿宋简体"/>
          <w:color w:val="auto"/>
          <w:sz w:val="28"/>
          <w:szCs w:val="28"/>
        </w:rPr>
        <w:t>强化激励措施，在严格要求干部的同时，充分激发干部干事激情热情，全力保障干部福利待遇，进一步明确严格兑现干部基本福利保障，不断激发干部激情。</w:t>
      </w:r>
    </w:p>
    <w:p>
      <w:pPr>
        <w:pStyle w:val="13"/>
        <w:adjustRightInd w:val="0"/>
        <w:snapToGrid w:val="0"/>
        <w:spacing w:line="440" w:lineRule="exact"/>
        <w:jc w:val="left"/>
        <w:rPr>
          <w:rFonts w:ascii="宋体"/>
          <w:b/>
          <w:bCs/>
          <w:sz w:val="28"/>
          <w:szCs w:val="28"/>
        </w:rPr>
      </w:pPr>
    </w:p>
    <w:p>
      <w:pPr>
        <w:pStyle w:val="13"/>
        <w:adjustRightInd w:val="0"/>
        <w:snapToGrid w:val="0"/>
        <w:spacing w:line="440" w:lineRule="exact"/>
        <w:jc w:val="left"/>
        <w:rPr>
          <w:rFonts w:hint="eastAsia" w:ascii="宋体"/>
          <w:b/>
          <w:bCs/>
          <w:sz w:val="28"/>
          <w:szCs w:val="28"/>
        </w:rPr>
      </w:pPr>
      <w:r>
        <w:rPr>
          <w:rFonts w:hint="eastAsia" w:ascii="宋体"/>
          <w:b/>
          <w:bCs/>
          <w:sz w:val="28"/>
          <w:szCs w:val="28"/>
        </w:rPr>
        <w:t>二、机构设置</w:t>
      </w:r>
    </w:p>
    <w:p>
      <w:pPr>
        <w:ind w:firstLine="560" w:firstLineChars="200"/>
        <w:rPr>
          <w:rFonts w:ascii="宋体" w:cs="方正仿宋简体"/>
          <w:kern w:val="0"/>
          <w:sz w:val="28"/>
          <w:szCs w:val="28"/>
          <w:highlight w:val="none"/>
        </w:rPr>
      </w:pPr>
      <w:r>
        <w:rPr>
          <w:rFonts w:hint="eastAsia" w:ascii="宋体" w:cs="方正仿宋简体"/>
          <w:kern w:val="0"/>
          <w:sz w:val="28"/>
          <w:szCs w:val="28"/>
          <w:highlight w:val="none"/>
        </w:rPr>
        <w:t>中共</w:t>
      </w:r>
      <w:r>
        <w:rPr>
          <w:rFonts w:hint="eastAsia" w:ascii="宋体" w:cs="方正仿宋简体"/>
          <w:kern w:val="0"/>
          <w:sz w:val="28"/>
          <w:szCs w:val="28"/>
          <w:highlight w:val="none"/>
          <w:lang w:eastAsia="zh-CN"/>
        </w:rPr>
        <w:t>剑阁县委员会办公室无</w:t>
      </w:r>
      <w:r>
        <w:rPr>
          <w:rFonts w:hint="eastAsia" w:ascii="宋体" w:cs="方正仿宋简体"/>
          <w:kern w:val="0"/>
          <w:sz w:val="28"/>
          <w:szCs w:val="28"/>
          <w:highlight w:val="none"/>
        </w:rPr>
        <w:t>下属二级单位，无纳入202</w:t>
      </w:r>
      <w:r>
        <w:rPr>
          <w:rFonts w:hint="eastAsia" w:ascii="宋体" w:cs="方正仿宋简体"/>
          <w:kern w:val="0"/>
          <w:sz w:val="28"/>
          <w:szCs w:val="28"/>
          <w:highlight w:val="none"/>
          <w:lang w:val="en-US" w:eastAsia="zh-CN"/>
        </w:rPr>
        <w:t>2</w:t>
      </w:r>
      <w:r>
        <w:rPr>
          <w:rFonts w:hint="eastAsia" w:ascii="宋体" w:cs="方正仿宋简体"/>
          <w:kern w:val="0"/>
          <w:sz w:val="28"/>
          <w:szCs w:val="28"/>
          <w:highlight w:val="none"/>
        </w:rPr>
        <w:t>年度部门</w:t>
      </w:r>
      <w:r>
        <w:rPr>
          <w:rFonts w:hint="eastAsia" w:ascii="宋体" w:cs="方正仿宋简体"/>
          <w:kern w:val="0"/>
          <w:sz w:val="28"/>
          <w:szCs w:val="28"/>
          <w:highlight w:val="none"/>
          <w:lang w:eastAsia="zh-CN"/>
        </w:rPr>
        <w:t>预算</w:t>
      </w:r>
      <w:r>
        <w:rPr>
          <w:rFonts w:hint="eastAsia" w:ascii="宋体" w:cs="方正仿宋简体"/>
          <w:kern w:val="0"/>
          <w:sz w:val="28"/>
          <w:szCs w:val="28"/>
          <w:highlight w:val="none"/>
        </w:rPr>
        <w:t>编制范围的二级预算单位。</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right="440"/>
        <w:jc w:val="center"/>
        <w:rPr>
          <w:rStyle w:val="21"/>
          <w:rFonts w:hint="eastAsia" w:ascii="宋体"/>
          <w:b w:val="0"/>
          <w:bCs w:val="0"/>
        </w:rPr>
      </w:pPr>
      <w:r>
        <w:rPr>
          <w:rFonts w:hint="eastAsia" w:ascii="宋体"/>
        </w:rPr>
        <w:t>第二部分 2022年度</w:t>
      </w:r>
      <w:r>
        <w:rPr>
          <w:rStyle w:val="21"/>
          <w:rFonts w:hint="eastAsia" w:ascii="宋体"/>
          <w:b w:val="0"/>
          <w:bCs w:val="0"/>
        </w:rPr>
        <w:t>部门决算情况说明</w:t>
      </w:r>
      <w:bookmarkEnd w:id="8"/>
      <w:bookmarkEnd w:id="9"/>
    </w:p>
    <w:p>
      <w:pPr>
        <w:rPr>
          <w:rFonts w:hint="eastAsia" w:ascii="宋体"/>
        </w:rPr>
      </w:pPr>
    </w:p>
    <w:p>
      <w:pPr>
        <w:pStyle w:val="27"/>
        <w:numPr>
          <w:ilvl w:val="0"/>
          <w:numId w:val="2"/>
        </w:numPr>
        <w:spacing w:line="600" w:lineRule="exact"/>
        <w:ind w:firstLineChars="0"/>
        <w:outlineLvl w:val="1"/>
        <w:rPr>
          <w:rStyle w:val="22"/>
          <w:rFonts w:hint="eastAsia" w:ascii="宋体"/>
          <w:sz w:val="28"/>
          <w:szCs w:val="28"/>
        </w:rPr>
      </w:pPr>
      <w:bookmarkStart w:id="10" w:name="_Toc15396603"/>
      <w:bookmarkStart w:id="11" w:name="_Toc15377205"/>
      <w:r>
        <w:rPr>
          <w:rFonts w:hint="eastAsia" w:ascii="宋体"/>
          <w:b/>
          <w:bCs/>
          <w:sz w:val="28"/>
          <w:szCs w:val="28"/>
        </w:rPr>
        <w:t>收</w:t>
      </w:r>
      <w:r>
        <w:rPr>
          <w:rStyle w:val="22"/>
          <w:rFonts w:hint="eastAsia" w:ascii="宋体"/>
          <w:sz w:val="28"/>
          <w:szCs w:val="28"/>
        </w:rPr>
        <w:t>入支出决算总体情况说明</w:t>
      </w:r>
      <w:bookmarkEnd w:id="10"/>
      <w:bookmarkEnd w:id="11"/>
    </w:p>
    <w:p>
      <w:pPr>
        <w:spacing w:line="600" w:lineRule="exact"/>
        <w:ind w:firstLine="560" w:firstLineChars="200"/>
        <w:rPr>
          <w:rFonts w:hint="eastAsia" w:ascii="宋体"/>
          <w:sz w:val="28"/>
          <w:szCs w:val="28"/>
        </w:rPr>
      </w:pPr>
      <w:r>
        <w:rPr>
          <w:rFonts w:hint="eastAsia" w:ascii="宋体"/>
          <w:sz w:val="28"/>
          <w:szCs w:val="28"/>
        </w:rPr>
        <w:t>2022年度收、支总计708.81万元。与2021年相比，收、支总计各减少127.85万元，下降15.28%。主要变动原因是项目经费有所减少。</w:t>
      </w:r>
    </w:p>
    <w:p>
      <w:pPr>
        <w:spacing w:line="600" w:lineRule="exact"/>
        <w:ind w:firstLine="560" w:firstLineChars="200"/>
        <w:rPr>
          <w:rFonts w:hint="eastAsia" w:ascii="宋体"/>
          <w:sz w:val="28"/>
          <w:szCs w:val="28"/>
        </w:rPr>
      </w:pPr>
      <w:r>
        <w:rPr>
          <w:rFonts w:hint="eastAsia" w:ascii="宋体"/>
          <w:sz w:val="28"/>
          <w:szCs w:val="28"/>
        </w:rPr>
        <w:t>（图1：收、支决算总计变动情况图）（柱状图）</w:t>
      </w:r>
    </w:p>
    <w:p>
      <w:pPr>
        <w:pStyle w:val="2"/>
        <w:rPr>
          <w:rFonts w:hint="eastAsia" w:ascii="宋体" w:eastAsia="宋体"/>
        </w:rPr>
      </w:pPr>
      <w:r>
        <w:rPr>
          <w:rFonts w:hint="eastAsia" w:ascii="宋体" w:eastAsia="宋体"/>
        </w:rPr>
        <w:drawing>
          <wp:inline distT="0" distB="0" distL="85090" distR="85090">
            <wp:extent cx="4571365" cy="2828290"/>
            <wp:effectExtent l="0" t="0" r="3" b="2"/>
            <wp:docPr id="1"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pic:cNvPicPr>
                      <a:picLocks noChangeAspect="true"/>
                    </pic:cNvPicPr>
                  </pic:nvPicPr>
                  <pic:blipFill>
                    <a:blip r:embed="rId6"/>
                    <a:stretch>
                      <a:fillRect/>
                    </a:stretch>
                  </pic:blipFill>
                  <pic:spPr>
                    <a:xfrm>
                      <a:off x="0" y="0"/>
                      <a:ext cx="4571927" cy="2828884"/>
                    </a:xfrm>
                    <a:prstGeom prst="rect">
                      <a:avLst/>
                    </a:prstGeom>
                    <a:noFill/>
                    <a:ln w="9525" cap="flat" cmpd="sng">
                      <a:noFill/>
                      <a:prstDash val="solid"/>
                      <a:miter/>
                    </a:ln>
                  </pic:spPr>
                </pic:pic>
              </a:graphicData>
            </a:graphic>
          </wp:inline>
        </w:drawing>
      </w:r>
    </w:p>
    <w:p>
      <w:pPr>
        <w:pStyle w:val="27"/>
        <w:numPr>
          <w:ilvl w:val="0"/>
          <w:numId w:val="2"/>
        </w:numPr>
        <w:spacing w:line="600" w:lineRule="exact"/>
        <w:ind w:firstLineChars="0"/>
        <w:outlineLvl w:val="1"/>
        <w:rPr>
          <w:rStyle w:val="22"/>
          <w:rFonts w:hint="eastAsia" w:ascii="宋体"/>
          <w:sz w:val="28"/>
          <w:szCs w:val="28"/>
        </w:rPr>
      </w:pPr>
      <w:bookmarkStart w:id="12" w:name="_Toc15396604"/>
      <w:bookmarkStart w:id="13" w:name="_Toc15377206"/>
      <w:r>
        <w:rPr>
          <w:rFonts w:hint="eastAsia" w:ascii="宋体"/>
          <w:b/>
          <w:bCs/>
          <w:sz w:val="28"/>
          <w:szCs w:val="28"/>
        </w:rPr>
        <w:t>收</w:t>
      </w:r>
      <w:r>
        <w:rPr>
          <w:rStyle w:val="22"/>
          <w:rFonts w:hint="eastAsia" w:ascii="宋体"/>
          <w:sz w:val="28"/>
          <w:szCs w:val="28"/>
        </w:rPr>
        <w:t>入决算情况说明</w:t>
      </w:r>
      <w:bookmarkEnd w:id="12"/>
      <w:bookmarkEnd w:id="13"/>
    </w:p>
    <w:p>
      <w:pPr>
        <w:spacing w:line="600" w:lineRule="exact"/>
        <w:ind w:firstLine="560" w:firstLineChars="200"/>
        <w:outlineLvl w:val="1"/>
        <w:rPr>
          <w:rFonts w:hint="eastAsia" w:ascii="宋体"/>
          <w:sz w:val="28"/>
          <w:szCs w:val="28"/>
        </w:rPr>
      </w:pPr>
      <w:r>
        <w:rPr>
          <w:rFonts w:hint="eastAsia" w:ascii="宋体"/>
          <w:sz w:val="28"/>
          <w:szCs w:val="28"/>
        </w:rPr>
        <w:t>2022年本年收入合计708.81万元，其中：一般公共预算财政拨款收入708.81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left="0"/>
        <w:rPr>
          <w:rFonts w:hint="eastAsia" w:ascii="宋体"/>
          <w:sz w:val="28"/>
          <w:szCs w:val="28"/>
        </w:rPr>
      </w:pPr>
      <w:r>
        <w:rPr>
          <w:rFonts w:hint="eastAsia" w:ascii="宋体"/>
          <w:sz w:val="28"/>
          <w:szCs w:val="28"/>
        </w:rPr>
        <w:t>（图2：收入决算结构图）（饼状图）</w:t>
      </w:r>
    </w:p>
    <w:p>
      <w:pPr>
        <w:pStyle w:val="2"/>
        <w:rPr>
          <w:rFonts w:hint="eastAsia" w:ascii="宋体" w:eastAsia="宋体"/>
        </w:rPr>
      </w:pPr>
      <w:r>
        <w:rPr>
          <w:rFonts w:hint="eastAsia" w:ascii="宋体" w:eastAsia="宋体"/>
        </w:rPr>
        <w:drawing>
          <wp:inline distT="0" distB="0" distL="85090" distR="85090">
            <wp:extent cx="4571365" cy="2742565"/>
            <wp:effectExtent l="0" t="0" r="3" b="1"/>
            <wp:docPr id="4"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pic:cNvPicPr>
                      <a:picLocks noChangeAspect="true"/>
                    </pic:cNvPicPr>
                  </pic:nvPicPr>
                  <pic:blipFill>
                    <a:blip r:embed="rId7"/>
                    <a:stretch>
                      <a:fillRect/>
                    </a:stretch>
                  </pic:blipFill>
                  <pic:spPr>
                    <a:xfrm>
                      <a:off x="0" y="0"/>
                      <a:ext cx="4571927" cy="2743157"/>
                    </a:xfrm>
                    <a:prstGeom prst="rect">
                      <a:avLst/>
                    </a:prstGeom>
                    <a:noFill/>
                    <a:ln w="9525" cap="flat" cmpd="sng">
                      <a:noFill/>
                      <a:prstDash val="solid"/>
                      <a:miter/>
                    </a:ln>
                  </pic:spPr>
                </pic:pic>
              </a:graphicData>
            </a:graphic>
          </wp:inline>
        </w:drawing>
      </w:r>
    </w:p>
    <w:p>
      <w:pPr>
        <w:pStyle w:val="27"/>
        <w:numPr>
          <w:ilvl w:val="0"/>
          <w:numId w:val="2"/>
        </w:numPr>
        <w:spacing w:line="600" w:lineRule="exact"/>
        <w:ind w:firstLineChars="0"/>
        <w:outlineLvl w:val="1"/>
        <w:rPr>
          <w:rStyle w:val="22"/>
          <w:rFonts w:hint="eastAsia" w:ascii="宋体"/>
          <w:sz w:val="28"/>
          <w:szCs w:val="28"/>
        </w:rPr>
      </w:pPr>
      <w:bookmarkStart w:id="14" w:name="_Toc15377207"/>
      <w:bookmarkStart w:id="15" w:name="_Toc15396605"/>
      <w:r>
        <w:rPr>
          <w:rFonts w:hint="eastAsia" w:ascii="宋体"/>
          <w:b/>
          <w:bCs/>
          <w:sz w:val="28"/>
          <w:szCs w:val="28"/>
        </w:rPr>
        <w:t>支</w:t>
      </w:r>
      <w:r>
        <w:rPr>
          <w:rStyle w:val="22"/>
          <w:rFonts w:hint="eastAsia" w:ascii="宋体"/>
          <w:sz w:val="28"/>
          <w:szCs w:val="28"/>
        </w:rPr>
        <w:t>出决算情况说明</w:t>
      </w:r>
      <w:bookmarkEnd w:id="14"/>
      <w:bookmarkEnd w:id="15"/>
    </w:p>
    <w:p>
      <w:pPr>
        <w:spacing w:line="600" w:lineRule="exact"/>
        <w:ind w:firstLine="560" w:firstLineChars="200"/>
        <w:outlineLvl w:val="1"/>
        <w:rPr>
          <w:rFonts w:hint="eastAsia" w:ascii="宋体"/>
          <w:sz w:val="28"/>
          <w:szCs w:val="28"/>
        </w:rPr>
      </w:pPr>
      <w:r>
        <w:rPr>
          <w:rFonts w:hint="eastAsia" w:ascii="宋体"/>
          <w:sz w:val="28"/>
          <w:szCs w:val="28"/>
        </w:rPr>
        <w:t>2022年本年支出合计708.81万元，其中：基本支出708.81万元，占100%；项目支出0万元，占0%；上缴上级支出0万元，占0%；经营支出0万元，占0%；对附属单位补助支出0万元，占0%。</w:t>
      </w:r>
    </w:p>
    <w:p>
      <w:pPr>
        <w:spacing w:line="600" w:lineRule="exact"/>
        <w:ind w:firstLine="560" w:firstLineChars="200"/>
        <w:rPr>
          <w:rFonts w:hint="eastAsia" w:ascii="宋体"/>
          <w:sz w:val="28"/>
          <w:szCs w:val="28"/>
        </w:rPr>
      </w:pPr>
      <w:r>
        <w:rPr>
          <w:rFonts w:hint="eastAsia" w:ascii="宋体"/>
          <w:sz w:val="28"/>
          <w:szCs w:val="28"/>
        </w:rPr>
        <w:t>（图3：支出决算结构图）（饼状图）</w:t>
      </w:r>
    </w:p>
    <w:p>
      <w:pPr>
        <w:pStyle w:val="2"/>
        <w:rPr>
          <w:rFonts w:hint="eastAsia" w:ascii="宋体" w:eastAsia="宋体"/>
          <w:sz w:val="28"/>
          <w:szCs w:val="28"/>
        </w:rPr>
      </w:pPr>
      <w:r>
        <w:rPr>
          <w:rFonts w:hint="eastAsia" w:ascii="宋体" w:eastAsia="宋体"/>
          <w:sz w:val="28"/>
          <w:szCs w:val="28"/>
        </w:rPr>
        <w:drawing>
          <wp:inline distT="0" distB="0" distL="85090" distR="85090">
            <wp:extent cx="4571365" cy="2742565"/>
            <wp:effectExtent l="0" t="0" r="4" b="1"/>
            <wp:docPr id="7"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pic:cNvPicPr>
                      <a:picLocks noChangeAspect="true"/>
                    </pic:cNvPicPr>
                  </pic:nvPicPr>
                  <pic:blipFill>
                    <a:blip r:embed="rId8"/>
                    <a:stretch>
                      <a:fillRect/>
                    </a:stretch>
                  </pic:blipFill>
                  <pic:spPr>
                    <a:xfrm>
                      <a:off x="0" y="0"/>
                      <a:ext cx="4571926" cy="2743157"/>
                    </a:xfrm>
                    <a:prstGeom prst="rect">
                      <a:avLst/>
                    </a:prstGeom>
                    <a:noFill/>
                    <a:ln w="9525" cap="flat" cmpd="sng">
                      <a:noFill/>
                      <a:prstDash val="solid"/>
                      <a:miter/>
                    </a:ln>
                  </pic:spPr>
                </pic:pic>
              </a:graphicData>
            </a:graphic>
          </wp:inline>
        </w:drawing>
      </w:r>
      <w:bookmarkStart w:id="16" w:name="_Toc15396606"/>
      <w:bookmarkStart w:id="17" w:name="_Toc15377208"/>
    </w:p>
    <w:p>
      <w:pPr>
        <w:spacing w:line="600" w:lineRule="exact"/>
        <w:ind w:firstLine="562" w:firstLineChars="200"/>
        <w:outlineLvl w:val="1"/>
        <w:rPr>
          <w:rStyle w:val="22"/>
          <w:rFonts w:hint="eastAsia" w:ascii="宋体"/>
          <w:sz w:val="28"/>
          <w:szCs w:val="28"/>
        </w:rPr>
      </w:pPr>
      <w:r>
        <w:rPr>
          <w:rFonts w:hint="eastAsia" w:ascii="宋体"/>
          <w:b/>
          <w:bCs/>
          <w:sz w:val="28"/>
          <w:szCs w:val="28"/>
        </w:rPr>
        <w:t>四、财</w:t>
      </w:r>
      <w:r>
        <w:rPr>
          <w:rStyle w:val="22"/>
          <w:rFonts w:hint="eastAsia" w:ascii="宋体"/>
          <w:sz w:val="28"/>
          <w:szCs w:val="28"/>
        </w:rPr>
        <w:t>政拨款收入支出决算总体情况说明</w:t>
      </w:r>
      <w:bookmarkEnd w:id="16"/>
      <w:bookmarkEnd w:id="17"/>
    </w:p>
    <w:p>
      <w:pPr>
        <w:spacing w:line="600" w:lineRule="exact"/>
        <w:ind w:firstLine="640"/>
        <w:rPr>
          <w:rFonts w:hint="eastAsia" w:ascii="宋体"/>
          <w:sz w:val="28"/>
          <w:szCs w:val="28"/>
        </w:rPr>
      </w:pPr>
      <w:r>
        <w:rPr>
          <w:rFonts w:hint="eastAsia" w:ascii="宋体"/>
          <w:sz w:val="28"/>
          <w:szCs w:val="28"/>
        </w:rPr>
        <w:t>2022年财政拨款收、支总计708.81万元。与2021年相比，财政拨款收、支总计各减少127.85万元，下降15.28%。主要变动原因是项目支出减少。</w:t>
      </w:r>
    </w:p>
    <w:p>
      <w:pPr>
        <w:spacing w:line="600" w:lineRule="exact"/>
        <w:ind w:firstLine="560" w:firstLineChars="200"/>
        <w:rPr>
          <w:rFonts w:hint="eastAsia" w:ascii="宋体"/>
          <w:sz w:val="28"/>
          <w:szCs w:val="28"/>
        </w:rPr>
      </w:pPr>
      <w:r>
        <w:rPr>
          <w:rFonts w:hint="eastAsia" w:ascii="宋体"/>
          <w:sz w:val="28"/>
          <w:szCs w:val="28"/>
        </w:rPr>
        <w:t>（图4：财政拨款收、支决算总计变动情况）（柱状图）</w:t>
      </w:r>
    </w:p>
    <w:p>
      <w:pPr>
        <w:pStyle w:val="2"/>
        <w:rPr>
          <w:rFonts w:hint="eastAsia" w:ascii="宋体" w:eastAsia="宋体"/>
          <w:sz w:val="28"/>
          <w:szCs w:val="28"/>
        </w:rPr>
      </w:pPr>
      <w:r>
        <w:rPr>
          <w:rFonts w:hint="eastAsia" w:ascii="宋体" w:eastAsia="宋体"/>
          <w:sz w:val="28"/>
          <w:szCs w:val="28"/>
        </w:rPr>
        <w:drawing>
          <wp:inline distT="0" distB="0" distL="85090" distR="85090">
            <wp:extent cx="4571365" cy="2742565"/>
            <wp:effectExtent l="0" t="0" r="27" b="1"/>
            <wp:docPr id="10"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pic:cNvPicPr>
                      <a:picLocks noChangeAspect="true"/>
                    </pic:cNvPicPr>
                  </pic:nvPicPr>
                  <pic:blipFill>
                    <a:blip r:embed="rId9"/>
                    <a:stretch>
                      <a:fillRect/>
                    </a:stretch>
                  </pic:blipFill>
                  <pic:spPr>
                    <a:xfrm>
                      <a:off x="0" y="0"/>
                      <a:ext cx="4571903" cy="2743157"/>
                    </a:xfrm>
                    <a:prstGeom prst="rect">
                      <a:avLst/>
                    </a:prstGeom>
                    <a:noFill/>
                    <a:ln w="9525" cap="flat" cmpd="sng">
                      <a:noFill/>
                      <a:prstDash val="solid"/>
                      <a:miter/>
                    </a:ln>
                  </pic:spPr>
                </pic:pic>
              </a:graphicData>
            </a:graphic>
          </wp:inline>
        </w:drawing>
      </w:r>
    </w:p>
    <w:p>
      <w:pPr>
        <w:spacing w:line="600" w:lineRule="exact"/>
        <w:ind w:firstLine="560" w:firstLineChars="200"/>
        <w:outlineLvl w:val="1"/>
        <w:rPr>
          <w:rStyle w:val="22"/>
          <w:rFonts w:hint="eastAsia" w:ascii="宋体"/>
          <w:b w:val="0"/>
          <w:sz w:val="28"/>
          <w:szCs w:val="28"/>
        </w:rPr>
      </w:pPr>
      <w:bookmarkStart w:id="18" w:name="_Toc15377209"/>
      <w:bookmarkStart w:id="19" w:name="_Toc15396607"/>
      <w:r>
        <w:rPr>
          <w:rFonts w:hint="eastAsia" w:ascii="宋体"/>
          <w:sz w:val="28"/>
          <w:szCs w:val="28"/>
        </w:rPr>
        <w:t>五、</w:t>
      </w:r>
      <w:r>
        <w:rPr>
          <w:rFonts w:hint="eastAsia" w:ascii="宋体"/>
          <w:b/>
          <w:sz w:val="28"/>
          <w:szCs w:val="28"/>
        </w:rPr>
        <w:t>一</w:t>
      </w:r>
      <w:r>
        <w:rPr>
          <w:rStyle w:val="22"/>
          <w:rFonts w:hint="eastAsia" w:ascii="宋体"/>
          <w:b w:val="0"/>
          <w:sz w:val="28"/>
          <w:szCs w:val="28"/>
        </w:rPr>
        <w:t>般公共预算财政拨款支出决算情况说明</w:t>
      </w:r>
      <w:bookmarkEnd w:id="18"/>
      <w:bookmarkEnd w:id="19"/>
    </w:p>
    <w:p>
      <w:pPr>
        <w:spacing w:line="600" w:lineRule="exact"/>
        <w:ind w:firstLine="562" w:firstLineChars="200"/>
        <w:outlineLvl w:val="2"/>
        <w:rPr>
          <w:rFonts w:hint="eastAsia" w:ascii="宋体"/>
          <w:b/>
          <w:sz w:val="28"/>
          <w:szCs w:val="28"/>
        </w:rPr>
      </w:pPr>
      <w:bookmarkStart w:id="20" w:name="_Toc15377210"/>
      <w:r>
        <w:rPr>
          <w:rFonts w:hint="eastAsia" w:ascii="宋体"/>
          <w:b/>
          <w:sz w:val="28"/>
          <w:szCs w:val="28"/>
        </w:rPr>
        <w:t>（一）一般公共预算财政拨款支出决算总体情况</w:t>
      </w:r>
      <w:bookmarkEnd w:id="20"/>
    </w:p>
    <w:p>
      <w:pPr>
        <w:spacing w:line="600" w:lineRule="exact"/>
        <w:ind w:firstLine="640"/>
        <w:rPr>
          <w:rFonts w:hint="eastAsia" w:ascii="宋体"/>
          <w:sz w:val="28"/>
          <w:szCs w:val="28"/>
        </w:rPr>
      </w:pPr>
      <w:r>
        <w:rPr>
          <w:rFonts w:hint="eastAsia" w:ascii="宋体"/>
          <w:sz w:val="28"/>
          <w:szCs w:val="28"/>
        </w:rPr>
        <w:t>2022年一般公共预算财政拨款支出708.81万元，占本年支出合计的100%。与2021年相比，一般公共预算财政拨款支出减少127.85万元，下降15.28%。主要变动原因是项目支出减少。</w:t>
      </w:r>
    </w:p>
    <w:p>
      <w:pPr>
        <w:spacing w:line="600" w:lineRule="exact"/>
        <w:ind w:firstLine="560" w:firstLineChars="200"/>
        <w:rPr>
          <w:rFonts w:hint="eastAsia" w:ascii="宋体"/>
          <w:sz w:val="28"/>
          <w:szCs w:val="28"/>
        </w:rPr>
      </w:pPr>
      <w:r>
        <w:rPr>
          <w:rFonts w:hint="eastAsia" w:ascii="宋体"/>
          <w:sz w:val="28"/>
          <w:szCs w:val="28"/>
        </w:rPr>
        <w:t>（图5：一般公共预算财政拨款支出决算变动情况）（柱状图）</w:t>
      </w:r>
    </w:p>
    <w:p>
      <w:pPr>
        <w:pStyle w:val="2"/>
        <w:rPr>
          <w:rFonts w:hint="eastAsia" w:ascii="宋体" w:eastAsia="宋体"/>
        </w:rPr>
      </w:pPr>
      <w:r>
        <w:rPr>
          <w:rFonts w:hint="eastAsia" w:ascii="宋体" w:eastAsia="宋体"/>
        </w:rPr>
        <w:drawing>
          <wp:inline distT="0" distB="0" distL="85090" distR="85090">
            <wp:extent cx="4571365" cy="2742565"/>
            <wp:effectExtent l="0" t="0" r="19" b="1"/>
            <wp:docPr id="13"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pic:cNvPicPr>
                      <a:picLocks noChangeAspect="true"/>
                    </pic:cNvPicPr>
                  </pic:nvPicPr>
                  <pic:blipFill>
                    <a:blip r:embed="rId10"/>
                    <a:stretch>
                      <a:fillRect/>
                    </a:stretch>
                  </pic:blipFill>
                  <pic:spPr>
                    <a:xfrm>
                      <a:off x="0" y="0"/>
                      <a:ext cx="4571911" cy="2743157"/>
                    </a:xfrm>
                    <a:prstGeom prst="rect">
                      <a:avLst/>
                    </a:prstGeom>
                    <a:noFill/>
                    <a:ln w="9525" cap="flat" cmpd="sng">
                      <a:noFill/>
                      <a:prstDash val="solid"/>
                      <a:miter/>
                    </a:ln>
                  </pic:spPr>
                </pic:pic>
              </a:graphicData>
            </a:graphic>
          </wp:inline>
        </w:drawing>
      </w:r>
    </w:p>
    <w:p>
      <w:pPr>
        <w:spacing w:line="600" w:lineRule="exact"/>
        <w:ind w:firstLine="562" w:firstLineChars="200"/>
        <w:outlineLvl w:val="2"/>
        <w:rPr>
          <w:rFonts w:hint="eastAsia" w:ascii="宋体"/>
          <w:b/>
          <w:sz w:val="28"/>
          <w:szCs w:val="28"/>
        </w:rPr>
      </w:pPr>
      <w:bookmarkStart w:id="21" w:name="_Toc15377211"/>
      <w:r>
        <w:rPr>
          <w:rFonts w:hint="eastAsia" w:ascii="宋体"/>
          <w:b/>
          <w:sz w:val="28"/>
          <w:szCs w:val="28"/>
        </w:rPr>
        <w:t>（二）一般公共预算财政拨款支出决算结构情况</w:t>
      </w:r>
      <w:bookmarkEnd w:id="21"/>
    </w:p>
    <w:p>
      <w:pPr>
        <w:spacing w:line="600" w:lineRule="exact"/>
        <w:ind w:firstLine="640"/>
        <w:rPr>
          <w:rFonts w:hint="eastAsia" w:ascii="宋体"/>
          <w:sz w:val="28"/>
          <w:szCs w:val="28"/>
        </w:rPr>
      </w:pPr>
      <w:r>
        <w:rPr>
          <w:rFonts w:hint="eastAsia" w:ascii="宋体"/>
          <w:sz w:val="28"/>
          <w:szCs w:val="28"/>
        </w:rPr>
        <w:t>2022年一般公共预算财政拨款支出708.81万元，主要用于以下方面:一般公共服务支出600.32万元，占84.69%；社会保障和就业支出48.21万元，占6.8%；卫生健康支出24.11万元，占3.4%；住房保障支出36.16万元，占5.1%。</w:t>
      </w:r>
    </w:p>
    <w:p>
      <w:pPr>
        <w:spacing w:line="600" w:lineRule="exact"/>
        <w:ind w:firstLine="560" w:firstLineChars="200"/>
        <w:rPr>
          <w:rFonts w:hint="eastAsia" w:ascii="宋体"/>
          <w:sz w:val="28"/>
          <w:szCs w:val="28"/>
        </w:rPr>
      </w:pPr>
      <w:r>
        <w:rPr>
          <w:rFonts w:hint="eastAsia" w:ascii="宋体"/>
          <w:sz w:val="28"/>
          <w:szCs w:val="28"/>
        </w:rPr>
        <w:t>（图6：一般公共预算财政拨款支出决算结构）（饼状图）</w:t>
      </w:r>
    </w:p>
    <w:p>
      <w:pPr>
        <w:pStyle w:val="2"/>
        <w:rPr>
          <w:rFonts w:hint="eastAsia" w:ascii="宋体" w:eastAsia="宋体"/>
          <w:sz w:val="28"/>
          <w:szCs w:val="28"/>
        </w:rPr>
      </w:pPr>
      <w:r>
        <w:rPr>
          <w:rFonts w:hint="eastAsia" w:ascii="宋体" w:eastAsia="宋体"/>
          <w:sz w:val="28"/>
          <w:szCs w:val="28"/>
        </w:rPr>
        <w:drawing>
          <wp:inline distT="0" distB="0" distL="85090" distR="85090">
            <wp:extent cx="4571365" cy="2742565"/>
            <wp:effectExtent l="0" t="0" r="3" b="0"/>
            <wp:docPr id="16"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pic:cNvPicPr>
                      <a:picLocks noChangeAspect="true"/>
                    </pic:cNvPicPr>
                  </pic:nvPicPr>
                  <pic:blipFill>
                    <a:blip r:embed="rId11"/>
                    <a:stretch>
                      <a:fillRect/>
                    </a:stretch>
                  </pic:blipFill>
                  <pic:spPr>
                    <a:xfrm>
                      <a:off x="0" y="0"/>
                      <a:ext cx="4571927" cy="2743157"/>
                    </a:xfrm>
                    <a:prstGeom prst="rect">
                      <a:avLst/>
                    </a:prstGeom>
                    <a:noFill/>
                    <a:ln w="9525" cap="flat" cmpd="sng">
                      <a:noFill/>
                      <a:prstDash val="solid"/>
                      <a:miter/>
                    </a:ln>
                  </pic:spPr>
                </pic:pic>
              </a:graphicData>
            </a:graphic>
          </wp:inline>
        </w:drawing>
      </w:r>
    </w:p>
    <w:p>
      <w:pPr>
        <w:spacing w:line="600" w:lineRule="exact"/>
        <w:ind w:firstLine="562" w:firstLineChars="200"/>
        <w:outlineLvl w:val="2"/>
        <w:rPr>
          <w:rFonts w:hint="eastAsia" w:ascii="宋体"/>
          <w:b/>
          <w:sz w:val="28"/>
          <w:szCs w:val="28"/>
        </w:rPr>
      </w:pPr>
      <w:bookmarkStart w:id="22" w:name="_Toc15377212"/>
      <w:r>
        <w:rPr>
          <w:rFonts w:hint="eastAsia" w:ascii="宋体"/>
          <w:b/>
          <w:sz w:val="28"/>
          <w:szCs w:val="28"/>
        </w:rPr>
        <w:t>（三）一般公共预算财政拨款支出决算具体情况</w:t>
      </w:r>
      <w:bookmarkEnd w:id="22"/>
    </w:p>
    <w:p>
      <w:pPr>
        <w:spacing w:line="600" w:lineRule="exact"/>
        <w:ind w:firstLine="560" w:firstLineChars="200"/>
        <w:outlineLvl w:val="2"/>
        <w:rPr>
          <w:rFonts w:hint="eastAsia" w:ascii="宋体"/>
          <w:sz w:val="28"/>
          <w:szCs w:val="28"/>
        </w:rPr>
      </w:pPr>
      <w:bookmarkStart w:id="23" w:name="_Toc15378460"/>
      <w:bookmarkStart w:id="24" w:name="_Toc15377213"/>
      <w:bookmarkStart w:id="25" w:name="_Toc15377444"/>
      <w:r>
        <w:rPr>
          <w:rFonts w:hint="eastAsia" w:ascii="宋体"/>
          <w:sz w:val="28"/>
          <w:szCs w:val="28"/>
        </w:rPr>
        <w:t>2022年一般公共预算支出决算数为708.81</w:t>
      </w:r>
      <w:r>
        <w:rPr>
          <w:rFonts w:hint="eastAsia" w:ascii="宋体"/>
          <w:sz w:val="28"/>
          <w:szCs w:val="28"/>
          <w:lang w:val="en-US" w:eastAsia="zh-CN"/>
        </w:rPr>
        <w:t>万元</w:t>
      </w:r>
      <w:r>
        <w:rPr>
          <w:rFonts w:hint="eastAsia" w:ascii="宋体"/>
          <w:sz w:val="28"/>
          <w:szCs w:val="28"/>
        </w:rPr>
        <w:t>，</w:t>
      </w:r>
      <w:r>
        <w:rPr>
          <w:rStyle w:val="19"/>
          <w:rFonts w:hint="eastAsia" w:ascii="宋体"/>
          <w:b w:val="0"/>
          <w:sz w:val="28"/>
          <w:szCs w:val="28"/>
        </w:rPr>
        <w:t>完成预算100%。其中：</w:t>
      </w:r>
      <w:bookmarkEnd w:id="23"/>
      <w:bookmarkEnd w:id="24"/>
      <w:bookmarkEnd w:id="25"/>
    </w:p>
    <w:p>
      <w:pPr>
        <w:numPr>
          <w:ilvl w:val="0"/>
          <w:numId w:val="0"/>
        </w:numPr>
        <w:spacing w:line="600" w:lineRule="exact"/>
        <w:ind w:firstLine="560" w:firstLineChars="200"/>
        <w:rPr>
          <w:rStyle w:val="19"/>
          <w:rFonts w:hint="eastAsia" w:ascii="宋体"/>
          <w:b w:val="0"/>
          <w:sz w:val="28"/>
          <w:szCs w:val="28"/>
        </w:rPr>
      </w:pPr>
      <w:r>
        <w:rPr>
          <w:rStyle w:val="19"/>
          <w:rFonts w:hint="eastAsia" w:ascii="宋体"/>
          <w:b w:val="0"/>
          <w:sz w:val="28"/>
          <w:szCs w:val="28"/>
          <w:lang w:val="en-US" w:eastAsia="zh-CN"/>
        </w:rPr>
        <w:t>1.</w:t>
      </w:r>
      <w:r>
        <w:rPr>
          <w:rStyle w:val="19"/>
          <w:rFonts w:hint="eastAsia" w:ascii="宋体"/>
          <w:b w:val="0"/>
          <w:sz w:val="28"/>
          <w:szCs w:val="28"/>
        </w:rPr>
        <w:t>一般公共服务（类）党委办公室及相关机构事务（款）行政支出（项）: 支出决算为550.63万元，完成预算100%；</w:t>
      </w:r>
    </w:p>
    <w:p>
      <w:pPr>
        <w:numPr>
          <w:ilvl w:val="0"/>
          <w:numId w:val="0"/>
        </w:numPr>
        <w:spacing w:line="600" w:lineRule="exact"/>
        <w:ind w:firstLine="560" w:firstLineChars="200"/>
        <w:rPr>
          <w:rFonts w:hint="eastAsia" w:ascii="宋体"/>
          <w:sz w:val="28"/>
          <w:szCs w:val="28"/>
        </w:rPr>
      </w:pPr>
      <w:r>
        <w:rPr>
          <w:rStyle w:val="19"/>
          <w:rFonts w:hint="eastAsia" w:ascii="宋体"/>
          <w:b w:val="0"/>
          <w:sz w:val="28"/>
          <w:szCs w:val="28"/>
          <w:lang w:val="en-US" w:eastAsia="zh-CN"/>
        </w:rPr>
        <w:t>2.</w:t>
      </w:r>
      <w:r>
        <w:rPr>
          <w:rStyle w:val="19"/>
          <w:rFonts w:hint="eastAsia" w:ascii="宋体"/>
          <w:b w:val="0"/>
          <w:sz w:val="28"/>
          <w:szCs w:val="28"/>
        </w:rPr>
        <w:t>一般公共服务（类）党委办公室及相关机构事务（款）事业运行（项）: 支出决算为49.7万元，完成预算100%。</w:t>
      </w:r>
    </w:p>
    <w:p>
      <w:pPr>
        <w:spacing w:line="600" w:lineRule="exact"/>
        <w:ind w:firstLine="560" w:firstLineChars="200"/>
        <w:rPr>
          <w:rFonts w:hint="eastAsia" w:ascii="宋体"/>
          <w:sz w:val="28"/>
          <w:szCs w:val="28"/>
        </w:rPr>
      </w:pPr>
      <w:r>
        <w:rPr>
          <w:rStyle w:val="19"/>
          <w:rFonts w:hint="eastAsia" w:ascii="宋体"/>
          <w:b w:val="0"/>
          <w:sz w:val="28"/>
          <w:szCs w:val="28"/>
          <w:lang w:val="en-US" w:eastAsia="zh-CN"/>
        </w:rPr>
        <w:t>3</w:t>
      </w:r>
      <w:r>
        <w:rPr>
          <w:rStyle w:val="19"/>
          <w:rFonts w:hint="eastAsia" w:ascii="宋体"/>
          <w:b w:val="0"/>
          <w:sz w:val="28"/>
          <w:szCs w:val="28"/>
        </w:rPr>
        <w:t>.社会保障和就业（类）行政事业单位养老支出（款）机关事业单位基本养老保险缴费支出（项）: 支出决算为48.21万元，完成预算100%。</w:t>
      </w:r>
    </w:p>
    <w:p>
      <w:pPr>
        <w:spacing w:line="600" w:lineRule="exact"/>
        <w:ind w:firstLine="560" w:firstLineChars="200"/>
        <w:rPr>
          <w:rStyle w:val="19"/>
          <w:rFonts w:hint="eastAsia" w:ascii="宋体"/>
          <w:b w:val="0"/>
          <w:sz w:val="28"/>
          <w:szCs w:val="28"/>
        </w:rPr>
      </w:pPr>
      <w:r>
        <w:rPr>
          <w:rStyle w:val="19"/>
          <w:rFonts w:hint="eastAsia" w:ascii="宋体"/>
          <w:b w:val="0"/>
          <w:sz w:val="28"/>
          <w:szCs w:val="28"/>
          <w:lang w:val="en-US" w:eastAsia="zh-CN"/>
        </w:rPr>
        <w:t>4</w:t>
      </w:r>
      <w:r>
        <w:rPr>
          <w:rStyle w:val="19"/>
          <w:rFonts w:hint="eastAsia" w:ascii="宋体"/>
          <w:b w:val="0"/>
          <w:sz w:val="28"/>
          <w:szCs w:val="28"/>
        </w:rPr>
        <w:t>.</w:t>
      </w:r>
      <w:r>
        <w:rPr>
          <w:rFonts w:hint="eastAsia" w:ascii="宋体"/>
          <w:sz w:val="28"/>
          <w:szCs w:val="28"/>
        </w:rPr>
        <w:t>卫生健康</w:t>
      </w:r>
      <w:r>
        <w:rPr>
          <w:rStyle w:val="19"/>
          <w:rFonts w:hint="eastAsia" w:ascii="宋体"/>
          <w:b w:val="0"/>
          <w:sz w:val="28"/>
          <w:szCs w:val="28"/>
        </w:rPr>
        <w:t>（类）行政事业单位医疗（款）行政单位医疗（项）:支出决算为22.77万元，完成预算100%；</w:t>
      </w:r>
    </w:p>
    <w:p>
      <w:pPr>
        <w:spacing w:line="600" w:lineRule="exact"/>
        <w:ind w:firstLine="560" w:firstLineChars="200"/>
        <w:rPr>
          <w:rFonts w:hint="eastAsia" w:ascii="宋体"/>
          <w:sz w:val="28"/>
          <w:szCs w:val="28"/>
        </w:rPr>
      </w:pPr>
      <w:r>
        <w:rPr>
          <w:rStyle w:val="19"/>
          <w:rFonts w:hint="eastAsia" w:ascii="宋体"/>
          <w:b w:val="0"/>
          <w:sz w:val="28"/>
          <w:szCs w:val="28"/>
          <w:lang w:val="en-US" w:eastAsia="zh-CN"/>
        </w:rPr>
        <w:t>5.</w:t>
      </w:r>
      <w:r>
        <w:rPr>
          <w:rFonts w:hint="eastAsia" w:ascii="宋体"/>
          <w:sz w:val="28"/>
          <w:szCs w:val="28"/>
        </w:rPr>
        <w:t>卫生健康</w:t>
      </w:r>
      <w:r>
        <w:rPr>
          <w:rStyle w:val="19"/>
          <w:rFonts w:hint="eastAsia" w:ascii="宋体"/>
          <w:b w:val="0"/>
          <w:sz w:val="28"/>
          <w:szCs w:val="28"/>
        </w:rPr>
        <w:t>（类）行政事业单位医疗（款）事业单位医疗（项）:支出决算为1.34万元，完成预算100%。</w:t>
      </w:r>
    </w:p>
    <w:p>
      <w:pPr>
        <w:spacing w:line="600" w:lineRule="exact"/>
        <w:ind w:firstLine="560" w:firstLineChars="200"/>
        <w:rPr>
          <w:rStyle w:val="19"/>
          <w:rFonts w:hint="eastAsia" w:ascii="宋体"/>
          <w:b w:val="0"/>
          <w:sz w:val="28"/>
          <w:szCs w:val="28"/>
        </w:rPr>
      </w:pPr>
      <w:r>
        <w:rPr>
          <w:rFonts w:hint="eastAsia" w:ascii="宋体"/>
          <w:sz w:val="28"/>
          <w:szCs w:val="28"/>
          <w:lang w:val="en-US" w:eastAsia="zh-CN"/>
        </w:rPr>
        <w:t>6</w:t>
      </w:r>
      <w:r>
        <w:rPr>
          <w:rFonts w:hint="eastAsia" w:ascii="宋体"/>
          <w:sz w:val="28"/>
          <w:szCs w:val="28"/>
        </w:rPr>
        <w:t>．</w:t>
      </w:r>
      <w:r>
        <w:rPr>
          <w:rStyle w:val="19"/>
          <w:rFonts w:hint="eastAsia" w:ascii="宋体" w:cs="宋体"/>
          <w:b w:val="0"/>
          <w:sz w:val="28"/>
          <w:szCs w:val="28"/>
        </w:rPr>
        <w:t>住房保障支出（类）住房改革支出（款）住房公积金（项）: 支出决算为</w:t>
      </w:r>
      <w:r>
        <w:rPr>
          <w:rStyle w:val="19"/>
          <w:rFonts w:hint="eastAsia" w:ascii="宋体" w:cs="宋体"/>
          <w:b w:val="0"/>
          <w:sz w:val="28"/>
          <w:szCs w:val="28"/>
          <w:lang w:val="en-US" w:eastAsia="zh-CN"/>
        </w:rPr>
        <w:t>36.16</w:t>
      </w:r>
      <w:r>
        <w:rPr>
          <w:rStyle w:val="19"/>
          <w:rFonts w:hint="eastAsia" w:ascii="宋体" w:cs="宋体"/>
          <w:b w:val="0"/>
          <w:sz w:val="28"/>
          <w:szCs w:val="28"/>
        </w:rPr>
        <w:t>万元，完成预算100%</w:t>
      </w:r>
      <w:r>
        <w:rPr>
          <w:rStyle w:val="19"/>
          <w:rFonts w:hint="eastAsia" w:ascii="宋体"/>
          <w:b w:val="0"/>
          <w:sz w:val="28"/>
          <w:szCs w:val="28"/>
        </w:rPr>
        <w:t>。</w:t>
      </w:r>
    </w:p>
    <w:p>
      <w:pPr>
        <w:tabs>
          <w:tab w:val="right" w:pos="8306"/>
        </w:tabs>
        <w:spacing w:line="600" w:lineRule="exact"/>
        <w:ind w:firstLine="640"/>
        <w:outlineLvl w:val="1"/>
        <w:rPr>
          <w:rStyle w:val="22"/>
          <w:rFonts w:hint="eastAsia" w:ascii="宋体"/>
          <w:sz w:val="28"/>
          <w:szCs w:val="28"/>
        </w:rPr>
      </w:pPr>
      <w:bookmarkStart w:id="26" w:name="_Toc15396608"/>
      <w:bookmarkStart w:id="27" w:name="_Toc15377214"/>
      <w:r>
        <w:rPr>
          <w:rFonts w:hint="eastAsia" w:ascii="宋体"/>
          <w:b/>
          <w:bCs/>
          <w:sz w:val="28"/>
          <w:szCs w:val="28"/>
        </w:rPr>
        <w:t>六、一</w:t>
      </w:r>
      <w:r>
        <w:rPr>
          <w:rStyle w:val="22"/>
          <w:rFonts w:hint="eastAsia" w:ascii="宋体"/>
          <w:sz w:val="28"/>
          <w:szCs w:val="28"/>
        </w:rPr>
        <w:t>般公共预算财政拨款基本支出决算情况说明</w:t>
      </w:r>
      <w:bookmarkEnd w:id="26"/>
      <w:bookmarkEnd w:id="27"/>
      <w:r>
        <w:rPr>
          <w:rStyle w:val="22"/>
          <w:rFonts w:hint="eastAsia" w:ascii="宋体"/>
          <w:sz w:val="28"/>
          <w:szCs w:val="28"/>
        </w:rPr>
        <w:tab/>
      </w:r>
    </w:p>
    <w:p>
      <w:pPr>
        <w:spacing w:line="600" w:lineRule="exact"/>
        <w:ind w:firstLine="645"/>
        <w:rPr>
          <w:rFonts w:hint="eastAsia" w:ascii="宋体"/>
          <w:sz w:val="28"/>
          <w:szCs w:val="28"/>
        </w:rPr>
      </w:pPr>
      <w:r>
        <w:rPr>
          <w:rFonts w:hint="eastAsia" w:ascii="宋体"/>
          <w:sz w:val="28"/>
          <w:szCs w:val="28"/>
        </w:rPr>
        <w:t>2022年一般公共预算财政拨款基本支出708.81万元，其中：</w:t>
      </w:r>
    </w:p>
    <w:p>
      <w:pPr>
        <w:spacing w:line="600" w:lineRule="exact"/>
        <w:ind w:firstLine="645"/>
        <w:rPr>
          <w:rFonts w:hint="eastAsia" w:ascii="宋体"/>
          <w:sz w:val="28"/>
          <w:szCs w:val="28"/>
        </w:rPr>
      </w:pPr>
      <w:r>
        <w:rPr>
          <w:rFonts w:hint="eastAsia" w:ascii="宋体"/>
          <w:sz w:val="28"/>
          <w:szCs w:val="28"/>
        </w:rPr>
        <w:t>人员经费600.55万元，主要包括：基本工资、津贴补贴、奖金、绩效工资、机关事业单位基本养老保险缴费、其他社会保障缴费、</w:t>
      </w:r>
      <w:r>
        <w:rPr>
          <w:rFonts w:hint="eastAsia" w:ascii="宋体"/>
          <w:sz w:val="28"/>
          <w:szCs w:val="28"/>
          <w:lang w:val="en-US" w:eastAsia="zh-CN"/>
        </w:rPr>
        <w:t>住房公积金、</w:t>
      </w:r>
      <w:r>
        <w:rPr>
          <w:rFonts w:hint="eastAsia" w:ascii="宋体"/>
          <w:sz w:val="28"/>
          <w:szCs w:val="28"/>
        </w:rPr>
        <w:t>其他工资福利支出等。</w:t>
      </w:r>
      <w:r>
        <w:rPr>
          <w:rFonts w:hint="eastAsia" w:ascii="宋体"/>
          <w:sz w:val="28"/>
          <w:szCs w:val="28"/>
        </w:rPr>
        <w:br w:type="textWrapping"/>
      </w:r>
      <w:r>
        <w:rPr>
          <w:rFonts w:hint="eastAsia" w:ascii="宋体"/>
          <w:sz w:val="32"/>
          <w:szCs w:val="32"/>
        </w:rPr>
        <w:t>　　</w:t>
      </w:r>
      <w:r>
        <w:rPr>
          <w:rFonts w:hint="eastAsia" w:ascii="宋体"/>
          <w:sz w:val="28"/>
          <w:szCs w:val="28"/>
        </w:rPr>
        <w:t>公用经费100.47万元，主要包括：办公费、水费、电费、邮电费、差旅费、维修（护）费、公务接待费、劳务费、工会经费、福利费、其他交通费支出等。</w:t>
      </w:r>
    </w:p>
    <w:p>
      <w:pPr>
        <w:spacing w:line="600" w:lineRule="exact"/>
        <w:ind w:firstLine="640"/>
        <w:outlineLvl w:val="1"/>
        <w:rPr>
          <w:rStyle w:val="22"/>
          <w:rFonts w:hint="eastAsia" w:ascii="宋体"/>
          <w:sz w:val="28"/>
          <w:szCs w:val="28"/>
        </w:rPr>
      </w:pPr>
      <w:bookmarkStart w:id="28" w:name="_Toc15396609"/>
      <w:bookmarkStart w:id="29" w:name="_Toc15377215"/>
      <w:r>
        <w:rPr>
          <w:rFonts w:hint="eastAsia" w:ascii="宋体"/>
          <w:b/>
          <w:bCs/>
          <w:sz w:val="28"/>
          <w:szCs w:val="28"/>
        </w:rPr>
        <w:t>七、</w:t>
      </w:r>
      <w:r>
        <w:rPr>
          <w:rStyle w:val="22"/>
          <w:rFonts w:hint="eastAsia" w:ascii="宋体"/>
          <w:sz w:val="28"/>
          <w:szCs w:val="28"/>
        </w:rPr>
        <w:t>财政拨款“三公”经费支出决算情况说明</w:t>
      </w:r>
      <w:bookmarkEnd w:id="28"/>
      <w:bookmarkEnd w:id="29"/>
    </w:p>
    <w:p>
      <w:pPr>
        <w:spacing w:line="600" w:lineRule="exact"/>
        <w:ind w:firstLine="640"/>
        <w:outlineLvl w:val="2"/>
        <w:rPr>
          <w:rFonts w:hint="eastAsia" w:ascii="宋体"/>
          <w:b/>
          <w:sz w:val="28"/>
          <w:szCs w:val="28"/>
        </w:rPr>
      </w:pPr>
      <w:bookmarkStart w:id="30" w:name="_Toc15377216"/>
      <w:r>
        <w:rPr>
          <w:rFonts w:hint="eastAsia" w:ascii="宋体"/>
          <w:b/>
          <w:sz w:val="28"/>
          <w:szCs w:val="28"/>
        </w:rPr>
        <w:t>（一）“三公”经费财政拨款支出决算总体情况说明</w:t>
      </w:r>
      <w:bookmarkEnd w:id="30"/>
    </w:p>
    <w:p>
      <w:pPr>
        <w:spacing w:line="600" w:lineRule="exact"/>
        <w:ind w:firstLine="640"/>
        <w:rPr>
          <w:rFonts w:hint="eastAsia" w:ascii="宋体"/>
          <w:sz w:val="28"/>
          <w:szCs w:val="28"/>
        </w:rPr>
      </w:pPr>
      <w:r>
        <w:rPr>
          <w:rFonts w:hint="eastAsia" w:ascii="宋体"/>
          <w:sz w:val="28"/>
          <w:szCs w:val="28"/>
        </w:rPr>
        <w:t>2022年“三公”经费财政拨款支出决算为14.79万元，完成预算100%，较上年减少5.11万元，下降25.68%。决算数小于预算数的主要原因是认真贯彻落实“党政机关”要坚持过紧日子”的要求，厉行节约，从严控制“三公”经费开支。</w:t>
      </w:r>
    </w:p>
    <w:p>
      <w:pPr>
        <w:spacing w:line="600" w:lineRule="exact"/>
        <w:ind w:firstLine="640"/>
        <w:outlineLvl w:val="2"/>
        <w:rPr>
          <w:rFonts w:hint="eastAsia" w:ascii="宋体"/>
          <w:b/>
          <w:sz w:val="28"/>
          <w:szCs w:val="28"/>
        </w:rPr>
      </w:pPr>
      <w:bookmarkStart w:id="31" w:name="_Toc15377217"/>
      <w:r>
        <w:rPr>
          <w:rFonts w:hint="eastAsia" w:ascii="宋体"/>
          <w:b/>
          <w:sz w:val="28"/>
          <w:szCs w:val="28"/>
        </w:rPr>
        <w:t>（二）“三公”经费财政拨款支出决算具体情况说明</w:t>
      </w:r>
      <w:bookmarkEnd w:id="31"/>
    </w:p>
    <w:p>
      <w:pPr>
        <w:spacing w:line="600" w:lineRule="exact"/>
        <w:ind w:firstLine="640"/>
        <w:rPr>
          <w:rFonts w:hint="eastAsia" w:ascii="宋体"/>
          <w:sz w:val="28"/>
          <w:szCs w:val="28"/>
        </w:rPr>
      </w:pPr>
      <w:r>
        <w:rPr>
          <w:rFonts w:hint="eastAsia" w:ascii="宋体"/>
          <w:sz w:val="28"/>
          <w:szCs w:val="28"/>
        </w:rPr>
        <w:t>2022年“三公”经费财政拨款支出决算中，因公出国（境）费支出决算0万元，占0%；公务用车购置及运行维护费支出决算0万元，占0%；公务接待费支出决算14.79万元，占100%。具体情况如下：</w:t>
      </w:r>
    </w:p>
    <w:p>
      <w:pPr>
        <w:spacing w:line="600" w:lineRule="exact"/>
        <w:ind w:firstLine="640"/>
        <w:rPr>
          <w:rFonts w:hint="eastAsia" w:ascii="宋体"/>
          <w:sz w:val="28"/>
          <w:szCs w:val="28"/>
        </w:rPr>
      </w:pPr>
      <w:r>
        <w:rPr>
          <w:rFonts w:hint="eastAsia" w:ascii="宋体"/>
          <w:sz w:val="28"/>
          <w:szCs w:val="28"/>
        </w:rPr>
        <w:t>（图7：“三公”经费财政拨款支出结构）（饼状图）</w:t>
      </w:r>
    </w:p>
    <w:p>
      <w:pPr>
        <w:pStyle w:val="2"/>
        <w:rPr>
          <w:rFonts w:hint="eastAsia" w:ascii="宋体" w:eastAsia="宋体"/>
        </w:rPr>
      </w:pPr>
      <w:r>
        <w:rPr>
          <w:rFonts w:hint="eastAsia" w:ascii="宋体" w:eastAsia="宋体"/>
        </w:rPr>
        <w:drawing>
          <wp:inline distT="0" distB="0" distL="85090" distR="85090">
            <wp:extent cx="4846955" cy="2694940"/>
            <wp:effectExtent l="0" t="0" r="32" b="2"/>
            <wp:docPr id="19" name="图片"/>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pic:cNvPicPr>
                      <a:picLocks noChangeAspect="true"/>
                    </pic:cNvPicPr>
                  </pic:nvPicPr>
                  <pic:blipFill>
                    <a:blip r:embed="rId12"/>
                    <a:stretch>
                      <a:fillRect/>
                    </a:stretch>
                  </pic:blipFill>
                  <pic:spPr>
                    <a:xfrm>
                      <a:off x="0" y="0"/>
                      <a:ext cx="4847516" cy="2695536"/>
                    </a:xfrm>
                    <a:prstGeom prst="rect">
                      <a:avLst/>
                    </a:prstGeom>
                    <a:noFill/>
                    <a:ln w="9525" cap="flat" cmpd="sng">
                      <a:noFill/>
                      <a:prstDash val="solid"/>
                      <a:miter/>
                    </a:ln>
                  </pic:spPr>
                </pic:pic>
              </a:graphicData>
            </a:graphic>
          </wp:inline>
        </w:drawing>
      </w:r>
    </w:p>
    <w:p>
      <w:pPr>
        <w:spacing w:line="600" w:lineRule="exact"/>
        <w:ind w:left="0" w:firstLine="420" w:firstLineChars="150"/>
        <w:rPr>
          <w:rFonts w:hint="eastAsia" w:ascii="宋体"/>
          <w:sz w:val="28"/>
          <w:szCs w:val="28"/>
        </w:rPr>
      </w:pPr>
      <w:r>
        <w:rPr>
          <w:rFonts w:hint="eastAsia" w:ascii="宋体"/>
          <w:sz w:val="28"/>
          <w:szCs w:val="28"/>
        </w:rPr>
        <w:t>1.因公出国（境）经费支出0万元</w:t>
      </w:r>
      <w:r>
        <w:rPr>
          <w:rStyle w:val="19"/>
          <w:rFonts w:hint="eastAsia" w:ascii="宋体"/>
          <w:b w:val="0"/>
          <w:sz w:val="28"/>
          <w:szCs w:val="28"/>
        </w:rPr>
        <w:t>。</w:t>
      </w:r>
      <w:r>
        <w:rPr>
          <w:rFonts w:hint="eastAsia" w:ascii="宋体"/>
          <w:sz w:val="28"/>
          <w:szCs w:val="28"/>
        </w:rPr>
        <w:t>全年安排因公出国（境）团组0次，出国（境）0人。</w:t>
      </w:r>
    </w:p>
    <w:p>
      <w:pPr>
        <w:spacing w:line="600" w:lineRule="exact"/>
        <w:ind w:left="0" w:firstLine="420" w:firstLineChars="150"/>
        <w:rPr>
          <w:rFonts w:hint="eastAsia" w:ascii="宋体"/>
          <w:b/>
          <w:sz w:val="28"/>
          <w:szCs w:val="28"/>
        </w:rPr>
      </w:pPr>
      <w:r>
        <w:rPr>
          <w:rFonts w:hint="eastAsia" w:ascii="宋体"/>
          <w:sz w:val="28"/>
          <w:szCs w:val="28"/>
        </w:rPr>
        <w:t>2.公务用车购置及运行维护费支出0万元</w:t>
      </w:r>
      <w:r>
        <w:rPr>
          <w:rStyle w:val="19"/>
          <w:rFonts w:hint="eastAsia" w:ascii="宋体"/>
          <w:b w:val="0"/>
          <w:sz w:val="28"/>
          <w:szCs w:val="28"/>
        </w:rPr>
        <w:t>。</w:t>
      </w:r>
    </w:p>
    <w:p>
      <w:pPr>
        <w:spacing w:line="600" w:lineRule="exact"/>
        <w:ind w:left="0" w:firstLine="0"/>
        <w:rPr>
          <w:rFonts w:hint="eastAsia" w:ascii="宋体"/>
          <w:b/>
          <w:sz w:val="28"/>
          <w:szCs w:val="28"/>
        </w:rPr>
      </w:pPr>
      <w:r>
        <w:rPr>
          <w:rFonts w:hint="eastAsia" w:ascii="宋体"/>
          <w:sz w:val="28"/>
          <w:szCs w:val="28"/>
        </w:rPr>
        <w:t>其中：公务用车购置支出0万元。全年按规定更新购置公务用车0辆，其中：轿车0辆、金额0万元，越野车0辆、金额0万元，载客汽车0辆、金额0万元。截至2022年12月底，单位共有公务用车0辆，其中：轿车0辆、越野车0辆、载客汽车0辆。</w:t>
      </w:r>
    </w:p>
    <w:p>
      <w:pPr>
        <w:spacing w:line="600" w:lineRule="exact"/>
        <w:ind w:firstLine="640"/>
        <w:rPr>
          <w:rFonts w:hint="eastAsia" w:ascii="宋体"/>
          <w:sz w:val="28"/>
          <w:szCs w:val="28"/>
        </w:rPr>
      </w:pPr>
      <w:r>
        <w:rPr>
          <w:rFonts w:hint="eastAsia" w:ascii="宋体"/>
          <w:sz w:val="28"/>
          <w:szCs w:val="28"/>
        </w:rPr>
        <w:t>公务用车运行维护费支出0万元。</w:t>
      </w:r>
    </w:p>
    <w:p>
      <w:pPr>
        <w:spacing w:line="600" w:lineRule="exact"/>
        <w:ind w:firstLine="640"/>
        <w:rPr>
          <w:rFonts w:hint="eastAsia" w:ascii="宋体"/>
          <w:sz w:val="28"/>
          <w:szCs w:val="28"/>
        </w:rPr>
      </w:pPr>
      <w:r>
        <w:rPr>
          <w:rFonts w:hint="eastAsia" w:ascii="宋体"/>
          <w:sz w:val="28"/>
          <w:szCs w:val="28"/>
        </w:rPr>
        <w:t>3.公务接待费支出14.79万元，</w:t>
      </w:r>
      <w:r>
        <w:rPr>
          <w:rStyle w:val="19"/>
          <w:rFonts w:hint="eastAsia" w:ascii="宋体"/>
          <w:b w:val="0"/>
          <w:bCs/>
          <w:sz w:val="28"/>
          <w:szCs w:val="28"/>
        </w:rPr>
        <w:t>完成预算100%。</w:t>
      </w:r>
      <w:r>
        <w:rPr>
          <w:rFonts w:hint="eastAsia" w:ascii="宋体"/>
          <w:sz w:val="28"/>
          <w:szCs w:val="28"/>
        </w:rPr>
        <w:t>公务接待费支出决算比2021年增加/减少5.11万元，下降25.68%。主要原因是认真贯彻落实“党政机关”要坚持过紧日子”的要求，厉行节约，从严控制“三公”经费开支。其中：</w:t>
      </w:r>
    </w:p>
    <w:p>
      <w:pPr>
        <w:spacing w:line="600" w:lineRule="exact"/>
        <w:ind w:firstLine="640"/>
        <w:rPr>
          <w:rFonts w:hint="eastAsia" w:ascii="宋体"/>
          <w:sz w:val="28"/>
          <w:szCs w:val="28"/>
        </w:rPr>
      </w:pPr>
      <w:r>
        <w:rPr>
          <w:rFonts w:hint="eastAsia" w:ascii="宋体"/>
          <w:sz w:val="28"/>
          <w:szCs w:val="28"/>
        </w:rPr>
        <w:t>国内公务接待支出14.79万元，主要用于执行公务、开展业务活动开支的住宿费、用餐费等。国内公务接待142批次，2007人次。</w:t>
      </w:r>
    </w:p>
    <w:p>
      <w:pPr>
        <w:spacing w:line="600" w:lineRule="exact"/>
        <w:ind w:firstLine="640"/>
        <w:outlineLvl w:val="1"/>
        <w:rPr>
          <w:rFonts w:hint="eastAsia" w:ascii="宋体" w:eastAsia="宋体"/>
          <w:sz w:val="28"/>
          <w:szCs w:val="28"/>
          <w:lang w:eastAsia="zh-CN"/>
        </w:rPr>
      </w:pPr>
      <w:bookmarkStart w:id="32" w:name="_Toc15396610"/>
      <w:bookmarkStart w:id="33" w:name="_Toc15377218"/>
      <w:r>
        <w:rPr>
          <w:rFonts w:hint="eastAsia" w:ascii="宋体"/>
          <w:sz w:val="28"/>
          <w:szCs w:val="28"/>
        </w:rPr>
        <w:t>无外事接待支出</w:t>
      </w:r>
      <w:r>
        <w:rPr>
          <w:rFonts w:hint="eastAsia" w:ascii="宋体"/>
          <w:sz w:val="28"/>
          <w:szCs w:val="28"/>
          <w:lang w:eastAsia="zh-CN"/>
        </w:rPr>
        <w:t>。</w:t>
      </w:r>
    </w:p>
    <w:p>
      <w:pPr>
        <w:spacing w:line="600" w:lineRule="exact"/>
        <w:ind w:firstLine="640"/>
        <w:outlineLvl w:val="1"/>
        <w:rPr>
          <w:rStyle w:val="22"/>
          <w:rFonts w:hint="eastAsia" w:ascii="宋体"/>
          <w:sz w:val="28"/>
          <w:szCs w:val="28"/>
        </w:rPr>
      </w:pPr>
      <w:r>
        <w:rPr>
          <w:rFonts w:hint="eastAsia" w:ascii="宋体"/>
          <w:b/>
          <w:bCs/>
          <w:sz w:val="28"/>
          <w:szCs w:val="28"/>
        </w:rPr>
        <w:t>八、</w:t>
      </w:r>
      <w:r>
        <w:rPr>
          <w:rStyle w:val="22"/>
          <w:rFonts w:hint="eastAsia" w:ascii="宋体"/>
          <w:sz w:val="28"/>
          <w:szCs w:val="28"/>
        </w:rPr>
        <w:t>政府性基金预算支出决算情况说明</w:t>
      </w:r>
      <w:bookmarkEnd w:id="32"/>
      <w:bookmarkEnd w:id="33"/>
    </w:p>
    <w:p>
      <w:pPr>
        <w:spacing w:line="600" w:lineRule="exact"/>
        <w:ind w:firstLine="640"/>
        <w:rPr>
          <w:rFonts w:hint="eastAsia" w:ascii="宋体"/>
          <w:sz w:val="28"/>
          <w:szCs w:val="28"/>
        </w:rPr>
      </w:pPr>
      <w:r>
        <w:rPr>
          <w:rFonts w:hint="eastAsia" w:ascii="宋体"/>
          <w:sz w:val="28"/>
          <w:szCs w:val="28"/>
        </w:rPr>
        <w:t>2022年政府性基金预算财政拨款支出0万元。</w:t>
      </w:r>
    </w:p>
    <w:p>
      <w:pPr>
        <w:numPr>
          <w:ilvl w:val="0"/>
          <w:numId w:val="3"/>
        </w:numPr>
        <w:spacing w:line="600" w:lineRule="exact"/>
        <w:ind w:left="0" w:firstLine="640"/>
        <w:outlineLvl w:val="1"/>
        <w:rPr>
          <w:rStyle w:val="22"/>
          <w:rFonts w:hint="eastAsia" w:ascii="宋体"/>
          <w:sz w:val="28"/>
          <w:szCs w:val="28"/>
        </w:rPr>
      </w:pPr>
      <w:bookmarkStart w:id="34" w:name="_Toc15377219"/>
      <w:bookmarkStart w:id="35" w:name="_Toc15396611"/>
      <w:r>
        <w:rPr>
          <w:rStyle w:val="22"/>
          <w:rFonts w:hint="eastAsia" w:ascii="宋体"/>
          <w:sz w:val="28"/>
          <w:szCs w:val="28"/>
        </w:rPr>
        <w:t>国有资本经营预算支出决算情况说明</w:t>
      </w:r>
      <w:bookmarkEnd w:id="34"/>
      <w:bookmarkEnd w:id="35"/>
    </w:p>
    <w:p>
      <w:pPr>
        <w:spacing w:line="600" w:lineRule="exact"/>
        <w:ind w:firstLine="640"/>
        <w:rPr>
          <w:rFonts w:hint="eastAsia" w:ascii="宋体"/>
          <w:sz w:val="28"/>
          <w:szCs w:val="28"/>
        </w:rPr>
      </w:pPr>
      <w:r>
        <w:rPr>
          <w:rFonts w:hint="eastAsia" w:ascii="宋体"/>
          <w:sz w:val="28"/>
          <w:szCs w:val="28"/>
        </w:rPr>
        <w:t>2022年国有资本经营预算财政拨款支出0万元。</w:t>
      </w:r>
    </w:p>
    <w:p>
      <w:pPr>
        <w:numPr>
          <w:ilvl w:val="0"/>
          <w:numId w:val="3"/>
        </w:numPr>
        <w:spacing w:line="600" w:lineRule="exact"/>
        <w:ind w:left="0" w:firstLine="640"/>
        <w:outlineLvl w:val="1"/>
        <w:rPr>
          <w:rStyle w:val="22"/>
          <w:rFonts w:hint="eastAsia" w:ascii="宋体"/>
          <w:sz w:val="28"/>
          <w:szCs w:val="28"/>
        </w:rPr>
      </w:pPr>
      <w:bookmarkStart w:id="36" w:name="_Toc15396612"/>
      <w:bookmarkStart w:id="37" w:name="_Toc15377221"/>
      <w:r>
        <w:rPr>
          <w:rStyle w:val="22"/>
          <w:rFonts w:hint="eastAsia" w:ascii="宋体"/>
          <w:sz w:val="28"/>
          <w:szCs w:val="28"/>
        </w:rPr>
        <w:t>其他重要事项的情况说明</w:t>
      </w:r>
      <w:bookmarkEnd w:id="36"/>
      <w:bookmarkEnd w:id="37"/>
    </w:p>
    <w:p>
      <w:pPr>
        <w:spacing w:line="600" w:lineRule="exact"/>
        <w:ind w:firstLine="562" w:firstLineChars="200"/>
        <w:outlineLvl w:val="2"/>
        <w:rPr>
          <w:rFonts w:hint="eastAsia" w:ascii="宋体"/>
          <w:sz w:val="28"/>
          <w:szCs w:val="28"/>
        </w:rPr>
      </w:pPr>
      <w:bookmarkStart w:id="38" w:name="_Toc15377222"/>
      <w:r>
        <w:rPr>
          <w:rFonts w:hint="eastAsia" w:ascii="宋体"/>
          <w:b/>
          <w:sz w:val="28"/>
          <w:szCs w:val="28"/>
        </w:rPr>
        <w:t>（一）机关运行经费支出情况</w:t>
      </w:r>
      <w:bookmarkEnd w:id="38"/>
    </w:p>
    <w:p>
      <w:pPr>
        <w:spacing w:line="600" w:lineRule="exact"/>
        <w:ind w:firstLine="560" w:firstLineChars="200"/>
        <w:rPr>
          <w:rFonts w:hint="eastAsia" w:ascii="宋体"/>
          <w:sz w:val="28"/>
          <w:szCs w:val="28"/>
        </w:rPr>
      </w:pPr>
      <w:r>
        <w:rPr>
          <w:rFonts w:hint="eastAsia" w:ascii="宋体"/>
          <w:sz w:val="28"/>
          <w:szCs w:val="28"/>
        </w:rPr>
        <w:t>2022年，县委办机关运行经费支出100.47万元，比2021年减少8.41万元，下降7.72%。主要原因是机关运行经费支出减少。</w:t>
      </w:r>
    </w:p>
    <w:p>
      <w:pPr>
        <w:autoSpaceDE w:val="0"/>
        <w:autoSpaceDN w:val="0"/>
        <w:adjustRightInd w:val="0"/>
        <w:spacing w:line="600" w:lineRule="exact"/>
        <w:ind w:firstLine="562" w:firstLineChars="200"/>
        <w:jc w:val="left"/>
        <w:outlineLvl w:val="2"/>
        <w:rPr>
          <w:rFonts w:hint="eastAsia" w:ascii="宋体"/>
          <w:b/>
          <w:sz w:val="28"/>
          <w:szCs w:val="28"/>
        </w:rPr>
      </w:pPr>
      <w:bookmarkStart w:id="39" w:name="_Toc15377223"/>
      <w:r>
        <w:rPr>
          <w:rFonts w:hint="eastAsia" w:ascii="宋体"/>
          <w:b/>
          <w:sz w:val="28"/>
          <w:szCs w:val="28"/>
        </w:rPr>
        <w:t>（二）政府采购支出情况</w:t>
      </w:r>
      <w:bookmarkEnd w:id="39"/>
    </w:p>
    <w:p>
      <w:pPr>
        <w:spacing w:line="600" w:lineRule="exact"/>
        <w:ind w:firstLine="560" w:firstLineChars="200"/>
        <w:rPr>
          <w:rFonts w:hint="eastAsia" w:ascii="宋体"/>
          <w:b/>
          <w:sz w:val="28"/>
          <w:szCs w:val="28"/>
        </w:rPr>
      </w:pPr>
      <w:r>
        <w:rPr>
          <w:rFonts w:hint="eastAsia" w:ascii="宋体"/>
          <w:sz w:val="28"/>
          <w:szCs w:val="28"/>
        </w:rPr>
        <w:t>2022年，县委办政府采购支出总额0万元，其中：政府采购货物支出0万元、政府采购工程支出0万元、政府采购服务支出0万元。</w:t>
      </w:r>
    </w:p>
    <w:p>
      <w:pPr>
        <w:autoSpaceDE w:val="0"/>
        <w:autoSpaceDN w:val="0"/>
        <w:adjustRightInd w:val="0"/>
        <w:spacing w:line="600" w:lineRule="exact"/>
        <w:ind w:firstLine="562" w:firstLineChars="200"/>
        <w:jc w:val="left"/>
        <w:outlineLvl w:val="2"/>
        <w:rPr>
          <w:rFonts w:hint="eastAsia" w:ascii="宋体"/>
          <w:b/>
          <w:sz w:val="28"/>
          <w:szCs w:val="28"/>
        </w:rPr>
      </w:pPr>
      <w:bookmarkStart w:id="40" w:name="_Toc15377224"/>
      <w:r>
        <w:rPr>
          <w:rFonts w:hint="eastAsia" w:ascii="宋体"/>
          <w:b/>
          <w:sz w:val="28"/>
          <w:szCs w:val="28"/>
        </w:rPr>
        <w:t>（三）国有资产占有使用情况</w:t>
      </w:r>
      <w:bookmarkEnd w:id="40"/>
    </w:p>
    <w:p>
      <w:pPr>
        <w:autoSpaceDE w:val="0"/>
        <w:autoSpaceDN w:val="0"/>
        <w:adjustRightInd w:val="0"/>
        <w:spacing w:line="600" w:lineRule="exact"/>
        <w:ind w:firstLine="560" w:firstLineChars="200"/>
        <w:jc w:val="left"/>
        <w:rPr>
          <w:rFonts w:hint="eastAsia" w:ascii="宋体"/>
          <w:sz w:val="28"/>
          <w:szCs w:val="28"/>
        </w:rPr>
      </w:pPr>
      <w:r>
        <w:rPr>
          <w:rFonts w:hint="eastAsia" w:ascii="宋体"/>
          <w:sz w:val="28"/>
          <w:szCs w:val="28"/>
        </w:rPr>
        <w:t>截至2022年12月31日，县委办共有车辆0辆，其中：主要领导干部用车0辆、机要通信用车0辆、应急保障用车0辆、其他用车0辆。</w:t>
      </w:r>
    </w:p>
    <w:p>
      <w:pPr>
        <w:autoSpaceDE w:val="0"/>
        <w:autoSpaceDN w:val="0"/>
        <w:adjustRightInd w:val="0"/>
        <w:spacing w:line="600" w:lineRule="exact"/>
        <w:ind w:firstLine="562" w:firstLineChars="200"/>
        <w:jc w:val="left"/>
        <w:outlineLvl w:val="2"/>
        <w:rPr>
          <w:rFonts w:hint="eastAsia" w:ascii="宋体"/>
          <w:b/>
          <w:sz w:val="28"/>
          <w:szCs w:val="28"/>
        </w:rPr>
      </w:pPr>
      <w:r>
        <w:rPr>
          <w:rFonts w:hint="eastAsia" w:ascii="宋体"/>
          <w:b/>
          <w:sz w:val="28"/>
          <w:szCs w:val="28"/>
        </w:rPr>
        <w:t>（四）预算绩效管理情况</w:t>
      </w:r>
    </w:p>
    <w:p>
      <w:pPr>
        <w:pStyle w:val="2"/>
        <w:ind w:firstLine="420" w:firstLineChars="150"/>
        <w:rPr>
          <w:rFonts w:hint="eastAsia" w:ascii="宋体" w:eastAsia="宋体"/>
          <w:sz w:val="28"/>
          <w:szCs w:val="28"/>
        </w:rPr>
      </w:pPr>
      <w:r>
        <w:rPr>
          <w:rFonts w:hint="eastAsia" w:ascii="宋体" w:eastAsia="宋体" w:cs="宋体"/>
          <w:sz w:val="28"/>
          <w:szCs w:val="28"/>
        </w:rPr>
        <w:t>本部门按要求对2022年部门整体支出开展绩效自评，从评价情况来看评价情况来看本单位将项目总体目标细化分解为具体的绩效目标展开实施，通过清晰、可衡量的指标值予以体现。根据相关政策的要求和文件的指导，本单位遵从再不违背相关项目申报程序和管理办法的前提下，通过制定中长期项目规划，履行相应的项目程序，该项目年度计划数与任务数相符，同时符合经济社会发展需要和部门年度项目规划；在资金使用情况方面，严格按照预算资金实施项目。</w:t>
      </w: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ascii="宋体" w:eastAsia="宋体"/>
        </w:rPr>
      </w:pPr>
    </w:p>
    <w:p>
      <w:pPr>
        <w:pStyle w:val="2"/>
        <w:rPr>
          <w:rFonts w:hint="eastAsia" w:ascii="宋体" w:eastAsia="宋体"/>
        </w:rPr>
      </w:pPr>
    </w:p>
    <w:p>
      <w:pPr>
        <w:numPr>
          <w:ilvl w:val="0"/>
          <w:numId w:val="4"/>
        </w:numPr>
        <w:spacing w:line="600" w:lineRule="exact"/>
        <w:ind w:left="0" w:firstLine="662" w:firstLineChars="150"/>
        <w:jc w:val="center"/>
        <w:outlineLvl w:val="0"/>
        <w:rPr>
          <w:rStyle w:val="21"/>
          <w:rFonts w:hint="eastAsia" w:ascii="宋体"/>
        </w:rPr>
      </w:pPr>
      <w:bookmarkStart w:id="41" w:name="_Toc15377225"/>
      <w:bookmarkStart w:id="42" w:name="_Toc15396613"/>
      <w:r>
        <w:rPr>
          <w:rFonts w:hint="eastAsia" w:ascii="宋体"/>
          <w:b/>
          <w:bCs/>
          <w:sz w:val="44"/>
          <w:szCs w:val="44"/>
        </w:rPr>
        <w:t>名</w:t>
      </w:r>
      <w:r>
        <w:rPr>
          <w:rStyle w:val="21"/>
          <w:rFonts w:hint="eastAsia" w:ascii="宋体"/>
        </w:rPr>
        <w:t>词解释</w:t>
      </w:r>
      <w:bookmarkEnd w:id="41"/>
      <w:bookmarkEnd w:id="42"/>
    </w:p>
    <w:p>
      <w:pPr>
        <w:spacing w:line="600" w:lineRule="exact"/>
        <w:jc w:val="left"/>
        <w:rPr>
          <w:rFonts w:hint="eastAsia" w:ascii="宋体"/>
          <w:b/>
          <w:sz w:val="44"/>
          <w:szCs w:val="44"/>
        </w:rPr>
      </w:pPr>
    </w:p>
    <w:p>
      <w:pPr>
        <w:spacing w:line="600" w:lineRule="exact"/>
        <w:ind w:firstLine="640"/>
        <w:rPr>
          <w:rFonts w:hint="eastAsia" w:ascii="宋体"/>
          <w:sz w:val="28"/>
          <w:szCs w:val="28"/>
        </w:rPr>
      </w:pPr>
      <w:r>
        <w:rPr>
          <w:rFonts w:hint="eastAsia" w:ascii="宋体"/>
          <w:sz w:val="28"/>
          <w:szCs w:val="28"/>
        </w:rPr>
        <w:t>1.财政拨款收入：指单位从同级财政部门取得的财政预算资金。</w:t>
      </w:r>
    </w:p>
    <w:p>
      <w:pPr>
        <w:spacing w:line="600" w:lineRule="exact"/>
        <w:ind w:firstLine="640"/>
        <w:rPr>
          <w:rFonts w:hint="eastAsia" w:ascii="宋体"/>
          <w:sz w:val="28"/>
          <w:szCs w:val="28"/>
        </w:rPr>
      </w:pPr>
      <w:r>
        <w:rPr>
          <w:rFonts w:hint="eastAsia" w:ascii="宋体"/>
          <w:sz w:val="28"/>
          <w:szCs w:val="28"/>
        </w:rPr>
        <w:t>2.年初结转和结余：指以前年度尚未完成、结转到本年按有关规定继续使用的资金。</w:t>
      </w:r>
    </w:p>
    <w:p>
      <w:pPr>
        <w:spacing w:line="600" w:lineRule="exact"/>
        <w:ind w:firstLine="640"/>
        <w:rPr>
          <w:rFonts w:hint="eastAsia" w:ascii="宋体"/>
          <w:sz w:val="28"/>
          <w:szCs w:val="28"/>
        </w:rPr>
      </w:pPr>
      <w:r>
        <w:rPr>
          <w:rFonts w:hint="eastAsia" w:ascii="宋体"/>
          <w:sz w:val="28"/>
          <w:szCs w:val="28"/>
        </w:rPr>
        <w:t>3.一般公共服务支出（类）党委办公厅(室)及相关机构事务（款）行政运行（项）：指反映行政单位（包括实行公务员管理的事业单位）的基本支出。</w:t>
      </w:r>
    </w:p>
    <w:p>
      <w:pPr>
        <w:spacing w:line="600" w:lineRule="exact"/>
        <w:ind w:firstLine="640"/>
        <w:rPr>
          <w:rFonts w:hint="eastAsia" w:ascii="宋体"/>
          <w:sz w:val="28"/>
          <w:szCs w:val="28"/>
        </w:rPr>
      </w:pPr>
      <w:r>
        <w:rPr>
          <w:rFonts w:hint="eastAsia" w:ascii="宋体"/>
          <w:sz w:val="28"/>
          <w:szCs w:val="28"/>
        </w:rPr>
        <w:t>4. 一般公共服务支出（类）党委办公厅(室)及相关机构事务（款）一般行政管理事务（项）: 指反映行政单位（包括实行公务员管理的事业单位）未单独设置项级科目的其他项目支出。</w:t>
      </w:r>
    </w:p>
    <w:p>
      <w:pPr>
        <w:spacing w:line="600" w:lineRule="exact"/>
        <w:ind w:firstLine="640"/>
        <w:rPr>
          <w:rFonts w:hint="eastAsia" w:ascii="宋体"/>
          <w:sz w:val="28"/>
          <w:szCs w:val="28"/>
        </w:rPr>
      </w:pPr>
      <w:r>
        <w:rPr>
          <w:rFonts w:hint="eastAsia" w:ascii="宋体"/>
          <w:sz w:val="28"/>
          <w:szCs w:val="28"/>
        </w:rPr>
        <w:t>5. 一般公共服务支出（类）党委办公厅(室)及相关机构事务（款）事业运行（项）: 反映事业单位的基本支出，不包括行政单位（包括实行公务员管理的事业单位）后勤服务中心、医务室等附属事业单位。</w:t>
      </w:r>
    </w:p>
    <w:p>
      <w:pPr>
        <w:spacing w:line="600" w:lineRule="exact"/>
        <w:ind w:firstLine="640"/>
        <w:rPr>
          <w:rFonts w:hint="eastAsia" w:ascii="宋体"/>
          <w:sz w:val="28"/>
          <w:szCs w:val="28"/>
        </w:rPr>
      </w:pPr>
      <w:r>
        <w:rPr>
          <w:rFonts w:ascii="宋体"/>
          <w:sz w:val="28"/>
          <w:szCs w:val="28"/>
        </w:rPr>
        <w:t>6</w:t>
      </w:r>
      <w:r>
        <w:rPr>
          <w:rFonts w:hint="eastAsia" w:ascii="宋体"/>
          <w:sz w:val="28"/>
          <w:szCs w:val="28"/>
        </w:rPr>
        <w:t>. 社会保障和就业支出（类）行政事业单位养老支出（款）政单位离退休（项）: 指行政单位开支的离退休人员经费。</w:t>
      </w:r>
    </w:p>
    <w:p>
      <w:pPr>
        <w:spacing w:line="600" w:lineRule="exact"/>
        <w:ind w:firstLine="640"/>
        <w:rPr>
          <w:rFonts w:hint="eastAsia" w:ascii="宋体"/>
          <w:sz w:val="28"/>
          <w:szCs w:val="28"/>
        </w:rPr>
      </w:pPr>
      <w:r>
        <w:rPr>
          <w:rFonts w:ascii="宋体"/>
          <w:sz w:val="28"/>
          <w:szCs w:val="28"/>
        </w:rPr>
        <w:t>7</w:t>
      </w:r>
      <w:r>
        <w:rPr>
          <w:rFonts w:hint="eastAsia" w:ascii="宋体"/>
          <w:sz w:val="28"/>
          <w:szCs w:val="28"/>
        </w:rPr>
        <w:t>. 社会保障和就业支出（类）行政事业单位养老支出（款）机关事业单位基本养老保险缴费支出（项）: 指反映机关事业单位实施养老保险制度由单位缴纳的基本养老保险费支出。</w:t>
      </w:r>
    </w:p>
    <w:p>
      <w:pPr>
        <w:spacing w:line="600" w:lineRule="exact"/>
        <w:ind w:firstLine="640"/>
        <w:rPr>
          <w:rFonts w:hint="eastAsia" w:ascii="宋体"/>
          <w:sz w:val="28"/>
          <w:szCs w:val="28"/>
        </w:rPr>
      </w:pPr>
      <w:r>
        <w:rPr>
          <w:rFonts w:ascii="宋体"/>
          <w:sz w:val="28"/>
          <w:szCs w:val="28"/>
        </w:rPr>
        <w:t>8</w:t>
      </w:r>
      <w:r>
        <w:rPr>
          <w:rFonts w:hint="eastAsia" w:ascii="宋体"/>
          <w:sz w:val="28"/>
          <w:szCs w:val="28"/>
        </w:rPr>
        <w:t>. 卫生健康支出（类）行政事业单位医疗（款）行政单位医疗（项）：指行政单位用于缴纳单位基本医疗保险支出。</w:t>
      </w:r>
    </w:p>
    <w:p>
      <w:pPr>
        <w:spacing w:line="600" w:lineRule="exact"/>
        <w:ind w:firstLine="640"/>
        <w:rPr>
          <w:rFonts w:hint="eastAsia" w:ascii="宋体"/>
          <w:sz w:val="28"/>
          <w:szCs w:val="28"/>
        </w:rPr>
      </w:pPr>
      <w:r>
        <w:rPr>
          <w:rFonts w:ascii="宋体"/>
          <w:sz w:val="28"/>
          <w:szCs w:val="28"/>
        </w:rPr>
        <w:t>9</w:t>
      </w:r>
      <w:r>
        <w:rPr>
          <w:rFonts w:hint="eastAsia" w:ascii="宋体"/>
          <w:sz w:val="28"/>
          <w:szCs w:val="28"/>
        </w:rPr>
        <w:t>.住房保障支出（类）住房改革支出（款）住房公积金（项）：指反映行政事业单位按人力资源和社会保障部、财政部规定的基本工资和津贴补贴以及规定比例为职工缴纳的住房公积金。</w:t>
      </w:r>
    </w:p>
    <w:p>
      <w:pPr>
        <w:spacing w:line="600" w:lineRule="exact"/>
        <w:ind w:firstLine="640"/>
        <w:rPr>
          <w:rFonts w:hint="eastAsia" w:ascii="宋体"/>
          <w:sz w:val="28"/>
          <w:szCs w:val="28"/>
        </w:rPr>
      </w:pPr>
      <w:r>
        <w:rPr>
          <w:rFonts w:ascii="宋体"/>
          <w:sz w:val="28"/>
          <w:szCs w:val="28"/>
        </w:rPr>
        <w:t>10</w:t>
      </w:r>
      <w:r>
        <w:rPr>
          <w:rFonts w:hint="eastAsia" w:ascii="宋体"/>
          <w:sz w:val="28"/>
          <w:szCs w:val="28"/>
        </w:rPr>
        <w:t>.基本支出：指为保障机构正常运转、完成日常工作任务而发生的人员支出和公用支出。</w:t>
      </w:r>
    </w:p>
    <w:p>
      <w:pPr>
        <w:spacing w:line="600" w:lineRule="exact"/>
        <w:ind w:firstLine="640"/>
        <w:rPr>
          <w:rFonts w:hint="eastAsia" w:ascii="宋体"/>
          <w:sz w:val="28"/>
          <w:szCs w:val="28"/>
        </w:rPr>
      </w:pPr>
      <w:r>
        <w:rPr>
          <w:rFonts w:ascii="宋体"/>
          <w:sz w:val="28"/>
          <w:szCs w:val="28"/>
        </w:rPr>
        <w:t>11</w:t>
      </w:r>
      <w:r>
        <w:rPr>
          <w:rFonts w:hint="eastAsia" w:ascii="宋体"/>
          <w:sz w:val="28"/>
          <w:szCs w:val="28"/>
        </w:rPr>
        <w:t>.项目支出：指在基本支出之外为完成特定行政任务和事业发展目标所发生的支出。</w:t>
      </w:r>
    </w:p>
    <w:p>
      <w:pPr>
        <w:spacing w:line="600" w:lineRule="exact"/>
        <w:ind w:firstLine="640"/>
        <w:rPr>
          <w:rFonts w:hint="eastAsia" w:ascii="宋体"/>
          <w:sz w:val="28"/>
          <w:szCs w:val="28"/>
        </w:rPr>
      </w:pPr>
      <w:r>
        <w:rPr>
          <w:rFonts w:ascii="宋体"/>
          <w:sz w:val="28"/>
          <w:szCs w:val="28"/>
        </w:rPr>
        <w:t>12</w:t>
      </w:r>
      <w:r>
        <w:rPr>
          <w:rFonts w:hint="eastAsia" w:ascii="宋体"/>
          <w:sz w:val="28"/>
          <w:szCs w:val="28"/>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宋体"/>
          <w:sz w:val="28"/>
          <w:szCs w:val="28"/>
        </w:rPr>
      </w:pPr>
      <w:r>
        <w:rPr>
          <w:rFonts w:ascii="宋体"/>
          <w:sz w:val="28"/>
          <w:szCs w:val="28"/>
        </w:rPr>
        <w:t>13</w:t>
      </w:r>
      <w:r>
        <w:rPr>
          <w:rFonts w:hint="eastAsia" w:ascii="宋体"/>
          <w:sz w:val="28"/>
          <w:szCs w:val="28"/>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pPr>
        <w:spacing w:line="600" w:lineRule="exact"/>
        <w:jc w:val="center"/>
        <w:outlineLvl w:val="0"/>
        <w:rPr>
          <w:rStyle w:val="21"/>
          <w:rFonts w:hint="eastAsia" w:ascii="宋体"/>
          <w:b w:val="0"/>
        </w:rPr>
      </w:pPr>
      <w:bookmarkStart w:id="43" w:name="_Toc15377226"/>
      <w:r>
        <w:rPr>
          <w:rFonts w:hint="eastAsia" w:ascii="宋体"/>
          <w:sz w:val="28"/>
          <w:szCs w:val="28"/>
        </w:rPr>
        <w:br w:type="page"/>
      </w:r>
      <w:bookmarkStart w:id="44" w:name="_Toc15396614"/>
      <w:r>
        <w:rPr>
          <w:rFonts w:hint="eastAsia" w:ascii="宋体"/>
          <w:sz w:val="44"/>
          <w:szCs w:val="44"/>
        </w:rPr>
        <w:t>第</w:t>
      </w:r>
      <w:r>
        <w:rPr>
          <w:rStyle w:val="21"/>
          <w:rFonts w:hint="eastAsia" w:ascii="宋体"/>
          <w:b w:val="0"/>
        </w:rPr>
        <w:t>四部分 附件</w:t>
      </w:r>
      <w:bookmarkEnd w:id="44"/>
    </w:p>
    <w:p>
      <w:pPr>
        <w:spacing w:line="576" w:lineRule="exact"/>
        <w:ind w:firstLine="2200" w:firstLineChars="500"/>
        <w:rPr>
          <w:rFonts w:hint="eastAsia" w:ascii="宋体" w:cs="方正小标宋简体"/>
          <w:b w:val="0"/>
          <w:bCs/>
          <w:color w:val="000000"/>
          <w:sz w:val="44"/>
          <w:szCs w:val="44"/>
          <w:shd w:val="clear" w:color="auto" w:fill="FFFFFF"/>
        </w:rPr>
      </w:pPr>
      <w:r>
        <w:rPr>
          <w:rFonts w:hint="eastAsia" w:ascii="宋体" w:cs="方正小标宋简体"/>
          <w:b w:val="0"/>
          <w:bCs/>
          <w:color w:val="000000"/>
          <w:sz w:val="44"/>
          <w:szCs w:val="44"/>
          <w:shd w:val="clear" w:color="auto" w:fill="FFFFFF"/>
        </w:rPr>
        <w:t>中共剑阁县委办公室</w:t>
      </w:r>
    </w:p>
    <w:p>
      <w:pPr>
        <w:spacing w:line="576" w:lineRule="exact"/>
        <w:jc w:val="center"/>
        <w:rPr>
          <w:rFonts w:hint="eastAsia" w:ascii="宋体" w:cs="方正小标宋简体"/>
          <w:b w:val="0"/>
          <w:bCs/>
          <w:color w:val="000000"/>
          <w:sz w:val="44"/>
          <w:szCs w:val="44"/>
          <w:shd w:val="clear" w:color="auto" w:fill="FFFFFF"/>
        </w:rPr>
      </w:pPr>
      <w:r>
        <w:rPr>
          <w:rFonts w:hint="eastAsia" w:ascii="宋体" w:cs="方正小标宋简体"/>
          <w:b w:val="0"/>
          <w:bCs/>
          <w:color w:val="000000"/>
          <w:sz w:val="44"/>
          <w:szCs w:val="44"/>
          <w:shd w:val="clear" w:color="auto" w:fill="FFFFFF"/>
        </w:rPr>
        <w:t>2022年部门整体支出绩效评价报告</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640" w:firstLineChars="200"/>
        <w:jc w:val="both"/>
        <w:textAlignment w:val="auto"/>
        <w:rPr>
          <w:rFonts w:hint="eastAsia" w:ascii="宋体" w:cs="仿宋_GB2312"/>
          <w:b w:val="0"/>
          <w:bCs/>
          <w:color w:val="000000"/>
          <w:spacing w:val="0"/>
          <w:kern w:val="0"/>
          <w:sz w:val="32"/>
          <w:szCs w:val="32"/>
          <w:shd w:val="clear" w:color="auto" w:fill="FFFFFF"/>
        </w:rPr>
      </w:pP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2" w:firstLineChars="200"/>
        <w:jc w:val="both"/>
        <w:textAlignment w:val="auto"/>
        <w:rPr>
          <w:rFonts w:hint="eastAsia" w:ascii="宋体" w:cs="黑体"/>
          <w:b/>
          <w:bCs/>
          <w:color w:val="000000"/>
          <w:spacing w:val="0"/>
          <w:kern w:val="0"/>
          <w:sz w:val="28"/>
          <w:szCs w:val="28"/>
          <w:shd w:val="clear" w:color="auto" w:fill="FFFFFF"/>
          <w:lang w:val="zh-CN"/>
        </w:rPr>
      </w:pPr>
      <w:r>
        <w:rPr>
          <w:rFonts w:hint="eastAsia" w:ascii="宋体" w:cs="黑体"/>
          <w:b/>
          <w:bCs/>
          <w:color w:val="000000"/>
          <w:spacing w:val="0"/>
          <w:kern w:val="0"/>
          <w:sz w:val="28"/>
          <w:szCs w:val="28"/>
          <w:shd w:val="clear" w:color="auto" w:fill="FFFFFF"/>
        </w:rPr>
        <w:t>一、</w:t>
      </w:r>
      <w:r>
        <w:rPr>
          <w:rFonts w:hint="eastAsia" w:ascii="宋体" w:cs="黑体"/>
          <w:b/>
          <w:bCs/>
          <w:color w:val="000000"/>
          <w:spacing w:val="0"/>
          <w:kern w:val="0"/>
          <w:sz w:val="28"/>
          <w:szCs w:val="28"/>
          <w:shd w:val="clear" w:color="auto" w:fill="FFFFFF"/>
          <w:lang w:val="zh-CN"/>
        </w:rPr>
        <w:t>部门概况</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楷体_GB2312"/>
          <w:b w:val="0"/>
          <w:bCs/>
          <w:color w:val="000000"/>
          <w:spacing w:val="0"/>
          <w:kern w:val="0"/>
          <w:sz w:val="28"/>
          <w:szCs w:val="28"/>
          <w:shd w:val="clear" w:color="auto" w:fill="FFFFFF"/>
          <w:lang w:val="zh-CN"/>
        </w:rPr>
      </w:pPr>
      <w:r>
        <w:rPr>
          <w:rFonts w:hint="eastAsia" w:ascii="宋体" w:cs="楷体_GB2312"/>
          <w:b w:val="0"/>
          <w:bCs/>
          <w:color w:val="000000"/>
          <w:spacing w:val="0"/>
          <w:kern w:val="0"/>
          <w:sz w:val="28"/>
          <w:szCs w:val="28"/>
          <w:shd w:val="clear" w:color="auto" w:fill="FFFFFF"/>
          <w:lang w:val="zh-CN"/>
        </w:rPr>
        <w:t>（一）机构组成</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color w:val="000000"/>
          <w:spacing w:val="0"/>
          <w:kern w:val="0"/>
          <w:sz w:val="28"/>
          <w:szCs w:val="28"/>
          <w:shd w:val="clear" w:color="auto" w:fill="FFFFFF"/>
          <w:lang w:val="zh-CN"/>
        </w:rPr>
      </w:pPr>
      <w:r>
        <w:rPr>
          <w:rFonts w:hint="eastAsia" w:ascii="宋体" w:cs="仿宋_GB2312"/>
          <w:b w:val="0"/>
          <w:bCs/>
          <w:color w:val="000000"/>
          <w:spacing w:val="0"/>
          <w:sz w:val="28"/>
          <w:szCs w:val="28"/>
        </w:rPr>
        <w:t>中共剑阁县委员会办公室（简称剑阁县委办），属党委序列，正科级单位，代管县委信息中心、县委党史政研中心，县委办内设县委常委办、综合股、调研股、秘书股、文件与党内法规股、信息股、目标绩效股、督查督办股、机要密码股、国安保密股、档案管理股、外事股、行政后勤股。</w:t>
      </w:r>
    </w:p>
    <w:p>
      <w:pPr>
        <w:keepNext w:val="0"/>
        <w:keepLines w:val="0"/>
        <w:pageBreakBefore w:val="0"/>
        <w:widowControl w:val="0"/>
        <w:kinsoku/>
        <w:wordWrap/>
        <w:overflowPunct w:val="0"/>
        <w:topLinePunct w:val="0"/>
        <w:autoSpaceDE w:val="0"/>
        <w:autoSpaceDN w:val="0"/>
        <w:bidi w:val="0"/>
        <w:spacing w:line="576" w:lineRule="exact"/>
        <w:ind w:left="0" w:firstLine="562" w:firstLineChars="200"/>
        <w:jc w:val="both"/>
        <w:textAlignment w:val="auto"/>
        <w:rPr>
          <w:rFonts w:hint="eastAsia" w:ascii="宋体" w:cs="楷体_GB2312"/>
          <w:b/>
          <w:bCs/>
          <w:color w:val="000000"/>
          <w:spacing w:val="0"/>
          <w:kern w:val="0"/>
          <w:sz w:val="28"/>
          <w:szCs w:val="28"/>
          <w:shd w:val="clear" w:color="auto" w:fill="FFFFFF"/>
          <w:lang w:val="zh-CN"/>
        </w:rPr>
      </w:pPr>
      <w:r>
        <w:rPr>
          <w:rFonts w:hint="eastAsia" w:ascii="宋体" w:cs="楷体_GB2312"/>
          <w:b/>
          <w:bCs/>
          <w:color w:val="000000"/>
          <w:spacing w:val="0"/>
          <w:kern w:val="0"/>
          <w:sz w:val="28"/>
          <w:szCs w:val="28"/>
          <w:shd w:val="clear" w:color="auto" w:fill="FFFFFF"/>
          <w:lang w:val="zh-CN"/>
        </w:rPr>
        <w:t>（二）机构职能。</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1.负责县委日常公文处理工作。承担县委（县委办）文件、县委领导同志讲话等文稿的起草、校核、印发；办理各类公文、资料的收发、传递、立卷、归档和查阅等工作；负责县委规范性文件报送市委备案工作。</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2.围绕县委中心工作，领导关注的重大问题，群众反映的“热点”“难点”问题，组织调查研究，开展信息服务，为县委决策提供依据和建议。</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3.负责县党代会、县委全委会、县委常委（扩大）会、书记办公会、县委工作会等有关会议的筹备和服务工作；负责县委重大活动、县委领导参加有关活动的安排协调。</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仿宋_GB2312"/>
          <w:b w:val="0"/>
          <w:bCs/>
          <w:spacing w:val="0"/>
          <w:sz w:val="28"/>
          <w:szCs w:val="28"/>
        </w:rPr>
        <w:t>4.负责对上级党委和县委指示、领导同志批示的转达和催办落实；办理县人大代表、政协委员提出的需由县委答复的有关议案、提案和建议；处理下级党组织给县委的请示、报告。</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仿宋_GB2312"/>
          <w:b w:val="0"/>
          <w:bCs/>
          <w:spacing w:val="0"/>
          <w:sz w:val="28"/>
          <w:szCs w:val="28"/>
        </w:rPr>
        <w:t>5.负责全县目标绩效管理工作，负责中央、省、市、县委工作部署、会议精神、重要文件等贯彻落实情况的督促检查。</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6.依法履行保密机要工作行政管理职能，监督检查保密机要法律法规、条例、制度的实施；监督检查保密机要工作责任的落实和制度建设情况；负责全县党政系统的密码、密码通信及全县商用密码的管理；负责全县电子政务内网建设管理的综合协调和业务指导；负责涉及保密、机要、密码等领域其他相关工作。</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7.负责全县档案工作的监督和指导。</w:t>
      </w:r>
    </w:p>
    <w:p>
      <w:pPr>
        <w:keepNext w:val="0"/>
        <w:keepLines w:val="0"/>
        <w:pageBreakBefore w:val="0"/>
        <w:widowControl w:val="0"/>
        <w:kinsoku/>
        <w:wordWrap/>
        <w:overflowPunct w:val="0"/>
        <w:topLinePunct w:val="0"/>
        <w:autoSpaceDE w:val="0"/>
        <w:autoSpaceDN w:val="0"/>
        <w:bidi w:val="0"/>
        <w:spacing w:line="576" w:lineRule="exact"/>
        <w:ind w:left="0" w:firstLine="536" w:firstLineChars="200"/>
        <w:jc w:val="both"/>
        <w:textAlignment w:val="auto"/>
        <w:outlineLvl w:val="1"/>
        <w:rPr>
          <w:rFonts w:hint="eastAsia" w:ascii="宋体" w:cs="仿宋_GB2312"/>
          <w:b w:val="0"/>
          <w:bCs/>
          <w:spacing w:val="-6"/>
          <w:sz w:val="28"/>
          <w:szCs w:val="28"/>
        </w:rPr>
      </w:pPr>
      <w:r>
        <w:rPr>
          <w:rFonts w:hint="eastAsia" w:ascii="宋体" w:cs="仿宋_GB2312"/>
          <w:b w:val="0"/>
          <w:bCs/>
          <w:spacing w:val="-6"/>
          <w:sz w:val="28"/>
          <w:szCs w:val="28"/>
        </w:rPr>
        <w:t>8.负责全县深化改革工作，承担县委改革办日常工作；负责对全县重大问题和各方面的重大政策的贯彻落实情况进行调查研究，及时为县委提出建议；负责党史研究工作的监督管理和指导。</w:t>
      </w:r>
    </w:p>
    <w:p>
      <w:pPr>
        <w:keepNext w:val="0"/>
        <w:keepLines w:val="0"/>
        <w:pageBreakBefore w:val="0"/>
        <w:widowControl w:val="0"/>
        <w:kinsoku/>
        <w:wordWrap/>
        <w:overflowPunct w:val="0"/>
        <w:topLinePunct w:val="0"/>
        <w:autoSpaceDE w:val="0"/>
        <w:autoSpaceDN w:val="0"/>
        <w:bidi w:val="0"/>
        <w:spacing w:line="576" w:lineRule="exact"/>
        <w:ind w:left="0" w:firstLine="516" w:firstLineChars="200"/>
        <w:jc w:val="both"/>
        <w:textAlignment w:val="auto"/>
        <w:outlineLvl w:val="1"/>
        <w:rPr>
          <w:rFonts w:hint="eastAsia" w:ascii="宋体" w:cs="仿宋_GB2312"/>
          <w:b w:val="0"/>
          <w:bCs/>
          <w:spacing w:val="-11"/>
          <w:sz w:val="28"/>
          <w:szCs w:val="28"/>
        </w:rPr>
      </w:pPr>
      <w:r>
        <w:rPr>
          <w:rFonts w:hint="eastAsia" w:ascii="宋体" w:cs="仿宋_GB2312"/>
          <w:b w:val="0"/>
          <w:bCs/>
          <w:spacing w:val="-11"/>
          <w:sz w:val="28"/>
          <w:szCs w:val="28"/>
        </w:rPr>
        <w:t>9.负责组织协调维护国家安全工作，承担县委国安办日常工作。</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10.负责贯彻执行党和国家有关对外方面的政策法规，牵头协调本县重大涉外活动，统筹协调全县外事和港澳事务；承担县委外事办日常事务。</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11.负责县党风廉政建设责任制领导小组办公室工作。</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12.负责县委机关的后勤服务工作；管理县委机关不动产、办公设备及其它固定资产；负责县委办公室行政事业经费的预算、财务审计、基建计划及实施等工作。</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13.负责县委办公室及直属事业单位机构编制、劳资人事、干部考核、人员培训等工作；负责县委机关党风廉政建设和反腐败工作、精神文明建设工作；负责县委办公室离退休人员的服务工作；负责对全县接待工作进行监督指导。</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14.负责县委机关安全文明建设和社会治安综合治理工作；负责依法依规履行职责范围内的安全生产监管职责；负责县委日常值班、统筹节假日值班。</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outlineLvl w:val="1"/>
        <w:rPr>
          <w:rFonts w:hint="eastAsia" w:ascii="宋体" w:cs="仿宋_GB2312"/>
          <w:b w:val="0"/>
          <w:bCs/>
          <w:spacing w:val="0"/>
          <w:sz w:val="28"/>
          <w:szCs w:val="28"/>
        </w:rPr>
      </w:pPr>
      <w:r>
        <w:rPr>
          <w:rFonts w:hint="eastAsia" w:ascii="宋体" w:cs="仿宋_GB2312"/>
          <w:b w:val="0"/>
          <w:bCs/>
          <w:spacing w:val="0"/>
          <w:sz w:val="28"/>
          <w:szCs w:val="28"/>
        </w:rPr>
        <w:t>15.完成县委交办的其它任务。</w:t>
      </w:r>
    </w:p>
    <w:p>
      <w:pPr>
        <w:keepNext w:val="0"/>
        <w:keepLines w:val="0"/>
        <w:pageBreakBefore w:val="0"/>
        <w:widowControl w:val="0"/>
        <w:kinsoku/>
        <w:wordWrap/>
        <w:overflowPunct w:val="0"/>
        <w:topLinePunct w:val="0"/>
        <w:autoSpaceDE w:val="0"/>
        <w:autoSpaceDN w:val="0"/>
        <w:bidi w:val="0"/>
        <w:spacing w:line="576" w:lineRule="exact"/>
        <w:ind w:left="0" w:firstLine="562" w:firstLineChars="200"/>
        <w:jc w:val="both"/>
        <w:textAlignment w:val="auto"/>
        <w:rPr>
          <w:rFonts w:hint="eastAsia" w:ascii="宋体" w:cs="楷体_GB2312"/>
          <w:b/>
          <w:bCs/>
          <w:color w:val="000000"/>
          <w:spacing w:val="0"/>
          <w:kern w:val="0"/>
          <w:sz w:val="28"/>
          <w:szCs w:val="28"/>
          <w:shd w:val="clear" w:color="auto" w:fill="FFFFFF"/>
          <w:lang w:val="zh-CN"/>
        </w:rPr>
      </w:pPr>
      <w:r>
        <w:rPr>
          <w:rFonts w:hint="eastAsia" w:ascii="宋体" w:cs="楷体_GB2312"/>
          <w:b/>
          <w:bCs/>
          <w:color w:val="000000"/>
          <w:spacing w:val="0"/>
          <w:kern w:val="0"/>
          <w:sz w:val="28"/>
          <w:szCs w:val="28"/>
          <w:shd w:val="clear" w:color="auto" w:fill="FFFFFF"/>
          <w:lang w:val="zh-CN"/>
        </w:rPr>
        <w:t>（三）人员概况。</w:t>
      </w:r>
    </w:p>
    <w:p>
      <w:pPr>
        <w:pStyle w:val="31"/>
        <w:keepNext w:val="0"/>
        <w:keepLines w:val="0"/>
        <w:pageBreakBefore w:val="0"/>
        <w:widowControl w:val="0"/>
        <w:kinsoku/>
        <w:wordWrap/>
        <w:overflowPunct w:val="0"/>
        <w:topLinePunct w:val="0"/>
        <w:autoSpaceDE w:val="0"/>
        <w:autoSpaceDN w:val="0"/>
        <w:bidi w:val="0"/>
        <w:spacing w:line="576" w:lineRule="exact"/>
        <w:ind w:left="0" w:firstLine="536" w:firstLineChars="200"/>
        <w:jc w:val="both"/>
        <w:textAlignment w:val="auto"/>
        <w:rPr>
          <w:rFonts w:hint="eastAsia" w:ascii="宋体" w:eastAsia="宋体" w:cs="仿宋_GB2312"/>
          <w:b w:val="0"/>
          <w:bCs/>
          <w:color w:val="000000"/>
          <w:spacing w:val="-6"/>
          <w:sz w:val="28"/>
          <w:szCs w:val="28"/>
        </w:rPr>
      </w:pPr>
      <w:r>
        <w:rPr>
          <w:rFonts w:hint="eastAsia" w:ascii="宋体" w:eastAsia="宋体" w:cs="仿宋_GB2312"/>
          <w:b w:val="0"/>
          <w:bCs/>
          <w:spacing w:val="-6"/>
          <w:sz w:val="28"/>
          <w:szCs w:val="28"/>
        </w:rPr>
        <w:t>中共剑阁县委办公室(含党史政研中心)总编制61名，其中行政编制46名，事业编制8名，机关工勤编制7名。</w:t>
      </w:r>
      <w:r>
        <w:rPr>
          <w:rFonts w:hint="eastAsia" w:ascii="宋体" w:eastAsia="宋体" w:cs="仿宋_GB2312"/>
          <w:b w:val="0"/>
          <w:bCs/>
          <w:color w:val="000000"/>
          <w:spacing w:val="-6"/>
          <w:sz w:val="28"/>
          <w:szCs w:val="28"/>
        </w:rPr>
        <w:t>2022年年末在职人员总数44人，其中行政人员33人，事业人员5人，工勤人员6人。</w:t>
      </w:r>
    </w:p>
    <w:p>
      <w:pPr>
        <w:keepNext w:val="0"/>
        <w:keepLines w:val="0"/>
        <w:pageBreakBefore w:val="0"/>
        <w:widowControl w:val="0"/>
        <w:kinsoku/>
        <w:wordWrap/>
        <w:overflowPunct w:val="0"/>
        <w:topLinePunct w:val="0"/>
        <w:autoSpaceDE w:val="0"/>
        <w:autoSpaceDN w:val="0"/>
        <w:bidi w:val="0"/>
        <w:spacing w:line="576" w:lineRule="exact"/>
        <w:ind w:left="0" w:firstLine="562" w:firstLineChars="200"/>
        <w:jc w:val="both"/>
        <w:textAlignment w:val="auto"/>
        <w:rPr>
          <w:rFonts w:hint="eastAsia" w:ascii="宋体" w:cs="黑体"/>
          <w:b/>
          <w:bCs/>
          <w:color w:val="000000"/>
          <w:spacing w:val="0"/>
          <w:kern w:val="0"/>
          <w:sz w:val="28"/>
          <w:szCs w:val="28"/>
          <w:shd w:val="clear" w:color="auto" w:fill="FFFFFF"/>
        </w:rPr>
      </w:pPr>
      <w:r>
        <w:rPr>
          <w:rFonts w:hint="eastAsia" w:ascii="宋体" w:cs="黑体"/>
          <w:b/>
          <w:bCs/>
          <w:color w:val="000000"/>
          <w:spacing w:val="0"/>
          <w:kern w:val="0"/>
          <w:sz w:val="28"/>
          <w:szCs w:val="28"/>
          <w:shd w:val="clear" w:color="auto" w:fill="FFFFFF"/>
        </w:rPr>
        <w:t>二、部门财政资金收支情况</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jc w:val="both"/>
        <w:textAlignment w:val="auto"/>
        <w:rPr>
          <w:rFonts w:hint="eastAsia" w:ascii="宋体" w:cs="仿宋_GB2312"/>
          <w:b w:val="0"/>
          <w:bCs/>
          <w:color w:val="000000"/>
          <w:spacing w:val="0"/>
          <w:sz w:val="28"/>
          <w:szCs w:val="28"/>
        </w:rPr>
      </w:pPr>
      <w:r>
        <w:rPr>
          <w:rFonts w:hint="eastAsia" w:ascii="宋体" w:cs="楷体_GB2312"/>
          <w:b w:val="0"/>
          <w:bCs/>
          <w:color w:val="000000"/>
          <w:spacing w:val="0"/>
          <w:kern w:val="0"/>
          <w:sz w:val="28"/>
          <w:szCs w:val="28"/>
          <w:shd w:val="clear" w:color="auto" w:fill="FFFFFF"/>
          <w:lang w:val="zh-CN"/>
        </w:rPr>
        <w:t>（一）部门财政资金收入情况。</w:t>
      </w:r>
      <w:r>
        <w:rPr>
          <w:rFonts w:hint="eastAsia" w:ascii="宋体" w:cs="仿宋_GB2312"/>
          <w:b w:val="0"/>
          <w:bCs/>
          <w:color w:val="000000"/>
          <w:spacing w:val="0"/>
          <w:sz w:val="28"/>
          <w:szCs w:val="28"/>
        </w:rPr>
        <w:t>县委办公室2022年收入决算总额为708.81万元，其中一般财政预算拨款收入708.81万元。</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楷体_GB2312"/>
          <w:b w:val="0"/>
          <w:bCs/>
          <w:color w:val="000000"/>
          <w:spacing w:val="0"/>
          <w:kern w:val="0"/>
          <w:sz w:val="28"/>
          <w:szCs w:val="28"/>
          <w:shd w:val="clear" w:color="auto" w:fill="FFFFFF"/>
          <w:lang w:val="zh-CN"/>
        </w:rPr>
        <w:t>（二）部门财政资金支出情况。</w:t>
      </w:r>
      <w:r>
        <w:rPr>
          <w:rFonts w:hint="eastAsia" w:ascii="宋体" w:cs="仿宋_GB2312"/>
          <w:b w:val="0"/>
          <w:bCs/>
          <w:color w:val="000000"/>
          <w:spacing w:val="0"/>
          <w:sz w:val="28"/>
          <w:szCs w:val="28"/>
        </w:rPr>
        <w:t>县办公室</w:t>
      </w:r>
      <w:r>
        <w:rPr>
          <w:rFonts w:hint="eastAsia" w:ascii="宋体" w:cs="仿宋_GB2312"/>
          <w:b w:val="0"/>
          <w:bCs/>
          <w:spacing w:val="0"/>
          <w:sz w:val="28"/>
          <w:szCs w:val="28"/>
        </w:rPr>
        <w:t>2022年支出决算总额为</w:t>
      </w:r>
      <w:r>
        <w:rPr>
          <w:rFonts w:hint="eastAsia" w:ascii="宋体" w:cs="仿宋_GB2312"/>
          <w:b w:val="0"/>
          <w:bCs/>
          <w:color w:val="000000"/>
          <w:spacing w:val="0"/>
          <w:sz w:val="28"/>
          <w:szCs w:val="28"/>
        </w:rPr>
        <w:t>708.81万</w:t>
      </w:r>
      <w:r>
        <w:rPr>
          <w:rFonts w:hint="eastAsia" w:ascii="宋体" w:cs="仿宋_GB2312"/>
          <w:b w:val="0"/>
          <w:bCs/>
          <w:spacing w:val="0"/>
          <w:sz w:val="28"/>
          <w:szCs w:val="28"/>
        </w:rPr>
        <w:t>元，其中：一般公共服务支出600.32万元、社会保障和就业支出48.21万元、卫生健康支出24.11万元、住房保障支出36.16万元。基本支出708.8万元,占总支出的100%。</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2" w:firstLineChars="200"/>
        <w:jc w:val="both"/>
        <w:textAlignment w:val="auto"/>
        <w:rPr>
          <w:rFonts w:hint="eastAsia" w:ascii="宋体" w:cs="黑体"/>
          <w:b/>
          <w:bCs/>
          <w:color w:val="000000"/>
          <w:spacing w:val="0"/>
          <w:kern w:val="0"/>
          <w:sz w:val="28"/>
          <w:szCs w:val="28"/>
          <w:shd w:val="clear" w:color="auto" w:fill="FFFFFF"/>
        </w:rPr>
      </w:pPr>
      <w:r>
        <w:rPr>
          <w:rFonts w:hint="eastAsia" w:ascii="宋体" w:cs="黑体"/>
          <w:b/>
          <w:bCs/>
          <w:spacing w:val="0"/>
          <w:sz w:val="28"/>
          <w:szCs w:val="28"/>
          <w:lang w:val="en-US" w:eastAsia="zh-CN"/>
        </w:rPr>
        <w:t>三、</w:t>
      </w:r>
      <w:r>
        <w:rPr>
          <w:rFonts w:hint="eastAsia" w:ascii="宋体" w:cs="黑体"/>
          <w:b/>
          <w:bCs/>
          <w:color w:val="000000"/>
          <w:spacing w:val="0"/>
          <w:kern w:val="0"/>
          <w:sz w:val="28"/>
          <w:szCs w:val="28"/>
          <w:shd w:val="clear" w:color="auto" w:fill="FFFFFF"/>
        </w:rPr>
        <w:t>部门整体预算绩效分析</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contextualSpacing/>
        <w:jc w:val="both"/>
        <w:textAlignment w:val="auto"/>
        <w:rPr>
          <w:rFonts w:hint="eastAsia" w:ascii="宋体" w:cs="楷体_GB2312"/>
          <w:b w:val="0"/>
          <w:bCs/>
          <w:color w:val="000000"/>
          <w:spacing w:val="0"/>
          <w:kern w:val="0"/>
          <w:sz w:val="28"/>
          <w:szCs w:val="28"/>
          <w:shd w:val="clear" w:color="auto" w:fill="FFFFFF"/>
        </w:rPr>
      </w:pPr>
      <w:r>
        <w:rPr>
          <w:rFonts w:hint="eastAsia" w:ascii="宋体" w:cs="楷体_GB2312"/>
          <w:b w:val="0"/>
          <w:bCs/>
          <w:color w:val="000000"/>
          <w:spacing w:val="0"/>
          <w:kern w:val="0"/>
          <w:sz w:val="28"/>
          <w:szCs w:val="28"/>
          <w:shd w:val="clear" w:color="auto" w:fill="FFFFFF"/>
          <w:lang w:val="zh-CN"/>
        </w:rPr>
        <w:t>（一）部门（单位）预算项目绩效分析。</w:t>
      </w:r>
      <w:r>
        <w:rPr>
          <w:rFonts w:hint="eastAsia" w:ascii="宋体" w:cs="楷体_GB2312"/>
          <w:b w:val="0"/>
          <w:bCs/>
          <w:color w:val="000000"/>
          <w:spacing w:val="0"/>
          <w:kern w:val="0"/>
          <w:sz w:val="28"/>
          <w:szCs w:val="28"/>
          <w:shd w:val="clear" w:color="auto" w:fill="FFFFFF"/>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contextualSpacing/>
        <w:jc w:val="both"/>
        <w:textAlignment w:val="auto"/>
        <w:rPr>
          <w:rFonts w:hint="eastAsia" w:ascii="宋体" w:cs="仿宋_GB2312"/>
          <w:b w:val="0"/>
          <w:bCs/>
          <w:color w:val="000000"/>
          <w:spacing w:val="0"/>
          <w:kern w:val="0"/>
          <w:sz w:val="28"/>
          <w:szCs w:val="28"/>
          <w:shd w:val="clear" w:color="auto" w:fill="FFFFFF"/>
        </w:rPr>
      </w:pPr>
      <w:r>
        <w:rPr>
          <w:rFonts w:hint="eastAsia" w:ascii="宋体" w:cs="仿宋_GB2312"/>
          <w:b w:val="0"/>
          <w:bCs/>
          <w:color w:val="000000"/>
          <w:spacing w:val="0"/>
          <w:kern w:val="0"/>
          <w:sz w:val="28"/>
          <w:szCs w:val="28"/>
          <w:shd w:val="clear" w:color="auto" w:fill="FFFFFF"/>
        </w:rPr>
        <w:t>1.人员类项目绩效分析</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contextualSpacing/>
        <w:jc w:val="both"/>
        <w:textAlignment w:val="auto"/>
        <w:rPr>
          <w:rFonts w:hint="eastAsia" w:ascii="宋体" w:cs="仿宋_GB2312"/>
          <w:b w:val="0"/>
          <w:bCs/>
          <w:spacing w:val="0"/>
          <w:sz w:val="28"/>
          <w:szCs w:val="28"/>
        </w:rPr>
      </w:pPr>
      <w:r>
        <w:rPr>
          <w:rFonts w:hint="eastAsia" w:ascii="宋体" w:cs="仿宋_GB2312"/>
          <w:b w:val="0"/>
          <w:bCs/>
          <w:spacing w:val="0"/>
          <w:sz w:val="28"/>
          <w:szCs w:val="28"/>
        </w:rPr>
        <w:t>2022年县委办严格执行相关政策，保障工资及时、足额发放及社保及时、足额缴纳，预算编制科学合理，减少结余资金。</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contextualSpacing/>
        <w:jc w:val="both"/>
        <w:textAlignment w:val="auto"/>
        <w:rPr>
          <w:rFonts w:hint="eastAsia" w:ascii="宋体" w:cs="仿宋_GB2312"/>
          <w:b w:val="0"/>
          <w:bCs/>
          <w:color w:val="000000"/>
          <w:spacing w:val="0"/>
          <w:kern w:val="0"/>
          <w:sz w:val="28"/>
          <w:szCs w:val="28"/>
          <w:shd w:val="clear" w:color="auto" w:fill="FFFFFF"/>
        </w:rPr>
      </w:pPr>
      <w:r>
        <w:rPr>
          <w:rFonts w:hint="eastAsia" w:ascii="宋体" w:cs="仿宋_GB2312"/>
          <w:b w:val="0"/>
          <w:bCs/>
          <w:color w:val="000000"/>
          <w:spacing w:val="0"/>
          <w:kern w:val="0"/>
          <w:sz w:val="28"/>
          <w:szCs w:val="28"/>
          <w:shd w:val="clear" w:color="auto" w:fill="FFFFFF"/>
        </w:rPr>
        <w:t>2.运转类项目绩效分析</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contextualSpacing/>
        <w:jc w:val="both"/>
        <w:textAlignment w:val="auto"/>
        <w:rPr>
          <w:rFonts w:hint="eastAsia" w:ascii="宋体" w:cs="仿宋_GB2312"/>
          <w:b w:val="0"/>
          <w:bCs/>
          <w:color w:val="000000"/>
          <w:spacing w:val="0"/>
          <w:kern w:val="0"/>
          <w:sz w:val="28"/>
          <w:szCs w:val="28"/>
          <w:shd w:val="clear" w:color="auto" w:fill="FFFFFF"/>
        </w:rPr>
      </w:pPr>
      <w:r>
        <w:rPr>
          <w:rFonts w:hint="eastAsia" w:ascii="宋体" w:cs="仿宋_GB2312"/>
          <w:b w:val="0"/>
          <w:bCs/>
          <w:color w:val="000000"/>
          <w:spacing w:val="0"/>
          <w:kern w:val="0"/>
          <w:sz w:val="28"/>
          <w:szCs w:val="28"/>
          <w:shd w:val="clear" w:color="auto" w:fill="FFFFFF"/>
        </w:rPr>
        <w:t>2022年县委办提高预算编制质量，严格执行预算，保障了单位日常运转。</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contextualSpacing/>
        <w:jc w:val="both"/>
        <w:textAlignment w:val="auto"/>
        <w:rPr>
          <w:rFonts w:hint="eastAsia" w:ascii="宋体" w:cs="仿宋_GB2312"/>
          <w:b w:val="0"/>
          <w:bCs/>
          <w:color w:val="000000"/>
          <w:spacing w:val="0"/>
          <w:kern w:val="0"/>
          <w:sz w:val="28"/>
          <w:szCs w:val="28"/>
          <w:shd w:val="clear" w:color="auto" w:fill="FFFFFF"/>
        </w:rPr>
      </w:pPr>
      <w:r>
        <w:rPr>
          <w:rFonts w:hint="eastAsia" w:ascii="宋体" w:cs="仿宋_GB2312"/>
          <w:b w:val="0"/>
          <w:bCs/>
          <w:color w:val="000000"/>
          <w:spacing w:val="0"/>
          <w:kern w:val="0"/>
          <w:sz w:val="28"/>
          <w:szCs w:val="28"/>
          <w:shd w:val="clear" w:color="auto" w:fill="FFFFFF"/>
        </w:rPr>
        <w:t>3.特定目标类项目绩效分析</w:t>
      </w:r>
    </w:p>
    <w:p>
      <w:pPr>
        <w:pStyle w:val="8"/>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eastAsia="宋体" w:cs="仿宋_GB2312"/>
          <w:b w:val="0"/>
          <w:bCs/>
          <w:spacing w:val="0"/>
          <w:sz w:val="28"/>
          <w:szCs w:val="28"/>
          <w:lang w:val="zh-CN"/>
        </w:rPr>
      </w:pPr>
      <w:r>
        <w:rPr>
          <w:rFonts w:hint="eastAsia" w:eastAsia="宋体" w:cs="仿宋_GB2312"/>
          <w:b w:val="0"/>
          <w:bCs/>
          <w:spacing w:val="0"/>
          <w:sz w:val="28"/>
          <w:szCs w:val="28"/>
        </w:rPr>
        <w:t>2022年特定目标类</w:t>
      </w:r>
      <w:r>
        <w:rPr>
          <w:rFonts w:hint="eastAsia" w:eastAsia="宋体" w:cs="仿宋_GB2312"/>
          <w:b w:val="0"/>
          <w:bCs/>
          <w:spacing w:val="0"/>
          <w:sz w:val="28"/>
          <w:szCs w:val="28"/>
          <w:lang w:val="zh-CN"/>
        </w:rPr>
        <w:t>项目申报内容与具体实施内容相符、申报目标合理可行，资金保障到位，确保了县委办特定项目实施。</w:t>
      </w:r>
    </w:p>
    <w:p>
      <w:pPr>
        <w:keepNext w:val="0"/>
        <w:keepLines w:val="0"/>
        <w:pageBreakBefore w:val="0"/>
        <w:widowControl w:val="0"/>
        <w:kinsoku/>
        <w:wordWrap/>
        <w:overflowPunct w:val="0"/>
        <w:topLinePunct w:val="0"/>
        <w:autoSpaceDE w:val="0"/>
        <w:autoSpaceDN w:val="0"/>
        <w:bidi w:val="0"/>
        <w:adjustRightInd w:val="0"/>
        <w:snapToGrid w:val="0"/>
        <w:spacing w:line="576" w:lineRule="exact"/>
        <w:ind w:left="0" w:firstLine="560" w:firstLineChars="200"/>
        <w:contextualSpacing/>
        <w:jc w:val="both"/>
        <w:textAlignment w:val="auto"/>
        <w:rPr>
          <w:rFonts w:hint="eastAsia" w:ascii="宋体" w:cs="楷体_GB2312"/>
          <w:b w:val="0"/>
          <w:bCs/>
          <w:color w:val="000000"/>
          <w:spacing w:val="0"/>
          <w:kern w:val="0"/>
          <w:sz w:val="28"/>
          <w:szCs w:val="28"/>
          <w:shd w:val="clear" w:color="auto" w:fill="FFFFFF"/>
          <w:lang w:val="zh-CN"/>
        </w:rPr>
      </w:pPr>
      <w:r>
        <w:rPr>
          <w:rFonts w:hint="eastAsia" w:ascii="宋体" w:cs="楷体_GB2312"/>
          <w:b w:val="0"/>
          <w:bCs/>
          <w:color w:val="000000"/>
          <w:spacing w:val="0"/>
          <w:kern w:val="0"/>
          <w:sz w:val="28"/>
          <w:szCs w:val="28"/>
          <w:shd w:val="clear" w:color="auto" w:fill="FFFFFF"/>
          <w:lang w:val="zh-CN"/>
        </w:rPr>
        <w:t>（二）结果应用情况。</w:t>
      </w:r>
    </w:p>
    <w:p>
      <w:pPr>
        <w:pStyle w:val="8"/>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eastAsia="宋体" w:cs="仿宋_GB2312"/>
          <w:b w:val="0"/>
          <w:bCs/>
          <w:color w:val="000000"/>
          <w:spacing w:val="0"/>
          <w:kern w:val="0"/>
          <w:sz w:val="28"/>
          <w:szCs w:val="28"/>
          <w:shd w:val="clear" w:color="auto" w:fill="FFFFFF"/>
          <w:lang w:val="zh-CN"/>
        </w:rPr>
      </w:pPr>
      <w:r>
        <w:rPr>
          <w:rFonts w:hint="eastAsia" w:eastAsia="宋体" w:cs="仿宋_GB2312"/>
          <w:b w:val="0"/>
          <w:bCs/>
          <w:color w:val="000000"/>
          <w:spacing w:val="0"/>
          <w:kern w:val="0"/>
          <w:sz w:val="28"/>
          <w:szCs w:val="28"/>
          <w:shd w:val="clear" w:color="auto" w:fill="FFFFFF"/>
        </w:rPr>
        <w:t>县委办项目支出股室合理编制绩效目标，积极开展自评，发现问题及时整改。我办绩效自评工作自开展以来都按照上级安排及时报送及时公开、对评价结果及时整改并运用，整体运行良好。</w:t>
      </w:r>
    </w:p>
    <w:p>
      <w:pPr>
        <w:pStyle w:val="16"/>
        <w:keepNext w:val="0"/>
        <w:keepLines w:val="0"/>
        <w:pageBreakBefore w:val="0"/>
        <w:widowControl w:val="0"/>
        <w:kinsoku/>
        <w:wordWrap/>
        <w:overflowPunct w:val="0"/>
        <w:topLinePunct w:val="0"/>
        <w:autoSpaceDE w:val="0"/>
        <w:autoSpaceDN w:val="0"/>
        <w:bidi w:val="0"/>
        <w:spacing w:after="0" w:line="576" w:lineRule="exact"/>
        <w:ind w:left="0" w:leftChars="0"/>
        <w:jc w:val="both"/>
        <w:textAlignment w:val="auto"/>
        <w:rPr>
          <w:rFonts w:hint="eastAsia" w:ascii="宋体" w:cs="黑体"/>
          <w:b/>
          <w:bCs/>
          <w:spacing w:val="0"/>
          <w:sz w:val="28"/>
          <w:szCs w:val="28"/>
        </w:rPr>
      </w:pPr>
      <w:r>
        <w:rPr>
          <w:rFonts w:hint="eastAsia" w:ascii="宋体" w:cs="黑体"/>
          <w:b/>
          <w:bCs/>
          <w:spacing w:val="0"/>
          <w:sz w:val="28"/>
          <w:szCs w:val="28"/>
        </w:rPr>
        <w:t>四、评价结论及建议</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楷体_GB2312"/>
          <w:b w:val="0"/>
          <w:bCs/>
          <w:spacing w:val="0"/>
          <w:sz w:val="28"/>
          <w:szCs w:val="28"/>
        </w:rPr>
        <w:t>（一）评价结论。</w:t>
      </w:r>
      <w:r>
        <w:rPr>
          <w:rFonts w:hint="eastAsia" w:ascii="宋体" w:cs="仿宋_GB2312"/>
          <w:b w:val="0"/>
          <w:bCs/>
          <w:spacing w:val="0"/>
          <w:sz w:val="28"/>
          <w:szCs w:val="28"/>
        </w:rPr>
        <w:t>2022年，县委办积极履职，强化管理，较好地完成了年度工作目标。部门整体支出绩效达到了预期目的，确保了目标任务完成。根据部门整体支出绩效评价指标体系，年度评价得分为97分。</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楷体_GB2312"/>
          <w:b w:val="0"/>
          <w:bCs/>
          <w:spacing w:val="0"/>
          <w:sz w:val="28"/>
          <w:szCs w:val="28"/>
        </w:rPr>
        <w:t>（二）存在问题。</w:t>
      </w:r>
      <w:r>
        <w:rPr>
          <w:rFonts w:hint="eastAsia" w:ascii="宋体" w:cs="仿宋_GB2312"/>
          <w:b w:val="0"/>
          <w:bCs/>
          <w:spacing w:val="0"/>
          <w:sz w:val="28"/>
          <w:szCs w:val="28"/>
        </w:rPr>
        <w:t>通过部门整体支出绩效自评，我们认识到，绩效管理不只是财政支出方面，而应更加注重产出及效率，这样有利于我们强化支出的责任，提高财政资金的使用效益，更好地促进我们履行职责。</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仿宋_GB2312"/>
          <w:b w:val="0"/>
          <w:bCs/>
          <w:spacing w:val="0"/>
          <w:sz w:val="28"/>
          <w:szCs w:val="28"/>
        </w:rPr>
        <w:t>1.完善管理制度。进一步加强资产管理进一步</w:t>
      </w:r>
      <w:r>
        <w:rPr>
          <w:rFonts w:hint="eastAsia" w:ascii="宋体" w:cs="仿宋_GB2312"/>
          <w:b w:val="0"/>
          <w:bCs/>
          <w:spacing w:val="0"/>
          <w:sz w:val="28"/>
          <w:szCs w:val="28"/>
          <w:lang w:eastAsia="zh-CN"/>
        </w:rPr>
        <w:t>贯彻落实中央八项规定</w:t>
      </w:r>
      <w:r>
        <w:rPr>
          <w:rFonts w:hint="eastAsia" w:ascii="宋体" w:cs="仿宋_GB2312"/>
          <w:b w:val="0"/>
          <w:bCs/>
          <w:spacing w:val="0"/>
          <w:sz w:val="28"/>
          <w:szCs w:val="28"/>
        </w:rPr>
        <w:t>，进一步完善本部门</w:t>
      </w:r>
      <w:r>
        <w:rPr>
          <w:rFonts w:hint="default" w:ascii="宋体" w:cs="仿宋_GB2312"/>
          <w:b w:val="0"/>
          <w:bCs/>
          <w:spacing w:val="0"/>
          <w:sz w:val="28"/>
          <w:szCs w:val="28"/>
          <w:lang w:val="en"/>
        </w:rPr>
        <w:t>“三公”经费</w:t>
      </w:r>
      <w:r>
        <w:rPr>
          <w:rFonts w:hint="eastAsia" w:ascii="宋体" w:cs="仿宋_GB2312"/>
          <w:b w:val="0"/>
          <w:bCs/>
          <w:spacing w:val="0"/>
          <w:sz w:val="28"/>
          <w:szCs w:val="28"/>
        </w:rPr>
        <w:t>等公务支出管理制度及厉行节约制度，加强经费审批和控制，规范支出标准与范围，并严格执行。</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仿宋_GB2312"/>
          <w:b w:val="0"/>
          <w:bCs/>
          <w:spacing w:val="0"/>
          <w:sz w:val="28"/>
          <w:szCs w:val="28"/>
        </w:rPr>
        <w:t>2.科学合理编制预算，严格执行预算。按照新《预算法》及其实施条例的相关规定，按政策规定及本部门的发展规划，结合上一年度预算执行情况和本年度预算收支变化因素，进行科学、合理地编制本年预算草案，避免预算支出与实际执行出现较大偏差的情况，执行中确需调剂预算的，按规定程序报经批准。</w:t>
      </w:r>
    </w:p>
    <w:p>
      <w:pPr>
        <w:keepNext w:val="0"/>
        <w:keepLines w:val="0"/>
        <w:pageBreakBefore w:val="0"/>
        <w:widowControl w:val="0"/>
        <w:kinsoku/>
        <w:wordWrap/>
        <w:overflowPunct w:val="0"/>
        <w:topLinePunct w:val="0"/>
        <w:autoSpaceDE w:val="0"/>
        <w:autoSpaceDN w:val="0"/>
        <w:bidi w:val="0"/>
        <w:spacing w:line="576" w:lineRule="exact"/>
        <w:ind w:left="0" w:firstLine="560" w:firstLineChars="200"/>
        <w:jc w:val="both"/>
        <w:textAlignment w:val="auto"/>
        <w:rPr>
          <w:rFonts w:hint="eastAsia" w:ascii="宋体" w:cs="仿宋_GB2312"/>
          <w:b w:val="0"/>
          <w:bCs/>
          <w:spacing w:val="0"/>
          <w:sz w:val="28"/>
          <w:szCs w:val="28"/>
        </w:rPr>
      </w:pPr>
      <w:r>
        <w:rPr>
          <w:rFonts w:hint="eastAsia" w:ascii="宋体" w:cs="仿宋_GB2312"/>
          <w:b w:val="0"/>
          <w:bCs/>
          <w:spacing w:val="0"/>
          <w:sz w:val="28"/>
          <w:szCs w:val="28"/>
        </w:rPr>
        <w:t>3.财务制度执行力有待加强，资金使用计划有待细化。</w:t>
      </w:r>
    </w:p>
    <w:p>
      <w:pPr>
        <w:pStyle w:val="14"/>
        <w:keepNext w:val="0"/>
        <w:keepLines w:val="0"/>
        <w:pageBreakBefore w:val="0"/>
        <w:widowControl w:val="0"/>
        <w:shd w:val="clear" w:color="auto" w:fill="FFFFFF"/>
        <w:kinsoku/>
        <w:wordWrap/>
        <w:overflowPunct w:val="0"/>
        <w:topLinePunct w:val="0"/>
        <w:autoSpaceDE w:val="0"/>
        <w:autoSpaceDN w:val="0"/>
        <w:bidi w:val="0"/>
        <w:spacing w:before="0" w:beforeAutospacing="0" w:after="0" w:afterAutospacing="0" w:line="576" w:lineRule="exact"/>
        <w:ind w:left="0" w:firstLine="480"/>
        <w:jc w:val="both"/>
        <w:textAlignment w:val="auto"/>
        <w:rPr>
          <w:rFonts w:hint="eastAsia" w:cs="仿宋_GB2312"/>
          <w:b w:val="0"/>
          <w:bCs/>
          <w:spacing w:val="0"/>
          <w:sz w:val="28"/>
          <w:szCs w:val="28"/>
        </w:rPr>
      </w:pPr>
      <w:r>
        <w:rPr>
          <w:rFonts w:hint="eastAsia" w:cs="楷体_GB2312"/>
          <w:b w:val="0"/>
          <w:bCs/>
          <w:spacing w:val="0"/>
          <w:sz w:val="28"/>
          <w:szCs w:val="28"/>
        </w:rPr>
        <w:t>（三）改进建议。</w:t>
      </w:r>
      <w:r>
        <w:rPr>
          <w:rFonts w:hint="eastAsia" w:cs="仿宋_GB2312"/>
          <w:b w:val="0"/>
          <w:bCs/>
          <w:spacing w:val="0"/>
          <w:sz w:val="28"/>
          <w:szCs w:val="28"/>
        </w:rPr>
        <w:t>一是建议进一步重视预算的编制工作。在编制预算与执行中，提高预算编制的精确度，提高财政资金使用效率，尽量减少预算执行调整，避免年中大幅追加以及超预算，把有限的经费做到科学、合理的分配，在预算执行中严格按照类、款、项控制支出，体现预算刚性。二是加强单位内控制度建设。通过查找内部管理中的薄弱环节，建立健全各项内部控制制度，更好地发挥内部控制在提升单位内部治理水平、规范内部权力运行、促进依法行政、推进廉政建设中的重要作用。</w:t>
      </w:r>
    </w:p>
    <w:p>
      <w:pPr>
        <w:pStyle w:val="2"/>
        <w:spacing w:before="93" w:beforeLines="0"/>
        <w:rPr>
          <w:rFonts w:hint="eastAsia" w:ascii="宋体" w:eastAsia="宋体" w:cs="宋体"/>
          <w:sz w:val="28"/>
          <w:szCs w:val="28"/>
          <w:shd w:val="clear" w:color="auto" w:fill="FFFFFF"/>
          <w:lang w:val="zh-CN"/>
        </w:rPr>
      </w:pPr>
    </w:p>
    <w:p>
      <w:pPr>
        <w:spacing w:line="600" w:lineRule="exact"/>
        <w:jc w:val="center"/>
        <w:outlineLvl w:val="0"/>
        <w:rPr>
          <w:rFonts w:ascii="宋体"/>
          <w:sz w:val="44"/>
          <w:szCs w:val="44"/>
        </w:rPr>
      </w:pPr>
      <w:bookmarkStart w:id="45" w:name="_Toc15396618"/>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jc w:val="center"/>
        <w:outlineLvl w:val="0"/>
        <w:rPr>
          <w:rFonts w:ascii="宋体"/>
          <w:sz w:val="44"/>
          <w:szCs w:val="44"/>
        </w:rPr>
      </w:pPr>
    </w:p>
    <w:p>
      <w:pPr>
        <w:spacing w:line="600" w:lineRule="exact"/>
        <w:outlineLvl w:val="0"/>
        <w:rPr>
          <w:rFonts w:ascii="宋体"/>
          <w:sz w:val="44"/>
          <w:szCs w:val="44"/>
        </w:rPr>
      </w:pPr>
    </w:p>
    <w:p>
      <w:pPr>
        <w:spacing w:line="600" w:lineRule="exact"/>
        <w:jc w:val="center"/>
        <w:outlineLvl w:val="0"/>
        <w:rPr>
          <w:rFonts w:hint="eastAsia" w:ascii="宋体"/>
          <w:b/>
          <w:bCs/>
        </w:rPr>
      </w:pPr>
      <w:r>
        <w:rPr>
          <w:rFonts w:hint="eastAsia" w:ascii="宋体"/>
          <w:b/>
          <w:bCs/>
          <w:sz w:val="44"/>
          <w:szCs w:val="44"/>
        </w:rPr>
        <w:t>第</w:t>
      </w:r>
      <w:r>
        <w:rPr>
          <w:rStyle w:val="21"/>
          <w:rFonts w:hint="eastAsia" w:ascii="宋体"/>
        </w:rPr>
        <w:t>五部分 附表</w:t>
      </w:r>
      <w:bookmarkEnd w:id="43"/>
      <w:bookmarkEnd w:id="45"/>
      <w:bookmarkStart w:id="46" w:name="_Toc15396619"/>
    </w:p>
    <w:p>
      <w:pPr>
        <w:pStyle w:val="4"/>
        <w:rPr>
          <w:rFonts w:hint="eastAsia" w:ascii="宋体"/>
          <w:b w:val="0"/>
          <w:bCs w:val="0"/>
          <w:sz w:val="28"/>
          <w:szCs w:val="28"/>
        </w:rPr>
      </w:pPr>
      <w:r>
        <w:rPr>
          <w:rFonts w:hint="eastAsia" w:ascii="宋体"/>
          <w:b w:val="0"/>
          <w:bCs w:val="0"/>
          <w:sz w:val="28"/>
          <w:szCs w:val="28"/>
        </w:rPr>
        <w:t>一、收</w:t>
      </w:r>
      <w:r>
        <w:rPr>
          <w:rStyle w:val="22"/>
          <w:rFonts w:hint="eastAsia" w:ascii="宋体"/>
          <w:b w:val="0"/>
          <w:bCs w:val="0"/>
          <w:sz w:val="28"/>
          <w:szCs w:val="28"/>
        </w:rPr>
        <w:t>入支出决算总表</w:t>
      </w:r>
      <w:bookmarkEnd w:id="46"/>
    </w:p>
    <w:p>
      <w:pPr>
        <w:pStyle w:val="4"/>
        <w:rPr>
          <w:rFonts w:hint="eastAsia" w:ascii="宋体"/>
          <w:b w:val="0"/>
          <w:bCs w:val="0"/>
          <w:sz w:val="28"/>
          <w:szCs w:val="28"/>
        </w:rPr>
      </w:pPr>
      <w:bookmarkStart w:id="47" w:name="_Toc15396620"/>
      <w:r>
        <w:rPr>
          <w:rFonts w:hint="eastAsia" w:ascii="宋体"/>
          <w:b w:val="0"/>
          <w:bCs w:val="0"/>
          <w:sz w:val="28"/>
          <w:szCs w:val="28"/>
        </w:rPr>
        <w:t>二、收</w:t>
      </w:r>
      <w:r>
        <w:rPr>
          <w:rStyle w:val="22"/>
          <w:rFonts w:hint="eastAsia" w:ascii="宋体"/>
          <w:b w:val="0"/>
          <w:bCs w:val="0"/>
          <w:sz w:val="28"/>
          <w:szCs w:val="28"/>
        </w:rPr>
        <w:t>入决算表</w:t>
      </w:r>
      <w:bookmarkEnd w:id="47"/>
    </w:p>
    <w:p>
      <w:pPr>
        <w:pStyle w:val="4"/>
        <w:rPr>
          <w:rFonts w:hint="eastAsia" w:ascii="宋体"/>
          <w:b w:val="0"/>
          <w:bCs w:val="0"/>
          <w:sz w:val="28"/>
          <w:szCs w:val="28"/>
        </w:rPr>
      </w:pPr>
      <w:bookmarkStart w:id="48" w:name="_Toc15396621"/>
      <w:r>
        <w:rPr>
          <w:rStyle w:val="22"/>
          <w:rFonts w:hint="eastAsia" w:ascii="宋体"/>
          <w:b w:val="0"/>
          <w:bCs w:val="0"/>
          <w:sz w:val="28"/>
          <w:szCs w:val="28"/>
        </w:rPr>
        <w:t>三、</w:t>
      </w:r>
      <w:r>
        <w:rPr>
          <w:rFonts w:hint="eastAsia" w:ascii="宋体"/>
          <w:b w:val="0"/>
          <w:bCs w:val="0"/>
          <w:sz w:val="28"/>
          <w:szCs w:val="28"/>
        </w:rPr>
        <w:t>支</w:t>
      </w:r>
      <w:r>
        <w:rPr>
          <w:rStyle w:val="22"/>
          <w:rFonts w:hint="eastAsia" w:ascii="宋体"/>
          <w:b w:val="0"/>
          <w:bCs w:val="0"/>
          <w:sz w:val="28"/>
          <w:szCs w:val="28"/>
        </w:rPr>
        <w:t>出决算表</w:t>
      </w:r>
      <w:bookmarkEnd w:id="48"/>
    </w:p>
    <w:p>
      <w:pPr>
        <w:pStyle w:val="4"/>
        <w:rPr>
          <w:rFonts w:hint="eastAsia" w:ascii="宋体"/>
          <w:b w:val="0"/>
          <w:bCs w:val="0"/>
          <w:sz w:val="28"/>
          <w:szCs w:val="28"/>
        </w:rPr>
      </w:pPr>
      <w:bookmarkStart w:id="49" w:name="_Toc15396622"/>
      <w:r>
        <w:rPr>
          <w:rStyle w:val="22"/>
          <w:rFonts w:hint="eastAsia" w:ascii="宋体"/>
          <w:b w:val="0"/>
          <w:bCs w:val="0"/>
          <w:sz w:val="28"/>
          <w:szCs w:val="28"/>
        </w:rPr>
        <w:t>四、</w:t>
      </w:r>
      <w:r>
        <w:rPr>
          <w:rFonts w:hint="eastAsia" w:ascii="宋体"/>
          <w:b w:val="0"/>
          <w:bCs w:val="0"/>
          <w:sz w:val="28"/>
          <w:szCs w:val="28"/>
        </w:rPr>
        <w:t>财</w:t>
      </w:r>
      <w:r>
        <w:rPr>
          <w:rStyle w:val="22"/>
          <w:rFonts w:hint="eastAsia" w:ascii="宋体"/>
          <w:b w:val="0"/>
          <w:bCs w:val="0"/>
          <w:sz w:val="28"/>
          <w:szCs w:val="28"/>
        </w:rPr>
        <w:t>政拨款收入支出决算总表</w:t>
      </w:r>
      <w:bookmarkEnd w:id="49"/>
    </w:p>
    <w:p>
      <w:pPr>
        <w:pStyle w:val="4"/>
        <w:rPr>
          <w:rStyle w:val="22"/>
          <w:rFonts w:hint="eastAsia" w:ascii="宋体"/>
          <w:b w:val="0"/>
          <w:bCs w:val="0"/>
          <w:sz w:val="28"/>
          <w:szCs w:val="28"/>
        </w:rPr>
      </w:pPr>
      <w:bookmarkStart w:id="50" w:name="_Toc15396623"/>
      <w:r>
        <w:rPr>
          <w:rStyle w:val="22"/>
          <w:rFonts w:hint="eastAsia" w:ascii="宋体"/>
          <w:b w:val="0"/>
          <w:bCs w:val="0"/>
          <w:sz w:val="28"/>
          <w:szCs w:val="28"/>
        </w:rPr>
        <w:t>五、</w:t>
      </w:r>
      <w:r>
        <w:rPr>
          <w:rFonts w:hint="eastAsia" w:ascii="宋体"/>
          <w:b w:val="0"/>
          <w:bCs w:val="0"/>
          <w:sz w:val="28"/>
          <w:szCs w:val="28"/>
        </w:rPr>
        <w:t>财</w:t>
      </w:r>
      <w:r>
        <w:rPr>
          <w:rStyle w:val="22"/>
          <w:rFonts w:hint="eastAsia" w:ascii="宋体"/>
          <w:b w:val="0"/>
          <w:bCs w:val="0"/>
          <w:sz w:val="28"/>
          <w:szCs w:val="28"/>
        </w:rPr>
        <w:t>政拨款支出决算明细表</w:t>
      </w:r>
      <w:bookmarkEnd w:id="50"/>
      <w:bookmarkStart w:id="51" w:name="_Toc15396624"/>
    </w:p>
    <w:p>
      <w:pPr>
        <w:pStyle w:val="4"/>
        <w:rPr>
          <w:rFonts w:hint="eastAsia" w:ascii="宋体"/>
          <w:b w:val="0"/>
          <w:bCs w:val="0"/>
          <w:sz w:val="28"/>
          <w:szCs w:val="28"/>
        </w:rPr>
      </w:pPr>
      <w:r>
        <w:rPr>
          <w:rStyle w:val="22"/>
          <w:rFonts w:hint="eastAsia" w:ascii="宋体"/>
          <w:b w:val="0"/>
          <w:bCs w:val="0"/>
          <w:sz w:val="28"/>
          <w:szCs w:val="28"/>
        </w:rPr>
        <w:t>六、</w:t>
      </w:r>
      <w:r>
        <w:rPr>
          <w:rFonts w:hint="eastAsia" w:ascii="宋体"/>
          <w:b w:val="0"/>
          <w:bCs w:val="0"/>
          <w:sz w:val="28"/>
          <w:szCs w:val="28"/>
        </w:rPr>
        <w:t>一</w:t>
      </w:r>
      <w:r>
        <w:rPr>
          <w:rStyle w:val="22"/>
          <w:rFonts w:hint="eastAsia" w:ascii="宋体"/>
          <w:b w:val="0"/>
          <w:bCs w:val="0"/>
          <w:sz w:val="28"/>
          <w:szCs w:val="28"/>
        </w:rPr>
        <w:t>般公共预算财政拨款支出决算表</w:t>
      </w:r>
      <w:bookmarkEnd w:id="51"/>
    </w:p>
    <w:p>
      <w:pPr>
        <w:pStyle w:val="4"/>
        <w:rPr>
          <w:rFonts w:hint="eastAsia" w:ascii="宋体"/>
          <w:b w:val="0"/>
          <w:bCs w:val="0"/>
          <w:sz w:val="28"/>
          <w:szCs w:val="28"/>
        </w:rPr>
      </w:pPr>
      <w:bookmarkStart w:id="52" w:name="_Toc15396625"/>
      <w:r>
        <w:rPr>
          <w:rStyle w:val="22"/>
          <w:rFonts w:hint="eastAsia" w:ascii="宋体"/>
          <w:b w:val="0"/>
          <w:bCs w:val="0"/>
          <w:sz w:val="28"/>
          <w:szCs w:val="28"/>
        </w:rPr>
        <w:t>七、</w:t>
      </w:r>
      <w:r>
        <w:rPr>
          <w:rFonts w:hint="eastAsia" w:ascii="宋体"/>
          <w:b w:val="0"/>
          <w:bCs w:val="0"/>
          <w:sz w:val="28"/>
          <w:szCs w:val="28"/>
        </w:rPr>
        <w:t>一</w:t>
      </w:r>
      <w:r>
        <w:rPr>
          <w:rStyle w:val="22"/>
          <w:rFonts w:hint="eastAsia" w:ascii="宋体"/>
          <w:b w:val="0"/>
          <w:bCs w:val="0"/>
          <w:sz w:val="28"/>
          <w:szCs w:val="28"/>
        </w:rPr>
        <w:t>般公共预算财政拨款支出决算明细表</w:t>
      </w:r>
      <w:bookmarkEnd w:id="52"/>
    </w:p>
    <w:p>
      <w:pPr>
        <w:pStyle w:val="4"/>
        <w:rPr>
          <w:rFonts w:hint="eastAsia" w:ascii="宋体"/>
          <w:b w:val="0"/>
          <w:bCs w:val="0"/>
          <w:sz w:val="28"/>
          <w:szCs w:val="28"/>
        </w:rPr>
      </w:pPr>
      <w:bookmarkStart w:id="53" w:name="_Toc15396626"/>
      <w:r>
        <w:rPr>
          <w:rStyle w:val="22"/>
          <w:rFonts w:hint="eastAsia" w:ascii="宋体"/>
          <w:b w:val="0"/>
          <w:bCs w:val="0"/>
          <w:sz w:val="28"/>
          <w:szCs w:val="28"/>
        </w:rPr>
        <w:t>八、</w:t>
      </w:r>
      <w:r>
        <w:rPr>
          <w:rFonts w:hint="eastAsia" w:ascii="宋体"/>
          <w:b w:val="0"/>
          <w:bCs w:val="0"/>
          <w:sz w:val="28"/>
          <w:szCs w:val="28"/>
        </w:rPr>
        <w:t>一</w:t>
      </w:r>
      <w:r>
        <w:rPr>
          <w:rStyle w:val="22"/>
          <w:rFonts w:hint="eastAsia" w:ascii="宋体"/>
          <w:b w:val="0"/>
          <w:bCs w:val="0"/>
          <w:sz w:val="28"/>
          <w:szCs w:val="28"/>
        </w:rPr>
        <w:t>般公共预算财政拨款基本支出决算表</w:t>
      </w:r>
      <w:bookmarkEnd w:id="53"/>
    </w:p>
    <w:p>
      <w:pPr>
        <w:pStyle w:val="4"/>
        <w:rPr>
          <w:rFonts w:hint="eastAsia" w:ascii="宋体"/>
          <w:b w:val="0"/>
          <w:bCs w:val="0"/>
          <w:sz w:val="28"/>
          <w:szCs w:val="28"/>
        </w:rPr>
      </w:pPr>
      <w:bookmarkStart w:id="54" w:name="_Toc15396627"/>
      <w:r>
        <w:rPr>
          <w:rStyle w:val="22"/>
          <w:rFonts w:hint="eastAsia" w:ascii="宋体"/>
          <w:b w:val="0"/>
          <w:bCs w:val="0"/>
          <w:sz w:val="28"/>
          <w:szCs w:val="28"/>
        </w:rPr>
        <w:t>九、</w:t>
      </w:r>
      <w:r>
        <w:rPr>
          <w:rFonts w:hint="eastAsia" w:ascii="宋体"/>
          <w:b w:val="0"/>
          <w:bCs w:val="0"/>
          <w:sz w:val="28"/>
          <w:szCs w:val="28"/>
        </w:rPr>
        <w:t>一</w:t>
      </w:r>
      <w:r>
        <w:rPr>
          <w:rStyle w:val="22"/>
          <w:rFonts w:hint="eastAsia" w:ascii="宋体"/>
          <w:b w:val="0"/>
          <w:bCs w:val="0"/>
          <w:sz w:val="28"/>
          <w:szCs w:val="28"/>
        </w:rPr>
        <w:t>般公共预算财政拨款项目支出决算表</w:t>
      </w:r>
      <w:bookmarkEnd w:id="54"/>
    </w:p>
    <w:p>
      <w:pPr>
        <w:pStyle w:val="4"/>
        <w:rPr>
          <w:rFonts w:hint="eastAsia" w:ascii="宋体"/>
          <w:b w:val="0"/>
          <w:bCs w:val="0"/>
          <w:sz w:val="28"/>
          <w:szCs w:val="28"/>
        </w:rPr>
      </w:pPr>
      <w:bookmarkStart w:id="55" w:name="_Toc15396628"/>
      <w:r>
        <w:rPr>
          <w:rStyle w:val="22"/>
          <w:rFonts w:hint="eastAsia" w:ascii="宋体"/>
          <w:b w:val="0"/>
          <w:bCs w:val="0"/>
          <w:sz w:val="28"/>
          <w:szCs w:val="28"/>
        </w:rPr>
        <w:t>十、</w:t>
      </w:r>
      <w:bookmarkEnd w:id="55"/>
      <w:r>
        <w:rPr>
          <w:rFonts w:hint="eastAsia" w:ascii="宋体"/>
          <w:b w:val="0"/>
          <w:bCs w:val="0"/>
          <w:sz w:val="28"/>
          <w:szCs w:val="28"/>
        </w:rPr>
        <w:t>政</w:t>
      </w:r>
      <w:r>
        <w:rPr>
          <w:rStyle w:val="22"/>
          <w:rFonts w:hint="eastAsia" w:ascii="宋体"/>
          <w:b w:val="0"/>
          <w:bCs w:val="0"/>
          <w:sz w:val="28"/>
          <w:szCs w:val="28"/>
        </w:rPr>
        <w:t>府性基金预算财政拨款收入支出决算表</w:t>
      </w:r>
    </w:p>
    <w:p>
      <w:pPr>
        <w:pStyle w:val="4"/>
        <w:rPr>
          <w:rFonts w:hint="eastAsia" w:ascii="宋体"/>
          <w:b w:val="0"/>
          <w:bCs w:val="0"/>
          <w:sz w:val="28"/>
          <w:szCs w:val="28"/>
        </w:rPr>
      </w:pPr>
      <w:bookmarkStart w:id="56" w:name="_Toc15396629"/>
      <w:r>
        <w:rPr>
          <w:rStyle w:val="22"/>
          <w:rFonts w:hint="eastAsia" w:ascii="宋体"/>
          <w:b w:val="0"/>
          <w:bCs w:val="0"/>
          <w:sz w:val="28"/>
          <w:szCs w:val="28"/>
        </w:rPr>
        <w:t>十一、</w:t>
      </w:r>
      <w:bookmarkEnd w:id="56"/>
      <w:r>
        <w:rPr>
          <w:rFonts w:hint="eastAsia" w:ascii="宋体"/>
          <w:b w:val="0"/>
          <w:bCs w:val="0"/>
          <w:sz w:val="28"/>
          <w:szCs w:val="28"/>
        </w:rPr>
        <w:t>国</w:t>
      </w:r>
      <w:r>
        <w:rPr>
          <w:rStyle w:val="22"/>
          <w:rFonts w:hint="eastAsia" w:ascii="宋体"/>
          <w:b w:val="0"/>
          <w:bCs w:val="0"/>
          <w:sz w:val="28"/>
          <w:szCs w:val="28"/>
        </w:rPr>
        <w:t>有资本经营预算财政拨款收入支出决算表</w:t>
      </w:r>
    </w:p>
    <w:p>
      <w:pPr>
        <w:pStyle w:val="4"/>
        <w:rPr>
          <w:rFonts w:hint="eastAsia" w:ascii="宋体"/>
          <w:b w:val="0"/>
          <w:bCs w:val="0"/>
          <w:sz w:val="28"/>
          <w:szCs w:val="28"/>
        </w:rPr>
      </w:pPr>
      <w:bookmarkStart w:id="57" w:name="_Toc15396630"/>
      <w:r>
        <w:rPr>
          <w:rStyle w:val="22"/>
          <w:rFonts w:hint="eastAsia" w:ascii="宋体"/>
          <w:b w:val="0"/>
          <w:bCs w:val="0"/>
          <w:sz w:val="28"/>
          <w:szCs w:val="28"/>
        </w:rPr>
        <w:t>十二、</w:t>
      </w:r>
      <w:bookmarkEnd w:id="57"/>
      <w:r>
        <w:rPr>
          <w:rStyle w:val="22"/>
          <w:rFonts w:hint="eastAsia" w:ascii="宋体"/>
          <w:b w:val="0"/>
          <w:bCs w:val="0"/>
          <w:sz w:val="28"/>
          <w:szCs w:val="28"/>
        </w:rPr>
        <w:t>国有资本经营预算财政拨款支出决算表</w:t>
      </w:r>
    </w:p>
    <w:p>
      <w:pPr>
        <w:pStyle w:val="4"/>
        <w:rPr>
          <w:rFonts w:hint="eastAsia" w:ascii="宋体"/>
          <w:b w:val="0"/>
          <w:bCs w:val="0"/>
          <w:sz w:val="28"/>
          <w:szCs w:val="28"/>
        </w:rPr>
      </w:pPr>
      <w:bookmarkStart w:id="58" w:name="_Toc15396631"/>
      <w:r>
        <w:rPr>
          <w:rStyle w:val="22"/>
          <w:rFonts w:hint="eastAsia" w:ascii="宋体"/>
          <w:b w:val="0"/>
          <w:bCs w:val="0"/>
          <w:sz w:val="28"/>
          <w:szCs w:val="28"/>
        </w:rPr>
        <w:t>十三、</w:t>
      </w:r>
      <w:bookmarkEnd w:id="58"/>
      <w:r>
        <w:rPr>
          <w:rStyle w:val="22"/>
          <w:rFonts w:hint="eastAsia" w:ascii="宋体"/>
          <w:b w:val="0"/>
          <w:bCs w:val="0"/>
          <w:sz w:val="28"/>
          <w:szCs w:val="28"/>
        </w:rPr>
        <w:t>财政拨款“三公”经费支出决算表</w:t>
      </w: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61007A87" w:usb1="80000000" w:usb2="00000008"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60724"/>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20158F48"/>
    <w:multiLevelType w:val="multilevel"/>
    <w:tmpl w:val="20158F48"/>
    <w:lvl w:ilvl="0" w:tentative="0">
      <w:start w:val="1"/>
      <w:numFmt w:val="chineseCountingThousand"/>
      <w:lvlText w:val="%1、"/>
      <w:legacy w:legacy="1" w:legacySpace="0" w:legacyIndent="480"/>
      <w:lvlJc w:val="left"/>
      <w:pPr>
        <w:ind w:left="900" w:hanging="480"/>
      </w:pPr>
      <w:rPr>
        <w:rFonts w:hint="default" w:ascii="方正黑体_GBK" w:hAnsi="方正黑体_GBK" w:eastAsia="方正黑体_GBK"/>
        <w:sz w:val="24"/>
      </w:rPr>
    </w:lvl>
    <w:lvl w:ilvl="1" w:tentative="0">
      <w:start w:val="1"/>
      <w:numFmt w:val="lowerLetter"/>
      <w:lvlText w:val="%2)"/>
      <w:legacy w:legacy="1" w:legacySpace="0" w:legacyIndent="420"/>
      <w:lvlJc w:val="left"/>
      <w:pPr>
        <w:ind w:left="1260" w:hanging="420"/>
      </w:pPr>
    </w:lvl>
    <w:lvl w:ilvl="2" w:tentative="0">
      <w:start w:val="1"/>
      <w:numFmt w:val="lowerRoman"/>
      <w:lvlText w:val="%3."/>
      <w:legacy w:legacy="1" w:legacySpace="0" w:legacyIndent="420"/>
      <w:lvlJc w:val="right"/>
      <w:pPr>
        <w:ind w:left="1680" w:hanging="420"/>
      </w:pPr>
    </w:lvl>
    <w:lvl w:ilvl="3" w:tentative="0">
      <w:start w:val="1"/>
      <w:numFmt w:val="decimal"/>
      <w:lvlText w:val="%4."/>
      <w:legacy w:legacy="1" w:legacySpace="0" w:legacyIndent="420"/>
      <w:lvlJc w:val="left"/>
      <w:pPr>
        <w:ind w:left="2100" w:hanging="420"/>
      </w:pPr>
    </w:lvl>
    <w:lvl w:ilvl="4" w:tentative="0">
      <w:start w:val="1"/>
      <w:numFmt w:val="lowerLetter"/>
      <w:lvlText w:val="%5)"/>
      <w:legacy w:legacy="1" w:legacySpace="0" w:legacyIndent="420"/>
      <w:lvlJc w:val="left"/>
      <w:pPr>
        <w:ind w:left="2520" w:hanging="420"/>
      </w:pPr>
    </w:lvl>
    <w:lvl w:ilvl="5" w:tentative="0">
      <w:start w:val="1"/>
      <w:numFmt w:val="lowerRoman"/>
      <w:lvlText w:val="%6."/>
      <w:legacy w:legacy="1" w:legacySpace="0" w:legacyIndent="420"/>
      <w:lvlJc w:val="right"/>
      <w:pPr>
        <w:ind w:left="2940" w:hanging="420"/>
      </w:pPr>
    </w:lvl>
    <w:lvl w:ilvl="6" w:tentative="0">
      <w:start w:val="1"/>
      <w:numFmt w:val="decimal"/>
      <w:lvlText w:val="%7."/>
      <w:legacy w:legacy="1" w:legacySpace="0" w:legacyIndent="420"/>
      <w:lvlJc w:val="left"/>
      <w:pPr>
        <w:ind w:left="3360" w:hanging="420"/>
      </w:pPr>
    </w:lvl>
    <w:lvl w:ilvl="7" w:tentative="0">
      <w:start w:val="1"/>
      <w:numFmt w:val="lowerLetter"/>
      <w:lvlText w:val="%8)"/>
      <w:legacy w:legacy="1" w:legacySpace="0" w:legacyIndent="420"/>
      <w:lvlJc w:val="left"/>
      <w:pPr>
        <w:ind w:left="3780" w:hanging="420"/>
      </w:pPr>
    </w:lvl>
    <w:lvl w:ilvl="8" w:tentative="0">
      <w:start w:val="1"/>
      <w:numFmt w:val="lowerRoman"/>
      <w:lvlText w:val="%9."/>
      <w:legacy w:legacy="1" w:legacySpace="0" w:legacyIndent="420"/>
      <w:lvlJc w:val="righ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TUyYTMyNWEyZTJiMjZkNDBkOGQ3NmYxOGQ3MjU2NDIifQ=="/>
  </w:docVars>
  <w:rsids>
    <w:rsidRoot w:val="00000000"/>
    <w:rsid w:val="10E52568"/>
    <w:rsid w:val="16B42E66"/>
    <w:rsid w:val="20114056"/>
    <w:rsid w:val="7F7F437B"/>
    <w:rsid w:val="7FDEE007"/>
    <w:rsid w:val="8FFF6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2"/>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8">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hAnsi="仿宋_GB2312"/>
      <w:szCs w:val="32"/>
    </w:rPr>
  </w:style>
  <w:style w:type="paragraph" w:styleId="7">
    <w:name w:val="toc 3"/>
    <w:basedOn w:val="1"/>
    <w:next w:val="1"/>
    <w:qFormat/>
    <w:uiPriority w:val="0"/>
    <w:pPr>
      <w:tabs>
        <w:tab w:val="right" w:leader="dot" w:pos="8296"/>
      </w:tabs>
      <w:ind w:left="400" w:leftChars="400"/>
    </w:pPr>
  </w:style>
  <w:style w:type="paragraph" w:styleId="8">
    <w:name w:val="Plain Text"/>
    <w:next w:val="9"/>
    <w:qFormat/>
    <w:uiPriority w:val="0"/>
    <w:pPr>
      <w:widowControl w:val="0"/>
      <w:jc w:val="both"/>
    </w:pPr>
    <w:rPr>
      <w:rFonts w:ascii="宋体" w:hAnsi="宋体" w:eastAsia="仿宋_GB2312" w:cs="Courier New"/>
      <w:kern w:val="2"/>
      <w:sz w:val="32"/>
      <w:szCs w:val="21"/>
      <w:lang w:val="en-US" w:eastAsia="zh-CN" w:bidi="ar-SA"/>
    </w:rPr>
  </w:style>
  <w:style w:type="paragraph" w:styleId="9">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0">
    <w:name w:val="Balloon Text"/>
    <w:basedOn w:val="1"/>
    <w:qFormat/>
    <w:uiPriority w:val="0"/>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qFormat/>
    <w:uiPriority w:val="0"/>
    <w:pPr>
      <w:tabs>
        <w:tab w:val="right" w:leader="dot" w:pos="8296"/>
      </w:tabs>
      <w:spacing w:before="93"/>
      <w:jc w:val="center"/>
    </w:pPr>
    <w:rPr>
      <w:rFonts w:ascii="仿宋" w:eastAsia="仿宋"/>
      <w:sz w:val="28"/>
      <w:szCs w:val="28"/>
    </w:rPr>
  </w:style>
  <w:style w:type="paragraph" w:styleId="13">
    <w:name w:val="toc 2"/>
    <w:basedOn w:val="1"/>
    <w:next w:val="1"/>
    <w:qFormat/>
    <w:uiPriority w:val="0"/>
    <w:pPr>
      <w:tabs>
        <w:tab w:val="right" w:leader="dot" w:pos="8296"/>
      </w:tabs>
      <w:ind w:left="200" w:leftChars="200"/>
    </w:pPr>
  </w:style>
  <w:style w:type="paragraph" w:styleId="14">
    <w:name w:val="Normal (Web)"/>
    <w:next w:val="15"/>
    <w:qFormat/>
    <w:uiPriority w:val="0"/>
    <w:pPr>
      <w:widowControl/>
      <w:spacing w:before="100" w:beforeAutospacing="1" w:after="100" w:afterAutospacing="1"/>
      <w:jc w:val="left"/>
    </w:pPr>
    <w:rPr>
      <w:rFonts w:ascii="宋体" w:hAnsi="Times New Roman" w:eastAsia="宋体" w:cs="宋体"/>
      <w:kern w:val="0"/>
      <w:sz w:val="24"/>
      <w:szCs w:val="24"/>
      <w:lang w:val="en-US" w:eastAsia="zh-CN" w:bidi="ar-SA"/>
    </w:rPr>
  </w:style>
  <w:style w:type="paragraph" w:customStyle="1" w:styleId="15">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16">
    <w:name w:val="Body Text First Indent 2"/>
    <w:basedOn w:val="6"/>
    <w:qFormat/>
    <w:uiPriority w:val="0"/>
    <w:pPr>
      <w:ind w:firstLine="200" w:firstLineChars="200"/>
    </w:p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heading 1 Char"/>
    <w:basedOn w:val="18"/>
    <w:link w:val="3"/>
    <w:qFormat/>
    <w:uiPriority w:val="0"/>
    <w:rPr>
      <w:rFonts w:ascii="Times New Roman" w:hAnsi="Times New Roman" w:eastAsia="宋体" w:cs="Times New Roman"/>
      <w:b/>
      <w:bCs/>
      <w:kern w:val="44"/>
      <w:sz w:val="44"/>
      <w:szCs w:val="44"/>
      <w:lang w:val="en-US" w:eastAsia="zh-CN" w:bidi="ar-SA"/>
    </w:rPr>
  </w:style>
  <w:style w:type="character" w:customStyle="1" w:styleId="22">
    <w:name w:val="heading 2 Char"/>
    <w:basedOn w:val="18"/>
    <w:link w:val="4"/>
    <w:qFormat/>
    <w:uiPriority w:val="0"/>
    <w:rPr>
      <w:rFonts w:ascii="Cambria" w:hAnsi="Cambria" w:eastAsia="宋体" w:cs="Times New Roman"/>
      <w:b/>
      <w:bCs/>
      <w:kern w:val="2"/>
      <w:sz w:val="32"/>
      <w:szCs w:val="32"/>
      <w:lang w:val="en-US" w:eastAsia="zh-CN" w:bidi="ar-SA"/>
    </w:rPr>
  </w:style>
  <w:style w:type="character" w:customStyle="1" w:styleId="23">
    <w:name w:val="Header Char"/>
    <w:basedOn w:val="18"/>
    <w:qFormat/>
    <w:uiPriority w:val="0"/>
    <w:rPr>
      <w:rFonts w:ascii="Times New Roman" w:hAnsi="Times New Roman"/>
      <w:sz w:val="18"/>
      <w:szCs w:val="18"/>
    </w:rPr>
  </w:style>
  <w:style w:type="character" w:customStyle="1" w:styleId="24">
    <w:name w:val="Footer Char"/>
    <w:basedOn w:val="18"/>
    <w:qFormat/>
    <w:uiPriority w:val="0"/>
    <w:rPr>
      <w:rFonts w:ascii="Times New Roman" w:hAnsi="Times New Roman"/>
      <w:sz w:val="18"/>
      <w:szCs w:val="18"/>
    </w:rPr>
  </w:style>
  <w:style w:type="character" w:customStyle="1" w:styleId="25">
    <w:name w:val="Body Text Char"/>
    <w:basedOn w:val="18"/>
    <w:qFormat/>
    <w:uiPriority w:val="0"/>
    <w:rPr>
      <w:rFonts w:ascii="Times New Roman" w:hAnsi="Times New Roman"/>
      <w:szCs w:val="24"/>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7">
    <w:name w:val="List Paragraph"/>
    <w:basedOn w:val="1"/>
    <w:qFormat/>
    <w:uiPriority w:val="0"/>
    <w:pPr>
      <w:ind w:firstLine="200" w:firstLineChars="200"/>
    </w:pPr>
  </w:style>
  <w:style w:type="paragraph" w:customStyle="1" w:styleId="28">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9">
    <w:name w:val="TOC 标题2"/>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0">
    <w:name w:val="四号正文"/>
    <w:basedOn w:val="1"/>
    <w:qFormat/>
    <w:uiPriority w:val="0"/>
    <w:pPr>
      <w:spacing w:line="360" w:lineRule="auto"/>
    </w:pPr>
    <w:rPr>
      <w:rFonts w:ascii="??" w:hAnsi="??"/>
      <w:color w:val="000000"/>
      <w:kern w:val="0"/>
      <w:sz w:val="28"/>
      <w:szCs w:val="21"/>
      <w:lang w:val="zh-CN"/>
    </w:rPr>
  </w:style>
  <w:style w:type="paragraph" w:styleId="31">
    <w:name w:val="No Spacing"/>
    <w:next w:val="26"/>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25</Pages>
  <Words>9620</Words>
  <Characters>10126</Characters>
  <Lines>481</Lines>
  <Paragraphs>185</Paragraphs>
  <TotalTime>325</TotalTime>
  <ScaleCrop>false</ScaleCrop>
  <LinksUpToDate>false</LinksUpToDate>
  <CharactersWithSpaces>10159</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user</cp:lastModifiedBy>
  <cp:lastPrinted>2023-08-01T02:35:00Z</cp:lastPrinted>
  <dcterms:modified xsi:type="dcterms:W3CDTF">2025-01-15T15:56:35Z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22BD5EC31B394EB09D8E66A6DE337DE1_12</vt:lpwstr>
  </property>
</Properties>
</file>