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96597"/>
      <w:bookmarkStart w:id="3" w:name="_Toc15396475"/>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194"/>
      <w:bookmarkStart w:id="7" w:name="_Toc15396476"/>
      <w:bookmarkStart w:id="8" w:name="_Toc15377426"/>
      <w:bookmarkStart w:id="9" w:name="_Toc15378442"/>
      <w:bookmarkStart w:id="10" w:name="_Toc15396598"/>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县东宝镇人民政府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bookmarkStart w:id="73" w:name="_GoBack"/>
      <w:bookmarkEnd w:id="7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96599"/>
      <w:bookmarkStart w:id="13" w:name="_Toc15377196"/>
    </w:p>
    <w:p>
      <w:pPr>
        <w:pStyle w:val="41"/>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2"/>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2"/>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1"/>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2"/>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2"/>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2"/>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2"/>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2"/>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1"/>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1"/>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2"/>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4"/>
        <w:rPr>
          <w:rStyle w:val="32"/>
          <w:rFonts w:ascii="仿宋" w:hAnsi="仿宋" w:eastAsia="黑体"/>
          <w:b w:val="0"/>
          <w:bCs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8445"/>
      <w:bookmarkStart w:id="17" w:name="_Toc15377198"/>
      <w:bookmarkStart w:id="18" w:name="_Toc15377200"/>
      <w:bookmarkStart w:id="19" w:name="_Toc15396601"/>
      <w:r>
        <w:rPr>
          <w:rFonts w:hint="eastAsia" w:ascii="仿宋" w:hAnsi="仿宋" w:eastAsia="仿宋"/>
          <w:bCs/>
          <w:sz w:val="32"/>
          <w:szCs w:val="32"/>
        </w:rPr>
        <w:t>（一）主要职能。</w:t>
      </w:r>
      <w:bookmarkEnd w:id="16"/>
      <w:bookmarkEnd w:id="17"/>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2、制定并组织实施村镇建设规划，部署重点工程建设，地方道路建设及公共设施，水利设施的管理，负责土地、林木、水等自然资源和生态环境的保护，做好护林防火工作。</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bookmarkStart w:id="20" w:name="_Toc15377199"/>
      <w:bookmarkStart w:id="21" w:name="_Toc15378446"/>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r>
        <w:rPr>
          <w:rFonts w:hint="eastAsia" w:ascii="仿宋" w:hAnsi="仿宋" w:eastAsia="仿宋"/>
          <w:bCs/>
          <w:sz w:val="32"/>
          <w:szCs w:val="32"/>
        </w:rPr>
        <w:t>。</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（一）坚持全面从严治党，党的领导全面加强。</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bCs/>
          <w:color w:val="auto"/>
          <w:sz w:val="32"/>
          <w:szCs w:val="32"/>
          <w:lang w:val="en-US" w:eastAsia="zh-CN"/>
        </w:rPr>
        <w:t>政治建设放在首位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深入学习领会党的二十大精神和</w:t>
      </w:r>
      <w:r>
        <w:rPr>
          <w:rFonts w:hint="default" w:ascii="仿宋_GB2312" w:hAnsi="仿宋_GB2312" w:eastAsia="仿宋_GB2312" w:cs="仿宋_GB2312"/>
          <w:color w:val="auto"/>
          <w:sz w:val="32"/>
          <w:szCs w:val="32"/>
          <w:lang w:val="en" w:eastAsia="zh-CN"/>
        </w:rPr>
        <w:t>省第十二次党代会</w:t>
      </w:r>
      <w:r>
        <w:rPr>
          <w:rFonts w:hint="eastAsia" w:ascii="仿宋_GB2312" w:hAnsi="仿宋_GB2312" w:eastAsia="仿宋_GB2312" w:cs="仿宋_GB2312"/>
          <w:color w:val="auto"/>
          <w:sz w:val="32"/>
          <w:szCs w:val="32"/>
          <w:lang w:val="en-US" w:eastAsia="zh-CN"/>
        </w:rPr>
        <w:t>精神，贯彻落实习近平总书记来川视察重要讲话，坚持集中学习和个人自学相结合方式，扎实开展</w:t>
      </w:r>
      <w:r>
        <w:rPr>
          <w:rFonts w:hint="default" w:ascii="仿宋_GB2312" w:hAnsi="仿宋_GB2312" w:eastAsia="仿宋_GB2312" w:cs="仿宋_GB2312"/>
          <w:color w:val="auto"/>
          <w:sz w:val="32"/>
          <w:szCs w:val="32"/>
          <w:lang w:val="en" w:eastAsia="zh-CN"/>
        </w:rPr>
        <w:t>理论学习中心组</w:t>
      </w:r>
      <w:r>
        <w:rPr>
          <w:rFonts w:hint="eastAsia" w:ascii="仿宋_GB2312" w:hAnsi="仿宋_GB2312" w:eastAsia="仿宋_GB2312" w:cs="仿宋_GB2312"/>
          <w:color w:val="auto"/>
          <w:sz w:val="32"/>
          <w:szCs w:val="32"/>
          <w:lang w:val="en-US" w:eastAsia="zh-CN"/>
        </w:rPr>
        <w:t>学习12次，专题讨论3次，镇村干部、党员开展轮训300人次，努力提升党员干部政治判断力、政治领悟力、政治执行力。</w:t>
      </w:r>
      <w:r>
        <w:rPr>
          <w:rFonts w:hint="eastAsia" w:ascii="仿宋_GB2312" w:hAnsi="仿宋_GB2312" w:eastAsia="仿宋_GB2312" w:cs="仿宋_GB2312"/>
          <w:b/>
          <w:bCs/>
          <w:color w:val="auto"/>
          <w:sz w:val="32"/>
          <w:szCs w:val="32"/>
          <w:lang w:val="en-US" w:eastAsia="zh-CN"/>
        </w:rPr>
        <w:t>二是党风廉政从严从实。</w:t>
      </w:r>
      <w:r>
        <w:rPr>
          <w:rFonts w:hint="eastAsia" w:ascii="仿宋_GB2312" w:hAnsi="仿宋_GB2312" w:eastAsia="仿宋_GB2312" w:cs="仿宋_GB2312"/>
          <w:color w:val="auto"/>
          <w:sz w:val="32"/>
          <w:szCs w:val="32"/>
          <w:lang w:val="en-US" w:eastAsia="zh-CN"/>
        </w:rPr>
        <w:t>持续深化干部纪律作风整顿，对标“庸懒散浮拖”检查问题5个，已全部整改销号。扎实开展“四责同述”，建立问题台账6条，均落实整改。</w:t>
      </w:r>
    </w:p>
    <w:p>
      <w:pPr>
        <w:spacing w:line="576" w:lineRule="exact"/>
        <w:ind w:firstLine="642" w:firstLineChars="200"/>
        <w:jc w:val="both"/>
        <w:rPr>
          <w:rFonts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lang w:val="en-US" w:eastAsia="zh-CN"/>
        </w:rPr>
        <w:t>（二）抓实脱贫成效巩固，乡村振兴有序推进</w:t>
      </w:r>
      <w:r>
        <w:rPr>
          <w:rFonts w:hint="eastAsia" w:ascii="仿宋" w:hAnsi="仿宋" w:eastAsia="仿宋" w:cs="仿宋"/>
          <w:b/>
          <w:bCs/>
          <w:color w:val="auto"/>
          <w:sz w:val="32"/>
          <w:szCs w:val="32"/>
          <w:lang w:val="en-US" w:eastAsia="zh-CN"/>
        </w:rPr>
        <w:t>。一是农业产业提质增效</w:t>
      </w:r>
      <w:r>
        <w:rPr>
          <w:rFonts w:hint="eastAsia" w:ascii="仿宋" w:hAnsi="仿宋" w:eastAsia="仿宋" w:cs="仿宋"/>
          <w:b/>
          <w:bCs/>
          <w:color w:val="auto"/>
          <w:sz w:val="32"/>
          <w:szCs w:val="32"/>
        </w:rPr>
        <w:t>。</w:t>
      </w:r>
      <w:r>
        <w:rPr>
          <w:rFonts w:hint="eastAsia" w:ascii="仿宋_GB2312" w:hAnsi="仿宋_GB2312" w:eastAsia="仿宋_GB2312" w:cs="仿宋_GB2312"/>
          <w:color w:val="auto"/>
          <w:sz w:val="32"/>
          <w:szCs w:val="32"/>
        </w:rPr>
        <w:t>坚持以农业产业为基础，</w:t>
      </w:r>
      <w:r>
        <w:rPr>
          <w:rFonts w:hint="eastAsia" w:ascii="仿宋_GB2312" w:hAnsi="仿宋_GB2312" w:eastAsia="仿宋_GB2312" w:cs="仿宋_GB2312"/>
          <w:color w:val="auto"/>
          <w:sz w:val="32"/>
          <w:szCs w:val="32"/>
          <w:lang w:val="en-US" w:eastAsia="zh-CN"/>
        </w:rPr>
        <w:t>大抓粮食安全生产，</w:t>
      </w:r>
      <w:r>
        <w:rPr>
          <w:rFonts w:hint="eastAsia" w:ascii="仿宋_GB2312" w:hAnsi="仿宋_GB2312" w:eastAsia="仿宋_GB2312" w:cs="仿宋_GB2312"/>
          <w:color w:val="auto"/>
          <w:sz w:val="32"/>
          <w:szCs w:val="32"/>
        </w:rPr>
        <w:t>严格落实粮食稳产保供任务，</w:t>
      </w:r>
      <w:r>
        <w:rPr>
          <w:rFonts w:hint="eastAsia" w:ascii="仿宋_GB2312" w:hAnsi="仿宋_GB2312" w:eastAsia="仿宋_GB2312" w:cs="仿宋_GB2312"/>
          <w:color w:val="auto"/>
          <w:sz w:val="32"/>
          <w:szCs w:val="32"/>
          <w:lang w:val="en-US" w:eastAsia="zh-CN"/>
        </w:rPr>
        <w:t>完成撂荒地整治480余亩，有力实现土地高效利用；高质量</w:t>
      </w:r>
      <w:r>
        <w:rPr>
          <w:rFonts w:hint="eastAsia" w:ascii="仿宋_GB2312" w:hAnsi="仿宋_GB2312" w:eastAsia="仿宋_GB2312" w:cs="仿宋_GB2312"/>
          <w:color w:val="auto"/>
          <w:sz w:val="32"/>
          <w:szCs w:val="32"/>
        </w:rPr>
        <w:t>完成大豆玉米带状复合种植4</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大力发展肉牛羊产业，</w:t>
      </w:r>
      <w:r>
        <w:rPr>
          <w:rFonts w:hint="eastAsia" w:ascii="仿宋_GB2312" w:hAnsi="仿宋_GB2312" w:eastAsia="仿宋_GB2312" w:cs="仿宋_GB2312"/>
          <w:color w:val="auto"/>
          <w:sz w:val="32"/>
          <w:szCs w:val="32"/>
          <w:lang w:val="en-US" w:eastAsia="zh-CN"/>
        </w:rPr>
        <w:t>年出栏肉牛1480头，肉羊8250头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二是脱贫成效持续巩固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坚持严格落实防返贫动态监测，聚焦风险人员，全覆盖开展防返贫集中排查四轮，新增监测户3户5人，建立问题清单、责任清单、帮扶清单“3张”清单，科学精准落实扶持措施，坚决守住不发生规模性返贫的底线。</w:t>
      </w:r>
      <w:r>
        <w:rPr>
          <w:rFonts w:hint="eastAsia" w:ascii="仿宋_GB2312" w:hAnsi="仿宋_GB2312" w:eastAsia="仿宋_GB2312" w:cs="仿宋_GB2312"/>
          <w:b/>
          <w:bCs/>
          <w:color w:val="auto"/>
          <w:sz w:val="32"/>
          <w:szCs w:val="32"/>
          <w:lang w:val="en-US" w:eastAsia="zh-CN"/>
        </w:rPr>
        <w:t>三是增收措施不断拓展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大力推进“帮帮摊”项目，</w:t>
      </w:r>
      <w:r>
        <w:rPr>
          <w:rFonts w:hint="eastAsia" w:ascii="仿宋_GB2312" w:hAnsi="仿宋_GB2312" w:eastAsia="仿宋_GB2312" w:cs="仿宋_GB2312"/>
          <w:color w:val="auto"/>
          <w:sz w:val="32"/>
          <w:szCs w:val="32"/>
          <w:lang w:val="en-US" w:eastAsia="zh-CN"/>
        </w:rPr>
        <w:t>争创市级“帮帮摊”项目先进乡镇，</w:t>
      </w:r>
      <w:r>
        <w:rPr>
          <w:rFonts w:hint="eastAsia" w:ascii="仿宋_GB2312" w:hAnsi="仿宋_GB2312" w:eastAsia="仿宋_GB2312" w:cs="仿宋_GB2312"/>
          <w:color w:val="auto"/>
          <w:sz w:val="32"/>
          <w:szCs w:val="32"/>
        </w:rPr>
        <w:t>长期为20多名残疾人及巩固脱贫对象提供</w:t>
      </w:r>
      <w:r>
        <w:rPr>
          <w:rFonts w:hint="eastAsia" w:ascii="仿宋_GB2312" w:hAnsi="仿宋_GB2312" w:eastAsia="仿宋_GB2312" w:cs="仿宋_GB2312"/>
          <w:color w:val="auto"/>
          <w:sz w:val="32"/>
          <w:szCs w:val="32"/>
          <w:lang w:val="en-US" w:eastAsia="zh-CN"/>
        </w:rPr>
        <w:t>稳定</w:t>
      </w:r>
      <w:r>
        <w:rPr>
          <w:rFonts w:hint="eastAsia" w:ascii="仿宋_GB2312" w:hAnsi="仿宋_GB2312" w:eastAsia="仿宋_GB2312" w:cs="仿宋_GB2312"/>
          <w:color w:val="auto"/>
          <w:sz w:val="32"/>
          <w:szCs w:val="32"/>
        </w:rPr>
        <w:t>就业机会。</w:t>
      </w:r>
      <w:r>
        <w:rPr>
          <w:rFonts w:hint="eastAsia" w:ascii="仿宋_GB2312" w:hAnsi="仿宋_GB2312" w:eastAsia="仿宋_GB2312" w:cs="仿宋_GB2312"/>
          <w:color w:val="auto"/>
          <w:sz w:val="32"/>
          <w:szCs w:val="32"/>
          <w:lang w:val="en-US" w:eastAsia="zh-CN"/>
        </w:rPr>
        <w:t>强力推进专业合作社和渔旅产业融合发展，优化调整</w:t>
      </w:r>
      <w:r>
        <w:rPr>
          <w:rFonts w:hint="eastAsia" w:ascii="仿宋_GB2312" w:hAnsi="仿宋_GB2312" w:eastAsia="仿宋_GB2312" w:cs="仿宋_GB2312"/>
          <w:color w:val="auto"/>
          <w:sz w:val="32"/>
          <w:szCs w:val="32"/>
        </w:rPr>
        <w:t>江力达劳务专业合作社运营管理，纳入社员</w:t>
      </w:r>
      <w:r>
        <w:rPr>
          <w:rFonts w:hint="eastAsia" w:ascii="仿宋_GB2312" w:hAnsi="仿宋_GB2312" w:eastAsia="仿宋_GB2312" w:cs="仿宋_GB2312"/>
          <w:color w:val="auto"/>
          <w:sz w:val="32"/>
          <w:szCs w:val="32"/>
          <w:lang w:val="en-US" w:eastAsia="zh-CN"/>
        </w:rPr>
        <w:t>1200</w:t>
      </w:r>
      <w:r>
        <w:rPr>
          <w:rFonts w:hint="eastAsia" w:ascii="仿宋_GB2312" w:hAnsi="仿宋_GB2312" w:eastAsia="仿宋_GB2312" w:cs="仿宋_GB2312"/>
          <w:color w:val="auto"/>
          <w:sz w:val="32"/>
          <w:szCs w:val="32"/>
        </w:rPr>
        <w:t>名，签订企业用工协议</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余份，带动了</w:t>
      </w:r>
      <w:r>
        <w:rPr>
          <w:rFonts w:hint="eastAsia" w:ascii="仿宋_GB2312" w:hAnsi="仿宋_GB2312" w:eastAsia="仿宋_GB2312" w:cs="仿宋_GB2312"/>
          <w:color w:val="auto"/>
          <w:sz w:val="32"/>
          <w:szCs w:val="32"/>
          <w:lang w:val="en-US" w:eastAsia="zh-CN"/>
        </w:rPr>
        <w:t>260</w:t>
      </w:r>
      <w:r>
        <w:rPr>
          <w:rFonts w:hint="eastAsia" w:ascii="仿宋_GB2312" w:hAnsi="仿宋_GB2312" w:eastAsia="仿宋_GB2312" w:cs="仿宋_GB2312"/>
          <w:color w:val="auto"/>
          <w:sz w:val="32"/>
          <w:szCs w:val="32"/>
        </w:rPr>
        <w:t>名群众就近就业，持续拓宽增收渠道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助力群众就业增收</w:t>
      </w:r>
      <w:r>
        <w:rPr>
          <w:rFonts w:hint="eastAsia" w:ascii="仿宋_GB2312" w:hAnsi="仿宋_GB2312" w:eastAsia="仿宋_GB2312" w:cs="仿宋_GB2312"/>
          <w:color w:val="auto"/>
          <w:sz w:val="32"/>
          <w:szCs w:val="32"/>
        </w:rPr>
        <w:t>。</w:t>
      </w:r>
    </w:p>
    <w:p>
      <w:pPr>
        <w:pStyle w:val="6"/>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（三）紧扣经济活力指标，发展动能更加强劲。</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bCs/>
          <w:color w:val="auto"/>
          <w:sz w:val="32"/>
          <w:szCs w:val="32"/>
          <w:lang w:val="en-US" w:eastAsia="zh-CN"/>
        </w:rPr>
        <w:t>项目建设加快推进</w:t>
      </w:r>
      <w:r>
        <w:rPr>
          <w:rFonts w:hint="eastAsia" w:ascii="仿宋_GB2312" w:hAnsi="仿宋_GB2312" w:eastAsia="仿宋_GB2312" w:cs="仿宋_GB2312"/>
          <w:color w:val="auto"/>
          <w:sz w:val="32"/>
          <w:szCs w:val="32"/>
          <w:lang w:val="en-US" w:eastAsia="zh-CN"/>
        </w:rPr>
        <w:t>。牢固树立“项目为王”发展理念，落实“主要领导亲自抓、分管领导主要抓、项目专班具体抓、其他人员协同抓”的项目推进机制，主动</w:t>
      </w:r>
      <w:r>
        <w:rPr>
          <w:rFonts w:hint="eastAsia" w:ascii="仿宋_GB2312" w:hAnsi="仿宋_GB2312" w:eastAsia="仿宋_GB2312" w:cs="仿宋_GB2312"/>
          <w:color w:val="auto"/>
          <w:sz w:val="32"/>
          <w:szCs w:val="32"/>
        </w:rPr>
        <w:t>对接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二是招商引资成果丰硕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先后到德阳、成都、眉山、南充、绵阳等地招商考察12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肉牛场</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新型水果</w:t>
      </w:r>
      <w:r>
        <w:rPr>
          <w:rFonts w:hint="eastAsia" w:ascii="仿宋_GB2312" w:hAnsi="仿宋_GB2312" w:eastAsia="仿宋_GB2312" w:cs="仿宋_GB2312"/>
          <w:color w:val="auto"/>
          <w:sz w:val="32"/>
          <w:szCs w:val="32"/>
          <w:lang w:val="en-US" w:eastAsia="zh-CN"/>
        </w:rPr>
        <w:t>项目已初步达成投资意向</w:t>
      </w:r>
      <w:r>
        <w:rPr>
          <w:rFonts w:hint="eastAsia" w:ascii="仿宋_GB2312" w:hAnsi="仿宋_GB2312" w:eastAsia="仿宋_GB2312" w:cs="仿宋_GB2312"/>
          <w:color w:val="auto"/>
          <w:sz w:val="32"/>
          <w:szCs w:val="32"/>
        </w:rPr>
        <w:t>。</w:t>
      </w:r>
    </w:p>
    <w:p>
      <w:pPr>
        <w:pStyle w:val="4"/>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lang w:eastAsia="zh-CN"/>
        </w:rPr>
        <w:t>剑阁县东宝镇人民政府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剑阁县东宝镇人民政府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2"/>
        <w:adjustRightInd w:val="0"/>
        <w:snapToGrid w:val="0"/>
        <w:spacing w:before="93" w:line="600" w:lineRule="exact"/>
        <w:ind w:firstLine="672" w:firstLineChars="210"/>
        <w:rPr>
          <w:rFonts w:hint="eastAsia" w:ascii="仿宋" w:hAnsi="仿宋" w:eastAsia="仿宋"/>
          <w:sz w:val="32"/>
          <w:szCs w:val="32"/>
          <w:lang w:eastAsia="zh-CN"/>
        </w:rPr>
      </w:pPr>
    </w:p>
    <w:p>
      <w:pPr>
        <w:pStyle w:val="3"/>
        <w:ind w:right="440"/>
        <w:jc w:val="center"/>
      </w:pPr>
      <w:bookmarkStart w:id="22" w:name="_Toc15377204"/>
      <w:bookmarkStart w:id="23" w:name="_Toc15396602"/>
      <w:r>
        <w:rPr>
          <w:rFonts w:hint="eastAsia" w:ascii="黑体" w:hAnsi="黑体" w:eastAsia="黑体"/>
          <w:b w:val="0"/>
        </w:rPr>
        <w:t>第二部分 2022年度</w:t>
      </w:r>
      <w:r>
        <w:rPr>
          <w:rStyle w:val="31"/>
          <w:rFonts w:hint="eastAsia" w:ascii="黑体" w:hAnsi="黑体" w:eastAsia="黑体"/>
          <w:b w:val="0"/>
          <w:bCs/>
        </w:rPr>
        <w:t>部门决算情况说明</w:t>
      </w:r>
      <w:bookmarkEnd w:id="22"/>
      <w:bookmarkEnd w:id="23"/>
    </w:p>
    <w:p>
      <w:pPr>
        <w:pStyle w:val="30"/>
        <w:numPr>
          <w:ilvl w:val="0"/>
          <w:numId w:val="1"/>
        </w:numPr>
        <w:spacing w:line="600" w:lineRule="exact"/>
        <w:ind w:firstLineChars="0"/>
        <w:outlineLvl w:val="1"/>
        <w:rPr>
          <w:rStyle w:val="32"/>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1047.46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1047.46</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hint="eastAsia" w:ascii="仿宋" w:hAnsi="仿宋" w:eastAsia="仿宋"/>
          <w:sz w:val="32"/>
          <w:szCs w:val="32"/>
          <w:lang w:val="en-US" w:eastAsia="zh-CN"/>
        </w:rPr>
        <w:t>856.42</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191.04</w:t>
      </w:r>
      <w:r>
        <w:rPr>
          <w:rFonts w:hint="eastAsia" w:ascii="仿宋" w:hAnsi="仿宋" w:eastAsia="仿宋"/>
          <w:sz w:val="32"/>
          <w:szCs w:val="32"/>
        </w:rPr>
        <w:t>万元，增长</w:t>
      </w:r>
      <w:r>
        <w:rPr>
          <w:rFonts w:hint="eastAsia" w:ascii="仿宋" w:hAnsi="仿宋" w:eastAsia="仿宋"/>
          <w:sz w:val="32"/>
          <w:szCs w:val="32"/>
          <w:lang w:val="en-US" w:eastAsia="zh-CN"/>
        </w:rPr>
        <w:t>22.3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856.42</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191.04</w:t>
      </w:r>
      <w:r>
        <w:rPr>
          <w:rFonts w:hint="eastAsia" w:ascii="仿宋" w:hAnsi="仿宋" w:eastAsia="仿宋"/>
          <w:sz w:val="32"/>
          <w:szCs w:val="32"/>
        </w:rPr>
        <w:t>万元，增长</w:t>
      </w:r>
      <w:r>
        <w:rPr>
          <w:rFonts w:hint="eastAsia" w:ascii="仿宋" w:hAnsi="仿宋" w:eastAsia="仿宋"/>
          <w:sz w:val="32"/>
          <w:szCs w:val="32"/>
          <w:lang w:val="en-US" w:eastAsia="zh-CN"/>
        </w:rPr>
        <w:t>22.3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pStyle w:val="17"/>
        <w:jc w:val="center"/>
        <w:rPr>
          <w:rFonts w:hint="eastAsia" w:ascii="仿宋" w:hAnsi="仿宋" w:eastAsia="仿宋"/>
          <w:sz w:val="32"/>
          <w:szCs w:val="32"/>
        </w:rPr>
      </w:pPr>
      <w:r>
        <w:drawing>
          <wp:inline distT="0" distB="0" distL="114300" distR="114300">
            <wp:extent cx="4327525" cy="2455545"/>
            <wp:effectExtent l="4445" t="4445" r="1143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1047.46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1047.46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jc w:val="center"/>
      </w:pPr>
      <w:r>
        <w:drawing>
          <wp:inline distT="0" distB="0" distL="114300" distR="114300">
            <wp:extent cx="4040505" cy="2448560"/>
            <wp:effectExtent l="4445" t="5080" r="12700" b="228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1047.46</w:t>
      </w:r>
      <w:r>
        <w:rPr>
          <w:rFonts w:hint="eastAsia" w:ascii="仿宋" w:hAnsi="仿宋" w:eastAsia="仿宋"/>
          <w:sz w:val="32"/>
          <w:szCs w:val="32"/>
        </w:rPr>
        <w:t>万元，其中：基本支出</w:t>
      </w:r>
      <w:r>
        <w:rPr>
          <w:rFonts w:hint="eastAsia" w:ascii="仿宋" w:hAnsi="仿宋" w:eastAsia="仿宋"/>
          <w:sz w:val="32"/>
          <w:szCs w:val="32"/>
          <w:lang w:val="en-US" w:eastAsia="zh-CN"/>
        </w:rPr>
        <w:t>638.43</w:t>
      </w:r>
      <w:r>
        <w:rPr>
          <w:rFonts w:hint="eastAsia" w:ascii="仿宋" w:hAnsi="仿宋" w:eastAsia="仿宋"/>
          <w:sz w:val="32"/>
          <w:szCs w:val="32"/>
        </w:rPr>
        <w:t>万元，占</w:t>
      </w:r>
      <w:r>
        <w:rPr>
          <w:rFonts w:hint="eastAsia" w:ascii="仿宋" w:hAnsi="仿宋" w:eastAsia="仿宋"/>
          <w:sz w:val="32"/>
          <w:szCs w:val="32"/>
          <w:lang w:val="en-US" w:eastAsia="zh-CN"/>
        </w:rPr>
        <w:t>60.95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409.04</w:t>
      </w:r>
      <w:r>
        <w:rPr>
          <w:rFonts w:hint="eastAsia" w:ascii="仿宋" w:hAnsi="仿宋" w:eastAsia="仿宋"/>
          <w:sz w:val="32"/>
          <w:szCs w:val="32"/>
        </w:rPr>
        <w:t>万元，占</w:t>
      </w:r>
      <w:r>
        <w:rPr>
          <w:rFonts w:hint="eastAsia" w:ascii="仿宋" w:hAnsi="仿宋" w:eastAsia="仿宋"/>
          <w:sz w:val="32"/>
          <w:szCs w:val="32"/>
          <w:lang w:val="en-US" w:eastAsia="zh-CN"/>
        </w:rPr>
        <w:t>39.05</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pStyle w:val="17"/>
        <w:jc w:val="both"/>
        <w:rPr>
          <w:rFonts w:hint="eastAsia" w:ascii="仿宋" w:hAnsi="仿宋" w:eastAsia="仿宋"/>
          <w:sz w:val="32"/>
          <w:szCs w:val="32"/>
        </w:rPr>
      </w:pPr>
      <w:r>
        <w:drawing>
          <wp:inline distT="0" distB="0" distL="114300" distR="114300">
            <wp:extent cx="4421505" cy="2513330"/>
            <wp:effectExtent l="4445" t="4445" r="1270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1047.46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1047.46</w:t>
      </w:r>
      <w:r>
        <w:rPr>
          <w:rFonts w:hint="eastAsia" w:ascii="仿宋" w:hAnsi="仿宋" w:eastAsia="仿宋"/>
          <w:sz w:val="32"/>
          <w:szCs w:val="32"/>
        </w:rPr>
        <w:t>万元。与2021年</w:t>
      </w:r>
      <w:r>
        <w:rPr>
          <w:rFonts w:hint="eastAsia" w:ascii="仿宋" w:hAnsi="仿宋" w:eastAsia="仿宋"/>
          <w:sz w:val="32"/>
          <w:szCs w:val="32"/>
          <w:lang w:eastAsia="zh-CN"/>
        </w:rPr>
        <w:t>财政拨款收入</w:t>
      </w:r>
      <w:r>
        <w:rPr>
          <w:rFonts w:hint="eastAsia" w:ascii="仿宋" w:hAnsi="仿宋" w:eastAsia="仿宋"/>
          <w:sz w:val="32"/>
          <w:szCs w:val="32"/>
        </w:rPr>
        <w:t>总计</w:t>
      </w:r>
      <w:r>
        <w:rPr>
          <w:rFonts w:hint="eastAsia" w:ascii="仿宋" w:hAnsi="仿宋" w:eastAsia="仿宋"/>
          <w:sz w:val="32"/>
          <w:szCs w:val="32"/>
          <w:lang w:val="en-US" w:eastAsia="zh-CN"/>
        </w:rPr>
        <w:t>856.42</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191.04</w:t>
      </w:r>
      <w:r>
        <w:rPr>
          <w:rFonts w:hint="eastAsia" w:ascii="仿宋" w:hAnsi="仿宋" w:eastAsia="仿宋"/>
          <w:sz w:val="32"/>
          <w:szCs w:val="32"/>
        </w:rPr>
        <w:t>万元，增长</w:t>
      </w:r>
      <w:r>
        <w:rPr>
          <w:rFonts w:hint="eastAsia" w:ascii="仿宋" w:hAnsi="仿宋" w:eastAsia="仿宋"/>
          <w:sz w:val="32"/>
          <w:szCs w:val="32"/>
          <w:lang w:val="en-US" w:eastAsia="zh-CN"/>
        </w:rPr>
        <w:t>22.3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hint="eastAsia" w:ascii="仿宋" w:hAnsi="仿宋" w:eastAsia="仿宋"/>
          <w:sz w:val="32"/>
          <w:szCs w:val="32"/>
          <w:lang w:val="en-US" w:eastAsia="zh-CN"/>
        </w:rPr>
        <w:t>856.42</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191.04</w:t>
      </w:r>
      <w:r>
        <w:rPr>
          <w:rFonts w:hint="eastAsia" w:ascii="仿宋" w:hAnsi="仿宋" w:eastAsia="仿宋"/>
          <w:sz w:val="32"/>
          <w:szCs w:val="32"/>
        </w:rPr>
        <w:t>万元，增长</w:t>
      </w:r>
      <w:r>
        <w:rPr>
          <w:rFonts w:hint="eastAsia" w:ascii="仿宋" w:hAnsi="仿宋" w:eastAsia="仿宋"/>
          <w:sz w:val="32"/>
          <w:szCs w:val="32"/>
          <w:lang w:val="en-US" w:eastAsia="zh-CN"/>
        </w:rPr>
        <w:t>22.3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pStyle w:val="17"/>
        <w:rPr>
          <w:rFonts w:ascii="仿宋" w:hAnsi="仿宋" w:eastAsia="仿宋"/>
          <w:sz w:val="32"/>
          <w:szCs w:val="32"/>
        </w:rPr>
      </w:pPr>
      <w:r>
        <w:drawing>
          <wp:inline distT="0" distB="0" distL="114300" distR="114300">
            <wp:extent cx="4834890" cy="2743200"/>
            <wp:effectExtent l="4445" t="4445" r="1841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17"/>
      </w:pPr>
    </w:p>
    <w:p>
      <w:pPr>
        <w:spacing w:line="600" w:lineRule="exact"/>
        <w:ind w:firstLine="640" w:firstLineChars="200"/>
        <w:outlineLvl w:val="1"/>
        <w:rPr>
          <w:rStyle w:val="32"/>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1047.46</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191.04</w:t>
      </w:r>
      <w:r>
        <w:rPr>
          <w:rFonts w:hint="eastAsia" w:ascii="仿宋" w:hAnsi="仿宋" w:eastAsia="仿宋"/>
          <w:sz w:val="32"/>
          <w:szCs w:val="32"/>
        </w:rPr>
        <w:t>万元，增长</w:t>
      </w:r>
      <w:r>
        <w:rPr>
          <w:rFonts w:hint="eastAsia" w:ascii="仿宋" w:hAnsi="仿宋" w:eastAsia="仿宋"/>
          <w:sz w:val="32"/>
          <w:szCs w:val="32"/>
          <w:lang w:val="en-US" w:eastAsia="zh-CN"/>
        </w:rPr>
        <w:t>22.3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pStyle w:val="17"/>
        <w:rPr>
          <w:rFonts w:hint="eastAsia" w:ascii="仿宋" w:hAnsi="仿宋" w:eastAsia="仿宋"/>
          <w:sz w:val="32"/>
          <w:szCs w:val="32"/>
        </w:rPr>
      </w:pPr>
    </w:p>
    <w:p>
      <w:pPr>
        <w:jc w:val="center"/>
        <w:rPr>
          <w:rFonts w:hint="eastAsia" w:ascii="仿宋" w:hAnsi="仿宋" w:eastAsia="仿宋"/>
          <w:sz w:val="32"/>
          <w:szCs w:val="32"/>
        </w:rPr>
      </w:pPr>
      <w:r>
        <w:drawing>
          <wp:inline distT="0" distB="0" distL="114300" distR="114300">
            <wp:extent cx="3865880" cy="2197735"/>
            <wp:effectExtent l="5080" t="4445" r="15240" b="762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1047.46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346.41</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39.61</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0.5万元，占0.04%；</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51.05</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4.83</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122.97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11.76</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b/>
          <w:sz w:val="32"/>
          <w:szCs w:val="32"/>
          <w:lang w:val="en-US" w:eastAsia="zh-CN"/>
        </w:rPr>
        <w:t>22.24</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2.84</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b/>
          <w:sz w:val="32"/>
          <w:szCs w:val="32"/>
          <w:lang w:val="en-US" w:eastAsia="zh-CN"/>
        </w:rPr>
        <w:t>10.24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0.74</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461.2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35.92</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b/>
          <w:sz w:val="32"/>
          <w:szCs w:val="32"/>
          <w:lang w:val="en-US" w:eastAsia="zh-CN"/>
        </w:rPr>
        <w:t>33.36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4.19</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pPr>
        <w:pStyle w:val="17"/>
        <w:rPr>
          <w:rFonts w:hint="eastAsia" w:ascii="仿宋" w:hAnsi="仿宋" w:eastAsia="仿宋" w:cs="Times New Roman"/>
          <w:sz w:val="32"/>
          <w:szCs w:val="32"/>
        </w:rPr>
      </w:pPr>
    </w:p>
    <w:p>
      <w:pPr>
        <w:rPr>
          <w:rFonts w:hint="eastAsia" w:ascii="仿宋" w:hAnsi="仿宋" w:eastAsia="仿宋" w:cs="Times New Roman"/>
          <w:sz w:val="32"/>
          <w:szCs w:val="32"/>
        </w:rPr>
      </w:pPr>
      <w:r>
        <w:drawing>
          <wp:inline distT="0" distB="0" distL="114300" distR="114300">
            <wp:extent cx="5342890" cy="3311525"/>
            <wp:effectExtent l="4445" t="4445" r="5715" b="177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sz w:val="32"/>
          <w:szCs w:val="32"/>
        </w:rPr>
      </w:pPr>
      <w:bookmarkStart w:id="37" w:name="_Toc15377444"/>
      <w:bookmarkStart w:id="38" w:name="_Toc15378460"/>
      <w:bookmarkStart w:id="39"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1047.46万元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rPr>
          <w:rStyle w:val="20"/>
          <w:rFonts w:hint="eastAsia" w:ascii="仿宋" w:hAnsi="仿宋" w:eastAsia="仿宋"/>
          <w:b w:val="0"/>
          <w:bCs/>
          <w:color w:val="000000"/>
          <w:sz w:val="32"/>
          <w:szCs w:val="32"/>
          <w:lang w:eastAsia="zh-CN"/>
        </w:rPr>
      </w:pP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一般公共服务（类）人大事务（款）人大会议（项）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1.80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一般公共服务（类）人大事务（款）代表工作（项）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1.65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3.</w:t>
      </w:r>
      <w:r>
        <w:rPr>
          <w:rStyle w:val="20"/>
          <w:rFonts w:hint="eastAsia" w:ascii="仿宋" w:hAnsi="仿宋" w:eastAsia="仿宋"/>
          <w:b w:val="0"/>
          <w:bCs/>
          <w:color w:val="000000"/>
          <w:sz w:val="32"/>
          <w:szCs w:val="32"/>
        </w:rPr>
        <w:t>一般公共服务（类）人大事务（款）</w:t>
      </w:r>
      <w:r>
        <w:rPr>
          <w:rStyle w:val="20"/>
          <w:rFonts w:hint="eastAsia" w:ascii="仿宋" w:hAnsi="仿宋" w:eastAsia="仿宋"/>
          <w:b w:val="0"/>
          <w:bCs/>
          <w:color w:val="000000"/>
          <w:sz w:val="32"/>
          <w:szCs w:val="32"/>
          <w:lang w:val="en-US" w:eastAsia="zh-CN"/>
        </w:rPr>
        <w:t>其他人大事务支出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4.</w:t>
      </w:r>
      <w:r>
        <w:rPr>
          <w:rStyle w:val="20"/>
          <w:rFonts w:hint="eastAsia" w:ascii="仿宋" w:hAnsi="仿宋" w:eastAsia="仿宋"/>
          <w:b w:val="0"/>
          <w:bCs/>
          <w:color w:val="000000"/>
          <w:sz w:val="32"/>
          <w:szCs w:val="32"/>
        </w:rPr>
        <w:t>一般公共服务（类）政府办公厅（室）及相关机构事务（款）行政运行（项）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w:t>
      </w:r>
      <w:r>
        <w:rPr>
          <w:rStyle w:val="20"/>
          <w:rFonts w:hint="eastAsia" w:ascii="仿宋" w:hAnsi="仿宋" w:eastAsia="仿宋"/>
          <w:b w:val="0"/>
          <w:bCs/>
          <w:color w:val="000000"/>
          <w:sz w:val="32"/>
          <w:szCs w:val="32"/>
          <w:lang w:val="en-US" w:eastAsia="zh-CN"/>
        </w:rPr>
        <w:t>410.82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5.</w:t>
      </w:r>
      <w:r>
        <w:rPr>
          <w:rStyle w:val="20"/>
          <w:rFonts w:hint="eastAsia" w:ascii="仿宋" w:hAnsi="仿宋" w:eastAsia="仿宋"/>
          <w:b w:val="0"/>
          <w:bCs/>
          <w:color w:val="000000"/>
          <w:sz w:val="32"/>
          <w:szCs w:val="32"/>
        </w:rPr>
        <w:t>一般公共服务（类）政府办公厅（室）及相关机构事务（款）一般行政管理事务（项）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12.40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7.</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信访</w:t>
      </w:r>
      <w:r>
        <w:rPr>
          <w:rStyle w:val="20"/>
          <w:rFonts w:hint="eastAsia" w:ascii="仿宋" w:hAnsi="仿宋" w:eastAsia="仿宋"/>
          <w:b w:val="0"/>
          <w:bCs/>
          <w:color w:val="000000"/>
          <w:sz w:val="32"/>
          <w:szCs w:val="32"/>
        </w:rPr>
        <w:t>事务（项）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7.</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78.22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eastAsia="zh-CN"/>
        </w:rPr>
        <w:t>统计信息事务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其他统计信息事务支出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000000"/>
          <w:sz w:val="32"/>
          <w:szCs w:val="32"/>
          <w:lang w:val="en-US" w:eastAsia="zh-CN"/>
        </w:rPr>
        <w:t>9.</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一般行政管理事务</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10.</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其他纪检监察事务支出（项）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11.</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群众团体</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其他群众团体事务支出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12.</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党委办公厅（室）及相关机构事务</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一般行政管理事务</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13.</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宣传</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其他宣传事务支出</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14.</w:t>
      </w:r>
      <w:r>
        <w:rPr>
          <w:rStyle w:val="20"/>
          <w:rFonts w:hint="eastAsia" w:ascii="仿宋" w:hAnsi="仿宋" w:eastAsia="仿宋"/>
          <w:b w:val="0"/>
          <w:bCs/>
          <w:color w:val="000000"/>
          <w:sz w:val="32"/>
          <w:szCs w:val="32"/>
          <w:lang w:val="en-US" w:eastAsia="zh-CN"/>
        </w:rPr>
        <w:t>国防支出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国防动员</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兵役征集</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15.</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群众文化</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default" w:ascii="仿宋" w:hAnsi="仿宋" w:eastAsia="仿宋"/>
          <w:b w:val="0"/>
          <w:bCs/>
          <w:color w:val="auto"/>
          <w:sz w:val="32"/>
          <w:szCs w:val="32"/>
          <w:lang w:val="en-US" w:eastAsia="zh-CN"/>
        </w:rPr>
      </w:pPr>
      <w:r>
        <w:rPr>
          <w:rStyle w:val="20"/>
          <w:rFonts w:hint="eastAsia" w:ascii="仿宋" w:hAnsi="仿宋" w:eastAsia="仿宋"/>
          <w:b w:val="0"/>
          <w:bCs/>
          <w:color w:val="auto"/>
          <w:sz w:val="32"/>
          <w:szCs w:val="32"/>
          <w:lang w:val="en-US" w:eastAsia="zh-CN"/>
        </w:rPr>
        <w:t>16.</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文化和旅游管理事务</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51.05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17</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（类）民政管理事务（款）基层政权建设和社区治理（项）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122.97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18</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（类）行政事业单位养老支出（款）机关事业单位基本养老保险缴费支出（项）</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44.47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19</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（类）行政事业单位医疗（款）行政单位医疗（项）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12.9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20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（类）行政事业单位医疗（款）事业单位医疗（项）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9.34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21</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（类）城乡社区环境卫生（款）城乡社区环境卫生（项）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8.24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22</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78.22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防灾救灾</w:t>
      </w:r>
      <w:r>
        <w:rPr>
          <w:rStyle w:val="20"/>
          <w:rFonts w:hint="eastAsia" w:ascii="仿宋" w:hAnsi="仿宋" w:eastAsia="仿宋"/>
          <w:b w:val="0"/>
          <w:bCs/>
          <w:color w:val="000000"/>
          <w:sz w:val="32"/>
          <w:szCs w:val="32"/>
        </w:rPr>
        <w:t>（项）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25.6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20"/>
          <w:rFonts w:hint="eastAsia" w:ascii="仿宋" w:hAnsi="仿宋" w:eastAsia="仿宋"/>
          <w:b w:val="0"/>
          <w:bCs/>
          <w:color w:val="000000"/>
          <w:sz w:val="32"/>
          <w:szCs w:val="32"/>
          <w:lang w:val="en-US" w:eastAsia="zh-CN"/>
        </w:rPr>
        <w:t>24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（类）林业和草原（款）林业草原防灾减灾（项）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25</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（类）巩固脱贫衔接乡村振兴（款）其他巩固脱贫衔接乡村振兴支出（项）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10.21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26</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（类）农村综合改革（款）对村民委员会和村党支部的补助（项）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sz w:val="32"/>
          <w:szCs w:val="32"/>
        </w:rPr>
      </w:pPr>
      <w:r>
        <w:rPr>
          <w:rStyle w:val="20"/>
          <w:rFonts w:hint="eastAsia" w:ascii="仿宋" w:hAnsi="仿宋" w:eastAsia="仿宋"/>
          <w:b w:val="0"/>
          <w:bCs/>
          <w:color w:val="000000"/>
          <w:sz w:val="32"/>
          <w:szCs w:val="32"/>
          <w:lang w:val="en-US" w:eastAsia="zh-CN"/>
        </w:rPr>
        <w:t>27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（类）住房改革支出（款）住房公积金（项）</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33.36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tabs>
          <w:tab w:val="right" w:pos="8306"/>
        </w:tabs>
        <w:spacing w:line="600" w:lineRule="exact"/>
        <w:ind w:firstLine="640"/>
        <w:outlineLvl w:val="1"/>
        <w:rPr>
          <w:rStyle w:val="32"/>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638.43</w:t>
      </w:r>
      <w:r>
        <w:rPr>
          <w:rFonts w:hint="eastAsia" w:ascii="仿宋" w:hAnsi="仿宋" w:eastAsia="仿宋"/>
          <w:sz w:val="32"/>
          <w:szCs w:val="32"/>
        </w:rPr>
        <w:t>万元，其中：</w:t>
      </w:r>
    </w:p>
    <w:p>
      <w:pPr>
        <w:spacing w:line="600" w:lineRule="exact"/>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566.01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72.41</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2"/>
          <w:rFonts w:ascii="黑体" w:hAnsi="黑体" w:eastAsia="黑体"/>
          <w:b w:val="0"/>
        </w:rPr>
      </w:pPr>
      <w:bookmarkStart w:id="42" w:name="_Toc15396609"/>
      <w:bookmarkStart w:id="43"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3.6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0.78</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18</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7"/>
        <w:rPr>
          <w:rFonts w:hint="eastAsia" w:ascii="仿宋" w:hAnsi="仿宋" w:eastAsia="仿宋"/>
          <w:sz w:val="32"/>
          <w:szCs w:val="32"/>
        </w:rPr>
      </w:pPr>
      <w:r>
        <w:drawing>
          <wp:inline distT="0" distB="0" distL="114300" distR="114300">
            <wp:extent cx="4826000" cy="27432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3.6</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减少</w:t>
      </w:r>
      <w:r>
        <w:rPr>
          <w:rFonts w:hint="eastAsia" w:ascii="仿宋_GB2312" w:eastAsia="仿宋_GB2312"/>
          <w:sz w:val="32"/>
          <w:szCs w:val="32"/>
          <w:lang w:val="en-US" w:eastAsia="zh-CN"/>
        </w:rPr>
        <w:t>0.78</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3.6</w:t>
      </w:r>
      <w:r>
        <w:rPr>
          <w:rFonts w:hint="eastAsia" w:ascii="仿宋_GB2312" w:eastAsia="仿宋_GB2312"/>
          <w:sz w:val="32"/>
          <w:szCs w:val="32"/>
        </w:rPr>
        <w:t>万元，主要用于执行公务、开展业务活动开支住宿费、用餐费等。国内公务接待</w:t>
      </w:r>
      <w:r>
        <w:rPr>
          <w:rFonts w:hint="eastAsia" w:ascii="仿宋_GB2312" w:eastAsia="仿宋_GB2312"/>
          <w:sz w:val="32"/>
          <w:szCs w:val="32"/>
          <w:lang w:val="en-US" w:eastAsia="zh-CN"/>
        </w:rPr>
        <w:t>76</w:t>
      </w:r>
      <w:r>
        <w:rPr>
          <w:rFonts w:hint="eastAsia" w:ascii="仿宋_GB2312" w:eastAsia="仿宋_GB2312"/>
          <w:sz w:val="32"/>
          <w:szCs w:val="32"/>
        </w:rPr>
        <w:t>批次，</w:t>
      </w:r>
      <w:r>
        <w:rPr>
          <w:rFonts w:hint="eastAsia" w:ascii="仿宋_GB2312" w:eastAsia="仿宋_GB2312"/>
          <w:sz w:val="32"/>
          <w:szCs w:val="32"/>
          <w:lang w:val="en-US" w:eastAsia="zh-CN"/>
        </w:rPr>
        <w:t>540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3.6</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3.6万元</w:t>
      </w:r>
      <w:r>
        <w:rPr>
          <w:rFonts w:hint="eastAsia" w:ascii="仿宋_GB2312" w:eastAsia="仿宋_GB2312"/>
          <w:sz w:val="32"/>
          <w:szCs w:val="32"/>
        </w:rPr>
        <w:t>。</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96610"/>
      <w:bookmarkStart w:id="47" w:name="_Toc15377218"/>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2"/>
          <w:rFonts w:ascii="黑体" w:hAnsi="黑体" w:eastAsia="黑体"/>
          <w:b w:val="0"/>
        </w:rPr>
      </w:pPr>
      <w:bookmarkStart w:id="48" w:name="_Toc15377219"/>
      <w:bookmarkStart w:id="49" w:name="_Toc15396611"/>
      <w:r>
        <w:rPr>
          <w:rStyle w:val="32"/>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2"/>
          <w:rFonts w:ascii="黑体" w:hAnsi="黑体" w:eastAsia="黑体"/>
          <w:b w:val="0"/>
        </w:rPr>
      </w:pPr>
      <w:bookmarkStart w:id="50" w:name="_Toc15377221"/>
      <w:bookmarkStart w:id="51" w:name="_Toc15396612"/>
      <w:r>
        <w:rPr>
          <w:rStyle w:val="32"/>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剑阁县东宝镇人民政府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72.41</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5</w:t>
      </w:r>
      <w:r>
        <w:rPr>
          <w:rFonts w:hint="eastAsia" w:ascii="仿宋_GB2312" w:eastAsia="仿宋_GB2312"/>
          <w:sz w:val="32"/>
          <w:szCs w:val="32"/>
        </w:rPr>
        <w:t>万元，下降</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剑阁县东宝镇人民政府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剑阁县东宝镇人民政府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组织对2022年度一般公共预算、政府性基金预算、国有资本经营预算、社会保险基金预算以及资本资产、债券资金等全面开展绩效自评，形成剑阁县东宝镇人民政府部门整体（含部门预算项目）绩效自评报告、</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等专项预算项目绩效自评报告，其中，剑阁县东宝镇人民政部门整体（含部门预算项目）绩效自评得分为93分，绩效自评综述：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31"/>
          <w:rFonts w:hint="eastAsia" w:ascii="黑体" w:hAnsi="黑体" w:eastAsia="黑体"/>
          <w:b w:val="0"/>
        </w:rPr>
        <w:t>词解释</w:t>
      </w:r>
      <w:bookmarkEnd w:id="55"/>
      <w:bookmarkEnd w:id="56"/>
    </w:p>
    <w:p>
      <w:pPr>
        <w:spacing w:line="600" w:lineRule="exact"/>
        <w:jc w:val="left"/>
        <w:rPr>
          <w:rFonts w:ascii="宋体"/>
          <w:b/>
          <w:sz w:val="44"/>
          <w:szCs w:val="44"/>
        </w:rPr>
      </w:pP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人大会议</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反映各级人大召开人民代表大会等专门会议的支出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其他人大事务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指除上述项目以外的其他人大事务支出。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信访事务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指反映各级政府用于接待群众来信来访方面的支出。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）一般公共服务支出（类</w:t>
      </w:r>
      <w:r>
        <w:rPr>
          <w:rFonts w:hint="eastAsia" w:ascii="仿宋_GB2312" w:hAnsi="仿宋_GB2312" w:cs="仿宋_GB2312"/>
          <w:b w:val="0"/>
          <w:bCs/>
          <w:sz w:val="32"/>
          <w:szCs w:val="32"/>
          <w:lang w:val="en-US" w:eastAsia="zh-CN"/>
        </w:rPr>
        <w:t>）统计信息事务</w:t>
      </w:r>
      <w:r>
        <w:rPr>
          <w:rFonts w:hint="default" w:ascii="仿宋_GB2312" w:hAnsi="仿宋_GB2312" w:cs="仿宋_GB2312"/>
          <w:b w:val="0"/>
          <w:bCs/>
          <w:sz w:val="32"/>
          <w:szCs w:val="32"/>
          <w:lang w:val="en-US" w:eastAsia="zh-CN"/>
        </w:rPr>
        <w:t>（款）其他统计信息事务支出（项）：</w:t>
      </w:r>
      <w:r>
        <w:rPr>
          <w:rFonts w:hint="eastAsia" w:ascii="仿宋_GB2312" w:hAnsi="仿宋_GB2312" w:cs="仿宋_GB2312"/>
          <w:b w:val="0"/>
          <w:bCs/>
          <w:sz w:val="32"/>
          <w:szCs w:val="32"/>
          <w:lang w:val="en-US" w:eastAsia="zh-CN"/>
        </w:rPr>
        <w:t>反映除上述项目以外的其他统计信息事务支出。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国防</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）国防动员</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兵役征集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指反映用于兵役征集等方面的支出。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（类）行政事业单位医疗（款）行政单位医疗（项）：指局机关及参公管理事业单位用于缴纳单位基本医疗保险支出。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防灾减灾（项）：反映对农业生产因遭受自然、生物灾害损失给予的补助，促进农业防灾增产措施补助，海难救助补助，因其他灾害导致农牧渔业生产者损失给予的补贴。</w:t>
      </w:r>
    </w:p>
    <w:p>
      <w:pPr>
        <w:pStyle w:val="9"/>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巩固脱贫衔接与乡村振兴</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其他巩固脱贫衔接乡村振兴支出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反映除上述项目以外其他用于巩固拓展脱贫攻坚成果同乡村振兴有效衔接方面的支出。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（款）其他农村综合改革支出（项）：</w:t>
      </w:r>
      <w:r>
        <w:rPr>
          <w:rFonts w:hint="eastAsia" w:ascii="仿宋_GB2312" w:hAnsi="仿宋_GB2312" w:cs="仿宋_GB2312"/>
          <w:b w:val="0"/>
          <w:bCs/>
          <w:sz w:val="32"/>
          <w:szCs w:val="32"/>
          <w:lang w:val="en-US" w:eastAsia="zh-CN"/>
        </w:rPr>
        <w:t>反映除上述项目以外其他用于农村综合改革方面的支出。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（二十六</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二十七</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ind w:firstLine="642" w:firstLineChars="200"/>
        <w:rPr>
          <w:rFonts w:ascii="仿宋" w:hAnsi="仿宋" w:eastAsia="仿宋"/>
          <w:b/>
          <w:sz w:val="32"/>
          <w:szCs w:val="32"/>
        </w:rPr>
      </w:pPr>
    </w:p>
    <w:p>
      <w:pPr>
        <w:spacing w:line="600" w:lineRule="exact"/>
        <w:jc w:val="center"/>
        <w:outlineLvl w:val="0"/>
        <w:rPr>
          <w:rStyle w:val="31"/>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31"/>
          <w:rFonts w:hint="eastAsia" w:ascii="黑体" w:hAnsi="黑体" w:eastAsia="黑体"/>
          <w:b w:val="0"/>
        </w:rPr>
        <w:t>四部分 附件</w:t>
      </w:r>
      <w:bookmarkEnd w:id="58"/>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eastAsia="zh-CN"/>
        </w:rPr>
        <w:t>东宝</w:t>
      </w:r>
      <w:r>
        <w:rPr>
          <w:rFonts w:hint="eastAsia" w:ascii="宋体" w:hAnsi="宋体" w:eastAsia="宋体"/>
          <w:b/>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东宝镇内设机构（五办四中心）：党政综合与乡村振兴办公室、党建工作办公室、综合行政执法办公室、社会事务办公室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2、制定并组织实施乡村建设规划，部署重点工程建设，地方道路建设及公共设施，水利设施的管理，负责土地、林木、水等自然资源和生态环境的保护，做好护林防火工作。</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4、抓好精神文明建设，丰富群众文化生活，提倡移风易俗，反对封建迷信，破除陈规陋习，树立社会主义新风尚。</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5、完成上级政府交办的其它事项。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2022年我镇总编制42名，其中行政编制20名，机关工勤编制1名，事业编制21名。年末在职人员总数41人，其中行政人员20人，事业人员21人，机关工勤人员1人。</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2022年东宝镇人民政府收入总额为1047.46万元，其中：一般公共预算财政拨款收入1047.46万元。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snapToGrid w:val="0"/>
        <w:spacing w:line="520" w:lineRule="exact"/>
        <w:ind w:firstLine="640" w:firstLineChars="200"/>
        <w:rPr>
          <w:rFonts w:hint="eastAsia" w:ascii="仿宋" w:hAnsi="仿宋" w:eastAsia="仿宋" w:cs="Times New Roman"/>
          <w:sz w:val="32"/>
          <w:szCs w:val="32"/>
          <w:lang w:eastAsia="zh-CN"/>
        </w:rPr>
      </w:pPr>
      <w:r>
        <w:rPr>
          <w:rFonts w:hint="eastAsia" w:ascii="仿宋_GB2312" w:hAnsi="仿宋"/>
          <w:sz w:val="32"/>
          <w:szCs w:val="32"/>
          <w:highlight w:val="none"/>
          <w:lang w:eastAsia="zh-CN"/>
        </w:rPr>
        <w:t>2022</w:t>
      </w:r>
      <w:r>
        <w:rPr>
          <w:rFonts w:hint="eastAsia" w:ascii="仿宋_GB2312" w:hAnsi="仿宋" w:eastAsia="仿宋_GB2312"/>
          <w:sz w:val="32"/>
          <w:szCs w:val="32"/>
          <w:highlight w:val="none"/>
        </w:rPr>
        <w:t>年度</w:t>
      </w:r>
      <w:r>
        <w:rPr>
          <w:rFonts w:hint="eastAsia" w:ascii="仿宋_GB2312" w:hAnsi="仿宋" w:eastAsia="仿宋_GB2312"/>
          <w:sz w:val="32"/>
          <w:szCs w:val="32"/>
          <w:highlight w:val="none"/>
          <w:lang w:eastAsia="zh-CN"/>
        </w:rPr>
        <w:t>东宝</w:t>
      </w:r>
      <w:r>
        <w:rPr>
          <w:rFonts w:hint="eastAsia" w:ascii="仿宋_GB2312" w:hAnsi="仿宋"/>
          <w:sz w:val="32"/>
          <w:szCs w:val="32"/>
          <w:highlight w:val="none"/>
          <w:lang w:eastAsia="zh-CN"/>
        </w:rPr>
        <w:t>镇人民政府支出总额为</w:t>
      </w:r>
      <w:r>
        <w:rPr>
          <w:rFonts w:hint="eastAsia" w:ascii="仿宋" w:hAnsi="仿宋" w:eastAsia="仿宋" w:cs="仿宋"/>
          <w:color w:val="000000"/>
          <w:kern w:val="0"/>
          <w:sz w:val="32"/>
          <w:szCs w:val="32"/>
          <w:shd w:val="clear" w:color="auto" w:fill="FFFFFF"/>
          <w:lang w:val="en-US" w:eastAsia="zh-CN" w:bidi="ar-SA"/>
        </w:rPr>
        <w:t>1047.46</w:t>
      </w:r>
      <w:r>
        <w:rPr>
          <w:rFonts w:hint="eastAsia" w:ascii="仿宋" w:hAnsi="仿宋" w:eastAsia="仿宋"/>
          <w:color w:val="000000"/>
          <w:sz w:val="32"/>
          <w:szCs w:val="32"/>
          <w:highlight w:val="none"/>
        </w:rPr>
        <w:t>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346.41</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39.61</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0.5万元，占0.04%；</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51.05</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4.83</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122.97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11.76</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b/>
          <w:sz w:val="32"/>
          <w:szCs w:val="32"/>
          <w:lang w:val="en-US" w:eastAsia="zh-CN"/>
        </w:rPr>
        <w:t>22.24</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2.84</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b/>
          <w:sz w:val="32"/>
          <w:szCs w:val="32"/>
          <w:lang w:val="en-US" w:eastAsia="zh-CN"/>
        </w:rPr>
        <w:t>10.24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0.74</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461.2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35.92</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b/>
          <w:sz w:val="32"/>
          <w:szCs w:val="32"/>
          <w:lang w:val="en-US" w:eastAsia="zh-CN"/>
        </w:rPr>
        <w:t>33.36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4.19</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pPr>
        <w:spacing w:line="600" w:lineRule="exact"/>
        <w:rPr>
          <w:rFonts w:hint="eastAsia" w:ascii="仿宋_GB2312" w:hAnsi="仿宋"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566.01万元，实际支付543.27万元，资金执行率97.34%，执行情况较好，未使用部分资金系国库未及时审核支付部分保险，将结转至下年使用。存在问题：资金到位不及时，影响职工五险一金按时缴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2022年运转类项目预算70.58万元，实际支付70.58万元，资金执行率100%，机关日常事务运转得到充分保障，预算执行情况较好。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pStyle w:val="1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leftChars="0"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自评质量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根据部门整体支出绩效评价指标体系的自评结果，我镇2022年度部门整体支出绩效自评得分为95分。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2、加强财务管理，严格财务审核。在费用报账支付时，按照预算规定的费用项目和用途进行资金使用审核、列报支付、财务核算，杜绝超支现象的发生。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4、加强项目开展进度的跟踪，开展项目绩效评价，确保项目绩效目标的完成。</w:t>
      </w:r>
    </w:p>
    <w:p>
      <w:pPr>
        <w:pStyle w:val="17"/>
        <w:rPr>
          <w:rFonts w:hint="eastAsia" w:ascii="黑体" w:hAnsi="黑体" w:eastAsia="黑体" w:cs="黑体"/>
          <w:sz w:val="32"/>
          <w:szCs w:val="32"/>
        </w:rPr>
      </w:pP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438"/>
        <w:gridCol w:w="452"/>
        <w:gridCol w:w="770"/>
        <w:gridCol w:w="939"/>
        <w:gridCol w:w="266"/>
        <w:gridCol w:w="940"/>
        <w:gridCol w:w="237"/>
        <w:gridCol w:w="979"/>
        <w:gridCol w:w="268"/>
        <w:gridCol w:w="1043"/>
        <w:gridCol w:w="697"/>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962"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45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5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77"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8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36"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40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东宝</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047.46</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1047.46</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sz w:val="16"/>
                <w:szCs w:val="16"/>
                <w:lang w:val="en-US" w:eastAsia="zh-CN" w:bidi="ar"/>
              </w:rPr>
              <w:t xml:space="preserve"> 其中：财政拨款</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1047.46</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1047.46</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1691"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871"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871"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rPr>
          <w:rFonts w:hint="eastAsia" w:ascii="黑体" w:hAnsi="黑体" w:eastAsia="黑体" w:cs="黑体"/>
          <w:sz w:val="32"/>
          <w:szCs w:val="32"/>
        </w:r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1"/>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2"/>
          <w:rFonts w:hint="eastAsia" w:ascii="仿宋" w:hAnsi="仿宋" w:eastAsia="仿宋"/>
          <w:b w:val="0"/>
          <w:bCs w:val="0"/>
        </w:rPr>
        <w:t>入决算表</w:t>
      </w:r>
      <w:bookmarkEnd w:id="61"/>
    </w:p>
    <w:p>
      <w:pPr>
        <w:pStyle w:val="4"/>
        <w:rPr>
          <w:rFonts w:ascii="仿宋" w:hAnsi="仿宋" w:eastAsia="仿宋"/>
        </w:rPr>
      </w:pPr>
      <w:bookmarkStart w:id="6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3"/>
    </w:p>
    <w:p>
      <w:pPr>
        <w:pStyle w:val="4"/>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32"/>
          <w:rFonts w:hint="eastAsia" w:ascii="仿宋" w:hAnsi="仿宋" w:eastAsia="仿宋"/>
          <w:b w:val="0"/>
          <w:bCs w:val="0"/>
        </w:rPr>
        <w:t>十、</w:t>
      </w:r>
      <w:bookmarkEnd w:id="69"/>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32"/>
          <w:rFonts w:hint="eastAsia" w:ascii="仿宋" w:hAnsi="仿宋" w:eastAsia="仿宋"/>
          <w:b w:val="0"/>
          <w:bCs w:val="0"/>
        </w:rPr>
        <w:t>十一、</w:t>
      </w:r>
      <w:bookmarkEnd w:id="70"/>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32"/>
          <w:rFonts w:hint="eastAsia" w:ascii="仿宋" w:hAnsi="仿宋" w:eastAsia="仿宋"/>
          <w:b w:val="0"/>
          <w:bCs w:val="0"/>
        </w:rPr>
        <w:t>十二、</w:t>
      </w:r>
      <w:bookmarkEnd w:id="71"/>
      <w:r>
        <w:rPr>
          <w:rStyle w:val="32"/>
          <w:rFonts w:hint="eastAsia" w:ascii="仿宋" w:hAnsi="仿宋" w:eastAsia="仿宋"/>
          <w:b w:val="0"/>
          <w:bCs w:val="0"/>
        </w:rPr>
        <w:t>国有资本经营预算财政拨款支出决算表</w:t>
      </w:r>
    </w:p>
    <w:p>
      <w:pPr>
        <w:pStyle w:val="4"/>
        <w:rPr>
          <w:rFonts w:eastAsia="仿宋"/>
        </w:rPr>
      </w:pPr>
      <w:bookmarkStart w:id="72" w:name="_Toc15396631"/>
      <w:r>
        <w:rPr>
          <w:rStyle w:val="32"/>
          <w:rFonts w:hint="eastAsia" w:ascii="仿宋" w:hAnsi="仿宋" w:eastAsia="仿宋"/>
          <w:b w:val="0"/>
          <w:bCs w:val="0"/>
        </w:rPr>
        <w:t>十三、</w:t>
      </w:r>
      <w:bookmarkEnd w:id="72"/>
      <w:r>
        <w:rPr>
          <w:rStyle w:val="32"/>
          <w:rFonts w:hint="eastAsia" w:ascii="仿宋" w:hAnsi="仿宋" w:eastAsia="仿宋"/>
          <w:b w:val="0"/>
          <w:bCs w:val="0"/>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r>
      <w:rPr>
        <w:rFonts w:hint="eastAsia"/>
        <w:lang w:val="en-US" w:eastAsia="zh-CN"/>
      </w:rPr>
      <w:t>34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AA2C112"/>
    <w:multiLevelType w:val="singleLevel"/>
    <w:tmpl w:val="7AA2C11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TQyNDQ4ZjFhZGNiZTE4NjZhNDEwOTYzZDJiO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3D19"/>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2456"/>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9B3634"/>
    <w:rsid w:val="02005B8D"/>
    <w:rsid w:val="02143E91"/>
    <w:rsid w:val="041476CE"/>
    <w:rsid w:val="04BD1B14"/>
    <w:rsid w:val="050462CD"/>
    <w:rsid w:val="050F6516"/>
    <w:rsid w:val="05145BD8"/>
    <w:rsid w:val="05485881"/>
    <w:rsid w:val="056A1C9B"/>
    <w:rsid w:val="066E0107"/>
    <w:rsid w:val="07996F6E"/>
    <w:rsid w:val="07DB0C2F"/>
    <w:rsid w:val="07E86EA8"/>
    <w:rsid w:val="07F92E63"/>
    <w:rsid w:val="07FB307F"/>
    <w:rsid w:val="087A5757"/>
    <w:rsid w:val="08CA47FF"/>
    <w:rsid w:val="09095327"/>
    <w:rsid w:val="0A2032A3"/>
    <w:rsid w:val="0A762E91"/>
    <w:rsid w:val="0A9344AC"/>
    <w:rsid w:val="0BCB0FBA"/>
    <w:rsid w:val="0C1E558E"/>
    <w:rsid w:val="0CC2416B"/>
    <w:rsid w:val="0D2210AE"/>
    <w:rsid w:val="0D817B82"/>
    <w:rsid w:val="0E5B4877"/>
    <w:rsid w:val="0F6F39CB"/>
    <w:rsid w:val="0F98263C"/>
    <w:rsid w:val="101860EC"/>
    <w:rsid w:val="107439CE"/>
    <w:rsid w:val="10C055FF"/>
    <w:rsid w:val="114525FF"/>
    <w:rsid w:val="117874EE"/>
    <w:rsid w:val="118107EC"/>
    <w:rsid w:val="11B524F0"/>
    <w:rsid w:val="12C30C3D"/>
    <w:rsid w:val="13D1738A"/>
    <w:rsid w:val="13D50BC4"/>
    <w:rsid w:val="14141615"/>
    <w:rsid w:val="14266E34"/>
    <w:rsid w:val="149C7998"/>
    <w:rsid w:val="15FA2BC8"/>
    <w:rsid w:val="16315EBE"/>
    <w:rsid w:val="16BB723D"/>
    <w:rsid w:val="16ED44DA"/>
    <w:rsid w:val="170F26A3"/>
    <w:rsid w:val="184620F4"/>
    <w:rsid w:val="19726F19"/>
    <w:rsid w:val="197E3EC2"/>
    <w:rsid w:val="19C81C35"/>
    <w:rsid w:val="1A7647E7"/>
    <w:rsid w:val="1B3C158C"/>
    <w:rsid w:val="1B7E1BA5"/>
    <w:rsid w:val="1B83540D"/>
    <w:rsid w:val="1BB90E2F"/>
    <w:rsid w:val="1BE8440E"/>
    <w:rsid w:val="1BF12377"/>
    <w:rsid w:val="1C197B20"/>
    <w:rsid w:val="1C8E7375"/>
    <w:rsid w:val="1CA4388D"/>
    <w:rsid w:val="1CA7512B"/>
    <w:rsid w:val="1D155CEE"/>
    <w:rsid w:val="1D3C7281"/>
    <w:rsid w:val="1D3F35B6"/>
    <w:rsid w:val="1DDD4049"/>
    <w:rsid w:val="1EFA1543"/>
    <w:rsid w:val="1F6D440A"/>
    <w:rsid w:val="1FA0658E"/>
    <w:rsid w:val="1FF35744"/>
    <w:rsid w:val="1FF42436"/>
    <w:rsid w:val="20250841"/>
    <w:rsid w:val="20FD17BE"/>
    <w:rsid w:val="214B2529"/>
    <w:rsid w:val="21B856E5"/>
    <w:rsid w:val="21DA1AFF"/>
    <w:rsid w:val="21FC059A"/>
    <w:rsid w:val="23860B96"/>
    <w:rsid w:val="23B24AE2"/>
    <w:rsid w:val="23F5677C"/>
    <w:rsid w:val="240371BF"/>
    <w:rsid w:val="251470D6"/>
    <w:rsid w:val="25AC58E6"/>
    <w:rsid w:val="25B2697E"/>
    <w:rsid w:val="265C6F87"/>
    <w:rsid w:val="288D1679"/>
    <w:rsid w:val="289A78F2"/>
    <w:rsid w:val="29F55728"/>
    <w:rsid w:val="29FD04D3"/>
    <w:rsid w:val="2A2B114A"/>
    <w:rsid w:val="2B4C6063"/>
    <w:rsid w:val="2B53360B"/>
    <w:rsid w:val="2B824D9A"/>
    <w:rsid w:val="2B9C3DCE"/>
    <w:rsid w:val="2C333853"/>
    <w:rsid w:val="2C8A61B5"/>
    <w:rsid w:val="2D022C05"/>
    <w:rsid w:val="2D9047DE"/>
    <w:rsid w:val="2DF04E50"/>
    <w:rsid w:val="2F040D46"/>
    <w:rsid w:val="2FCD5708"/>
    <w:rsid w:val="302A45D6"/>
    <w:rsid w:val="308C66BA"/>
    <w:rsid w:val="310D15A9"/>
    <w:rsid w:val="31570A76"/>
    <w:rsid w:val="318B24CE"/>
    <w:rsid w:val="319B637B"/>
    <w:rsid w:val="319F7F4E"/>
    <w:rsid w:val="31C53C32"/>
    <w:rsid w:val="321D581C"/>
    <w:rsid w:val="3304709D"/>
    <w:rsid w:val="334B460B"/>
    <w:rsid w:val="33D53ED4"/>
    <w:rsid w:val="34140EA1"/>
    <w:rsid w:val="343E7CCC"/>
    <w:rsid w:val="34425A0E"/>
    <w:rsid w:val="34586FDF"/>
    <w:rsid w:val="34A915E9"/>
    <w:rsid w:val="3502519D"/>
    <w:rsid w:val="35610116"/>
    <w:rsid w:val="357F67EE"/>
    <w:rsid w:val="35E37B60"/>
    <w:rsid w:val="364A2958"/>
    <w:rsid w:val="36AA5135"/>
    <w:rsid w:val="36B6623F"/>
    <w:rsid w:val="371D62BE"/>
    <w:rsid w:val="376D39B2"/>
    <w:rsid w:val="37B7226F"/>
    <w:rsid w:val="37E16F03"/>
    <w:rsid w:val="38A5656B"/>
    <w:rsid w:val="38D469F0"/>
    <w:rsid w:val="3902751A"/>
    <w:rsid w:val="392C2CD3"/>
    <w:rsid w:val="397228F1"/>
    <w:rsid w:val="39DC420F"/>
    <w:rsid w:val="3A396F6B"/>
    <w:rsid w:val="3A751F6D"/>
    <w:rsid w:val="3B035FAC"/>
    <w:rsid w:val="3B7A5A8D"/>
    <w:rsid w:val="3BA42B0A"/>
    <w:rsid w:val="3BF05D4F"/>
    <w:rsid w:val="3C4A1903"/>
    <w:rsid w:val="3C561A2F"/>
    <w:rsid w:val="3C8641D0"/>
    <w:rsid w:val="3CF158B2"/>
    <w:rsid w:val="3D0C0967"/>
    <w:rsid w:val="3D2A34E3"/>
    <w:rsid w:val="3D324146"/>
    <w:rsid w:val="3D386842"/>
    <w:rsid w:val="3D78424E"/>
    <w:rsid w:val="3D98207C"/>
    <w:rsid w:val="3E78745D"/>
    <w:rsid w:val="3E9C5D1B"/>
    <w:rsid w:val="3ECA0ADA"/>
    <w:rsid w:val="3F035D9A"/>
    <w:rsid w:val="3F0A537A"/>
    <w:rsid w:val="3F1461F9"/>
    <w:rsid w:val="400B75FC"/>
    <w:rsid w:val="40D479EE"/>
    <w:rsid w:val="40FC5196"/>
    <w:rsid w:val="42DC119C"/>
    <w:rsid w:val="43370708"/>
    <w:rsid w:val="44E268DA"/>
    <w:rsid w:val="45390767"/>
    <w:rsid w:val="45E36925"/>
    <w:rsid w:val="46696E2A"/>
    <w:rsid w:val="4678706D"/>
    <w:rsid w:val="468E4AE3"/>
    <w:rsid w:val="46BF2EEE"/>
    <w:rsid w:val="47431429"/>
    <w:rsid w:val="48FA645F"/>
    <w:rsid w:val="4972249A"/>
    <w:rsid w:val="49A34401"/>
    <w:rsid w:val="4A627F82"/>
    <w:rsid w:val="4AA2290B"/>
    <w:rsid w:val="4B0E749A"/>
    <w:rsid w:val="4B427C4A"/>
    <w:rsid w:val="4B4F25DA"/>
    <w:rsid w:val="4B8B15F1"/>
    <w:rsid w:val="4BE068DB"/>
    <w:rsid w:val="4C8B2AFF"/>
    <w:rsid w:val="4D577224"/>
    <w:rsid w:val="4DBC0187"/>
    <w:rsid w:val="4DC3171D"/>
    <w:rsid w:val="4DE1199C"/>
    <w:rsid w:val="4E555EE6"/>
    <w:rsid w:val="4EA76741"/>
    <w:rsid w:val="4EAB630A"/>
    <w:rsid w:val="4EB33338"/>
    <w:rsid w:val="4ECE2238"/>
    <w:rsid w:val="4ED17157"/>
    <w:rsid w:val="4EEA7E5D"/>
    <w:rsid w:val="51071719"/>
    <w:rsid w:val="51161907"/>
    <w:rsid w:val="51D81308"/>
    <w:rsid w:val="52754DA9"/>
    <w:rsid w:val="537E6D0A"/>
    <w:rsid w:val="539354E6"/>
    <w:rsid w:val="53BD07B5"/>
    <w:rsid w:val="53DB6E8D"/>
    <w:rsid w:val="545F7ABE"/>
    <w:rsid w:val="55195EBF"/>
    <w:rsid w:val="551C775D"/>
    <w:rsid w:val="555E38D2"/>
    <w:rsid w:val="556A04C9"/>
    <w:rsid w:val="559A7000"/>
    <w:rsid w:val="559D264C"/>
    <w:rsid w:val="567535C9"/>
    <w:rsid w:val="568B4B9B"/>
    <w:rsid w:val="56B55774"/>
    <w:rsid w:val="56D227CA"/>
    <w:rsid w:val="57C77E54"/>
    <w:rsid w:val="57D83E10"/>
    <w:rsid w:val="57EA3B43"/>
    <w:rsid w:val="57FF75EE"/>
    <w:rsid w:val="58403763"/>
    <w:rsid w:val="59943D66"/>
    <w:rsid w:val="59CC3500"/>
    <w:rsid w:val="5A2275C4"/>
    <w:rsid w:val="5A7122F9"/>
    <w:rsid w:val="5AF92295"/>
    <w:rsid w:val="5B417F1E"/>
    <w:rsid w:val="5B9C5154"/>
    <w:rsid w:val="5C1271C4"/>
    <w:rsid w:val="5CD71FC4"/>
    <w:rsid w:val="5D221689"/>
    <w:rsid w:val="5D6A375C"/>
    <w:rsid w:val="5D9A56C3"/>
    <w:rsid w:val="5E280F21"/>
    <w:rsid w:val="5EF84D97"/>
    <w:rsid w:val="5F48187B"/>
    <w:rsid w:val="5F5C70D4"/>
    <w:rsid w:val="60455DBA"/>
    <w:rsid w:val="60F577E0"/>
    <w:rsid w:val="62854B94"/>
    <w:rsid w:val="62CA07F9"/>
    <w:rsid w:val="639E415F"/>
    <w:rsid w:val="63ED479F"/>
    <w:rsid w:val="64D616D7"/>
    <w:rsid w:val="667E2026"/>
    <w:rsid w:val="668D4C49"/>
    <w:rsid w:val="66C51A03"/>
    <w:rsid w:val="66FE0680"/>
    <w:rsid w:val="685F3791"/>
    <w:rsid w:val="68994EF5"/>
    <w:rsid w:val="6951681C"/>
    <w:rsid w:val="69825989"/>
    <w:rsid w:val="6B120F8F"/>
    <w:rsid w:val="6B1E7934"/>
    <w:rsid w:val="6B4B3950"/>
    <w:rsid w:val="6B943DDB"/>
    <w:rsid w:val="6C4A05C8"/>
    <w:rsid w:val="6CC91B21"/>
    <w:rsid w:val="6CDE381E"/>
    <w:rsid w:val="6CFA1CDB"/>
    <w:rsid w:val="6E7E3605"/>
    <w:rsid w:val="6EC627BC"/>
    <w:rsid w:val="6EED5F9B"/>
    <w:rsid w:val="6F2F6DB9"/>
    <w:rsid w:val="6FF5CC65"/>
    <w:rsid w:val="70761FC0"/>
    <w:rsid w:val="715C0E4B"/>
    <w:rsid w:val="71EF3DD8"/>
    <w:rsid w:val="72367C59"/>
    <w:rsid w:val="72734D90"/>
    <w:rsid w:val="733F2B3D"/>
    <w:rsid w:val="7358775B"/>
    <w:rsid w:val="73AD73D5"/>
    <w:rsid w:val="73B6EB34"/>
    <w:rsid w:val="740A6CA7"/>
    <w:rsid w:val="744731E5"/>
    <w:rsid w:val="74561EEC"/>
    <w:rsid w:val="76C375E1"/>
    <w:rsid w:val="76E3355F"/>
    <w:rsid w:val="76EC401C"/>
    <w:rsid w:val="76F6E73F"/>
    <w:rsid w:val="778769C8"/>
    <w:rsid w:val="78584101"/>
    <w:rsid w:val="78EA52F9"/>
    <w:rsid w:val="78F267FC"/>
    <w:rsid w:val="79EE5BA4"/>
    <w:rsid w:val="7A227C1D"/>
    <w:rsid w:val="7A2F7467"/>
    <w:rsid w:val="7A831561"/>
    <w:rsid w:val="7A894339"/>
    <w:rsid w:val="7AE443DE"/>
    <w:rsid w:val="7AF406B1"/>
    <w:rsid w:val="7B6B320F"/>
    <w:rsid w:val="7B705F89"/>
    <w:rsid w:val="7BFC5A6F"/>
    <w:rsid w:val="7BFE7449"/>
    <w:rsid w:val="7C3C40BE"/>
    <w:rsid w:val="7CAF4890"/>
    <w:rsid w:val="7D126BCC"/>
    <w:rsid w:val="7DA0242A"/>
    <w:rsid w:val="7DA63EE4"/>
    <w:rsid w:val="7DE22A43"/>
    <w:rsid w:val="7E2552FD"/>
    <w:rsid w:val="7E8458A8"/>
    <w:rsid w:val="7E9C7095"/>
    <w:rsid w:val="7EA606A7"/>
    <w:rsid w:val="7EA84863"/>
    <w:rsid w:val="7EEF11D3"/>
    <w:rsid w:val="7F4E234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unhideWhenUsed/>
    <w:qFormat/>
    <w:uiPriority w:val="99"/>
    <w:pPr>
      <w:spacing w:line="620" w:lineRule="exact"/>
    </w:pPr>
    <w:rPr>
      <w:rFonts w:ascii="宋体" w:hAnsi="Courier New" w:cs="Courier New"/>
      <w:szCs w:val="21"/>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7"/>
    <w:next w:val="1"/>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3"/>
    <w:qFormat/>
    <w:uiPriority w:val="9"/>
    <w:rPr>
      <w:rFonts w:ascii="Times New Roman" w:hAnsi="Times New Roman"/>
      <w:b/>
      <w:bCs/>
      <w:kern w:val="44"/>
      <w:sz w:val="44"/>
      <w:szCs w:val="44"/>
    </w:rPr>
  </w:style>
  <w:style w:type="character" w:customStyle="1" w:styleId="32">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4"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4"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4"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4"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overlay val="false"/>
      <c:spPr>
        <a:noFill/>
        <a:ln>
          <a:noFill/>
        </a:ln>
        <a:effectLst/>
      </c:spPr>
    </c:title>
    <c:autoTitleDeleted val="false"/>
    <c:plotArea>
      <c:layout>
        <c:manualLayout>
          <c:layoutTarget val="inner"/>
          <c:xMode val="edge"/>
          <c:yMode val="edge"/>
          <c:x val="0.090476889214967"/>
          <c:y val="0.197051978277735"/>
          <c:w val="0.875333822450477"/>
          <c:h val="0.560744763382467"/>
        </c:manualLayout>
      </c:layout>
      <c:barChart>
        <c:barDir val="col"/>
        <c:grouping val="clustered"/>
        <c:varyColors val="false"/>
        <c:ser>
          <c:idx val="0"/>
          <c:order val="0"/>
          <c:tx>
            <c:strRef>
              <c:f>[工作簿4]Sheet1!$A$5</c:f>
              <c:strCache>
                <c:ptCount val="1"/>
                <c:pt idx="0">
                  <c:v>2021年</c:v>
                </c:pt>
              </c:strCache>
            </c:strRef>
          </c:tx>
          <c:spPr>
            <a:solidFill>
              <a:schemeClr val="accent1"/>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[工作簿4]Sheet1!$B$5:$C$5</c:f>
              <c:numCache>
                <c:formatCode>General</c:formatCode>
                <c:ptCount val="2"/>
                <c:pt idx="0">
                  <c:v>1093.78</c:v>
                </c:pt>
                <c:pt idx="1">
                  <c:v>1093.78</c:v>
                </c:pt>
              </c:numCache>
            </c:numRef>
          </c:val>
        </c:ser>
        <c:ser>
          <c:idx val="1"/>
          <c:order val="1"/>
          <c:tx>
            <c:strRef>
              <c:f>[工作簿4]Sheet1!$A$6</c:f>
              <c:strCache>
                <c:ptCount val="1"/>
                <c:pt idx="0">
                  <c:v>2022年</c:v>
                </c:pt>
              </c:strCache>
            </c:strRef>
          </c:tx>
          <c:spPr>
            <a:solidFill>
              <a:schemeClr val="accent2"/>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[工作簿4]Sheet1!$B$6:$C$6</c:f>
              <c:numCache>
                <c:formatCode>General</c:formatCode>
                <c:ptCount val="2"/>
                <c:pt idx="0">
                  <c:v>1121.27</c:v>
                </c:pt>
                <c:pt idx="1">
                  <c:v>1121.27</c:v>
                </c:pt>
              </c:numCache>
            </c:numRef>
          </c:val>
        </c:ser>
        <c:dLbls>
          <c:showLegendKey val="false"/>
          <c:showVal val="false"/>
          <c:showCatName val="false"/>
          <c:showSerName val="false"/>
          <c:showPercent val="false"/>
          <c:showBubbleSize val="false"/>
        </c:dLbls>
        <c:gapWidth val="246"/>
        <c:overlap val="-28"/>
        <c:axId val="312946653"/>
        <c:axId val="47147168"/>
      </c:barChart>
      <c:catAx>
        <c:axId val="31294665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147168"/>
        <c:crosses val="autoZero"/>
        <c:auto val="true"/>
        <c:lblAlgn val="ctr"/>
        <c:lblOffset val="100"/>
        <c:noMultiLvlLbl val="false"/>
      </c:catAx>
      <c:valAx>
        <c:axId val="47147168"/>
        <c:scaling>
          <c:orientation val="minMax"/>
          <c:max val="1300"/>
          <c:min val="500"/>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2946653"/>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[工作簿4]Sheet1!$A$29:$A$30</c:f>
              <c:strCache>
                <c:ptCount val="2"/>
                <c:pt idx="0">
                  <c:v>收入决算结构图</c:v>
                </c:pt>
                <c:pt idx="1">
                  <c:v>一般公共预算财政拨款收入</c:v>
                </c:pt>
              </c:strCache>
            </c:strRef>
          </c:cat>
          <c:val>
            <c:numRef>
              <c:f>[工作簿4]Sheet1!$B$29:$B$30</c:f>
              <c:numCache>
                <c:formatCode>General</c:formatCode>
                <c:ptCount val="2"/>
                <c:pt idx="1">
                  <c:v>1121.27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[工作簿4]Sheet1!$A$48:$A$50</c:f>
              <c:strCache>
                <c:ptCount val="3"/>
                <c:pt idx="0">
                  <c:v>支出决算结构图</c:v>
                </c:pt>
                <c:pt idx="1">
                  <c:v>基本支出</c:v>
                </c:pt>
                <c:pt idx="2">
                  <c:v>项目支出</c:v>
                </c:pt>
              </c:strCache>
            </c:strRef>
          </c:cat>
          <c:val>
            <c:numRef>
              <c:f>[工作簿4]Sheet1!$B$48:$B$50</c:f>
              <c:numCache>
                <c:formatCode>General</c:formatCode>
                <c:ptCount val="3"/>
                <c:pt idx="1">
                  <c:v>888.64</c:v>
                </c:pt>
                <c:pt idx="2">
                  <c:v>232.63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80" b="1" i="0" u="none" strike="noStrike" kern="1200" baseline="0">
                <a:solidFill>
                  <a:schemeClr val="dk1">
                    <a:lumMod val="75000"/>
                    <a:lumOff val="25000"/>
                  </a:schemeClr>
                </a:solidFill>
                <a:latin typeface="+mn-lt"/>
                <a:ea typeface="+mn-ea"/>
                <a:cs typeface="+mn-cs"/>
              </a:defRPr>
            </a:pPr>
            <a:r>
              <a:rPr sz="1080"/>
              <a:t>财政拨款收、支决算总计变动情况图</a:t>
            </a:r>
            <a:endParaRPr sz="1080"/>
          </a:p>
        </c:rich>
      </c:tx>
      <c:layout/>
      <c:overlay val="false"/>
      <c:spPr>
        <a:noFill/>
        <a:ln>
          <a:noFill/>
        </a:ln>
        <a:effectLst/>
      </c:spPr>
    </c:title>
    <c:autoTitleDeleted val="false"/>
    <c:plotArea>
      <c:layout/>
      <c:barChart>
        <c:barDir val="col"/>
        <c:grouping val="clustered"/>
        <c:varyColors val="false"/>
        <c:ser>
          <c:idx val="0"/>
          <c:order val="0"/>
          <c:tx>
            <c:strRef>
              <c:f>[工作簿4]Sheet1!$A$5</c:f>
              <c:strCache>
                <c:ptCount val="1"/>
                <c:pt idx="0">
                  <c:v>2021年</c:v>
                </c:pt>
              </c:strCache>
            </c:strRef>
          </c:tx>
          <c:spPr>
            <a:solidFill>
              <a:schemeClr val="accent1"/>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[工作簿4]Sheet1!$B$5:$C$5</c:f>
              <c:numCache>
                <c:formatCode>General</c:formatCode>
                <c:ptCount val="2"/>
                <c:pt idx="0">
                  <c:v>1093.78</c:v>
                </c:pt>
                <c:pt idx="1">
                  <c:v>1093.78</c:v>
                </c:pt>
              </c:numCache>
            </c:numRef>
          </c:val>
        </c:ser>
        <c:ser>
          <c:idx val="1"/>
          <c:order val="1"/>
          <c:tx>
            <c:strRef>
              <c:f>[工作簿4]Sheet1!$A$6</c:f>
              <c:strCache>
                <c:ptCount val="1"/>
                <c:pt idx="0">
                  <c:v>2022年</c:v>
                </c:pt>
              </c:strCache>
            </c:strRef>
          </c:tx>
          <c:spPr>
            <a:solidFill>
              <a:schemeClr val="accent2"/>
            </a:solidFill>
            <a:ln>
              <a:noFill/>
            </a:ln>
            <a:effectLst/>
          </c:spPr>
          <c:invertIfNegative val="false"/>
          <c:dLbls>
            <c:delete val="true"/>
          </c:dLbls>
          <c:cat>
            <c:multiLvlStrRef>
              <c:f>[工作簿4]Sheet1!$B$3:$C$4</c:f>
              <c:multiLvlStrCache>
                <c:ptCount val="2"/>
                <c:lvl>
                  <c:pt idx="0">
                    <c:v>收入</c:v>
                  </c:pt>
                  <c:pt idx="1">
                    <c:v>支出</c:v>
                  </c:pt>
                </c:lvl>
                <c:lvl/>
              </c:multiLvlStrCache>
            </c:multiLvlStrRef>
          </c:cat>
          <c:val>
            <c:numRef>
              <c:f>[工作簿4]Sheet1!$B$6:$C$6</c:f>
              <c:numCache>
                <c:formatCode>General</c:formatCode>
                <c:ptCount val="2"/>
                <c:pt idx="0">
                  <c:v>1121.27</c:v>
                </c:pt>
                <c:pt idx="1">
                  <c:v>1121.27</c:v>
                </c:pt>
              </c:numCache>
            </c:numRef>
          </c:val>
        </c:ser>
        <c:dLbls>
          <c:showLegendKey val="false"/>
          <c:showVal val="false"/>
          <c:showCatName val="false"/>
          <c:showSerName val="false"/>
          <c:showPercent val="false"/>
          <c:showBubbleSize val="false"/>
        </c:dLbls>
        <c:gapWidth val="246"/>
        <c:overlap val="-28"/>
        <c:axId val="312946653"/>
        <c:axId val="47147168"/>
      </c:barChart>
      <c:catAx>
        <c:axId val="31294665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147168"/>
        <c:crosses val="autoZero"/>
        <c:auto val="true"/>
        <c:lblAlgn val="ctr"/>
        <c:lblOffset val="100"/>
        <c:noMultiLvlLbl val="false"/>
      </c:catAx>
      <c:valAx>
        <c:axId val="47147168"/>
        <c:scaling>
          <c:orientation val="minMax"/>
          <c:max val="1300"/>
          <c:min val="500"/>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2946653"/>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一般公共预算财政拨款支出决算表</a:t>
            </a:r>
          </a:p>
        </c:rich>
      </c:tx>
      <c:layout/>
      <c:overlay val="false"/>
      <c:spPr>
        <a:noFill/>
        <a:ln>
          <a:noFill/>
        </a:ln>
        <a:effectLst/>
      </c:spPr>
    </c:title>
    <c:autoTitleDeleted val="false"/>
    <c:plotArea>
      <c:layout/>
      <c:barChart>
        <c:barDir val="col"/>
        <c:grouping val="clustered"/>
        <c:varyColors val="false"/>
        <c:ser>
          <c:idx val="0"/>
          <c:order val="0"/>
          <c:tx>
            <c:strRef>
              <c:f>"一般公共预算财政拨款支出决算"</c:f>
              <c:strCache>
                <c:ptCount val="1"/>
                <c:pt idx="0">
                  <c:v>一般公共预算财政拨款支出决算</c:v>
                </c:pt>
              </c:strCache>
            </c:strRef>
          </c:tx>
          <c:spPr>
            <a:solidFill>
              <a:schemeClr val="accent1"/>
            </a:solidFill>
            <a:ln>
              <a:noFill/>
            </a:ln>
            <a:effectLst/>
          </c:spPr>
          <c:invertIfNegative val="false"/>
          <c:dLbls>
            <c:delete val="true"/>
          </c:dLbls>
          <c:cat>
            <c:strRef>
              <c:f>[工作簿4]Sheet1!$A$62:$A$63</c:f>
              <c:strCache>
                <c:ptCount val="2"/>
                <c:pt idx="0">
                  <c:v>2021年</c:v>
                </c:pt>
                <c:pt idx="1">
                  <c:v>2022年</c:v>
                </c:pt>
              </c:strCache>
            </c:strRef>
          </c:cat>
          <c:val>
            <c:numRef>
              <c:f>[工作簿4]Sheet1!$B$62:$B$63</c:f>
              <c:numCache>
                <c:formatCode>General</c:formatCode>
                <c:ptCount val="2"/>
                <c:pt idx="0">
                  <c:v>1093.78</c:v>
                </c:pt>
                <c:pt idx="1">
                  <c:v>1121.27</c:v>
                </c:pt>
              </c:numCache>
            </c:numRef>
          </c:val>
        </c:ser>
        <c:dLbls>
          <c:showLegendKey val="false"/>
          <c:showVal val="false"/>
          <c:showCatName val="false"/>
          <c:showSerName val="false"/>
          <c:showPercent val="false"/>
          <c:showBubbleSize val="false"/>
        </c:dLbls>
        <c:gapWidth val="246"/>
        <c:overlap val="-28"/>
        <c:axId val="297370512"/>
        <c:axId val="301247676"/>
      </c:barChart>
      <c:catAx>
        <c:axId val="29737051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1247676"/>
        <c:crosses val="autoZero"/>
        <c:auto val="true"/>
        <c:lblAlgn val="ctr"/>
        <c:lblOffset val="100"/>
        <c:noMultiLvlLbl val="false"/>
      </c:catAx>
      <c:valAx>
        <c:axId val="301247676"/>
        <c:scaling>
          <c:orientation val="minMax"/>
          <c:max val="1200"/>
          <c:min val="200"/>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7370512"/>
        <c:crosses val="autoZero"/>
        <c:crossBetween val="between"/>
      </c:valAx>
      <c:spPr>
        <a:noFill/>
        <a:ln>
          <a:noFill/>
        </a:ln>
        <a:effectLst/>
      </c:spPr>
    </c:plotArea>
    <c:legend>
      <c:legendPos val="b"/>
      <c:layout>
        <c:manualLayout>
          <c:xMode val="edge"/>
          <c:yMode val="edge"/>
          <c:x val="0.364144736842105"/>
          <c:y val="0.9016203703703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840" b="1" i="0" u="none" strike="noStrike" kern="1200" baseline="0">
                <a:solidFill>
                  <a:schemeClr val="dk1">
                    <a:lumMod val="75000"/>
                    <a:lumOff val="25000"/>
                  </a:schemeClr>
                </a:solidFill>
                <a:latin typeface="+mn-lt"/>
                <a:ea typeface="+mn-ea"/>
                <a:cs typeface="+mn-cs"/>
              </a:defRPr>
            </a:pPr>
            <a:r>
              <a:rPr sz="840"/>
              <a:t>一般公共预算财政拨款支出决算结构</a:t>
            </a:r>
            <a:endParaRPr sz="84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Pt>
            <c:idx val="9"/>
            <c:bubble3D val="false"/>
            <c:spPr>
              <a:solidFill>
                <a:schemeClr val="accent4">
                  <a:lumMod val="60000"/>
                </a:schemeClr>
              </a:solidFill>
              <a:ln>
                <a:solidFill>
                  <a:schemeClr val="bg1"/>
                </a:solidFill>
              </a:ln>
              <a:effectLst/>
            </c:spPr>
          </c:dPt>
          <c:dPt>
            <c:idx val="10"/>
            <c:bubble3D val="false"/>
            <c:spPr>
              <a:solidFill>
                <a:schemeClr val="accent5">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7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[工作簿4]Sheet1!$A$87:$A$97</c:f>
              <c:strCache>
                <c:ptCount val="11"/>
                <c:pt idx="0">
                  <c:v>一般公共预算财政拨款支出决算结构</c:v>
                </c:pt>
                <c:pt idx="1">
                  <c:v>一般公共服务支出</c:v>
                </c:pt>
                <c:pt idx="2">
                  <c:v>国防支出</c:v>
                </c:pt>
                <c:pt idx="3">
                  <c:v>公共安全支出</c:v>
                </c:pt>
                <c:pt idx="4">
                  <c:v>文化旅游体育与传媒支出</c:v>
                </c:pt>
                <c:pt idx="5">
                  <c:v>社会保障和就业支出</c:v>
                </c:pt>
                <c:pt idx="6">
                  <c:v>卫生健康支出</c:v>
                </c:pt>
                <c:pt idx="7">
                  <c:v>城乡社区支出</c:v>
                </c:pt>
                <c:pt idx="8">
                  <c:v>农林水支出</c:v>
                </c:pt>
                <c:pt idx="9">
                  <c:v>住房保障支出</c:v>
                </c:pt>
                <c:pt idx="10">
                  <c:v>灾害防治及应急管理支出</c:v>
                </c:pt>
              </c:strCache>
            </c:strRef>
          </c:cat>
          <c:val>
            <c:numRef>
              <c:f>[工作簿4]Sheet1!$B$87:$B$97</c:f>
              <c:numCache>
                <c:formatCode>General</c:formatCode>
                <c:ptCount val="11"/>
                <c:pt idx="1" c:formatCode="#,##0.00">
                  <c:v>444.16</c:v>
                </c:pt>
                <c:pt idx="2" c:formatCode="#,##0.00">
                  <c:v>0.5</c:v>
                </c:pt>
                <c:pt idx="3" c:formatCode="#,##0.00">
                  <c:v>0.5</c:v>
                </c:pt>
                <c:pt idx="4" c:formatCode="#,##0.00">
                  <c:v>54.15</c:v>
                </c:pt>
                <c:pt idx="5" c:formatCode="#,##0.00">
                  <c:v>131.88</c:v>
                </c:pt>
                <c:pt idx="6" c:formatCode="#,##0.00">
                  <c:v>31.84</c:v>
                </c:pt>
                <c:pt idx="7" c:formatCode="#,##0.00">
                  <c:v>8.31</c:v>
                </c:pt>
                <c:pt idx="8" c:formatCode="#,##0.00">
                  <c:v>402.71</c:v>
                </c:pt>
                <c:pt idx="9" c:formatCode="#,##0.00">
                  <c:v>47.01</c:v>
                </c:pt>
                <c:pt idx="10" c:formatCode="#,##0.00">
                  <c:v>0.2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8"/>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9"/>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egendEntry>
        <c:idx val="10"/>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7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700"/>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14</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2025-01-15T11:37:45Z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70126FCAEFC24D3D9EEB3D1CF9284D05_12</vt:lpwstr>
  </property>
</Properties>
</file>