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/>
        <w:jc w:val="center"/>
        <w:textAlignment w:val="auto"/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剑阁县普安镇2023年省级财政以工代赈任务项目</w:t>
      </w:r>
      <w:r>
        <w:rPr>
          <w:rStyle w:val="8"/>
          <w:rFonts w:hint="eastAsia" w:ascii="黑体" w:hAnsi="黑体" w:eastAsia="黑体" w:cs="黑体"/>
          <w:sz w:val="32"/>
          <w:szCs w:val="32"/>
        </w:rPr>
        <w:t>主要材料报价表</w:t>
      </w:r>
    </w:p>
    <w:tbl>
      <w:tblPr>
        <w:tblStyle w:val="6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905"/>
        <w:gridCol w:w="840"/>
        <w:gridCol w:w="1994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项目名称</w:t>
            </w:r>
          </w:p>
        </w:tc>
        <w:tc>
          <w:tcPr>
            <w:tcW w:w="795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剑阁县普安镇2023年省级财政以工代赈任务项目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报价时间</w:t>
            </w:r>
          </w:p>
        </w:tc>
        <w:tc>
          <w:tcPr>
            <w:tcW w:w="274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9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报价单位</w:t>
            </w:r>
          </w:p>
        </w:tc>
        <w:tc>
          <w:tcPr>
            <w:tcW w:w="32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274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99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联系电话</w:t>
            </w:r>
          </w:p>
        </w:tc>
        <w:tc>
          <w:tcPr>
            <w:tcW w:w="32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796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采购类别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 xml:space="preserve"> 材料名称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84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199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综合报价单价(元)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2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水泥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280" w:firstLineChars="1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PC425R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吨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细砂（河砂）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符合C30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" w:eastAsia="zh-CN"/>
              </w:rPr>
              <w:t>混凝土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国家标准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粗砂（河砂）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符合C30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" w:eastAsia="zh-CN"/>
              </w:rPr>
              <w:t>混凝土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国家标准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碎石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20-50mm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块石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大于40mm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特别说明：不同供应商需单独填写报价表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cialshare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B2E23"/>
    <w:rsid w:val="67EC1B18"/>
    <w:rsid w:val="8F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2023-07-17T23:58:00Z</dcterms:created>
  <dc:creator>user</dc:creator>
  <cp:lastModifiedBy>user</cp:lastModifiedBy>
  <dcterms:modified xsi:type="dcterms:W3CDTF">2025-01-14T16:14:49Z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