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60" w:lineRule="exact"/>
        <w:jc w:val="center"/>
        <w:rPr>
          <w:rFonts w:hint="eastAsia" w:ascii="方正小标宋简体" w:hAnsi="???????" w:eastAsia="方正小标宋简体" w:cs="方正小标宋简体"/>
          <w:b w:val="0"/>
          <w:bCs/>
          <w:sz w:val="44"/>
          <w:szCs w:val="40"/>
        </w:rPr>
      </w:pPr>
      <w:bookmarkStart w:id="0" w:name="_GoBack"/>
      <w:bookmarkEnd w:id="0"/>
      <w:r>
        <w:rPr>
          <w:rFonts w:hint="eastAsia" w:ascii="方正小标宋简体" w:hAnsi="???????" w:eastAsia="方正小标宋简体" w:cs="方正小标宋简体"/>
          <w:b w:val="0"/>
          <w:bCs/>
          <w:sz w:val="44"/>
          <w:szCs w:val="40"/>
          <w:lang w:val="en-US" w:eastAsia="zh-CN"/>
        </w:rPr>
        <w:t>剑阁</w:t>
      </w:r>
      <w:r>
        <w:rPr>
          <w:rFonts w:hint="eastAsia" w:ascii="方正小标宋简体" w:hAnsi="???????" w:eastAsia="方正小标宋简体" w:cs="方正小标宋简体"/>
          <w:b w:val="0"/>
          <w:bCs/>
          <w:sz w:val="44"/>
          <w:szCs w:val="40"/>
        </w:rPr>
        <w:t>县</w:t>
      </w:r>
      <w:r>
        <w:rPr>
          <w:rFonts w:hint="eastAsia" w:ascii="方正小标宋简体" w:hAnsi="???????" w:eastAsia="方正小标宋简体" w:cs="方正小标宋简体"/>
          <w:b w:val="0"/>
          <w:bCs/>
          <w:sz w:val="44"/>
          <w:szCs w:val="40"/>
          <w:lang w:eastAsia="zh-CN"/>
        </w:rPr>
        <w:t>商务和经济合作</w:t>
      </w:r>
      <w:r>
        <w:rPr>
          <w:rFonts w:hint="eastAsia" w:ascii="方正小标宋简体" w:hAnsi="???????" w:eastAsia="方正小标宋简体" w:cs="方正小标宋简体"/>
          <w:b w:val="0"/>
          <w:bCs/>
          <w:sz w:val="44"/>
          <w:szCs w:val="40"/>
        </w:rPr>
        <w:t>局</w:t>
      </w:r>
    </w:p>
    <w:p>
      <w:pPr>
        <w:keepNext w:val="0"/>
        <w:keepLines w:val="0"/>
        <w:pageBreakBefore w:val="0"/>
        <w:kinsoku/>
        <w:wordWrap/>
        <w:overflowPunct/>
        <w:topLinePunct w:val="0"/>
        <w:autoSpaceDN/>
        <w:bidi w:val="0"/>
        <w:spacing w:line="560" w:lineRule="exact"/>
        <w:jc w:val="center"/>
        <w:rPr>
          <w:rFonts w:ascii="方正小标宋简体" w:hAnsi="???????" w:eastAsia="方正小标宋简体" w:cs="Times New Roman"/>
          <w:b/>
          <w:bCs/>
          <w:sz w:val="40"/>
          <w:szCs w:val="40"/>
        </w:rPr>
      </w:pPr>
      <w:r>
        <w:rPr>
          <w:rFonts w:hint="eastAsia" w:ascii="方正小标宋简体" w:hAnsi="???????" w:eastAsia="方正小标宋简体" w:cs="方正小标宋简体"/>
          <w:b w:val="0"/>
          <w:bCs/>
          <w:sz w:val="44"/>
          <w:szCs w:val="40"/>
        </w:rPr>
        <w:t>行政执法集中公示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局行政执法主体</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cs="Times New Roman"/>
        </w:rPr>
      </w:pPr>
      <w:r>
        <w:rPr>
          <w:rFonts w:hint="eastAsia" w:ascii="??_GB2312" w:hAnsi="??_GB2312" w:cs="宋体"/>
          <w:sz w:val="32"/>
          <w:szCs w:val="32"/>
        </w:rPr>
        <w:t>剑阁县经济信息化和科学技术局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_GB2312" w:hAnsi="??_GB2312" w:eastAsia="仿宋_GB2312" w:cs="??_GB2312"/>
          <w:sz w:val="32"/>
          <w:szCs w:val="32"/>
          <w:lang w:eastAsia="zh-CN"/>
        </w:rPr>
      </w:pPr>
      <w:r>
        <w:rPr>
          <w:rFonts w:hint="eastAsia" w:ascii="??_GB2312" w:hAnsi="??_GB2312" w:eastAsia="黑体" w:cs="宋体"/>
          <w:b/>
          <w:bCs/>
          <w:sz w:val="32"/>
          <w:szCs w:val="32"/>
        </w:rPr>
        <w:t>行政执法主体</w:t>
      </w:r>
      <w:r>
        <w:rPr>
          <w:rFonts w:ascii="??_GB2312" w:hAnsi="??_GB2312" w:eastAsia="黑体" w:cs="??_GB2312"/>
          <w:b/>
          <w:bCs/>
          <w:sz w:val="32"/>
          <w:szCs w:val="32"/>
        </w:rPr>
        <w:t>1</w:t>
      </w:r>
      <w:r>
        <w:rPr>
          <w:rFonts w:hint="eastAsia" w:ascii="??_GB2312" w:hAnsi="??_GB2312" w:eastAsia="黑体" w:cs="宋体"/>
          <w:b/>
          <w:bCs/>
          <w:sz w:val="32"/>
          <w:szCs w:val="32"/>
        </w:rPr>
        <w:t>个</w:t>
      </w:r>
      <w:r>
        <w:rPr>
          <w:rFonts w:hint="eastAsia" w:ascii="??_GB2312" w:hAnsi="??_GB2312" w:eastAsia="黑体" w:cs="宋体"/>
          <w:b/>
          <w:bCs/>
          <w:sz w:val="32"/>
          <w:szCs w:val="32"/>
          <w:lang w:eastAsia="zh-CN"/>
        </w:rPr>
        <w:t>：</w:t>
      </w:r>
      <w:r>
        <w:rPr>
          <w:rFonts w:hint="eastAsia" w:ascii="仿宋_GB2312" w:hAnsi="仿宋_GB2312" w:eastAsia="仿宋_GB2312" w:cs="宋体"/>
          <w:b w:val="0"/>
          <w:bCs/>
          <w:sz w:val="32"/>
          <w:szCs w:val="32"/>
          <w:lang w:eastAsia="zh-CN"/>
        </w:rPr>
        <w:t>剑阁县商务和经济合作局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_GB2312" w:hAnsi="??_GB2312" w:eastAsia="仿宋_GB2312" w:cs="??_GB2312"/>
          <w:sz w:val="32"/>
          <w:szCs w:val="32"/>
          <w:lang w:val="en-US" w:eastAsia="zh-CN"/>
        </w:rPr>
      </w:pPr>
      <w:r>
        <w:rPr>
          <w:rFonts w:hint="eastAsia" w:ascii="??_GB2312" w:hAnsi="??_GB2312" w:eastAsia="仿宋_GB2312" w:cs="宋体"/>
          <w:sz w:val="32"/>
          <w:szCs w:val="32"/>
        </w:rPr>
        <w:t>地址</w:t>
      </w:r>
      <w:r>
        <w:rPr>
          <w:rFonts w:hint="eastAsia" w:ascii="??_GB2312" w:hAnsi="??_GB2312" w:eastAsia="仿宋_GB2312" w:cs="宋体"/>
          <w:sz w:val="32"/>
          <w:szCs w:val="32"/>
          <w:lang w:eastAsia="zh-CN"/>
        </w:rPr>
        <w:t>：</w:t>
      </w:r>
      <w:r>
        <w:rPr>
          <w:rFonts w:hint="eastAsia" w:ascii="??_GB2312" w:hAnsi="??_GB2312" w:eastAsia="仿宋_GB2312" w:cs="宋体"/>
          <w:sz w:val="32"/>
          <w:szCs w:val="32"/>
        </w:rPr>
        <w:t>四川省广元市剑阁县下寺镇</w:t>
      </w:r>
      <w:r>
        <w:rPr>
          <w:rFonts w:hint="eastAsia" w:ascii="??_GB2312" w:hAnsi="??_GB2312" w:eastAsia="仿宋_GB2312" w:cs="宋体"/>
          <w:sz w:val="32"/>
          <w:szCs w:val="32"/>
          <w:lang w:eastAsia="zh-CN"/>
        </w:rPr>
        <w:t>剑门大厦</w:t>
      </w:r>
      <w:r>
        <w:rPr>
          <w:rFonts w:hint="eastAsia" w:ascii="??_GB2312" w:hAnsi="??_GB2312" w:eastAsia="仿宋_GB2312" w:cs="宋体"/>
          <w:sz w:val="32"/>
          <w:szCs w:val="32"/>
          <w:lang w:val="en-US" w:eastAsia="zh-CN"/>
        </w:rPr>
        <w:t>17楼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_GB2312" w:hAnsi="??_GB2312" w:eastAsia="仿宋_GB2312" w:cs="??_GB2312"/>
          <w:sz w:val="32"/>
          <w:szCs w:val="32"/>
          <w:lang w:eastAsia="zh-CN"/>
        </w:rPr>
      </w:pPr>
      <w:r>
        <w:rPr>
          <w:rFonts w:hint="eastAsia" w:ascii="??_GB2312" w:hAnsi="??_GB2312" w:eastAsia="仿宋_GB2312" w:cs="宋体"/>
          <w:sz w:val="32"/>
          <w:szCs w:val="32"/>
        </w:rPr>
        <w:t>邮编</w:t>
      </w:r>
      <w:r>
        <w:rPr>
          <w:rFonts w:hint="eastAsia" w:ascii="??_GB2312" w:hAnsi="??_GB2312" w:eastAsia="仿宋_GB2312" w:cs="宋体"/>
          <w:sz w:val="32"/>
          <w:szCs w:val="32"/>
          <w:lang w:eastAsia="zh-CN"/>
        </w:rPr>
        <w:t>：</w:t>
      </w:r>
      <w:r>
        <w:rPr>
          <w:rFonts w:ascii="仿宋_GB2312" w:hAnsi="仿宋_GB2312" w:eastAsia="仿宋_GB2312" w:cs="??_GB2312"/>
          <w:sz w:val="32"/>
          <w:szCs w:val="32"/>
        </w:rPr>
        <w:t>628317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_GB2312" w:hAnsi="??_GB2312" w:eastAsia="仿宋_GB2312" w:cs="??_GB2312"/>
          <w:sz w:val="32"/>
          <w:szCs w:val="32"/>
          <w:lang w:eastAsia="zh-CN"/>
        </w:rPr>
      </w:pPr>
      <w:r>
        <w:rPr>
          <w:rFonts w:hint="eastAsia" w:ascii="??_GB2312" w:hAnsi="??_GB2312" w:eastAsia="仿宋_GB2312" w:cs="宋体"/>
          <w:sz w:val="32"/>
          <w:szCs w:val="32"/>
        </w:rPr>
        <w:t>电话</w:t>
      </w:r>
      <w:r>
        <w:rPr>
          <w:rFonts w:hint="eastAsia" w:ascii="??_GB2312" w:hAnsi="??_GB2312" w:eastAsia="仿宋_GB2312" w:cs="宋体"/>
          <w:sz w:val="32"/>
          <w:szCs w:val="32"/>
          <w:lang w:eastAsia="zh-CN"/>
        </w:rPr>
        <w:t>：</w:t>
      </w:r>
      <w:r>
        <w:rPr>
          <w:rFonts w:ascii="仿宋_GB2312" w:hAnsi="仿宋_GB2312" w:eastAsia="仿宋_GB2312" w:cs="??_GB2312"/>
          <w:sz w:val="32"/>
          <w:szCs w:val="32"/>
        </w:rPr>
        <w:t>0839-660</w:t>
      </w:r>
      <w:r>
        <w:rPr>
          <w:rFonts w:hint="eastAsia" w:ascii="仿宋_GB2312" w:hAnsi="仿宋_GB2312" w:eastAsia="仿宋_GB2312" w:cs="??_GB2312"/>
          <w:sz w:val="32"/>
          <w:szCs w:val="32"/>
          <w:lang w:val="en-US" w:eastAsia="zh-CN"/>
        </w:rPr>
        <w:t>2966</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_GB2312" w:hAnsi="??_GB2312" w:cs="??_GB2312"/>
          <w:sz w:val="32"/>
          <w:szCs w:val="32"/>
        </w:rPr>
      </w:pPr>
      <w:r>
        <w:rPr>
          <w:rFonts w:hint="eastAsia" w:ascii="??_GB2312" w:hAnsi="??_GB2312" w:cs="宋体"/>
          <w:b/>
          <w:bCs/>
          <w:sz w:val="32"/>
          <w:szCs w:val="32"/>
        </w:rPr>
        <w:t>行政执法机构设置</w:t>
      </w:r>
      <w:r>
        <w:rPr>
          <w:rFonts w:hint="eastAsia" w:ascii="??_GB2312" w:hAnsi="??_GB2312" w:eastAsia="仿宋_GB2312" w:cs="宋体"/>
          <w:b w:val="0"/>
          <w:bCs/>
          <w:sz w:val="32"/>
          <w:szCs w:val="32"/>
          <w:lang w:val="en-US" w:eastAsia="zh-CN"/>
        </w:rPr>
        <w:t>1</w:t>
      </w:r>
      <w:r>
        <w:rPr>
          <w:rFonts w:hint="eastAsia" w:ascii="??_GB2312" w:hAnsi="??_GB2312" w:cs="宋体"/>
          <w:b/>
          <w:bCs/>
          <w:sz w:val="32"/>
          <w:szCs w:val="32"/>
        </w:rPr>
        <w:t>个</w:t>
      </w:r>
      <w:r>
        <w:rPr>
          <w:rFonts w:hint="eastAsia" w:ascii="??_GB2312" w:hAnsi="??_GB2312" w:cs="宋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_GB2312" w:hAnsi="??_GB2312" w:eastAsia="仿宋_GB2312" w:cs="??_GB2312"/>
          <w:sz w:val="32"/>
          <w:szCs w:val="32"/>
          <w:lang w:eastAsia="zh-CN"/>
        </w:rPr>
      </w:pPr>
      <w:r>
        <w:rPr>
          <w:rFonts w:hint="eastAsia" w:ascii="??_GB2312" w:hAnsi="??_GB2312" w:eastAsia="仿宋_GB2312" w:cs="宋体"/>
          <w:sz w:val="32"/>
          <w:szCs w:val="32"/>
        </w:rPr>
        <w:t>行政执法股室：</w:t>
      </w:r>
      <w:r>
        <w:rPr>
          <w:rFonts w:hint="eastAsia" w:ascii="??_GB2312" w:hAnsi="??_GB2312" w:eastAsia="仿宋_GB2312" w:cs="宋体"/>
          <w:sz w:val="32"/>
          <w:szCs w:val="32"/>
          <w:lang w:eastAsia="zh-CN"/>
        </w:rPr>
        <w:t>市场秩序股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Arial" w:hAnsi="Arial" w:eastAsia="仿宋_GB2312" w:cs="Arial"/>
          <w:kern w:val="0"/>
          <w:sz w:val="32"/>
          <w:szCs w:val="28"/>
        </w:rPr>
      </w:pPr>
      <w:r>
        <w:rPr>
          <w:rFonts w:hint="eastAsia" w:ascii="Arial" w:hAnsi="Arial" w:eastAsia="仿宋_GB2312" w:cs="宋体"/>
          <w:kern w:val="0"/>
          <w:sz w:val="32"/>
          <w:szCs w:val="28"/>
        </w:rPr>
        <w:t>主要职责：</w:t>
      </w:r>
      <w:r>
        <w:rPr>
          <w:rFonts w:ascii="宋体" w:hAnsi="宋体" w:eastAsia="仿宋_GB2312" w:cs="宋体"/>
          <w:sz w:val="32"/>
          <w:szCs w:val="24"/>
        </w:rPr>
        <w:t>组织实施法制宣传，负责本系统依法</w:t>
      </w:r>
      <w:r>
        <w:rPr>
          <w:rFonts w:hint="eastAsia" w:ascii="宋体" w:hAnsi="宋体" w:eastAsia="仿宋_GB2312" w:cs="宋体"/>
          <w:sz w:val="32"/>
          <w:szCs w:val="24"/>
          <w:lang w:eastAsia="zh-CN"/>
        </w:rPr>
        <w:t>行</w:t>
      </w:r>
      <w:r>
        <w:rPr>
          <w:rFonts w:ascii="宋体" w:hAnsi="宋体" w:eastAsia="仿宋_GB2312" w:cs="宋体"/>
          <w:sz w:val="32"/>
          <w:szCs w:val="24"/>
        </w:rPr>
        <w:t>政</w:t>
      </w:r>
      <w:r>
        <w:rPr>
          <w:rFonts w:hint="eastAsia" w:ascii="宋体" w:hAnsi="宋体" w:eastAsia="仿宋_GB2312" w:cs="宋体"/>
          <w:sz w:val="32"/>
          <w:szCs w:val="24"/>
          <w:lang w:eastAsia="zh-CN"/>
        </w:rPr>
        <w:t>；承</w:t>
      </w:r>
      <w:r>
        <w:rPr>
          <w:rFonts w:ascii="宋体" w:hAnsi="宋体" w:eastAsia="仿宋_GB2312" w:cs="宋体"/>
          <w:sz w:val="32"/>
          <w:szCs w:val="24"/>
        </w:rPr>
        <w:t>办本部门行政诉讼、行政复议、组织听证及行政赔偿等事务</w:t>
      </w:r>
      <w:r>
        <w:rPr>
          <w:rFonts w:hint="eastAsia" w:ascii="宋体" w:hAnsi="宋体" w:eastAsia="仿宋_GB2312" w:cs="宋体"/>
          <w:sz w:val="32"/>
          <w:szCs w:val="24"/>
          <w:lang w:eastAsia="zh-CN"/>
        </w:rPr>
        <w:t>；</w:t>
      </w:r>
      <w:r>
        <w:rPr>
          <w:rFonts w:ascii="宋体" w:hAnsi="宋体" w:eastAsia="仿宋_GB2312" w:cs="宋体"/>
          <w:sz w:val="32"/>
          <w:szCs w:val="24"/>
        </w:rPr>
        <w:t>承担全县反倾销、反补贴、保障措施和技术性贸易壁垒等涉及进出口公平贸易的相关工作，依法实施对外贸易调查和产业损害调查，建立进出口公平贸易和产业损害预警机制，承担产业安全应对工作</w:t>
      </w:r>
      <w:r>
        <w:rPr>
          <w:rFonts w:hint="eastAsia" w:ascii="宋体" w:hAnsi="宋体" w:eastAsia="仿宋_GB2312" w:cs="宋体"/>
          <w:sz w:val="32"/>
          <w:szCs w:val="24"/>
          <w:lang w:eastAsia="zh-CN"/>
        </w:rPr>
        <w:t>；牵</w:t>
      </w:r>
      <w:r>
        <w:rPr>
          <w:rFonts w:ascii="宋体" w:hAnsi="宋体" w:eastAsia="仿宋_GB2312" w:cs="宋体"/>
          <w:sz w:val="32"/>
          <w:szCs w:val="24"/>
        </w:rPr>
        <w:t>头协调整顿和规范市场经济秩序相关工作，拟订规范市场运行和流通秩序的政策措施</w:t>
      </w:r>
      <w:r>
        <w:rPr>
          <w:rFonts w:hint="eastAsia" w:ascii="宋体" w:hAnsi="宋体" w:eastAsia="仿宋_GB2312" w:cs="宋体"/>
          <w:sz w:val="32"/>
          <w:szCs w:val="24"/>
          <w:lang w:eastAsia="zh-CN"/>
        </w:rPr>
        <w:t>；</w:t>
      </w:r>
      <w:r>
        <w:rPr>
          <w:rFonts w:ascii="宋体" w:hAnsi="宋体" w:eastAsia="仿宋_GB2312" w:cs="宋体"/>
          <w:sz w:val="32"/>
          <w:szCs w:val="24"/>
        </w:rPr>
        <w:t>履行市场综合治理和监管职责，完善市场秩序举报投诉服务网络建设，受理商务领域违法违规、扰乱市场秩序案件(线索)的举报投诉</w:t>
      </w:r>
      <w:r>
        <w:rPr>
          <w:rFonts w:hint="eastAsia" w:ascii="宋体" w:hAnsi="宋体" w:eastAsia="仿宋_GB2312" w:cs="宋体"/>
          <w:sz w:val="32"/>
          <w:szCs w:val="24"/>
          <w:lang w:eastAsia="zh-CN"/>
        </w:rPr>
        <w:t>；</w:t>
      </w:r>
      <w:r>
        <w:rPr>
          <w:rFonts w:ascii="宋体" w:hAnsi="宋体" w:eastAsia="仿宋_GB2312" w:cs="宋体"/>
          <w:sz w:val="32"/>
          <w:szCs w:val="24"/>
        </w:rPr>
        <w:t>指导商业信用销售，建立市场诚信公共服务平台</w:t>
      </w:r>
      <w:r>
        <w:rPr>
          <w:rFonts w:hint="eastAsia" w:ascii="宋体" w:hAnsi="宋体" w:eastAsia="仿宋_GB2312" w:cs="宋体"/>
          <w:sz w:val="32"/>
          <w:szCs w:val="24"/>
          <w:lang w:eastAsia="zh-CN"/>
        </w:rPr>
        <w:t>；</w:t>
      </w:r>
      <w:r>
        <w:rPr>
          <w:rFonts w:ascii="宋体" w:hAnsi="宋体" w:eastAsia="仿宋_GB2312" w:cs="宋体"/>
          <w:sz w:val="32"/>
          <w:szCs w:val="24"/>
        </w:rPr>
        <w:t>参与打击侵犯知识产权、商业欺诈等工作。承办有关行政审批事项。负责商贸服务行业中限额以上经营单位安全生产的</w:t>
      </w:r>
      <w:r>
        <w:rPr>
          <w:rFonts w:hint="eastAsia" w:ascii="宋体" w:hAnsi="宋体" w:eastAsia="仿宋_GB2312" w:cs="宋体"/>
          <w:sz w:val="32"/>
          <w:szCs w:val="24"/>
          <w:lang w:eastAsia="zh-CN"/>
        </w:rPr>
        <w:t>指导</w:t>
      </w:r>
      <w:r>
        <w:rPr>
          <w:rFonts w:ascii="宋体" w:hAnsi="宋体" w:eastAsia="仿宋_GB2312" w:cs="宋体"/>
          <w:sz w:val="32"/>
          <w:szCs w:val="24"/>
        </w:rPr>
        <w:t>工作，协助相关部门加强特殊行业安全生产监管</w:t>
      </w:r>
      <w:r>
        <w:rPr>
          <w:rFonts w:hint="eastAsia" w:ascii="宋体" w:hAnsi="宋体" w:eastAsia="仿宋_GB2312" w:cs="宋体"/>
          <w:sz w:val="32"/>
          <w:szCs w:val="24"/>
          <w:lang w:eastAsia="zh-CN"/>
        </w:rPr>
        <w:t>。</w:t>
      </w:r>
      <w:r>
        <w:rPr>
          <w:rFonts w:ascii="宋体" w:hAnsi="宋体" w:eastAsia="仿宋_GB2312" w:cs="宋体"/>
          <w:sz w:val="32"/>
          <w:szCs w:val="24"/>
        </w:rPr>
        <w:t>监督管理本行业领域的安全生产、环境保护工作。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FF0000"/>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w:t>
      </w:r>
      <w:r>
        <w:rPr>
          <w:rFonts w:hint="eastAsia" w:ascii="黑体" w:hAnsi="黑体" w:eastAsia="黑体" w:cs="黑体"/>
          <w:sz w:val="32"/>
          <w:szCs w:val="32"/>
          <w:lang w:eastAsia="zh-CN"/>
        </w:rPr>
        <w:t>行</w:t>
      </w:r>
      <w:r>
        <w:rPr>
          <w:rFonts w:hint="eastAsia" w:ascii="黑体" w:hAnsi="黑体" w:eastAsia="黑体" w:cs="黑体"/>
          <w:sz w:val="32"/>
          <w:szCs w:val="32"/>
        </w:rPr>
        <w:t>政执法人员清单</w:t>
      </w:r>
    </w:p>
    <w:tbl>
      <w:tblPr>
        <w:tblStyle w:val="7"/>
        <w:tblpPr w:leftFromText="180" w:rightFromText="180" w:vertAnchor="text" w:horzAnchor="page" w:tblpX="1470" w:tblpY="551"/>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992"/>
        <w:gridCol w:w="3955"/>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姓名</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性别</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olor w:val="FF0000"/>
                <w:lang w:eastAsia="zh-CN"/>
              </w:rPr>
            </w:pPr>
            <w:r>
              <w:rPr>
                <w:rFonts w:hint="eastAsia" w:ascii="宋体" w:hAnsi="宋体" w:eastAsia="宋体" w:cs="宋体"/>
                <w:b/>
                <w:bCs/>
                <w:sz w:val="20"/>
                <w:szCs w:val="20"/>
              </w:rPr>
              <w:t>证件编号</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执法类别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蒲永生</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男</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23070320021</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罗晓玲</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女</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23070320022</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张力方</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女</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23070320023</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王正秀</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女</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23070320026</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val="en-US" w:eastAsia="zh-CN"/>
              </w:rPr>
              <w:t>马三敏</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cs="宋体"/>
                <w:sz w:val="20"/>
                <w:szCs w:val="20"/>
                <w:lang w:val="en-US" w:eastAsia="zh-CN"/>
              </w:rPr>
              <w:t>男</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23070320028</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肖建蓉</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女</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23070320024</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王宇清</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女</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23070320025</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商务执法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9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黄刚元</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男</w:t>
            </w:r>
          </w:p>
        </w:tc>
        <w:tc>
          <w:tcPr>
            <w:tcW w:w="3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23070320033</w:t>
            </w:r>
          </w:p>
        </w:tc>
        <w:tc>
          <w:tcPr>
            <w:tcW w:w="21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eastAsia="zh-CN"/>
              </w:rPr>
              <w:t>商务执法</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三、剑阁县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局行政执法权力、责任清单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_GB2312" w:hAnsi="??_GB2312" w:eastAsia="仿宋_GB2312" w:cs="??_GB2312"/>
          <w:color w:val="auto"/>
          <w:sz w:val="32"/>
          <w:u w:val="single"/>
          <w:lang w:eastAsia="zh-CN"/>
        </w:rPr>
      </w:pPr>
      <w:r>
        <w:rPr>
          <w:rFonts w:hint="eastAsia" w:ascii="??_GB2312" w:hAnsi="??_GB2312" w:eastAsia="仿宋_GB2312" w:cs="宋体"/>
          <w:sz w:val="32"/>
          <w:szCs w:val="32"/>
        </w:rPr>
        <w:t>四川政务服务网、剑阁县人民政府网（含行政执法权力及责任事项的权限、职责、服务指南、法定依据、流程图、程序）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sz w:val="28"/>
          <w:szCs w:val="20"/>
          <w:lang w:eastAsia="zh-CN"/>
        </w:rPr>
      </w:pPr>
      <w:r>
        <w:rPr>
          <w:rFonts w:hint="eastAsia" w:ascii="仿宋_GB2312" w:hAnsi="仿宋_GB2312" w:eastAsia="仿宋_GB2312"/>
          <w:sz w:val="28"/>
          <w:szCs w:val="20"/>
          <w:lang w:eastAsia="zh-CN"/>
        </w:rPr>
        <w:t>http://www.sczwfw.gov.cn/jiq/front/item/bmft_index?deptCode=12510721MBOU82963R&amp;areaCode=510823000000</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剑阁县商务和经济合作局行政权力责任清单</w:t>
      </w:r>
    </w:p>
    <w:p>
      <w:pPr>
        <w:keepNext w:val="0"/>
        <w:keepLines w:val="0"/>
        <w:pageBreakBefore w:val="0"/>
        <w:kinsoku/>
        <w:wordWrap/>
        <w:overflowPunct/>
        <w:topLinePunct w:val="0"/>
        <w:autoSpaceDN/>
        <w:bidi w:val="0"/>
        <w:spacing w:line="560" w:lineRule="exact"/>
        <w:ind w:firstLine="640" w:firstLineChars="200"/>
        <w:rPr>
          <w:rFonts w:ascii="黑体" w:hAnsi="黑体" w:eastAsia="黑体" w:cs="Times New Roman"/>
          <w:sz w:val="32"/>
          <w:szCs w:val="32"/>
        </w:rPr>
        <w:sectPr>
          <w:pgSz w:w="11906" w:h="16838"/>
          <w:pgMar w:top="2098" w:right="1474" w:bottom="1814" w:left="1588" w:header="851" w:footer="1588"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Times New Roman"/>
          <w:sz w:val="32"/>
          <w:szCs w:val="32"/>
          <w:lang w:val="en-US" w:eastAsia="zh-CN"/>
        </w:rPr>
        <w:t>http://www.cnjg.gov.cn/new/detail/20211125161414537.html</w:t>
      </w:r>
    </w:p>
    <w:p>
      <w:pPr>
        <w:keepNext w:val="0"/>
        <w:keepLines w:val="0"/>
        <w:pageBreakBefore w:val="0"/>
        <w:numPr>
          <w:ilvl w:val="0"/>
          <w:numId w:val="1"/>
        </w:numPr>
        <w:kinsoku/>
        <w:wordWrap/>
        <w:overflowPunct/>
        <w:topLinePunct w:val="0"/>
        <w:autoSpaceDN/>
        <w:bidi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剑阁县</w:t>
      </w:r>
      <w:r>
        <w:rPr>
          <w:rFonts w:hint="eastAsia" w:ascii="黑体" w:hAnsi="黑体" w:eastAsia="黑体" w:cs="黑体"/>
          <w:sz w:val="32"/>
          <w:szCs w:val="32"/>
          <w:lang w:eastAsia="zh-CN"/>
        </w:rPr>
        <w:t>商务和经济合作</w:t>
      </w:r>
      <w:r>
        <w:rPr>
          <w:rFonts w:hint="eastAsia" w:ascii="黑体" w:hAnsi="黑体" w:eastAsia="黑体" w:cs="黑体"/>
          <w:sz w:val="32"/>
          <w:szCs w:val="32"/>
        </w:rPr>
        <w:t>局重大行政执法</w:t>
      </w:r>
      <w:r>
        <w:rPr>
          <w:rFonts w:hint="eastAsia" w:ascii="黑体" w:hAnsi="黑体" w:eastAsia="黑体" w:cs="黑体"/>
          <w:sz w:val="32"/>
          <w:szCs w:val="32"/>
          <w:lang w:eastAsia="zh-CN"/>
        </w:rPr>
        <w:t>权力</w:t>
      </w:r>
      <w:r>
        <w:rPr>
          <w:rFonts w:hint="eastAsia" w:ascii="黑体" w:hAnsi="黑体" w:eastAsia="黑体" w:cs="黑体"/>
          <w:sz w:val="32"/>
          <w:szCs w:val="32"/>
        </w:rPr>
        <w:t>清单</w:t>
      </w:r>
    </w:p>
    <w:p>
      <w:pPr>
        <w:pStyle w:val="2"/>
      </w:pPr>
    </w:p>
    <w:tbl>
      <w:tblPr>
        <w:tblStyle w:val="7"/>
        <w:tblW w:w="14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989"/>
        <w:gridCol w:w="5119"/>
        <w:gridCol w:w="1869"/>
        <w:gridCol w:w="1474"/>
        <w:gridCol w:w="100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基本编码</w:t>
            </w:r>
          </w:p>
        </w:tc>
        <w:tc>
          <w:tcPr>
            <w:tcW w:w="5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事项类型</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事项状态</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录入部门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510221071000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对回收拆解企业违规开具或者发放《报废机动车回收证明》，或者未按规定对出具《报废机动车回收证明》的报废机动车进行拆解的处罚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510221069000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对回收拆解企业涂改、出租、出借或者以其他形式非法转让《资质认定书》的处罚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510221068000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对未取得资质认定，擅自从事报废机动车回收拆解活动的处罚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510221074000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对回收拆解企业未按照国家有关规定及时向公安机关交通管理部门办理机动车注销登记，并将注销证明转交机动车所有人的处罚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510221073000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510221070000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对回收拆解企业未按照要求备案分支机构、回收拆解企业的分支机构拆解报废机动车的处罚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511021014000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零售商促销备案</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121013000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对外贸易经营者备案登记</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121013000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对外贸易经营者变更备案登记</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510221067000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对取得报废机动车回收资质认定的企业不再符合相关要求的处罚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510621002000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对汽车销售及其相关服务活动的检查</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511021008000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洗染业经营者备案</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510221080000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对报废机动车回收拆解活动实施日常监督检查</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510257003000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对外国投资者或者外商投资企业未按照《外商投资信息报告办法》要求报送投资信息的处罚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511021001000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举办会展备案</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511021002000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单用途商业预付卡发卡企业备案</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510657002000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对外国投资者、外商投资企业遵守《外商投资信息报告办法》情况的监督检查</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510221078000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对回收拆解企业未按照要求建立报废机动车零部件销售台账并如实记录“五大总成”信息并上传信息系统的处罚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510221075000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对回收拆解企业未在其资质认定的拆解经营场地内对回收的报废机动车予以拆解，或者交易报废机动车整车、拼装车的处罚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510221076000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对回收拆解企业未建立生产经营全覆盖的电子监控系统，或者录像保存不足1年的处罚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510221079000</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对收拆解企业将报废机动车“五大总成”及其他零部件出售给或者交予本细则第二十八条、第二十九条规定以外企业处理的处罚</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省级、市级、县级</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剑阁县商合局</w:t>
            </w:r>
          </w:p>
        </w:tc>
      </w:tr>
    </w:tbl>
    <w:p>
      <w:pPr>
        <w:keepNext w:val="0"/>
        <w:keepLines w:val="0"/>
        <w:pageBreakBefore w:val="0"/>
        <w:kinsoku/>
        <w:wordWrap/>
        <w:overflowPunct/>
        <w:topLinePunct w:val="0"/>
        <w:autoSpaceDE/>
        <w:autoSpaceDN/>
        <w:bidi w:val="0"/>
        <w:adjustRightInd/>
        <w:snapToGrid/>
        <w:spacing w:line="560" w:lineRule="exact"/>
        <w:jc w:val="left"/>
        <w:textAlignment w:val="auto"/>
        <w:rPr>
          <w:rFonts w:ascii="??_GB2312" w:hAnsi="??_GB2312" w:cs="??_GB2312"/>
          <w:b/>
          <w:bCs/>
          <w:sz w:val="32"/>
          <w:szCs w:val="32"/>
        </w:rPr>
        <w:sectPr>
          <w:pgSz w:w="16838" w:h="11906" w:orient="landscape"/>
          <w:pgMar w:top="1701" w:right="1247" w:bottom="1418" w:left="1247" w:header="851" w:footer="1134" w:gutter="0"/>
          <w:pgBorders>
            <w:top w:val="none" w:sz="0" w:space="0"/>
            <w:left w:val="none" w:sz="0" w:space="0"/>
            <w:bottom w:val="none" w:sz="0" w:space="0"/>
            <w:right w:val="none" w:sz="0" w:space="0"/>
          </w:pgBorders>
          <w:pgNumType w:fmt="decimal"/>
          <w:cols w:space="425" w:num="1"/>
          <w:docGrid w:type="linesAndChars" w:linePitch="312" w:charSpace="0"/>
        </w:sectPr>
      </w:pPr>
    </w:p>
    <w:p>
      <w:pPr>
        <w:keepNext w:val="0"/>
        <w:keepLines w:val="0"/>
        <w:pageBreakBefore w:val="0"/>
        <w:kinsoku/>
        <w:wordWrap/>
        <w:overflowPunct/>
        <w:topLinePunct w:val="0"/>
        <w:autoSpaceDN/>
        <w:bidi w:val="0"/>
        <w:spacing w:line="560" w:lineRule="exact"/>
        <w:ind w:firstLine="640" w:firstLineChars="200"/>
        <w:rPr>
          <w:rFonts w:ascii="黑体" w:hAnsi="黑体" w:eastAsia="黑体" w:cs="Times New Roman"/>
          <w:b w:val="0"/>
          <w:sz w:val="32"/>
          <w:szCs w:val="32"/>
        </w:rPr>
      </w:pPr>
      <w:r>
        <w:rPr>
          <w:rFonts w:hint="eastAsia" w:ascii="黑体" w:hAnsi="黑体" w:eastAsia="黑体" w:cs="黑体"/>
          <w:b w:val="0"/>
          <w:sz w:val="32"/>
          <w:szCs w:val="32"/>
        </w:rPr>
        <w:t>五、剑阁县</w:t>
      </w:r>
      <w:r>
        <w:rPr>
          <w:rFonts w:hint="eastAsia" w:ascii="黑体" w:hAnsi="黑体" w:eastAsia="黑体" w:cs="黑体"/>
          <w:b w:val="0"/>
          <w:sz w:val="32"/>
          <w:szCs w:val="32"/>
          <w:lang w:eastAsia="zh-CN"/>
        </w:rPr>
        <w:t>商合</w:t>
      </w:r>
      <w:r>
        <w:rPr>
          <w:rFonts w:hint="eastAsia" w:ascii="黑体" w:hAnsi="黑体" w:eastAsia="黑体" w:cs="黑体"/>
          <w:b w:val="0"/>
          <w:sz w:val="32"/>
          <w:szCs w:val="32"/>
        </w:rPr>
        <w:t>局行政执法（监督信息）救济渠道、行政执法责任制</w:t>
      </w:r>
    </w:p>
    <w:p>
      <w:pPr>
        <w:keepNext w:val="0"/>
        <w:keepLines w:val="0"/>
        <w:pageBreakBefore w:val="0"/>
        <w:kinsoku/>
        <w:wordWrap/>
        <w:overflowPunct/>
        <w:topLinePunct w:val="0"/>
        <w:autoSpaceDN/>
        <w:bidi w:val="0"/>
        <w:spacing w:line="560" w:lineRule="exact"/>
        <w:ind w:firstLine="629" w:firstLineChars="196"/>
        <w:rPr>
          <w:rFonts w:ascii="黑体" w:hAnsi="黑体" w:eastAsia="仿宋_GB2312" w:cs="Times New Roman"/>
          <w:b w:val="0"/>
          <w:sz w:val="32"/>
          <w:szCs w:val="32"/>
        </w:rPr>
      </w:pPr>
      <w:r>
        <w:rPr>
          <w:rFonts w:hint="eastAsia" w:ascii="黑体" w:hAnsi="黑体" w:eastAsia="仿宋_GB2312" w:cs="宋体"/>
          <w:b/>
          <w:bCs/>
          <w:sz w:val="32"/>
          <w:szCs w:val="32"/>
        </w:rPr>
        <w:t>当事人依法享有的权利、救济途径、方式</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（一）依法享有的权利</w:t>
      </w:r>
      <w:r>
        <w:rPr>
          <w:rFonts w:ascii="仿宋_GB2312" w:hAnsi="仿宋_GB2312" w:eastAsia="仿宋_GB2312" w:cs="Times New Roman"/>
          <w:sz w:val="32"/>
          <w:szCs w:val="32"/>
        </w:rPr>
        <w:t> </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当事人依法享有申请回避、陈述、申辩、复议、诉讼等权利，详见相应法律法规。</w:t>
      </w:r>
      <w:r>
        <w:rPr>
          <w:rFonts w:ascii="仿宋_GB2312" w:hAnsi="仿宋_GB2312" w:eastAsia="仿宋_GB2312" w:cs="Times New Roman"/>
          <w:sz w:val="32"/>
          <w:szCs w:val="32"/>
        </w:rPr>
        <w:t> </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（二）救济途径</w:t>
      </w:r>
      <w:r>
        <w:rPr>
          <w:rFonts w:ascii="仿宋_GB2312" w:hAnsi="仿宋_GB2312" w:eastAsia="仿宋_GB2312" w:cs="Times New Roman"/>
          <w:sz w:val="32"/>
          <w:szCs w:val="32"/>
        </w:rPr>
        <w:t> </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32"/>
        </w:rPr>
      </w:pPr>
      <w:r>
        <w:rPr>
          <w:rFonts w:ascii="仿宋_GB2312" w:hAnsi="仿宋_GB2312" w:eastAsia="仿宋_GB2312" w:cs="Times New Roman"/>
          <w:sz w:val="32"/>
          <w:szCs w:val="32"/>
        </w:rPr>
        <w:t>1</w:t>
      </w:r>
      <w:r>
        <w:rPr>
          <w:rFonts w:hint="eastAsia" w:ascii="仿宋_GB2312" w:hAnsi="仿宋_GB2312" w:eastAsia="仿宋_GB2312" w:cs="宋体"/>
          <w:sz w:val="32"/>
          <w:szCs w:val="32"/>
        </w:rPr>
        <w:t>、行政复议</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4"/>
          <w:lang w:eastAsia="zh-CN"/>
        </w:rPr>
        <w:t>属地复议机关</w:t>
      </w:r>
      <w:r>
        <w:rPr>
          <w:rFonts w:ascii="仿宋_GB2312" w:hAnsi="仿宋_GB2312" w:eastAsia="仿宋_GB2312" w:cs="宋体"/>
          <w:sz w:val="32"/>
          <w:szCs w:val="28"/>
        </w:rPr>
        <w:t>：剑</w:t>
      </w:r>
      <w:r>
        <w:rPr>
          <w:rFonts w:hint="eastAsia" w:ascii="仿宋_GB2312" w:hAnsi="仿宋_GB2312" w:eastAsia="仿宋_GB2312" w:cs="宋体"/>
          <w:sz w:val="32"/>
          <w:szCs w:val="28"/>
          <w:lang w:eastAsia="zh-CN"/>
        </w:rPr>
        <w:t>阁县人民政府</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复议机构：剑阁县司法局</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lang w:val="en-US" w:eastAsia="zh-CN"/>
        </w:rPr>
        <w:t>承办股室：行政复议与应诉股</w:t>
      </w:r>
    </w:p>
    <w:p>
      <w:pPr>
        <w:keepNext w:val="0"/>
        <w:keepLines w:val="0"/>
        <w:pageBreakBefore w:val="0"/>
        <w:kinsoku/>
        <w:wordWrap/>
        <w:overflowPunct/>
        <w:topLinePunct w:val="0"/>
        <w:autoSpaceDN/>
        <w:bidi w:val="0"/>
        <w:spacing w:line="560" w:lineRule="exact"/>
        <w:ind w:left="638" w:leftChars="304" w:firstLine="0" w:firstLineChars="0"/>
        <w:jc w:val="left"/>
        <w:rPr>
          <w:rFonts w:ascii="仿宋_GB2312" w:hAnsi="仿宋_GB2312" w:eastAsia="仿宋_GB2312" w:cs="宋体"/>
          <w:sz w:val="32"/>
          <w:szCs w:val="28"/>
        </w:rPr>
      </w:pPr>
      <w:r>
        <w:rPr>
          <w:rFonts w:ascii="仿宋_GB2312" w:hAnsi="仿宋_GB2312" w:eastAsia="仿宋_GB2312" w:cs="宋体"/>
          <w:sz w:val="32"/>
          <w:szCs w:val="28"/>
        </w:rPr>
        <w:t>地址：剑阁县下寺镇隆庆街2号（剑阁县司法局二楼）电话：0839-5208080</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28"/>
        </w:rPr>
      </w:pPr>
      <w:r>
        <w:rPr>
          <w:rFonts w:ascii="仿宋_GB2312" w:hAnsi="仿宋_GB2312" w:eastAsia="仿宋_GB2312" w:cs="Times New Roman"/>
          <w:sz w:val="32"/>
          <w:szCs w:val="28"/>
        </w:rPr>
        <w:t>2</w:t>
      </w:r>
      <w:r>
        <w:rPr>
          <w:rFonts w:hint="eastAsia" w:ascii="仿宋_GB2312" w:hAnsi="仿宋_GB2312" w:eastAsia="仿宋_GB2312" w:cs="宋体"/>
          <w:sz w:val="32"/>
          <w:szCs w:val="28"/>
        </w:rPr>
        <w:t>、行政诉讼</w:t>
      </w:r>
      <w:r>
        <w:rPr>
          <w:rFonts w:ascii="仿宋_GB2312" w:hAnsi="仿宋_GB2312" w:eastAsia="仿宋_GB2312" w:cs="Times New Roman"/>
          <w:sz w:val="32"/>
          <w:szCs w:val="28"/>
        </w:rPr>
        <w:t> </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28"/>
          <w:lang w:val="en-US" w:eastAsia="zh-CN"/>
        </w:rPr>
      </w:pPr>
      <w:r>
        <w:rPr>
          <w:rFonts w:hint="eastAsia" w:ascii="仿宋_GB2312" w:hAnsi="仿宋_GB2312" w:eastAsia="仿宋_GB2312" w:cs="宋体"/>
          <w:sz w:val="32"/>
          <w:szCs w:val="28"/>
        </w:rPr>
        <w:t>单位：</w:t>
      </w:r>
      <w:r>
        <w:rPr>
          <w:rFonts w:ascii="仿宋_GB2312" w:hAnsi="仿宋_GB2312" w:eastAsia="仿宋_GB2312" w:cs="宋体"/>
          <w:sz w:val="32"/>
          <w:szCs w:val="28"/>
        </w:rPr>
        <w:t>剑阁县人民法院</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Times New Roman"/>
          <w:sz w:val="32"/>
          <w:szCs w:val="28"/>
          <w:lang w:eastAsia="zh-CN"/>
        </w:rPr>
      </w:pPr>
      <w:r>
        <w:rPr>
          <w:rFonts w:hint="eastAsia" w:ascii="仿宋_GB2312" w:hAnsi="仿宋_GB2312" w:eastAsia="仿宋_GB2312" w:cs="宋体"/>
          <w:sz w:val="32"/>
          <w:szCs w:val="28"/>
        </w:rPr>
        <w:t>地址：</w:t>
      </w:r>
      <w:r>
        <w:rPr>
          <w:rFonts w:ascii="仿宋_GB2312" w:hAnsi="仿宋_GB2312" w:eastAsia="仿宋_GB2312" w:cs="宋体"/>
          <w:sz w:val="32"/>
          <w:szCs w:val="28"/>
        </w:rPr>
        <w:t>剑阁县下寺镇剑阁县剑门关大道北段502号</w:t>
      </w:r>
    </w:p>
    <w:p>
      <w:pPr>
        <w:keepNext w:val="0"/>
        <w:keepLines w:val="0"/>
        <w:pageBreakBefore w:val="0"/>
        <w:kinsoku/>
        <w:wordWrap/>
        <w:overflowPunct/>
        <w:topLinePunct w:val="0"/>
        <w:autoSpaceDN/>
        <w:bidi w:val="0"/>
        <w:spacing w:line="560" w:lineRule="exact"/>
        <w:ind w:firstLine="640" w:firstLineChars="200"/>
        <w:rPr>
          <w:rFonts w:hint="default" w:ascii="仿宋_GB2312" w:hAnsi="仿宋_GB2312" w:eastAsia="仿宋_GB2312" w:cs="Times New Roman"/>
          <w:sz w:val="32"/>
          <w:szCs w:val="28"/>
          <w:lang w:val="en-US" w:eastAsia="zh-CN"/>
        </w:rPr>
      </w:pPr>
      <w:r>
        <w:rPr>
          <w:rFonts w:hint="eastAsia" w:ascii="仿宋_GB2312" w:hAnsi="仿宋_GB2312" w:eastAsia="仿宋_GB2312" w:cs="宋体"/>
          <w:sz w:val="32"/>
          <w:szCs w:val="28"/>
        </w:rPr>
        <w:t>电话：</w:t>
      </w:r>
      <w:r>
        <w:rPr>
          <w:rFonts w:ascii="仿宋_GB2312" w:hAnsi="仿宋_GB2312" w:eastAsia="仿宋_GB2312" w:cs="Times New Roman"/>
          <w:sz w:val="32"/>
          <w:szCs w:val="28"/>
        </w:rPr>
        <w:t>0839-</w:t>
      </w:r>
      <w:r>
        <w:rPr>
          <w:rFonts w:ascii="仿宋_GB2312" w:hAnsi="仿宋_GB2312" w:eastAsia="仿宋_GB2312" w:cs="宋体"/>
          <w:sz w:val="32"/>
          <w:szCs w:val="28"/>
        </w:rPr>
        <w:t>5208429电话：0839-5208080</w:t>
      </w:r>
    </w:p>
    <w:p>
      <w:pPr>
        <w:keepNext w:val="0"/>
        <w:keepLines w:val="0"/>
        <w:pageBreakBefore w:val="0"/>
        <w:numPr>
          <w:ilvl w:val="0"/>
          <w:numId w:val="0"/>
        </w:numPr>
        <w:kinsoku/>
        <w:wordWrap/>
        <w:overflowPunct/>
        <w:topLinePunct w:val="0"/>
        <w:autoSpaceDN/>
        <w:bidi w:val="0"/>
        <w:spacing w:line="560" w:lineRule="exact"/>
        <w:ind w:firstLine="640" w:firstLineChars="200"/>
        <w:rPr>
          <w:rFonts w:ascii="??_GB2312" w:hAnsi="??_GB2312" w:eastAsia="Times New Roman" w:cs="Times New Roman"/>
          <w:sz w:val="32"/>
          <w:szCs w:val="32"/>
        </w:rPr>
      </w:pPr>
      <w:r>
        <w:rPr>
          <w:rFonts w:hint="eastAsia" w:ascii="宋体" w:hAnsi="宋体" w:eastAsia="仿宋_GB2312" w:cs="宋体"/>
          <w:sz w:val="32"/>
          <w:szCs w:val="32"/>
          <w:lang w:eastAsia="zh-CN"/>
        </w:rPr>
        <w:t>（三）</w:t>
      </w:r>
      <w:r>
        <w:rPr>
          <w:rFonts w:hint="eastAsia" w:ascii="宋体" w:hAnsi="宋体" w:eastAsia="仿宋_GB2312" w:cs="宋体"/>
          <w:sz w:val="32"/>
          <w:szCs w:val="32"/>
        </w:rPr>
        <w:t>对行政执法的监督投诉举报的方式、途径</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rPr>
        <w:t>单位：</w:t>
      </w:r>
      <w:r>
        <w:rPr>
          <w:rFonts w:hint="eastAsia" w:ascii="仿宋_GB2312" w:hAnsi="仿宋_GB2312" w:eastAsia="仿宋_GB2312" w:cs="宋体"/>
          <w:sz w:val="32"/>
          <w:szCs w:val="32"/>
          <w:lang w:eastAsia="zh-CN"/>
        </w:rPr>
        <w:t>剑阁县司法局</w:t>
      </w:r>
    </w:p>
    <w:p>
      <w:pPr>
        <w:keepNext w:val="0"/>
        <w:keepLines w:val="0"/>
        <w:pageBreakBefore w:val="0"/>
        <w:kinsoku/>
        <w:wordWrap/>
        <w:overflowPunct/>
        <w:topLinePunct w:val="0"/>
        <w:autoSpaceDN/>
        <w:bidi w:val="0"/>
        <w:spacing w:line="560" w:lineRule="exact"/>
        <w:ind w:left="638" w:leftChars="304" w:firstLine="0" w:firstLineChars="0"/>
        <w:rPr>
          <w:rFonts w:hint="eastAsia" w:ascii="仿宋_GB2312" w:hAnsi="仿宋_GB2312" w:eastAsia="仿宋_GB2312" w:cs="Times New Roman"/>
          <w:sz w:val="32"/>
          <w:szCs w:val="28"/>
          <w:lang w:eastAsia="zh-CN"/>
        </w:rPr>
      </w:pPr>
      <w:r>
        <w:rPr>
          <w:rFonts w:hint="eastAsia" w:ascii="仿宋_GB2312" w:hAnsi="仿宋_GB2312" w:eastAsia="仿宋_GB2312" w:cs="宋体"/>
          <w:sz w:val="32"/>
          <w:szCs w:val="32"/>
          <w:lang w:val="en-US" w:eastAsia="zh-CN"/>
        </w:rPr>
        <w:t>地址：剑阁县司法局</w:t>
      </w:r>
      <w:r>
        <w:rPr>
          <w:rFonts w:ascii="仿宋_GB2312" w:hAnsi="仿宋_GB2312" w:eastAsia="仿宋_GB2312" w:cs="宋体"/>
          <w:sz w:val="32"/>
          <w:szCs w:val="24"/>
        </w:rPr>
        <w:t>行政执法协调监督股</w:t>
      </w:r>
      <w:r>
        <w:rPr>
          <w:rFonts w:hint="eastAsia" w:ascii="仿宋_GB2312" w:hAnsi="仿宋_GB2312" w:eastAsia="仿宋_GB2312" w:cs="宋体"/>
          <w:sz w:val="32"/>
          <w:szCs w:val="24"/>
          <w:lang w:eastAsia="zh-CN"/>
        </w:rPr>
        <w:t>（</w:t>
      </w:r>
      <w:r>
        <w:rPr>
          <w:rFonts w:ascii="仿宋_GB2312" w:hAnsi="仿宋_GB2312" w:eastAsia="仿宋_GB2312" w:cs="宋体"/>
          <w:sz w:val="32"/>
          <w:szCs w:val="24"/>
        </w:rPr>
        <w:t>司法局二楼</w:t>
      </w:r>
      <w:r>
        <w:rPr>
          <w:rFonts w:hint="eastAsia" w:ascii="仿宋_GB2312" w:hAnsi="仿宋_GB2312" w:eastAsia="仿宋_GB2312" w:cs="宋体"/>
          <w:sz w:val="32"/>
          <w:szCs w:val="24"/>
          <w:lang w:eastAsia="zh-CN"/>
        </w:rPr>
        <w:t>）</w:t>
      </w:r>
      <w:r>
        <w:rPr>
          <w:rFonts w:ascii="仿宋_GB2312" w:hAnsi="仿宋_GB2312" w:eastAsia="仿宋_GB2312" w:cs="宋体"/>
          <w:sz w:val="32"/>
          <w:szCs w:val="24"/>
        </w:rPr>
        <w:t>电话：0839-5208080</w:t>
      </w:r>
    </w:p>
    <w:p>
      <w:pPr>
        <w:keepNext w:val="0"/>
        <w:keepLines w:val="0"/>
        <w:pageBreakBefore w:val="0"/>
        <w:kinsoku/>
        <w:wordWrap/>
        <w:overflowPunct/>
        <w:topLinePunct w:val="0"/>
        <w:autoSpaceDN/>
        <w:bidi w:val="0"/>
        <w:spacing w:line="560" w:lineRule="exact"/>
        <w:ind w:firstLine="642" w:firstLineChars="200"/>
        <w:rPr>
          <w:rFonts w:ascii="??_GB2312" w:hAnsi="??_GB2312" w:eastAsia="仿宋_GB2312" w:cs="Times New Roman"/>
          <w:b/>
          <w:bCs/>
          <w:sz w:val="32"/>
          <w:szCs w:val="32"/>
        </w:rPr>
      </w:pPr>
      <w:r>
        <w:rPr>
          <w:rFonts w:hint="eastAsia" w:ascii="宋体" w:hAnsi="宋体" w:eastAsia="仿宋_GB2312" w:cs="宋体"/>
          <w:b/>
          <w:bCs/>
          <w:sz w:val="32"/>
          <w:szCs w:val="32"/>
        </w:rPr>
        <w:t>行政执法责任制</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《国务院办公厅关于推行行政执法责任制的若干意见》（国办发〔</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sz w:val="32"/>
          <w:szCs w:val="32"/>
        </w:rPr>
        <w:t>37</w:t>
      </w:r>
      <w:r>
        <w:rPr>
          <w:rFonts w:hint="eastAsia" w:ascii="仿宋_GB2312" w:hAnsi="仿宋_GB2312" w:eastAsia="仿宋_GB2312" w:cs="宋体"/>
          <w:sz w:val="32"/>
          <w:szCs w:val="32"/>
        </w:rPr>
        <w:t>号）</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宋体"/>
          <w:sz w:val="32"/>
          <w:szCs w:val="32"/>
        </w:rPr>
        <w:t>《四川省人民政府办公厅关于深化行政执法责任制的实施意见》</w:t>
      </w:r>
      <w:r>
        <w:rPr>
          <w:rFonts w:ascii="仿宋_GB2312" w:hAnsi="仿宋_GB2312" w:eastAsia="仿宋_GB2312" w:cs="Times New Roman"/>
          <w:sz w:val="32"/>
          <w:szCs w:val="32"/>
        </w:rPr>
        <w:t>(</w:t>
      </w:r>
      <w:r>
        <w:rPr>
          <w:rFonts w:hint="eastAsia" w:ascii="仿宋_GB2312" w:hAnsi="仿宋_GB2312" w:eastAsia="仿宋_GB2312" w:cs="宋体"/>
          <w:sz w:val="32"/>
          <w:szCs w:val="32"/>
        </w:rPr>
        <w:t>川办发〔</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sz w:val="32"/>
          <w:szCs w:val="32"/>
        </w:rPr>
        <w:t>36</w:t>
      </w:r>
      <w:r>
        <w:rPr>
          <w:rFonts w:hint="eastAsia" w:ascii="仿宋_GB2312" w:hAnsi="仿宋_GB2312" w:eastAsia="仿宋_GB2312" w:cs="宋体"/>
          <w:sz w:val="32"/>
          <w:szCs w:val="32"/>
        </w:rPr>
        <w:t>号</w:t>
      </w:r>
      <w:r>
        <w:rPr>
          <w:rFonts w:ascii="仿宋_GB2312" w:hAnsi="仿宋_GB2312" w:eastAsia="仿宋_GB2312" w:cs="Times New Roman"/>
          <w:sz w:val="32"/>
          <w:szCs w:val="32"/>
        </w:rPr>
        <w:t>)</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《四川省落实行政执法责任制全面推进依法行政考核办法》</w:t>
      </w:r>
      <w:r>
        <w:rPr>
          <w:rFonts w:ascii="仿宋_GB2312" w:hAnsi="仿宋_GB2312" w:eastAsia="仿宋_GB2312" w:cs="Times New Roman"/>
          <w:b w:val="0"/>
          <w:sz w:val="32"/>
          <w:szCs w:val="32"/>
        </w:rPr>
        <w:t>(</w:t>
      </w:r>
      <w:r>
        <w:rPr>
          <w:rFonts w:hint="eastAsia" w:ascii="仿宋_GB2312" w:hAnsi="仿宋_GB2312" w:eastAsia="仿宋_GB2312" w:cs="宋体"/>
          <w:b w:val="0"/>
          <w:sz w:val="32"/>
          <w:szCs w:val="32"/>
        </w:rPr>
        <w:t>川府法</w:t>
      </w:r>
      <w:r>
        <w:rPr>
          <w:rFonts w:hint="eastAsia" w:ascii="仿宋_GB2312" w:hAnsi="仿宋_GB2312" w:eastAsia="仿宋_GB2312" w:cs="宋体"/>
          <w:sz w:val="32"/>
          <w:szCs w:val="32"/>
        </w:rPr>
        <w:t>〔</w:t>
      </w:r>
      <w:r>
        <w:rPr>
          <w:rFonts w:ascii="仿宋_GB2312" w:hAnsi="仿宋_GB2312" w:eastAsia="仿宋_GB2312" w:cs="Times New Roman"/>
          <w:sz w:val="32"/>
          <w:szCs w:val="32"/>
        </w:rPr>
        <w:t>2005</w:t>
      </w:r>
      <w:r>
        <w:rPr>
          <w:rFonts w:hint="eastAsia" w:ascii="仿宋_GB2312" w:hAnsi="仿宋_GB2312" w:eastAsia="仿宋_GB2312" w:cs="宋体"/>
          <w:sz w:val="32"/>
          <w:szCs w:val="32"/>
        </w:rPr>
        <w:t>〕</w:t>
      </w:r>
      <w:r>
        <w:rPr>
          <w:rFonts w:ascii="仿宋_GB2312" w:hAnsi="仿宋_GB2312" w:eastAsia="仿宋_GB2312" w:cs="Times New Roman"/>
          <w:b w:val="0"/>
          <w:sz w:val="32"/>
          <w:szCs w:val="32"/>
        </w:rPr>
        <w:t>24</w:t>
      </w:r>
      <w:r>
        <w:rPr>
          <w:rFonts w:hint="eastAsia" w:ascii="仿宋_GB2312" w:hAnsi="仿宋_GB2312" w:eastAsia="仿宋_GB2312" w:cs="宋体"/>
          <w:b w:val="0"/>
          <w:sz w:val="32"/>
          <w:szCs w:val="32"/>
        </w:rPr>
        <w:t>号</w:t>
      </w:r>
      <w:r>
        <w:rPr>
          <w:rFonts w:ascii="仿宋_GB2312" w:hAnsi="仿宋_GB2312" w:eastAsia="仿宋_GB2312" w:cs="Times New Roman"/>
          <w:b w:val="0"/>
          <w:sz w:val="32"/>
          <w:szCs w:val="32"/>
        </w:rPr>
        <w:t>)</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四川省行政执法监督条例</w:t>
      </w:r>
    </w:p>
    <w:p>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Times New Roman"/>
          <w:b w:val="0"/>
          <w:sz w:val="32"/>
          <w:szCs w:val="32"/>
        </w:rPr>
      </w:pPr>
      <w:r>
        <w:rPr>
          <w:rFonts w:hint="eastAsia" w:ascii="仿宋_GB2312" w:hAnsi="仿宋_GB2312" w:eastAsia="仿宋_GB2312" w:cs="宋体"/>
          <w:b w:val="0"/>
          <w:sz w:val="32"/>
          <w:szCs w:val="32"/>
        </w:rPr>
        <w:t>行政机关公务员处分条例</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宋体"/>
          <w:b w:val="0"/>
          <w:sz w:val="32"/>
          <w:szCs w:val="32"/>
          <w:lang w:eastAsia="zh-CN"/>
        </w:rPr>
      </w:pPr>
      <w:r>
        <w:rPr>
          <w:rFonts w:hint="eastAsia" w:ascii="仿宋_GB2312" w:hAnsi="仿宋_GB2312" w:eastAsia="仿宋_GB2312" w:cs="宋体"/>
          <w:b w:val="0"/>
          <w:sz w:val="32"/>
          <w:szCs w:val="32"/>
        </w:rPr>
        <w:t>事业单位工作人员处分暂行规</w:t>
      </w:r>
      <w:r>
        <w:rPr>
          <w:rFonts w:hint="eastAsia" w:ascii="仿宋_GB2312" w:hAnsi="仿宋_GB2312" w:eastAsia="仿宋_GB2312" w:cs="宋体"/>
          <w:b w:val="0"/>
          <w:sz w:val="32"/>
          <w:szCs w:val="32"/>
          <w:lang w:eastAsia="zh-CN"/>
        </w:rPr>
        <w:t>定</w:t>
      </w:r>
    </w:p>
    <w:p>
      <w:pPr>
        <w:keepNext w:val="0"/>
        <w:keepLines w:val="0"/>
        <w:pageBreakBefore w:val="0"/>
        <w:kinsoku/>
        <w:wordWrap/>
        <w:overflowPunct/>
        <w:topLinePunct w:val="0"/>
        <w:autoSpaceDN/>
        <w:bidi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六、剑阁</w:t>
      </w:r>
      <w:r>
        <w:rPr>
          <w:rFonts w:hint="eastAsia" w:ascii="黑体" w:hAnsi="黑体" w:eastAsia="黑体" w:cs="黑体"/>
          <w:sz w:val="32"/>
          <w:szCs w:val="32"/>
          <w:lang w:eastAsia="zh-CN"/>
        </w:rPr>
        <w:t>县商务和经济合作</w:t>
      </w:r>
      <w:r>
        <w:rPr>
          <w:rFonts w:hint="eastAsia" w:ascii="黑体" w:hAnsi="黑体" w:eastAsia="黑体" w:cs="黑体"/>
          <w:sz w:val="32"/>
          <w:szCs w:val="32"/>
        </w:rPr>
        <w:t>局行政执法自由裁量标准</w:t>
      </w:r>
    </w:p>
    <w:p>
      <w:pPr>
        <w:keepNext w:val="0"/>
        <w:keepLines w:val="0"/>
        <w:pageBreakBefore w:val="0"/>
        <w:kinsoku/>
        <w:wordWrap/>
        <w:overflowPunct/>
        <w:topLinePunct w:val="0"/>
        <w:autoSpaceDN/>
        <w:bidi w:val="0"/>
        <w:spacing w:line="560" w:lineRule="exact"/>
        <w:ind w:firstLine="640" w:firstLineChars="200"/>
        <w:jc w:val="left"/>
        <w:rPr>
          <w:rFonts w:ascii="仿宋_GB2312" w:hAnsi="仿宋_GB2312" w:eastAsia="仿宋_GB2312" w:cs="宋体"/>
          <w:sz w:val="32"/>
          <w:szCs w:val="24"/>
        </w:rPr>
      </w:pPr>
      <w:r>
        <w:rPr>
          <w:rFonts w:ascii="仿宋_GB2312" w:hAnsi="仿宋_GB2312" w:eastAsia="仿宋_GB2312" w:cs="宋体"/>
          <w:sz w:val="32"/>
          <w:szCs w:val="24"/>
        </w:rPr>
        <w:t>《四川省规范行政执法裁量权规定》四川省人民政府令第278号公布2014年5月17日</w:t>
      </w:r>
    </w:p>
    <w:p>
      <w:pPr>
        <w:keepNext w:val="0"/>
        <w:keepLines w:val="0"/>
        <w:pageBreakBefore w:val="0"/>
        <w:kinsoku/>
        <w:wordWrap/>
        <w:overflowPunct/>
        <w:topLinePunct w:val="0"/>
        <w:autoSpaceDN/>
        <w:bidi w:val="0"/>
        <w:spacing w:line="560" w:lineRule="exact"/>
        <w:ind w:firstLine="640" w:firstLineChars="200"/>
        <w:rPr>
          <w:rFonts w:hint="eastAsia" w:ascii="仿宋_GB2312" w:hAnsi="仿宋_GB2312" w:eastAsia="仿宋_GB2312" w:cs="黑体"/>
          <w:b w:val="0"/>
          <w:bCs/>
          <w:sz w:val="32"/>
          <w:szCs w:val="52"/>
          <w:lang w:val="en-US" w:eastAsia="zh-CN"/>
        </w:rPr>
      </w:pPr>
      <w:r>
        <w:rPr>
          <w:rFonts w:hint="eastAsia" w:ascii="仿宋_GB2312" w:hAnsi="仿宋_GB2312" w:eastAsia="仿宋_GB2312" w:cs="黑体"/>
          <w:b w:val="0"/>
          <w:bCs/>
          <w:sz w:val="32"/>
          <w:szCs w:val="52"/>
          <w:lang w:eastAsia="zh-CN"/>
        </w:rPr>
        <w:t>《剑阁县商务局行政权力裁量权标准实施办法</w:t>
      </w:r>
      <w:r>
        <w:rPr>
          <w:rFonts w:ascii="仿宋_GB2312" w:hAnsi="仿宋_GB2312" w:eastAsia="仿宋_GB2312" w:cs="宋体"/>
          <w:sz w:val="32"/>
          <w:szCs w:val="24"/>
        </w:rPr>
        <w:t>》</w:t>
      </w:r>
      <w:r>
        <w:rPr>
          <w:rFonts w:hint="eastAsia" w:ascii="仿宋_GB2312" w:hAnsi="仿宋_GB2312" w:eastAsia="仿宋_GB2312" w:cs="黑体"/>
          <w:b w:val="0"/>
          <w:bCs/>
          <w:sz w:val="32"/>
          <w:szCs w:val="52"/>
          <w:lang w:val="en-US" w:eastAsia="zh-CN"/>
        </w:rPr>
        <w:t>2016年12月19日</w:t>
      </w:r>
    </w:p>
    <w:p>
      <w:pPr>
        <w:pStyle w:val="2"/>
        <w:rPr>
          <w:rFonts w:hint="eastAsia" w:ascii="仿宋_GB2312" w:hAnsi="仿宋_GB2312" w:eastAsia="仿宋_GB2312" w:cs="黑体"/>
          <w:b w:val="0"/>
          <w:bCs/>
          <w:sz w:val="32"/>
          <w:szCs w:val="52"/>
          <w:lang w:val="en-US" w:eastAsia="zh-CN"/>
        </w:rPr>
      </w:pPr>
    </w:p>
    <w:p>
      <w:pPr>
        <w:pStyle w:val="2"/>
        <w:rPr>
          <w:rFonts w:hint="eastAsia" w:ascii="仿宋_GB2312" w:hAnsi="仿宋_GB2312" w:eastAsia="仿宋_GB2312" w:cs="黑体"/>
          <w:b w:val="0"/>
          <w:bCs/>
          <w:sz w:val="32"/>
          <w:szCs w:val="52"/>
          <w:lang w:val="en-US" w:eastAsia="zh-CN"/>
        </w:rPr>
        <w:sectPr>
          <w:pgSz w:w="11906" w:h="16838"/>
          <w:pgMar w:top="2098" w:right="1474" w:bottom="1814" w:left="1587"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黑体" w:cs="黑体"/>
          <w:sz w:val="32"/>
          <w:szCs w:val="32"/>
        </w:rPr>
      </w:pPr>
      <w:r>
        <w:rPr>
          <w:rFonts w:hint="eastAsia" w:ascii="仿宋_GB2312" w:hAnsi="仿宋_GB2312" w:eastAsia="黑体" w:cs="黑体"/>
          <w:sz w:val="30"/>
          <w:szCs w:val="32"/>
        </w:rPr>
        <w:t>剑阁</w:t>
      </w:r>
      <w:r>
        <w:rPr>
          <w:rFonts w:hint="eastAsia" w:ascii="仿宋_GB2312" w:hAnsi="仿宋_GB2312" w:eastAsia="黑体" w:cs="黑体"/>
          <w:sz w:val="30"/>
          <w:szCs w:val="32"/>
          <w:lang w:eastAsia="zh-CN"/>
        </w:rPr>
        <w:t>县商务和经济合作</w:t>
      </w:r>
      <w:r>
        <w:rPr>
          <w:rFonts w:hint="eastAsia" w:ascii="仿宋_GB2312" w:hAnsi="仿宋_GB2312" w:eastAsia="黑体" w:cs="黑体"/>
          <w:sz w:val="30"/>
          <w:szCs w:val="32"/>
        </w:rPr>
        <w:t>局随机抽查事项清单、市场主体库（检查对象名录库）、</w:t>
      </w:r>
      <w:r>
        <w:rPr>
          <w:rFonts w:ascii="仿宋_GB2312" w:hAnsi="仿宋_GB2312" w:eastAsia="黑体" w:cs="黑体"/>
          <w:sz w:val="30"/>
          <w:szCs w:val="32"/>
        </w:rPr>
        <w:t>202</w:t>
      </w:r>
      <w:r>
        <w:rPr>
          <w:rFonts w:hint="eastAsia" w:ascii="仿宋_GB2312" w:hAnsi="仿宋_GB2312" w:eastAsia="黑体" w:cs="黑体"/>
          <w:sz w:val="30"/>
          <w:szCs w:val="32"/>
          <w:lang w:val="en-US" w:eastAsia="zh-CN"/>
        </w:rPr>
        <w:t>2</w:t>
      </w:r>
      <w:r>
        <w:rPr>
          <w:rFonts w:hint="eastAsia" w:ascii="仿宋_GB2312" w:hAnsi="仿宋_GB2312" w:eastAsia="黑体" w:cs="黑体"/>
          <w:sz w:val="30"/>
          <w:szCs w:val="32"/>
        </w:rPr>
        <w:t>年抽查计划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楷体" w:hAnsi="楷体" w:eastAsia="楷体" w:cs="楷体"/>
          <w:sz w:val="32"/>
          <w:szCs w:val="32"/>
        </w:rPr>
        <w:t>1、县</w:t>
      </w:r>
      <w:r>
        <w:rPr>
          <w:rFonts w:hint="eastAsia" w:ascii="楷体" w:hAnsi="楷体" w:eastAsia="楷体" w:cs="楷体"/>
          <w:sz w:val="32"/>
          <w:szCs w:val="32"/>
          <w:lang w:eastAsia="zh-CN"/>
        </w:rPr>
        <w:t>商务和经济合作</w:t>
      </w:r>
      <w:r>
        <w:rPr>
          <w:rFonts w:hint="eastAsia" w:ascii="楷体" w:hAnsi="楷体" w:eastAsia="楷体" w:cs="楷体"/>
          <w:sz w:val="32"/>
          <w:szCs w:val="32"/>
        </w:rPr>
        <w:t>局随机抽查检查事项清单</w:t>
      </w:r>
    </w:p>
    <w:tbl>
      <w:tblPr>
        <w:tblStyle w:val="7"/>
        <w:tblpPr w:leftFromText="180" w:rightFromText="180" w:vertAnchor="text" w:horzAnchor="page" w:tblpX="766" w:tblpY="434"/>
        <w:tblOverlap w:val="never"/>
        <w:tblW w:w="1588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5"/>
        <w:gridCol w:w="915"/>
        <w:gridCol w:w="630"/>
        <w:gridCol w:w="8432"/>
        <w:gridCol w:w="643"/>
        <w:gridCol w:w="2638"/>
        <w:gridCol w:w="840"/>
        <w:gridCol w:w="714"/>
        <w:gridCol w:w="5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0" w:hRule="atLeast"/>
          <w:tblHeader/>
        </w:trPr>
        <w:tc>
          <w:tcPr>
            <w:tcW w:w="56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序号</w:t>
            </w:r>
          </w:p>
        </w:tc>
        <w:tc>
          <w:tcPr>
            <w:tcW w:w="91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抽查事</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项名称</w:t>
            </w:r>
          </w:p>
        </w:tc>
        <w:tc>
          <w:tcPr>
            <w:tcW w:w="63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检查</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lang w:val="en-US" w:eastAsia="zh-CN"/>
              </w:rPr>
              <w:t>主</w:t>
            </w:r>
            <w:r>
              <w:rPr>
                <w:rFonts w:hint="eastAsia" w:asciiTheme="minorEastAsia" w:hAnsiTheme="minorEastAsia" w:eastAsiaTheme="minorEastAsia" w:cstheme="minorEastAsia"/>
                <w:b/>
                <w:bCs/>
                <w:sz w:val="20"/>
                <w:szCs w:val="20"/>
              </w:rPr>
              <w:t>体</w:t>
            </w:r>
          </w:p>
        </w:tc>
        <w:tc>
          <w:tcPr>
            <w:tcW w:w="8432"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检查依据</w:t>
            </w:r>
          </w:p>
        </w:tc>
        <w:tc>
          <w:tcPr>
            <w:tcW w:w="643"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lang w:val="en-US" w:eastAsia="zh-CN"/>
              </w:rPr>
              <w:t>检</w:t>
            </w:r>
            <w:r>
              <w:rPr>
                <w:rFonts w:hint="eastAsia" w:asciiTheme="minorEastAsia" w:hAnsiTheme="minorEastAsia" w:eastAsiaTheme="minorEastAsia" w:cstheme="minorEastAsia"/>
                <w:b/>
                <w:bCs/>
                <w:sz w:val="20"/>
                <w:szCs w:val="20"/>
              </w:rPr>
              <w:t>查对象</w:t>
            </w:r>
          </w:p>
        </w:tc>
        <w:tc>
          <w:tcPr>
            <w:tcW w:w="263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检查内容</w:t>
            </w:r>
          </w:p>
        </w:tc>
        <w:tc>
          <w:tcPr>
            <w:tcW w:w="84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抽查</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比例</w:t>
            </w:r>
          </w:p>
        </w:tc>
        <w:tc>
          <w:tcPr>
            <w:tcW w:w="714"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检查方式</w:t>
            </w:r>
          </w:p>
        </w:tc>
        <w:tc>
          <w:tcPr>
            <w:tcW w:w="50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39" w:hRule="atLeast"/>
        </w:trPr>
        <w:tc>
          <w:tcPr>
            <w:tcW w:w="56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91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对餐饮</w:t>
            </w:r>
            <w:r>
              <w:rPr>
                <w:rFonts w:hint="eastAsia" w:asciiTheme="minorEastAsia" w:hAnsiTheme="minorEastAsia" w:eastAsiaTheme="minorEastAsia" w:cstheme="minorEastAsia"/>
                <w:kern w:val="0"/>
                <w:sz w:val="18"/>
                <w:szCs w:val="18"/>
                <w:lang w:eastAsia="zh-CN"/>
              </w:rPr>
              <w:t>和住宿</w:t>
            </w:r>
            <w:r>
              <w:rPr>
                <w:rFonts w:hint="eastAsia" w:asciiTheme="minorEastAsia" w:hAnsiTheme="minorEastAsia" w:eastAsiaTheme="minorEastAsia" w:cstheme="minorEastAsia"/>
                <w:kern w:val="0"/>
                <w:sz w:val="18"/>
                <w:szCs w:val="18"/>
              </w:rPr>
              <w:t>业的监管检查</w:t>
            </w:r>
          </w:p>
        </w:tc>
        <w:tc>
          <w:tcPr>
            <w:tcW w:w="630" w:type="dxa"/>
            <w:tcBorders>
              <w:tl2br w:val="nil"/>
              <w:tr2bl w:val="nil"/>
            </w:tcBorders>
            <w:vAlign w:val="center"/>
          </w:tcPr>
          <w:p>
            <w:pPr>
              <w:keepNext w:val="0"/>
              <w:keepLines w:val="0"/>
              <w:pageBreakBefore w:val="0"/>
              <w:widowControl/>
              <w:kinsoku/>
              <w:wordWrap/>
              <w:overflowPunct/>
              <w:topLinePunct w:val="0"/>
              <w:autoSpaceDN/>
              <w:bidi w:val="0"/>
              <w:spacing w:line="5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剑阁县</w:t>
            </w:r>
            <w:r>
              <w:rPr>
                <w:rFonts w:hint="eastAsia" w:asciiTheme="minorEastAsia" w:hAnsiTheme="minorEastAsia" w:eastAsiaTheme="minorEastAsia" w:cstheme="minorEastAsia"/>
                <w:sz w:val="18"/>
                <w:szCs w:val="18"/>
                <w:lang w:eastAsia="zh-CN"/>
              </w:rPr>
              <w:t>商务和经济合作局</w:t>
            </w:r>
          </w:p>
        </w:tc>
        <w:tc>
          <w:tcPr>
            <w:tcW w:w="8432" w:type="dxa"/>
            <w:tcBorders>
              <w:tl2br w:val="nil"/>
              <w:tr2bl w:val="nil"/>
            </w:tcBorders>
            <w:vAlign w:val="top"/>
          </w:tcPr>
          <w:p>
            <w:pPr>
              <w:keepNext w:val="0"/>
              <w:keepLines w:val="0"/>
              <w:pageBreakBefore w:val="0"/>
              <w:kinsoku/>
              <w:wordWrap/>
              <w:overflowPunct/>
              <w:topLinePunct w:val="0"/>
              <w:autoSpaceDN/>
              <w:bidi w:val="0"/>
              <w:adjustRightInd w:val="0"/>
              <w:snapToGrid w:val="0"/>
              <w:spacing w:line="560" w:lineRule="exact"/>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餐饮业经营管理办法（试行）》（国家发展改革委商务部令2014年第4号）第三条商务部负责全国餐饮行业管理工作，制定行业规划、政策和标准，开展行业统计，规范行业秩序。地方各级人民政府商务主管部门负责本行政区域内餐饮业行业管理工作。</w:t>
            </w:r>
          </w:p>
          <w:p>
            <w:pPr>
              <w:keepNext w:val="0"/>
              <w:keepLines w:val="0"/>
              <w:pageBreakBefore w:val="0"/>
              <w:kinsoku/>
              <w:wordWrap/>
              <w:overflowPunct/>
              <w:topLinePunct w:val="0"/>
              <w:autoSpaceDN/>
              <w:bidi w:val="0"/>
              <w:adjustRightInd w:val="0"/>
              <w:snapToGrid w:val="0"/>
              <w:spacing w:line="560" w:lineRule="exact"/>
              <w:ind w:firstLine="360" w:firstLineChars="20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第二十一条商务、价格等主管部门依照法律法规、规章及有关规定，在各自职责范围内对餐饮业经营行为进行监督管理。</w:t>
            </w:r>
          </w:p>
          <w:p>
            <w:pPr>
              <w:keepNext w:val="0"/>
              <w:keepLines w:val="0"/>
              <w:pageBreakBefore w:val="0"/>
              <w:kinsoku/>
              <w:wordWrap/>
              <w:overflowPunct/>
              <w:topLinePunct w:val="0"/>
              <w:autoSpaceDN/>
              <w:bidi w:val="0"/>
              <w:adjustRightInd w:val="0"/>
              <w:snapToGrid w:val="0"/>
              <w:spacing w:line="560" w:lineRule="exact"/>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商务、价格等主管部门应当自作出行政处罚决定之日起20个工作日内，公开行政处罚决定书的主要内容，但行政处罚决定书中涉及国家秘密、商业秘密、个人隐私的内容依法不予公开。</w:t>
            </w:r>
          </w:p>
        </w:tc>
        <w:tc>
          <w:tcPr>
            <w:tcW w:w="643" w:type="dxa"/>
            <w:tcBorders>
              <w:tl2br w:val="nil"/>
              <w:tr2bl w:val="nil"/>
            </w:tcBorders>
            <w:vAlign w:val="center"/>
          </w:tcPr>
          <w:p>
            <w:pPr>
              <w:keepNext w:val="0"/>
              <w:keepLines w:val="0"/>
              <w:pageBreakBefore w:val="0"/>
              <w:widowControl/>
              <w:suppressLineNumbers w:val="0"/>
              <w:kinsoku/>
              <w:wordWrap/>
              <w:overflowPunct/>
              <w:topLinePunct w:val="0"/>
              <w:autoSpaceDN/>
              <w:bidi w:val="0"/>
              <w:spacing w:line="560" w:lineRule="exact"/>
              <w:jc w:val="center"/>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18"/>
                <w:szCs w:val="18"/>
                <w:u w:val="none"/>
                <w:lang w:val="en-US" w:eastAsia="zh-CN" w:bidi="ar"/>
              </w:rPr>
              <w:t>餐饮企业</w:t>
            </w:r>
          </w:p>
        </w:tc>
        <w:tc>
          <w:tcPr>
            <w:tcW w:w="263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是否建立节俭消费提示提醒制度，在醒目位置张贴节约标识;二.是否按规定处置餐厨废弃物，进行资源化利用；三.是否按规定不设置最低消费；四.是否按照按照规定销售符合国家产品质量及食品安全强制标准的食品；五.是否按照国务院价格主管部门的规定进行食品或服务项目标价。</w:t>
            </w:r>
          </w:p>
        </w:tc>
        <w:tc>
          <w:tcPr>
            <w:tcW w:w="84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70</w:t>
            </w:r>
            <w:r>
              <w:rPr>
                <w:rFonts w:hint="eastAsia" w:asciiTheme="minorEastAsia" w:hAnsiTheme="minorEastAsia" w:eastAsiaTheme="minorEastAsia" w:cstheme="minorEastAsia"/>
                <w:sz w:val="18"/>
                <w:szCs w:val="18"/>
              </w:rPr>
              <w:t>%</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p>
        </w:tc>
        <w:tc>
          <w:tcPr>
            <w:tcW w:w="714"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检查生产现场与查阅资料相结合的方式</w:t>
            </w:r>
          </w:p>
        </w:tc>
        <w:tc>
          <w:tcPr>
            <w:tcW w:w="508" w:type="dxa"/>
            <w:tcBorders>
              <w:tl2br w:val="nil"/>
              <w:tr2bl w:val="nil"/>
            </w:tcBorders>
            <w:vAlign w:val="top"/>
          </w:tcPr>
          <w:p>
            <w:pPr>
              <w:keepNext w:val="0"/>
              <w:keepLines w:val="0"/>
              <w:pageBreakBefore w:val="0"/>
              <w:kinsoku/>
              <w:wordWrap/>
              <w:overflowPunct/>
              <w:topLinePunct w:val="0"/>
              <w:autoSpaceDN/>
              <w:bidi w:val="0"/>
              <w:spacing w:line="560" w:lineRule="exact"/>
              <w:ind w:right="320"/>
              <w:jc w:val="center"/>
              <w:rPr>
                <w:rFonts w:hint="eastAsia" w:ascii="宋体" w:hAnsi="宋体" w:eastAsia="宋体" w:cs="宋体"/>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05" w:hRule="atLeast"/>
        </w:trPr>
        <w:tc>
          <w:tcPr>
            <w:tcW w:w="56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lang w:val="en-US" w:eastAsia="zh-CN"/>
              </w:rPr>
              <w:t>序号</w:t>
            </w:r>
          </w:p>
        </w:tc>
        <w:tc>
          <w:tcPr>
            <w:tcW w:w="91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抽查事</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rPr>
              <w:t>项名称</w:t>
            </w:r>
          </w:p>
        </w:tc>
        <w:tc>
          <w:tcPr>
            <w:tcW w:w="63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检查</w:t>
            </w: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lang w:val="en-US" w:eastAsia="zh-CN"/>
              </w:rPr>
              <w:t>主</w:t>
            </w:r>
            <w:r>
              <w:rPr>
                <w:rFonts w:hint="eastAsia" w:asciiTheme="minorEastAsia" w:hAnsiTheme="minorEastAsia" w:eastAsiaTheme="minorEastAsia" w:cstheme="minorEastAsia"/>
                <w:b/>
                <w:bCs/>
                <w:sz w:val="20"/>
                <w:szCs w:val="20"/>
              </w:rPr>
              <w:t>体</w:t>
            </w:r>
          </w:p>
        </w:tc>
        <w:tc>
          <w:tcPr>
            <w:tcW w:w="8432"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检查依据</w:t>
            </w:r>
          </w:p>
        </w:tc>
        <w:tc>
          <w:tcPr>
            <w:tcW w:w="643"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lang w:val="en-US" w:eastAsia="zh-CN"/>
              </w:rPr>
              <w:t>检</w:t>
            </w:r>
            <w:r>
              <w:rPr>
                <w:rFonts w:hint="eastAsia" w:asciiTheme="minorEastAsia" w:hAnsiTheme="minorEastAsia" w:eastAsiaTheme="minorEastAsia" w:cstheme="minorEastAsia"/>
                <w:b/>
                <w:bCs/>
                <w:sz w:val="20"/>
                <w:szCs w:val="20"/>
              </w:rPr>
              <w:t>查对象</w:t>
            </w:r>
          </w:p>
        </w:tc>
        <w:tc>
          <w:tcPr>
            <w:tcW w:w="263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检查内容</w:t>
            </w:r>
          </w:p>
        </w:tc>
        <w:tc>
          <w:tcPr>
            <w:tcW w:w="84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抽查</w:t>
            </w:r>
          </w:p>
          <w:p>
            <w:pPr>
              <w:keepNext w:val="0"/>
              <w:keepLines w:val="0"/>
              <w:pageBreakBefore w:val="0"/>
              <w:kinsoku/>
              <w:wordWrap/>
              <w:overflowPunct/>
              <w:topLinePunct w:val="0"/>
              <w:autoSpaceDN/>
              <w:bidi w:val="0"/>
              <w:adjustRightInd w:val="0"/>
              <w:snapToGrid w:val="0"/>
              <w:spacing w:line="560" w:lineRule="exact"/>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rPr>
              <w:t>比例</w:t>
            </w:r>
          </w:p>
        </w:tc>
        <w:tc>
          <w:tcPr>
            <w:tcW w:w="714"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检查方式</w:t>
            </w:r>
          </w:p>
        </w:tc>
        <w:tc>
          <w:tcPr>
            <w:tcW w:w="50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90" w:hRule="atLeast"/>
        </w:trPr>
        <w:tc>
          <w:tcPr>
            <w:tcW w:w="56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915"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对发放单用途商业预付卡企业的监督</w:t>
            </w:r>
          </w:p>
        </w:tc>
        <w:tc>
          <w:tcPr>
            <w:tcW w:w="63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剑阁县</w:t>
            </w:r>
            <w:r>
              <w:rPr>
                <w:rFonts w:hint="eastAsia" w:asciiTheme="minorEastAsia" w:hAnsiTheme="minorEastAsia" w:eastAsiaTheme="minorEastAsia" w:cstheme="minorEastAsia"/>
                <w:sz w:val="18"/>
                <w:szCs w:val="18"/>
                <w:lang w:eastAsia="zh-CN"/>
              </w:rPr>
              <w:t>商务和经济合作局</w:t>
            </w:r>
          </w:p>
        </w:tc>
        <w:tc>
          <w:tcPr>
            <w:tcW w:w="8432"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《单用途商业预付卡管理办法（试行）》（商务部2012年第9号令）</w:t>
            </w:r>
          </w:p>
          <w:p>
            <w:pPr>
              <w:keepNext w:val="0"/>
              <w:keepLines w:val="0"/>
              <w:pageBreakBefore w:val="0"/>
              <w:kinsoku/>
              <w:wordWrap/>
              <w:overflowPunct/>
              <w:topLinePunct w:val="0"/>
              <w:autoSpaceDN/>
              <w:bidi w:val="0"/>
              <w:adjustRightInd w:val="0"/>
              <w:snapToGrid w:val="0"/>
              <w:spacing w:line="560" w:lineRule="exact"/>
              <w:ind w:firstLine="360" w:firstLineChars="20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pPr>
              <w:keepNext w:val="0"/>
              <w:keepLines w:val="0"/>
              <w:pageBreakBefore w:val="0"/>
              <w:kinsoku/>
              <w:wordWrap/>
              <w:overflowPunct/>
              <w:topLinePunct w:val="0"/>
              <w:autoSpaceDN/>
              <w:bidi w:val="0"/>
              <w:adjustRightInd w:val="0"/>
              <w:snapToGrid w:val="0"/>
              <w:spacing w:line="560" w:lineRule="exact"/>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第三十六条发卡企业违反本办法第七条规定的，由违法行为发生地县级以上地方人民政府商务主管部门责令限期改正；逾期仍不改正的，处以1万元以上3万元以下罚款</w:t>
            </w:r>
          </w:p>
          <w:p>
            <w:pPr>
              <w:keepNext w:val="0"/>
              <w:keepLines w:val="0"/>
              <w:pageBreakBefore w:val="0"/>
              <w:kinsoku/>
              <w:wordWrap/>
              <w:overflowPunct/>
              <w:topLinePunct w:val="0"/>
              <w:autoSpaceDN/>
              <w:bidi w:val="0"/>
              <w:adjustRightInd w:val="0"/>
              <w:snapToGrid w:val="0"/>
              <w:spacing w:line="560" w:lineRule="exact"/>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十七条发卡企业或售卡企业违反本办法第十四条至第二十二条规定的，由违法行为发生地县级以上地方人民政府商务主管部门责令限期改正；逾期仍不改正的，处以1万元以上3万元以下的罚款。发卡企业违反本办法第二十四至第二十七条、第三十一条规定的，由备案机关责令限期改正；逾期仍不改正的，处以1万元以上3万元以下的罚款。集团发卡企业、品牌发卡企业疏于管理，其隶属的售卡企业12个月内3次违反本办法规定受到行政处罚的，备案机关可以对企业处以3万元以下的罚款。</w:t>
            </w:r>
          </w:p>
          <w:p>
            <w:pPr>
              <w:keepNext w:val="0"/>
              <w:keepLines w:val="0"/>
              <w:pageBreakBefore w:val="0"/>
              <w:kinsoku/>
              <w:wordWrap/>
              <w:overflowPunct/>
              <w:topLinePunct w:val="0"/>
              <w:autoSpaceDN/>
              <w:bidi w:val="0"/>
              <w:adjustRightInd w:val="0"/>
              <w:snapToGrid w:val="0"/>
              <w:spacing w:line="560" w:lineRule="exact"/>
              <w:ind w:firstLine="360" w:firstLineChars="2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第三十八条发卡企业违反本办法第二十九条规定，造成重大损失的，由备案机关处以1万元以上3万元以下的罚款。</w:t>
            </w:r>
          </w:p>
        </w:tc>
        <w:tc>
          <w:tcPr>
            <w:tcW w:w="643"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单用途商业预付卡企业</w:t>
            </w:r>
          </w:p>
        </w:tc>
        <w:tc>
          <w:tcPr>
            <w:tcW w:w="263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发卡企业是否按照规定于商务主管部门进行备案；二.发卡企业或售卡企业是否按照要求公示或向购卡人提供单用途卡章程，并应购卡人人要求签订购卡协议；三.发卡企业或售卡企业是否按规定对超过有效期尚有资金余额的不记名卡提供激活、换卡等配套服务；四.发卡企业填报的信息是否准确、真实、完整。</w:t>
            </w:r>
          </w:p>
        </w:tc>
        <w:tc>
          <w:tcPr>
            <w:tcW w:w="840"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lang w:val="en-US" w:eastAsia="zh-CN"/>
              </w:rPr>
            </w:pPr>
          </w:p>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70</w:t>
            </w:r>
            <w:r>
              <w:rPr>
                <w:rFonts w:hint="eastAsia" w:asciiTheme="minorEastAsia" w:hAnsiTheme="minorEastAsia" w:eastAsiaTheme="minorEastAsia" w:cstheme="minorEastAsia"/>
                <w:sz w:val="18"/>
                <w:szCs w:val="18"/>
              </w:rPr>
              <w:t>%</w:t>
            </w:r>
          </w:p>
          <w:p>
            <w:pPr>
              <w:keepNext w:val="0"/>
              <w:keepLines w:val="0"/>
              <w:pageBreakBefore w:val="0"/>
              <w:kinsoku/>
              <w:wordWrap/>
              <w:overflowPunct/>
              <w:topLinePunct w:val="0"/>
              <w:autoSpaceDN/>
              <w:bidi w:val="0"/>
              <w:adjustRightInd w:val="0"/>
              <w:snapToGrid w:val="0"/>
              <w:spacing w:line="560" w:lineRule="exact"/>
              <w:ind w:firstLine="360" w:firstLineChars="200"/>
              <w:jc w:val="center"/>
              <w:rPr>
                <w:rFonts w:hint="default" w:asciiTheme="minorEastAsia" w:hAnsiTheme="minorEastAsia" w:eastAsiaTheme="minorEastAsia" w:cstheme="minorEastAsia"/>
                <w:sz w:val="18"/>
                <w:szCs w:val="18"/>
                <w:lang w:val="en-US" w:eastAsia="zh-CN"/>
              </w:rPr>
            </w:pPr>
          </w:p>
        </w:tc>
        <w:tc>
          <w:tcPr>
            <w:tcW w:w="714"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查生产现场与查阅资料相结合的方式</w:t>
            </w:r>
          </w:p>
        </w:tc>
        <w:tc>
          <w:tcPr>
            <w:tcW w:w="508" w:type="dxa"/>
            <w:tcBorders>
              <w:tl2br w:val="nil"/>
              <w:tr2bl w:val="nil"/>
            </w:tcBorders>
            <w:vAlign w:val="center"/>
          </w:tcPr>
          <w:p>
            <w:pPr>
              <w:keepNext w:val="0"/>
              <w:keepLines w:val="0"/>
              <w:pageBreakBefore w:val="0"/>
              <w:kinsoku/>
              <w:wordWrap/>
              <w:overflowPunct/>
              <w:topLinePunct w:val="0"/>
              <w:autoSpaceDN/>
              <w:bidi w:val="0"/>
              <w:adjustRightInd w:val="0"/>
              <w:snapToGrid w:val="0"/>
              <w:spacing w:line="560" w:lineRule="exact"/>
              <w:ind w:firstLine="360" w:firstLineChars="200"/>
              <w:jc w:val="center"/>
              <w:rPr>
                <w:rFonts w:hint="eastAsia" w:asciiTheme="minorEastAsia" w:hAnsiTheme="minorEastAsia" w:eastAsiaTheme="minorEastAsia" w:cstheme="minorEastAsia"/>
                <w:sz w:val="18"/>
                <w:szCs w:val="18"/>
              </w:rPr>
            </w:pPr>
          </w:p>
        </w:tc>
      </w:tr>
    </w:tbl>
    <w:p>
      <w:pPr>
        <w:keepNext w:val="0"/>
        <w:keepLines w:val="0"/>
        <w:pageBreakBefore w:val="0"/>
        <w:kinsoku/>
        <w:wordWrap/>
        <w:overflowPunct/>
        <w:topLinePunct w:val="0"/>
        <w:autoSpaceDN/>
        <w:bidi w:val="0"/>
        <w:spacing w:line="560" w:lineRule="exact"/>
        <w:rPr>
          <w:rFonts w:hint="eastAsia" w:ascii="仿宋_GB2312" w:hAnsi="仿宋_GB2312" w:eastAsia="黑体" w:cs="黑体"/>
          <w:sz w:val="30"/>
          <w:szCs w:val="32"/>
        </w:rPr>
      </w:pPr>
    </w:p>
    <w:p>
      <w:pPr>
        <w:keepNext w:val="0"/>
        <w:keepLines w:val="0"/>
        <w:pageBreakBefore w:val="0"/>
        <w:kinsoku/>
        <w:wordWrap/>
        <w:overflowPunct/>
        <w:topLinePunct w:val="0"/>
        <w:autoSpaceDN/>
        <w:bidi w:val="0"/>
        <w:spacing w:line="560" w:lineRule="exact"/>
        <w:rPr>
          <w:rFonts w:hint="eastAsia" w:ascii="黑体" w:hAnsi="黑体" w:eastAsia="黑体" w:cs="黑体"/>
          <w:sz w:val="32"/>
          <w:szCs w:val="32"/>
        </w:rPr>
        <w:sectPr>
          <w:pgSz w:w="16838" w:h="11906" w:orient="landscape"/>
          <w:pgMar w:top="1417" w:right="2098" w:bottom="1417" w:left="181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楷体" w:hAnsi="楷体" w:eastAsia="楷体" w:cs="楷体"/>
          <w:sz w:val="32"/>
          <w:szCs w:val="32"/>
        </w:rPr>
        <w:t>剑阁县</w:t>
      </w:r>
      <w:r>
        <w:rPr>
          <w:rFonts w:hint="eastAsia" w:ascii="楷体" w:hAnsi="楷体" w:eastAsia="楷体" w:cs="楷体"/>
          <w:sz w:val="32"/>
          <w:szCs w:val="32"/>
          <w:lang w:eastAsia="zh-CN"/>
        </w:rPr>
        <w:t>商合</w:t>
      </w:r>
      <w:r>
        <w:rPr>
          <w:rFonts w:hint="eastAsia" w:ascii="楷体" w:hAnsi="楷体" w:eastAsia="楷体" w:cs="楷体"/>
          <w:sz w:val="32"/>
          <w:szCs w:val="32"/>
        </w:rPr>
        <w:t>局随机抽查市场主体名录库</w:t>
      </w:r>
    </w:p>
    <w:tbl>
      <w:tblPr>
        <w:tblStyle w:val="7"/>
        <w:tblW w:w="13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7121"/>
        <w:gridCol w:w="3154"/>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u w:val="none"/>
              </w:rPr>
            </w:pPr>
            <w:r>
              <w:rPr>
                <w:rFonts w:hint="eastAsia" w:asciiTheme="majorEastAsia" w:hAnsiTheme="majorEastAsia" w:eastAsiaTheme="majorEastAsia" w:cstheme="majorEastAsia"/>
                <w:b/>
                <w:bCs/>
                <w:i w:val="0"/>
                <w:iCs w:val="0"/>
                <w:color w:val="000000"/>
                <w:kern w:val="0"/>
                <w:sz w:val="20"/>
                <w:szCs w:val="20"/>
                <w:u w:val="none"/>
                <w:lang w:val="en-US" w:eastAsia="zh-CN" w:bidi="ar"/>
              </w:rPr>
              <w:t>序号</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u w:val="none"/>
              </w:rPr>
            </w:pPr>
            <w:r>
              <w:rPr>
                <w:rFonts w:hint="eastAsia" w:asciiTheme="majorEastAsia" w:hAnsiTheme="majorEastAsia" w:eastAsiaTheme="majorEastAsia" w:cstheme="majorEastAsia"/>
                <w:b/>
                <w:bCs/>
                <w:i w:val="0"/>
                <w:iCs w:val="0"/>
                <w:color w:val="000000"/>
                <w:kern w:val="0"/>
                <w:sz w:val="20"/>
                <w:szCs w:val="20"/>
                <w:u w:val="none"/>
                <w:lang w:val="en-US" w:eastAsia="zh-CN" w:bidi="ar"/>
              </w:rPr>
              <w:t>企业名称</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u w:val="none"/>
              </w:rPr>
            </w:pPr>
            <w:r>
              <w:rPr>
                <w:rFonts w:hint="eastAsia" w:asciiTheme="majorEastAsia" w:hAnsiTheme="majorEastAsia" w:eastAsiaTheme="majorEastAsia" w:cstheme="majorEastAsia"/>
                <w:b/>
                <w:bCs/>
                <w:i w:val="0"/>
                <w:iCs w:val="0"/>
                <w:color w:val="000000"/>
                <w:kern w:val="0"/>
                <w:sz w:val="20"/>
                <w:szCs w:val="20"/>
                <w:u w:val="none"/>
                <w:lang w:val="en-US" w:eastAsia="zh-CN" w:bidi="ar"/>
              </w:rPr>
              <w:t>法人（负责人）</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0"/>
                <w:szCs w:val="20"/>
                <w:u w:val="none"/>
              </w:rPr>
            </w:pPr>
            <w:r>
              <w:rPr>
                <w:rFonts w:hint="eastAsia" w:asciiTheme="majorEastAsia" w:hAnsiTheme="majorEastAsia" w:eastAsiaTheme="majorEastAsia" w:cstheme="majorEastAsia"/>
                <w:b/>
                <w:bCs/>
                <w:i w:val="0"/>
                <w:iCs w:val="0"/>
                <w:color w:val="000000"/>
                <w:kern w:val="0"/>
                <w:sz w:val="20"/>
                <w:szCs w:val="20"/>
                <w:u w:val="none"/>
                <w:lang w:val="en-US" w:eastAsia="zh-CN" w:bidi="ar"/>
              </w:rPr>
              <w:t>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剑阁县军城电器行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王家军</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剑阁县金心家电城</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毛金亮</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剑阁县世纪华联超市（加盟店）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李从安</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剑阁县明华家电行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唐明华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剑阁县全友家居商场</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孙剑容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广元市瑞山酒店管理有限责任公司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贾良熊</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剑阁县合家欢餐饮店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任大江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剑阁县德广购物中心普安旗舰店（加盟店）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余顺文</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剑阁互惠百货购物中心</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何彬</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剑阁县又一村火锅店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张洪兵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剑阁县好日子火锅楼</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梁奉全</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剑阁县陶陶酒店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陶剑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四川省剑阁县药业有限责任公司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李德富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四川华盛医药有限公司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李尚银</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四川西原油脂化工有限公司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苟铁新</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剑阁县瑞祥商贸有限责任公司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刘在孝</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剑阁县衡瑞商贸有限公司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李泽生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剑阁县康安药业有限公司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兰松</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剑阁县凤鸣商贸有限公司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朱光容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剑阁县博来电器销售有限公司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李志生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剑阁县三合汽车销售有限公司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陈国贤</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剑阁县旭日汽车销售有限公司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郑玉强</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广元市皇都大酒店管理有限公司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钟小金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剑阁县精逹商贸有限公司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杜永贵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剑阁县名门主题式酒店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李永汉</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剑阁县名门火锅店（#）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李永汉</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广元博茂餐饮服务有限公司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梁德慧</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普安镇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剑阁县下寺镇友记稻花香餐馆</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陈新燕</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剑阁县下寺镇明珠商场</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李春全</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剑阁县世纪华联购物超市（下寺）</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朱敏辉</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剑阁县下寺镇全友家居馆（加盟店）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李春全</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剑阁县精诚电器行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姜小丽</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剑阁县上品火锅店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肖军</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剑阁县姜尚购物中心</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赵子江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剑阁县明翠柴房土鸡餐馆</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任大江</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品味剑门</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奂光州</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剑阁县双虎家私商场</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孙剑容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广元市通成建材有限公司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吴中奎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剑阁县七天连锁酒店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李春全</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剑阁县三分田有限公司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李沐天</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剑阁县红升商贸有限公司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范红斌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剑阁县剑门关酒店有限责任公司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王燕</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四川天赐剑门关温泉开发有限公司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杜永贵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剑阁县邓胖子餐饮服务有限责任公司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邓永波</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清江旅游开发公司（紫金酒店）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王宇攀</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剑阁县润弘商贸有限公司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杜永贵</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剑阁县羽翔通讯有限公司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任群莲</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剑阁县蜀汉王朝大酒店餐饮部</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王洪霞</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剑阁县剑门关旅游文化产业发展有限公司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戚新德</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剑阁县优选易购</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下寺镇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剑阁县帅府大酒楼</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卫少能</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剑门关镇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剑阁县剑门关熊氏家电行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熊朝科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剑门关镇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四川蜀门客栈管理有限公司</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蔡玉寿</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剑门关镇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剑阁县剑门关镇六娃子酒店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邓志明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剑门关镇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剑阁县元山镇逸园宾馆</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杨晓</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元山镇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剑阁县元山镇嘉宇商务宾馆</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韩碧珍</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元山镇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剑阁县华泰超市</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王海芳</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元山镇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鑫乐宾馆</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开封镇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剑阁县开封镇华泰超市</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王燕会</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开封镇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剑阁县开封镇凯达家电行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王谊</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开封镇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剑阁县公兴镇德广购物中心</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罗久富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公兴镇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剑阁县白龙镇聚贤庄酒楼</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赵文金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白龙镇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剑阁县白龙镇华泰时代购物广场</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廖国军</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白龙镇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剑阁县白龙镇华泰超市</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何翠华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白龙镇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剑阁县白龙五交化</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徐泽虎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白龙镇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剑阁县鹤龄小宋家电</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杨秀梅</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鹤龄镇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剑阁县鹤龄镇德广购物中心（加盟店）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梁建忠</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鹤龄镇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剑阁县红福家电商行</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颜继红</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武连镇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剑阁县武连镇华泰超市</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王燕会</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武连镇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剑阁县肖聪家电</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肖聪</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武连镇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7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剑阁县德广购物中心（加盟店）</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张良安</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江口镇</w:t>
            </w:r>
          </w:p>
        </w:tc>
      </w:tr>
    </w:tbl>
    <w:p>
      <w:pPr>
        <w:keepNext w:val="0"/>
        <w:keepLines w:val="0"/>
        <w:pageBreakBefore w:val="0"/>
        <w:kinsoku/>
        <w:wordWrap/>
        <w:overflowPunct/>
        <w:topLinePunct w:val="0"/>
        <w:autoSpaceDN/>
        <w:bidi w:val="0"/>
        <w:spacing w:line="560" w:lineRule="exact"/>
        <w:rPr>
          <w:rFonts w:ascii="新宋体" w:hAnsi="新宋体" w:eastAsia="新宋体" w:cs="新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楷体" w:hAnsi="楷体" w:eastAsia="楷体" w:cs="楷体"/>
          <w:sz w:val="32"/>
          <w:szCs w:val="32"/>
        </w:rPr>
        <w:t>3、202</w:t>
      </w:r>
      <w:r>
        <w:rPr>
          <w:rFonts w:hint="eastAsia" w:ascii="楷体" w:hAnsi="楷体" w:eastAsia="楷体" w:cs="楷体"/>
          <w:sz w:val="32"/>
          <w:szCs w:val="32"/>
          <w:lang w:val="en-US" w:eastAsia="zh-CN"/>
        </w:rPr>
        <w:t>2</w:t>
      </w:r>
      <w:r>
        <w:rPr>
          <w:rFonts w:hint="eastAsia" w:ascii="楷体" w:hAnsi="楷体" w:eastAsia="楷体" w:cs="楷体"/>
          <w:sz w:val="32"/>
          <w:szCs w:val="32"/>
        </w:rPr>
        <w:t>年双随机抽查计划</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6"/>
          <w:szCs w:val="36"/>
        </w:rPr>
      </w:pPr>
      <w:r>
        <w:rPr>
          <w:rFonts w:hint="eastAsia" w:ascii="仿宋" w:hAnsi="仿宋" w:eastAsia="仿宋" w:cs="仿宋"/>
          <w:b w:val="0"/>
          <w:bCs w:val="0"/>
          <w:sz w:val="36"/>
          <w:szCs w:val="36"/>
          <w:lang w:val="en-US" w:eastAsia="zh-CN"/>
        </w:rPr>
        <w:t>（1）剑阁县</w:t>
      </w:r>
      <w:r>
        <w:rPr>
          <w:rFonts w:hint="eastAsia" w:ascii="仿宋" w:hAnsi="仿宋" w:eastAsia="仿宋" w:cs="仿宋"/>
          <w:b w:val="0"/>
          <w:bCs w:val="0"/>
          <w:sz w:val="36"/>
          <w:szCs w:val="36"/>
          <w:lang w:eastAsia="zh-CN"/>
        </w:rPr>
        <w:t>商务和经济合作局</w:t>
      </w:r>
      <w:r>
        <w:rPr>
          <w:rFonts w:hint="eastAsia" w:ascii="仿宋" w:hAnsi="仿宋" w:eastAsia="仿宋" w:cs="仿宋"/>
          <w:b w:val="0"/>
          <w:bCs w:val="0"/>
          <w:sz w:val="36"/>
          <w:szCs w:val="36"/>
        </w:rPr>
        <w:t>202</w:t>
      </w:r>
      <w:r>
        <w:rPr>
          <w:rFonts w:hint="eastAsia" w:ascii="仿宋" w:hAnsi="仿宋" w:eastAsia="仿宋" w:cs="仿宋"/>
          <w:b w:val="0"/>
          <w:bCs w:val="0"/>
          <w:sz w:val="36"/>
          <w:szCs w:val="36"/>
          <w:lang w:val="en-US" w:eastAsia="zh-CN"/>
        </w:rPr>
        <w:t>2</w:t>
      </w:r>
      <w:r>
        <w:rPr>
          <w:rFonts w:hint="eastAsia" w:ascii="仿宋" w:hAnsi="仿宋" w:eastAsia="仿宋" w:cs="仿宋"/>
          <w:b w:val="0"/>
          <w:bCs w:val="0"/>
          <w:sz w:val="36"/>
          <w:szCs w:val="36"/>
        </w:rPr>
        <w:t>年“双随机”抽查工作计划</w:t>
      </w:r>
    </w:p>
    <w:tbl>
      <w:tblPr>
        <w:tblStyle w:val="7"/>
        <w:tblpPr w:leftFromText="180" w:rightFromText="180" w:vertAnchor="text" w:horzAnchor="page" w:tblpX="1254" w:tblpY="139"/>
        <w:tblOverlap w:val="never"/>
        <w:tblW w:w="142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3583"/>
        <w:gridCol w:w="2185"/>
        <w:gridCol w:w="2496"/>
        <w:gridCol w:w="1884"/>
        <w:gridCol w:w="1797"/>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序号</w:t>
            </w:r>
          </w:p>
        </w:tc>
        <w:tc>
          <w:tcPr>
            <w:tcW w:w="35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抽查事项名称</w:t>
            </w:r>
          </w:p>
        </w:tc>
        <w:tc>
          <w:tcPr>
            <w:tcW w:w="2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牵头单位</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配合单位</w:t>
            </w:r>
          </w:p>
        </w:tc>
        <w:tc>
          <w:tcPr>
            <w:tcW w:w="1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抽查频次</w:t>
            </w:r>
          </w:p>
        </w:tc>
        <w:tc>
          <w:tcPr>
            <w:tcW w:w="17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b/>
                <w:color w:val="000000"/>
                <w:sz w:val="20"/>
                <w:szCs w:val="20"/>
                <w:lang w:eastAsia="zh-CN"/>
              </w:rPr>
            </w:pPr>
            <w:r>
              <w:rPr>
                <w:rFonts w:hint="eastAsia" w:ascii="宋体" w:hAnsi="宋体"/>
                <w:b/>
                <w:color w:val="000000"/>
                <w:sz w:val="20"/>
                <w:szCs w:val="20"/>
              </w:rPr>
              <w:t>抽查</w:t>
            </w:r>
            <w:r>
              <w:rPr>
                <w:rFonts w:hint="eastAsia" w:ascii="宋体" w:hAnsi="宋体"/>
                <w:b/>
                <w:color w:val="000000"/>
                <w:sz w:val="20"/>
                <w:szCs w:val="20"/>
                <w:lang w:val="en-US" w:eastAsia="zh-CN"/>
              </w:rPr>
              <w:t>比例</w:t>
            </w:r>
          </w:p>
        </w:tc>
        <w:tc>
          <w:tcPr>
            <w:tcW w:w="13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0"/>
                <w:szCs w:val="20"/>
              </w:rPr>
            </w:pPr>
            <w:r>
              <w:rPr>
                <w:rFonts w:hint="eastAsia" w:ascii="宋体" w:hAnsi="宋体"/>
                <w:b/>
                <w:color w:val="000000"/>
                <w:sz w:val="20"/>
                <w:szCs w:val="20"/>
              </w:rPr>
              <w:t>抽查时间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1</w:t>
            </w:r>
          </w:p>
        </w:tc>
        <w:tc>
          <w:tcPr>
            <w:tcW w:w="35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对新车销售市场监管</w:t>
            </w:r>
          </w:p>
        </w:tc>
        <w:tc>
          <w:tcPr>
            <w:tcW w:w="2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相关单位、</w:t>
            </w:r>
            <w:r>
              <w:rPr>
                <w:rFonts w:hint="eastAsia" w:ascii="宋体" w:hAnsi="宋体"/>
                <w:color w:val="000000"/>
                <w:sz w:val="20"/>
                <w:szCs w:val="20"/>
                <w:lang w:val="en-US" w:eastAsia="zh-CN"/>
              </w:rPr>
              <w:t>股</w:t>
            </w:r>
            <w:r>
              <w:rPr>
                <w:rFonts w:hint="eastAsia" w:ascii="宋体" w:hAnsi="宋体"/>
                <w:color w:val="000000"/>
                <w:sz w:val="20"/>
                <w:szCs w:val="20"/>
              </w:rPr>
              <w:t>室</w:t>
            </w:r>
          </w:p>
        </w:tc>
        <w:tc>
          <w:tcPr>
            <w:tcW w:w="1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0"/>
                <w:szCs w:val="20"/>
                <w:lang w:eastAsia="zh-CN"/>
              </w:rPr>
            </w:pPr>
            <w:r>
              <w:rPr>
                <w:rFonts w:hint="eastAsia" w:ascii="宋体" w:hAnsi="宋体"/>
                <w:color w:val="000000"/>
                <w:sz w:val="20"/>
                <w:szCs w:val="20"/>
              </w:rPr>
              <w:t>至少1次/年</w:t>
            </w:r>
          </w:p>
        </w:tc>
        <w:tc>
          <w:tcPr>
            <w:tcW w:w="17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30%</w:t>
            </w:r>
          </w:p>
        </w:tc>
        <w:tc>
          <w:tcPr>
            <w:tcW w:w="13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lang w:val="en-US" w:eastAsia="zh-CN"/>
              </w:rPr>
              <w:t>5</w:t>
            </w:r>
            <w:r>
              <w:rPr>
                <w:rFonts w:hint="eastAsia" w:ascii="宋体" w:hAnsi="宋体"/>
                <w:color w:val="000000"/>
                <w:sz w:val="20"/>
                <w:szCs w:val="20"/>
              </w:rPr>
              <w:t>月-1</w:t>
            </w:r>
            <w:r>
              <w:rPr>
                <w:rFonts w:hint="eastAsia" w:ascii="宋体" w:hAnsi="宋体"/>
                <w:color w:val="000000"/>
                <w:sz w:val="20"/>
                <w:szCs w:val="20"/>
                <w:lang w:val="en-US" w:eastAsia="zh-CN"/>
              </w:rPr>
              <w:t>1</w:t>
            </w:r>
            <w:r>
              <w:rPr>
                <w:rFonts w:hint="eastAsia" w:ascii="宋体" w:hAnsi="宋体"/>
                <w:color w:val="000000"/>
                <w:sz w:val="20"/>
                <w:szCs w:val="20"/>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2</w:t>
            </w:r>
          </w:p>
        </w:tc>
        <w:tc>
          <w:tcPr>
            <w:tcW w:w="35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lang w:val="en-US" w:eastAsia="zh-CN"/>
              </w:rPr>
              <w:t>报废机动车回收拆解活动监管</w:t>
            </w:r>
          </w:p>
        </w:tc>
        <w:tc>
          <w:tcPr>
            <w:tcW w:w="2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相关单位、</w:t>
            </w:r>
            <w:r>
              <w:rPr>
                <w:rFonts w:hint="eastAsia" w:ascii="宋体" w:hAnsi="宋体"/>
                <w:color w:val="000000"/>
                <w:sz w:val="20"/>
                <w:szCs w:val="20"/>
                <w:lang w:val="en-US" w:eastAsia="zh-CN"/>
              </w:rPr>
              <w:t>股</w:t>
            </w:r>
            <w:r>
              <w:rPr>
                <w:rFonts w:hint="eastAsia" w:ascii="宋体" w:hAnsi="宋体"/>
                <w:color w:val="000000"/>
                <w:sz w:val="20"/>
                <w:szCs w:val="20"/>
              </w:rPr>
              <w:t>室</w:t>
            </w:r>
          </w:p>
        </w:tc>
        <w:tc>
          <w:tcPr>
            <w:tcW w:w="1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至少1次/年</w:t>
            </w:r>
          </w:p>
        </w:tc>
        <w:tc>
          <w:tcPr>
            <w:tcW w:w="17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100%</w:t>
            </w:r>
          </w:p>
        </w:tc>
        <w:tc>
          <w:tcPr>
            <w:tcW w:w="13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color w:val="000000"/>
                <w:sz w:val="20"/>
                <w:szCs w:val="20"/>
                <w:lang w:val="en-US"/>
              </w:rPr>
            </w:pPr>
            <w:r>
              <w:rPr>
                <w:rFonts w:hint="eastAsia" w:ascii="宋体" w:hAnsi="宋体"/>
                <w:color w:val="000000"/>
                <w:sz w:val="20"/>
                <w:szCs w:val="20"/>
                <w:lang w:val="en-US" w:eastAsia="zh-CN"/>
              </w:rPr>
              <w:t>5月-11月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9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3</w:t>
            </w:r>
          </w:p>
        </w:tc>
        <w:tc>
          <w:tcPr>
            <w:tcW w:w="358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单用途商业预付卡发卡和售卡备案企业经营行为检查</w:t>
            </w:r>
          </w:p>
        </w:tc>
        <w:tc>
          <w:tcPr>
            <w:tcW w:w="2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49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相关单位、</w:t>
            </w:r>
            <w:r>
              <w:rPr>
                <w:rFonts w:hint="eastAsia" w:ascii="宋体" w:hAnsi="宋体"/>
                <w:color w:val="000000"/>
                <w:sz w:val="20"/>
                <w:szCs w:val="20"/>
                <w:lang w:val="en-US" w:eastAsia="zh-CN"/>
              </w:rPr>
              <w:t>股</w:t>
            </w:r>
            <w:r>
              <w:rPr>
                <w:rFonts w:hint="eastAsia" w:ascii="宋体" w:hAnsi="宋体"/>
                <w:color w:val="000000"/>
                <w:sz w:val="20"/>
                <w:szCs w:val="20"/>
              </w:rPr>
              <w:t>室</w:t>
            </w:r>
          </w:p>
        </w:tc>
        <w:tc>
          <w:tcPr>
            <w:tcW w:w="1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rPr>
              <w:t>至少1次/年</w:t>
            </w:r>
          </w:p>
        </w:tc>
        <w:tc>
          <w:tcPr>
            <w:tcW w:w="17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100%</w:t>
            </w:r>
          </w:p>
        </w:tc>
        <w:tc>
          <w:tcPr>
            <w:tcW w:w="135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0"/>
                <w:szCs w:val="20"/>
              </w:rPr>
            </w:pPr>
            <w:r>
              <w:rPr>
                <w:rFonts w:hint="eastAsia" w:ascii="宋体" w:hAnsi="宋体"/>
                <w:color w:val="000000"/>
                <w:sz w:val="20"/>
                <w:szCs w:val="20"/>
                <w:lang w:val="en-US" w:eastAsia="zh-CN"/>
              </w:rPr>
              <w:t>3月-11</w:t>
            </w:r>
            <w:r>
              <w:rPr>
                <w:rFonts w:hint="eastAsia" w:ascii="宋体" w:hAnsi="宋体"/>
                <w:color w:val="000000"/>
                <w:sz w:val="20"/>
                <w:szCs w:val="20"/>
              </w:rPr>
              <w:t>月</w:t>
            </w: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rPr>
      </w:pPr>
    </w:p>
    <w:p>
      <w:pPr>
        <w:pStyle w:val="2"/>
        <w:rPr>
          <w:rFonts w:hint="default"/>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剑阁县2022年市场监管领域部门联合“双随机一公开监管计划”表</w:t>
      </w:r>
    </w:p>
    <w:p>
      <w:pPr>
        <w:pStyle w:val="2"/>
        <w:numPr>
          <w:ilvl w:val="0"/>
          <w:numId w:val="0"/>
        </w:numPr>
        <w:rPr>
          <w:rFonts w:hint="eastAsia"/>
          <w:lang w:val="en-US" w:eastAsia="zh-CN"/>
        </w:rPr>
      </w:pPr>
    </w:p>
    <w:tbl>
      <w:tblPr>
        <w:tblStyle w:val="7"/>
        <w:tblW w:w="15395" w:type="dxa"/>
        <w:jc w:val="center"/>
        <w:shd w:val="clear" w:color="auto" w:fill="auto"/>
        <w:tblLayout w:type="autofit"/>
        <w:tblCellMar>
          <w:top w:w="0" w:type="dxa"/>
          <w:left w:w="0" w:type="dxa"/>
          <w:bottom w:w="0" w:type="dxa"/>
          <w:right w:w="0" w:type="dxa"/>
        </w:tblCellMar>
      </w:tblPr>
      <w:tblGrid>
        <w:gridCol w:w="555"/>
        <w:gridCol w:w="885"/>
        <w:gridCol w:w="2086"/>
        <w:gridCol w:w="5103"/>
        <w:gridCol w:w="1681"/>
        <w:gridCol w:w="1350"/>
        <w:gridCol w:w="930"/>
        <w:gridCol w:w="1320"/>
        <w:gridCol w:w="1485"/>
      </w:tblGrid>
      <w:tr>
        <w:tblPrEx>
          <w:tblCellMar>
            <w:top w:w="0" w:type="dxa"/>
            <w:left w:w="0" w:type="dxa"/>
            <w:bottom w:w="0" w:type="dxa"/>
            <w:right w:w="0" w:type="dxa"/>
          </w:tblCellMar>
        </w:tblPrEx>
        <w:trPr>
          <w:trHeight w:val="156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0"/>
                <w:szCs w:val="20"/>
                <w:u w:val="none"/>
                <w:lang w:val="en-US" w:eastAsia="zh-CN" w:bidi="ar"/>
              </w:rPr>
            </w:pPr>
            <w:r>
              <w:rPr>
                <w:rFonts w:hint="eastAsia" w:asciiTheme="minorEastAsia" w:hAnsiTheme="minorEastAsia" w:eastAsiaTheme="minorEastAsia" w:cstheme="minorEastAsia"/>
                <w:b/>
                <w:i w:val="0"/>
                <w:color w:val="000000"/>
                <w:kern w:val="0"/>
                <w:sz w:val="20"/>
                <w:szCs w:val="20"/>
                <w:u w:val="none"/>
                <w:lang w:val="en-US" w:eastAsia="zh-CN" w:bidi="ar"/>
              </w:rPr>
              <w:t>牵头</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单位</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抽查计划名称</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抽查事项</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抽查对象</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检查方式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抽查比例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参与部门</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lang w:val="en-US" w:eastAsia="zh-CN" w:bidi="ar"/>
              </w:rPr>
              <w:t>检查时间</w:t>
            </w:r>
          </w:p>
        </w:tc>
      </w:tr>
      <w:tr>
        <w:tblPrEx>
          <w:tblCellMar>
            <w:top w:w="0" w:type="dxa"/>
            <w:left w:w="0" w:type="dxa"/>
            <w:bottom w:w="0" w:type="dxa"/>
            <w:right w:w="0" w:type="dxa"/>
          </w:tblCellMar>
        </w:tblPrEx>
        <w:trPr>
          <w:trHeight w:val="177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对新车销售市场监管</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按照《汽车销售管理办法》内容要求，根据职能职责进行检查。</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新车销售市场经营主体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书面审查</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现场检查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3月-5月</w:t>
            </w:r>
          </w:p>
        </w:tc>
      </w:tr>
      <w:tr>
        <w:tblPrEx>
          <w:tblCellMar>
            <w:top w:w="0" w:type="dxa"/>
            <w:left w:w="0" w:type="dxa"/>
            <w:bottom w:w="0" w:type="dxa"/>
            <w:right w:w="0" w:type="dxa"/>
          </w:tblCellMar>
        </w:tblPrEx>
        <w:trPr>
          <w:trHeight w:val="1777"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报废机动车回收拆解活动监管</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按照《报废机动车回收管理办法》及《实施细则》内容要求，根据职能职责进行检查。</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报废机动车回收拆解企业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广元市剑阁生态环境局</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全年</w:t>
            </w:r>
          </w:p>
        </w:tc>
      </w:tr>
      <w:tr>
        <w:tblPrEx>
          <w:tblCellMar>
            <w:top w:w="0" w:type="dxa"/>
            <w:left w:w="0" w:type="dxa"/>
            <w:bottom w:w="0" w:type="dxa"/>
            <w:right w:w="0" w:type="dxa"/>
          </w:tblCellMar>
        </w:tblPrEx>
        <w:trPr>
          <w:trHeight w:val="197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单用途商业预付卡发卡和售卡备案企业经营行为检查</w:t>
            </w:r>
          </w:p>
        </w:tc>
        <w:tc>
          <w:tcPr>
            <w:tcW w:w="5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按照《单用途商业预付卡管理条例》内容要求，根据职能职责进行检查。</w:t>
            </w:r>
          </w:p>
        </w:tc>
        <w:tc>
          <w:tcPr>
            <w:tcW w:w="1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单用途商业预付卡发卡和售卡备案企业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书面审查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市场监管局</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3-5月</w:t>
            </w:r>
          </w:p>
        </w:tc>
      </w:tr>
    </w:tbl>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val="en-US" w:eastAsia="zh-CN"/>
        </w:rPr>
        <w:t>剑阁县2022年市场监管领域部门联合抽查事项清单</w:t>
      </w:r>
    </w:p>
    <w:tbl>
      <w:tblPr>
        <w:tblStyle w:val="7"/>
        <w:tblpPr w:leftFromText="180" w:rightFromText="180" w:vertAnchor="text" w:horzAnchor="page" w:tblpX="844" w:tblpY="411"/>
        <w:tblOverlap w:val="never"/>
        <w:tblW w:w="15278" w:type="dxa"/>
        <w:tblInd w:w="0" w:type="dxa"/>
        <w:shd w:val="clear" w:color="auto" w:fill="auto"/>
        <w:tblLayout w:type="autofit"/>
        <w:tblCellMar>
          <w:top w:w="0" w:type="dxa"/>
          <w:left w:w="0" w:type="dxa"/>
          <w:bottom w:w="0" w:type="dxa"/>
          <w:right w:w="0" w:type="dxa"/>
        </w:tblCellMar>
      </w:tblPr>
      <w:tblGrid>
        <w:gridCol w:w="730"/>
        <w:gridCol w:w="1346"/>
        <w:gridCol w:w="2070"/>
        <w:gridCol w:w="1080"/>
        <w:gridCol w:w="1290"/>
        <w:gridCol w:w="4336"/>
        <w:gridCol w:w="1215"/>
        <w:gridCol w:w="1321"/>
        <w:gridCol w:w="1890"/>
      </w:tblGrid>
      <w:tr>
        <w:tblPrEx>
          <w:tblCellMar>
            <w:top w:w="0" w:type="dxa"/>
            <w:left w:w="0" w:type="dxa"/>
            <w:bottom w:w="0" w:type="dxa"/>
            <w:right w:w="0" w:type="dxa"/>
          </w:tblCellMar>
        </w:tblPrEx>
        <w:trPr>
          <w:trHeight w:val="81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序号</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联合检查事项</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检查对象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事项类别</w:t>
            </w:r>
          </w:p>
        </w:tc>
        <w:tc>
          <w:tcPr>
            <w:tcW w:w="8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发起部门</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参与部门</w:t>
            </w:r>
          </w:p>
        </w:tc>
      </w:tr>
      <w:tr>
        <w:tblPrEx>
          <w:tblCellMar>
            <w:top w:w="0" w:type="dxa"/>
            <w:left w:w="0" w:type="dxa"/>
            <w:bottom w:w="0" w:type="dxa"/>
            <w:right w:w="0" w:type="dxa"/>
          </w:tblCellMar>
        </w:tblPrEx>
        <w:trPr>
          <w:trHeight w:val="85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部门名称</w:t>
            </w:r>
          </w:p>
        </w:tc>
        <w:tc>
          <w:tcPr>
            <w:tcW w:w="4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检查内容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检查方式</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0"/>
                <w:szCs w:val="20"/>
                <w:u w:val="none"/>
              </w:rPr>
            </w:pPr>
            <w:r>
              <w:rPr>
                <w:rFonts w:hint="eastAsia" w:asciiTheme="minorEastAsia" w:hAnsiTheme="minorEastAsia" w:eastAsiaTheme="minorEastAsia" w:cstheme="minorEastAsia"/>
                <w:b/>
                <w:bCs/>
                <w:i w:val="0"/>
                <w:color w:val="000000"/>
                <w:kern w:val="0"/>
                <w:sz w:val="20"/>
                <w:szCs w:val="20"/>
                <w:u w:val="none"/>
                <w:lang w:val="en-US" w:eastAsia="zh-CN" w:bidi="ar"/>
              </w:rPr>
              <w:t>实施层级</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p>
        </w:tc>
      </w:tr>
      <w:tr>
        <w:tblPrEx>
          <w:tblCellMar>
            <w:top w:w="0" w:type="dxa"/>
            <w:left w:w="0" w:type="dxa"/>
            <w:bottom w:w="0" w:type="dxa"/>
            <w:right w:w="0" w:type="dxa"/>
          </w:tblCellMar>
        </w:tblPrEx>
        <w:trPr>
          <w:trHeight w:val="120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对新车销售市场监管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新车销售市场经营主体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一般检查事项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lang w:eastAsia="zh-CN"/>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4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0" w:firstLineChars="20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按照《汽车销售管理办法》内容要求，根据职能职责进行检查。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书面审查</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现场检查</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省、市、县</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市场监管部门</w:t>
            </w:r>
          </w:p>
        </w:tc>
      </w:tr>
      <w:tr>
        <w:tblPrEx>
          <w:tblCellMar>
            <w:top w:w="0" w:type="dxa"/>
            <w:left w:w="0" w:type="dxa"/>
            <w:bottom w:w="0" w:type="dxa"/>
            <w:right w:w="0" w:type="dxa"/>
          </w:tblCellMar>
        </w:tblPrEx>
        <w:trPr>
          <w:trHeight w:val="155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报废机动车回收拆解活动监管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报废机动车回收拆解企业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重点检查事项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4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0" w:firstLineChars="20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按照《报废机动车回收管理办法》及《实施细则》内容要求，根据职能职责进行检查。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现场检查</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省、市、县</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生态环境部门</w:t>
            </w:r>
          </w:p>
        </w:tc>
      </w:tr>
      <w:tr>
        <w:tblPrEx>
          <w:tblCellMar>
            <w:top w:w="0" w:type="dxa"/>
            <w:left w:w="0" w:type="dxa"/>
            <w:bottom w:w="0" w:type="dxa"/>
            <w:right w:w="0" w:type="dxa"/>
          </w:tblCellMar>
        </w:tblPrEx>
        <w:trPr>
          <w:trHeight w:val="172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单用途商业预付卡发卡和售卡备案企业经营行为检查</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单用途商业预付卡发卡和售卡备案企业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重点检查事项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0"/>
                <w:szCs w:val="20"/>
                <w:u w:val="none"/>
              </w:rPr>
            </w:pPr>
            <w:r>
              <w:rPr>
                <w:rFonts w:hint="eastAsia" w:ascii="宋体" w:hAnsi="宋体"/>
                <w:color w:val="000000"/>
                <w:sz w:val="20"/>
                <w:szCs w:val="20"/>
                <w:lang w:val="en-US" w:eastAsia="zh-CN"/>
              </w:rPr>
              <w:t>剑阁县</w:t>
            </w:r>
            <w:r>
              <w:rPr>
                <w:rFonts w:hint="eastAsia" w:ascii="宋体" w:hAnsi="宋体"/>
                <w:color w:val="000000"/>
                <w:sz w:val="20"/>
                <w:szCs w:val="20"/>
                <w:lang w:eastAsia="zh-CN"/>
              </w:rPr>
              <w:t>商务和经济合作局</w:t>
            </w:r>
          </w:p>
        </w:tc>
        <w:tc>
          <w:tcPr>
            <w:tcW w:w="4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0" w:firstLineChars="200"/>
              <w:jc w:val="both"/>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按照《单用途商业预付卡管理条例》内容要求，根据职能职责进行检查。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现场检查</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书面审查</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省、市、县</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市场监管部门</w:t>
            </w:r>
          </w:p>
        </w:tc>
      </w:tr>
    </w:tbl>
    <w:p>
      <w:pPr>
        <w:pStyle w:val="2"/>
        <w:numPr>
          <w:ilvl w:val="0"/>
          <w:numId w:val="0"/>
        </w:numPr>
        <w:rPr>
          <w:rFonts w:hint="eastAsia"/>
          <w:lang w:val="en-US" w:eastAsia="zh-CN"/>
        </w:rPr>
      </w:pPr>
    </w:p>
    <w:p>
      <w:pPr>
        <w:pStyle w:val="2"/>
        <w:sectPr>
          <w:pgSz w:w="16838" w:h="11906" w:orient="landscape"/>
          <w:pgMar w:top="1587" w:right="2098" w:bottom="1474" w:left="181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kinsoku/>
        <w:wordWrap/>
        <w:overflowPunct/>
        <w:topLinePunct w:val="0"/>
        <w:autoSpaceDE w:val="0"/>
        <w:autoSpaceDN/>
        <w:bidi w:val="0"/>
        <w:spacing w:line="560" w:lineRule="exact"/>
        <w:ind w:firstLine="640" w:firstLineChars="200"/>
        <w:rPr>
          <w:rFonts w:eastAsia="黑体" w:cs="Times New Roman"/>
          <w:b w:val="0"/>
          <w:bCs/>
          <w:sz w:val="32"/>
          <w:szCs w:val="24"/>
        </w:rPr>
      </w:pPr>
      <w:r>
        <w:rPr>
          <w:rFonts w:hint="eastAsia" w:ascii="??_GB2312" w:hAnsi="??_GB2312" w:eastAsia="黑体" w:cs="宋体"/>
          <w:b w:val="0"/>
          <w:bCs/>
          <w:sz w:val="32"/>
          <w:szCs w:val="32"/>
        </w:rPr>
        <w:t>八、剑阁县</w:t>
      </w:r>
      <w:r>
        <w:rPr>
          <w:rFonts w:hint="eastAsia" w:ascii="??_GB2312" w:hAnsi="??_GB2312" w:eastAsia="黑体" w:cs="宋体"/>
          <w:b w:val="0"/>
          <w:bCs/>
          <w:sz w:val="32"/>
          <w:szCs w:val="32"/>
          <w:lang w:eastAsia="zh-CN"/>
        </w:rPr>
        <w:t>商务和经济合作局</w:t>
      </w:r>
      <w:r>
        <w:rPr>
          <w:rFonts w:hint="eastAsia" w:ascii="??_GB2312" w:hAnsi="??_GB2312" w:eastAsia="黑体" w:cs="宋体"/>
          <w:b w:val="0"/>
          <w:bCs/>
          <w:sz w:val="32"/>
          <w:szCs w:val="32"/>
        </w:rPr>
        <w:t>行政执法文书样式、行政执法案卷评查制度</w:t>
      </w:r>
    </w:p>
    <w:p>
      <w:pPr>
        <w:pStyle w:val="3"/>
        <w:keepNext w:val="0"/>
        <w:keepLines w:val="0"/>
        <w:pageBreakBefore w:val="0"/>
        <w:widowControl/>
        <w:suppressLineNumbers w:val="0"/>
        <w:kinsoku/>
        <w:wordWrap/>
        <w:overflowPunct/>
        <w:topLinePunct w:val="0"/>
        <w:autoSpaceDN/>
        <w:bidi w:val="0"/>
        <w:spacing w:before="0" w:beforeAutospacing="0" w:after="0" w:afterAutospacing="0" w:line="560" w:lineRule="exact"/>
        <w:ind w:right="0" w:firstLine="640" w:firstLineChars="200"/>
        <w:rPr>
          <w:rFonts w:hint="eastAsia" w:ascii="楷体_GB2312" w:hAnsi="宋体" w:eastAsia="仿宋_GB2312"/>
          <w:b w:val="0"/>
          <w:bCs/>
          <w:sz w:val="32"/>
          <w:lang w:val="en-US" w:eastAsia="zh-CN"/>
        </w:rPr>
      </w:pPr>
      <w:r>
        <w:rPr>
          <w:rFonts w:hint="eastAsia" w:eastAsia="仿宋_GB2312"/>
          <w:b w:val="0"/>
          <w:bCs/>
          <w:color w:val="000000"/>
          <w:sz w:val="32"/>
          <w:lang w:eastAsia="zh-CN"/>
        </w:rPr>
        <w:t>（一）</w:t>
      </w:r>
      <w:r>
        <w:rPr>
          <w:rFonts w:eastAsia="仿宋_GB2312"/>
          <w:b w:val="0"/>
          <w:bCs/>
          <w:color w:val="000000"/>
          <w:sz w:val="32"/>
        </w:rPr>
        <w:t>商务部令2012年第6号《商务行政处罚程序规定》</w:t>
      </w:r>
      <w:r>
        <w:rPr>
          <w:rFonts w:hint="eastAsia" w:eastAsia="仿宋_GB2312"/>
          <w:b w:val="0"/>
          <w:bCs/>
          <w:color w:val="000000"/>
          <w:sz w:val="32"/>
          <w:lang w:eastAsia="zh-CN"/>
        </w:rPr>
        <w:t>及</w:t>
      </w:r>
      <w:r>
        <w:rPr>
          <w:rFonts w:hint="eastAsia" w:ascii="楷体_GB2312" w:hAnsi="宋体" w:eastAsia="仿宋_GB2312"/>
          <w:b w:val="0"/>
          <w:bCs/>
          <w:sz w:val="32"/>
        </w:rPr>
        <w:t>商务行政执法文书示范格式</w:t>
      </w:r>
      <w:r>
        <w:rPr>
          <w:rFonts w:hint="eastAsia" w:ascii="楷体_GB2312" w:eastAsia="仿宋_GB2312"/>
          <w:b w:val="0"/>
          <w:bCs/>
          <w:sz w:val="32"/>
          <w:lang w:eastAsia="zh-CN"/>
        </w:rPr>
        <w:t>、《四川省行政执法文书标准》DB51/T2722—2020</w:t>
      </w:r>
    </w:p>
    <w:p>
      <w:pPr>
        <w:keepNext w:val="0"/>
        <w:keepLines w:val="0"/>
        <w:pageBreakBefore w:val="0"/>
        <w:kinsoku/>
        <w:wordWrap/>
        <w:overflowPunct/>
        <w:topLinePunct w:val="0"/>
        <w:autoSpaceDE w:val="0"/>
        <w:autoSpaceDN/>
        <w:bidi w:val="0"/>
        <w:spacing w:line="560" w:lineRule="exact"/>
        <w:ind w:firstLine="640" w:firstLineChars="200"/>
        <w:rPr>
          <w:rFonts w:hint="eastAsia" w:ascii="楷体_GB2312" w:hAnsi="宋体" w:eastAsia="仿宋_GB2312"/>
          <w:b w:val="0"/>
          <w:bCs/>
          <w:sz w:val="32"/>
          <w:lang w:val="en-US" w:eastAsia="zh-CN"/>
        </w:rPr>
      </w:pPr>
      <w:r>
        <w:rPr>
          <w:rFonts w:hint="eastAsia" w:ascii="楷体_GB2312" w:hAnsi="宋体" w:eastAsia="仿宋_GB2312"/>
          <w:b w:val="0"/>
          <w:bCs/>
          <w:sz w:val="32"/>
          <w:lang w:val="en-US" w:eastAsia="zh-CN"/>
        </w:rPr>
        <w:t>（二）《县商合局</w:t>
      </w:r>
      <w:r>
        <w:rPr>
          <w:rFonts w:hint="eastAsia" w:ascii="??_GB2312" w:hAnsi="??_GB2312" w:eastAsia="仿宋_GB2312" w:cs="宋体"/>
          <w:b w:val="0"/>
          <w:bCs/>
          <w:sz w:val="32"/>
          <w:szCs w:val="32"/>
        </w:rPr>
        <w:t>行政执法案卷评查</w:t>
      </w:r>
      <w:r>
        <w:rPr>
          <w:rFonts w:hint="eastAsia" w:ascii="??_GB2312" w:hAnsi="??_GB2312" w:eastAsia="仿宋_GB2312" w:cs="宋体"/>
          <w:b w:val="0"/>
          <w:bCs/>
          <w:sz w:val="32"/>
          <w:szCs w:val="32"/>
          <w:lang w:eastAsia="zh-CN"/>
        </w:rPr>
        <w:t>办法</w:t>
      </w:r>
      <w:r>
        <w:rPr>
          <w:rFonts w:hint="eastAsia" w:ascii="楷体_GB2312" w:hAnsi="宋体" w:eastAsia="仿宋_GB2312"/>
          <w:b w:val="0"/>
          <w:bCs/>
          <w:sz w:val="32"/>
          <w:lang w:val="en-US" w:eastAsia="zh-CN"/>
        </w:rPr>
        <w:t>》</w:t>
      </w:r>
    </w:p>
    <w:p>
      <w:pPr>
        <w:spacing w:line="576"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行政执法文书标准(四川省地方标DB51/T-2020)</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color w:val="000000" w:themeColor="text1"/>
          <w:sz w:val="32"/>
          <w:szCs w:val="32"/>
          <w:lang w:val="en-US" w:eastAsia="zh-CN"/>
          <w14:textFill>
            <w14:solidFill>
              <w14:schemeClr w14:val="tx1"/>
            </w14:solidFill>
          </w14:textFill>
        </w:rPr>
        <w:t>剑阁县</w:t>
      </w:r>
      <w:r>
        <w:rPr>
          <w:rFonts w:hint="eastAsia" w:ascii="??_GB2312" w:hAnsi="??_GB2312" w:eastAsia="黑体" w:cs="宋体"/>
          <w:b w:val="0"/>
          <w:bCs/>
          <w:color w:val="000000" w:themeColor="text1"/>
          <w:sz w:val="32"/>
          <w:szCs w:val="32"/>
          <w:lang w:eastAsia="zh-CN"/>
          <w14:textFill>
            <w14:solidFill>
              <w14:schemeClr w14:val="tx1"/>
            </w14:solidFill>
          </w14:textFill>
        </w:rPr>
        <w:t>商务和经济合作</w:t>
      </w:r>
      <w:r>
        <w:rPr>
          <w:rFonts w:hint="eastAsia" w:ascii="黑体" w:hAnsi="黑体" w:eastAsia="黑体" w:cs="黑体"/>
          <w:b w:val="0"/>
          <w:bCs w:val="0"/>
          <w:color w:val="000000" w:themeColor="text1"/>
          <w:sz w:val="32"/>
          <w:szCs w:val="32"/>
          <w:lang w:val="en-US" w:eastAsia="zh-CN"/>
          <w14:textFill>
            <w14:solidFill>
              <w14:schemeClr w14:val="tx1"/>
            </w14:solidFill>
          </w14:textFill>
        </w:rPr>
        <w:t>局上年度双随机抽查结果、行政许可和处罚决定、上年度本机关行政执法数据总体情况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县</w:t>
      </w:r>
      <w:r>
        <w:rPr>
          <w:rFonts w:hint="eastAsia" w:ascii="仿宋" w:hAnsi="仿宋" w:eastAsia="仿宋" w:cs="仿宋"/>
          <w:b w:val="0"/>
          <w:bCs/>
          <w:sz w:val="32"/>
          <w:szCs w:val="32"/>
          <w:lang w:eastAsia="zh-CN"/>
        </w:rPr>
        <w:t>商合</w:t>
      </w:r>
      <w:r>
        <w:rPr>
          <w:rFonts w:hint="eastAsia" w:ascii="仿宋" w:hAnsi="仿宋" w:eastAsia="仿宋" w:cs="仿宋"/>
          <w:b w:val="0"/>
          <w:bCs/>
          <w:sz w:val="32"/>
          <w:szCs w:val="32"/>
        </w:rPr>
        <w:t>局</w:t>
      </w:r>
      <w:r>
        <w:rPr>
          <w:rFonts w:hint="eastAsia" w:ascii="仿宋" w:hAnsi="仿宋" w:eastAsia="仿宋" w:cs="仿宋"/>
          <w:b w:val="0"/>
          <w:bCs w:val="0"/>
          <w:sz w:val="32"/>
          <w:szCs w:val="32"/>
          <w:lang w:val="en-US" w:eastAsia="zh-CN"/>
        </w:rPr>
        <w:t>上年度未办理行政许可和行政处罚案件</w:t>
      </w:r>
    </w:p>
    <w:p>
      <w:pPr>
        <w:pStyle w:val="4"/>
        <w:keepNext w:val="0"/>
        <w:keepLines w:val="0"/>
        <w:pageBreakBefore w:val="0"/>
        <w:kinsoku/>
        <w:wordWrap/>
        <w:overflowPunct/>
        <w:topLinePunct w:val="0"/>
        <w:autoSpaceDN/>
        <w:bidi w:val="0"/>
        <w:spacing w:line="560" w:lineRule="exact"/>
        <w:rPr>
          <w:rFonts w:hint="eastAsia" w:ascii="黑体" w:hAnsi="黑体" w:eastAsia="黑体" w:cs="黑体"/>
          <w:b w:val="0"/>
          <w:bCs w:val="0"/>
          <w:sz w:val="32"/>
          <w:szCs w:val="32"/>
          <w:lang w:val="en-US" w:eastAsia="zh-CN"/>
        </w:rPr>
      </w:pPr>
      <w:r>
        <w:rPr>
          <w:rFonts w:hint="eastAsia" w:ascii="??_GB2312" w:hAnsi="??_GB2312" w:eastAsia="黑体" w:cs="宋体"/>
          <w:b w:val="0"/>
          <w:bCs/>
          <w:color w:val="000000" w:themeColor="text1"/>
          <w:kern w:val="2"/>
          <w:sz w:val="32"/>
          <w:szCs w:val="32"/>
          <w:lang w:val="en-US" w:eastAsia="zh-CN" w:bidi="ar-SA"/>
          <w14:textFill>
            <w14:solidFill>
              <w14:schemeClr w14:val="tx1"/>
            </w14:solidFill>
          </w14:textFill>
        </w:rPr>
        <w:t>http://www.cnjg.gov.cn/new/detail/20220126110339576.html</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sectPr>
          <w:pgSz w:w="11906" w:h="16838"/>
          <w:pgMar w:top="2098" w:right="1474" w:bottom="1814" w:left="1587"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2"/>
        <w:rPr>
          <w:rFonts w:hint="eastAsia"/>
          <w:lang w:val="en-US" w:eastAsia="zh-CN"/>
        </w:rPr>
      </w:pPr>
    </w:p>
    <w:p>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color w:val="000000" w:themeColor="text1"/>
          <w:sz w:val="32"/>
          <w:szCs w:val="32"/>
          <w:lang w:eastAsia="zh-CN"/>
          <w14:textFill>
            <w14:solidFill>
              <w14:schemeClr w14:val="tx1"/>
            </w14:solidFill>
          </w14:textFill>
        </w:rPr>
        <w:t>上年度本机关行政执法数据总体情况</w:t>
      </w:r>
    </w:p>
    <w:p>
      <w:pPr>
        <w:keepNext w:val="0"/>
        <w:keepLines w:val="0"/>
        <w:widowControl/>
        <w:suppressLineNumbers w:val="0"/>
        <w:jc w:val="left"/>
        <w:rPr>
          <w:rFonts w:hint="eastAsia"/>
          <w:lang w:eastAsia="zh-CN"/>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109220</wp:posOffset>
            </wp:positionV>
            <wp:extent cx="9205595" cy="1964690"/>
            <wp:effectExtent l="0" t="0" r="14605" b="16510"/>
            <wp:wrapTopAndBottom/>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9205595" cy="1964690"/>
                    </a:xfrm>
                    <a:prstGeom prst="rect">
                      <a:avLst/>
                    </a:prstGeom>
                    <a:noFill/>
                    <a:ln w="9525">
                      <a:noFill/>
                    </a:ln>
                  </pic:spPr>
                </pic:pic>
              </a:graphicData>
            </a:graphic>
          </wp:anchor>
        </w:drawing>
      </w:r>
    </w:p>
    <w:p>
      <w:pPr>
        <w:keepNext w:val="0"/>
        <w:keepLines w:val="0"/>
        <w:pageBreakBefore w:val="0"/>
        <w:numPr>
          <w:ilvl w:val="0"/>
          <w:numId w:val="0"/>
        </w:numPr>
        <w:kinsoku/>
        <w:wordWrap/>
        <w:overflowPunct/>
        <w:topLinePunct w:val="0"/>
        <w:autoSpaceDE w:val="0"/>
        <w:autoSpaceDN/>
        <w:bidi w:val="0"/>
        <w:spacing w:line="560" w:lineRule="exact"/>
        <w:ind w:firstLine="640" w:firstLineChars="200"/>
        <w:rPr>
          <w:rFonts w:hint="eastAsia" w:ascii="??_GB2312" w:hAnsi="??_GB2312" w:eastAsia="黑体" w:cs="宋体"/>
          <w:b w:val="0"/>
          <w:bCs/>
          <w:sz w:val="32"/>
          <w:szCs w:val="32"/>
          <w:lang w:eastAsia="zh-CN"/>
        </w:rPr>
      </w:pPr>
    </w:p>
    <w:p>
      <w:pPr>
        <w:keepNext w:val="0"/>
        <w:keepLines w:val="0"/>
        <w:pageBreakBefore w:val="0"/>
        <w:numPr>
          <w:ilvl w:val="0"/>
          <w:numId w:val="0"/>
        </w:numPr>
        <w:kinsoku/>
        <w:wordWrap/>
        <w:overflowPunct/>
        <w:topLinePunct w:val="0"/>
        <w:autoSpaceDE w:val="0"/>
        <w:autoSpaceDN/>
        <w:bidi w:val="0"/>
        <w:spacing w:line="560" w:lineRule="exact"/>
        <w:ind w:firstLine="640" w:firstLineChars="200"/>
        <w:rPr>
          <w:rFonts w:hint="eastAsia" w:ascii="??_GB2312" w:hAnsi="??_GB2312" w:eastAsia="黑体" w:cs="宋体"/>
          <w:b w:val="0"/>
          <w:bCs/>
          <w:sz w:val="32"/>
          <w:szCs w:val="32"/>
          <w:lang w:eastAsia="zh-CN"/>
        </w:rPr>
      </w:pPr>
    </w:p>
    <w:p>
      <w:pPr>
        <w:keepNext w:val="0"/>
        <w:keepLines w:val="0"/>
        <w:pageBreakBefore w:val="0"/>
        <w:numPr>
          <w:ilvl w:val="0"/>
          <w:numId w:val="0"/>
        </w:numPr>
        <w:kinsoku/>
        <w:wordWrap/>
        <w:overflowPunct/>
        <w:topLinePunct w:val="0"/>
        <w:autoSpaceDE w:val="0"/>
        <w:autoSpaceDN/>
        <w:bidi w:val="0"/>
        <w:spacing w:line="560" w:lineRule="exact"/>
        <w:ind w:firstLine="640" w:firstLineChars="200"/>
        <w:rPr>
          <w:rFonts w:hint="eastAsia" w:ascii="??_GB2312" w:hAnsi="??_GB2312" w:eastAsia="黑体" w:cs="宋体"/>
          <w:b w:val="0"/>
          <w:bCs/>
          <w:sz w:val="32"/>
          <w:szCs w:val="32"/>
          <w:lang w:eastAsia="zh-CN"/>
        </w:rPr>
      </w:pPr>
    </w:p>
    <w:p>
      <w:pPr>
        <w:pStyle w:val="2"/>
        <w:rPr>
          <w:rFonts w:hint="eastAsia" w:ascii="??_GB2312" w:hAnsi="??_GB2312" w:eastAsia="黑体" w:cs="宋体"/>
          <w:b w:val="0"/>
          <w:bCs/>
          <w:sz w:val="32"/>
          <w:szCs w:val="32"/>
          <w:lang w:eastAsia="zh-CN"/>
        </w:rPr>
      </w:pPr>
    </w:p>
    <w:p>
      <w:pPr>
        <w:pStyle w:val="2"/>
        <w:rPr>
          <w:rFonts w:hint="eastAsia" w:ascii="??_GB2312" w:hAnsi="??_GB2312" w:eastAsia="黑体" w:cs="宋体"/>
          <w:b w:val="0"/>
          <w:bCs/>
          <w:sz w:val="32"/>
          <w:szCs w:val="32"/>
          <w:lang w:eastAsia="zh-CN"/>
        </w:rPr>
        <w:sectPr>
          <w:pgSz w:w="16838" w:h="11906" w:orient="landscape"/>
          <w:pgMar w:top="1587" w:right="2098" w:bottom="1474" w:left="181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numPr>
          <w:ilvl w:val="0"/>
          <w:numId w:val="0"/>
        </w:numPr>
        <w:kinsoku/>
        <w:wordWrap/>
        <w:overflowPunct/>
        <w:topLinePunct w:val="0"/>
        <w:autoSpaceDE w:val="0"/>
        <w:autoSpaceDN/>
        <w:bidi w:val="0"/>
        <w:spacing w:line="560" w:lineRule="exact"/>
        <w:ind w:firstLine="640" w:firstLineChars="200"/>
        <w:rPr>
          <w:rFonts w:ascii="??_GB2312" w:hAnsi="??_GB2312" w:cs="??_GB2312"/>
          <w:b/>
          <w:bCs/>
          <w:sz w:val="32"/>
          <w:szCs w:val="32"/>
        </w:rPr>
      </w:pPr>
      <w:r>
        <w:rPr>
          <w:rFonts w:hint="eastAsia" w:ascii="??_GB2312" w:hAnsi="??_GB2312" w:eastAsia="黑体" w:cs="宋体"/>
          <w:b w:val="0"/>
          <w:bCs/>
          <w:sz w:val="32"/>
          <w:szCs w:val="32"/>
          <w:lang w:eastAsia="zh-CN"/>
        </w:rPr>
        <w:t>十、</w:t>
      </w:r>
      <w:r>
        <w:rPr>
          <w:rFonts w:hint="eastAsia" w:ascii="??_GB2312" w:hAnsi="??_GB2312" w:eastAsia="黑体" w:cs="宋体"/>
          <w:b w:val="0"/>
          <w:bCs/>
          <w:sz w:val="32"/>
          <w:szCs w:val="32"/>
          <w:lang w:val="en-US" w:eastAsia="zh-CN"/>
        </w:rPr>
        <w:t>剑阁县</w:t>
      </w:r>
      <w:r>
        <w:rPr>
          <w:rFonts w:hint="eastAsia" w:ascii="??_GB2312" w:hAnsi="??_GB2312" w:eastAsia="黑体" w:cs="宋体"/>
          <w:b w:val="0"/>
          <w:bCs/>
          <w:sz w:val="32"/>
          <w:szCs w:val="32"/>
          <w:lang w:eastAsia="zh-CN"/>
        </w:rPr>
        <w:t>商务和经济合作局</w:t>
      </w:r>
      <w:r>
        <w:rPr>
          <w:rFonts w:hint="eastAsia" w:ascii="??_GB2312" w:hAnsi="??_GB2312" w:eastAsia="黑体" w:cs="宋体"/>
          <w:b w:val="0"/>
          <w:bCs/>
          <w:sz w:val="32"/>
          <w:szCs w:val="32"/>
        </w:rPr>
        <w:t>实行</w:t>
      </w:r>
      <w:r>
        <w:rPr>
          <w:rFonts w:hint="eastAsia" w:ascii="??_GB2312" w:hAnsi="??_GB2312" w:eastAsia="黑体" w:cs="宋体"/>
          <w:b w:val="0"/>
          <w:bCs/>
          <w:sz w:val="32"/>
          <w:szCs w:val="32"/>
          <w:lang w:eastAsia="zh-CN"/>
        </w:rPr>
        <w:t>行</w:t>
      </w:r>
      <w:r>
        <w:rPr>
          <w:rFonts w:hint="eastAsia" w:ascii="??_GB2312" w:hAnsi="??_GB2312" w:eastAsia="黑体" w:cs="宋体"/>
          <w:b w:val="0"/>
          <w:bCs/>
          <w:sz w:val="32"/>
          <w:szCs w:val="32"/>
        </w:rPr>
        <w:t>政执法三项制度方案</w:t>
      </w:r>
    </w:p>
    <w:p>
      <w:pPr>
        <w:keepNext w:val="0"/>
        <w:keepLines w:val="0"/>
        <w:pageBreakBefore w:val="0"/>
        <w:kinsoku/>
        <w:wordWrap/>
        <w:overflowPunct/>
        <w:topLinePunct w:val="0"/>
        <w:autoSpaceDE w:val="0"/>
        <w:autoSpaceDN/>
        <w:bidi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县三项制度印发《剑阁县</w:t>
      </w:r>
      <w:r>
        <w:rPr>
          <w:rFonts w:hint="eastAsia" w:ascii="仿宋" w:hAnsi="仿宋" w:eastAsia="仿宋" w:cs="仿宋"/>
          <w:sz w:val="32"/>
          <w:szCs w:val="32"/>
          <w:lang w:eastAsia="zh-CN"/>
        </w:rPr>
        <w:t>商合</w:t>
      </w:r>
      <w:r>
        <w:rPr>
          <w:rFonts w:hint="eastAsia" w:ascii="仿宋" w:hAnsi="仿宋" w:eastAsia="仿宋" w:cs="仿宋"/>
          <w:sz w:val="32"/>
          <w:szCs w:val="32"/>
        </w:rPr>
        <w:t>局</w:t>
      </w:r>
      <w:r>
        <w:rPr>
          <w:rFonts w:hint="eastAsia" w:ascii="仿宋" w:hAnsi="仿宋" w:eastAsia="仿宋" w:cs="仿宋"/>
          <w:sz w:val="32"/>
          <w:szCs w:val="32"/>
          <w:lang w:eastAsia="zh-CN"/>
        </w:rPr>
        <w:t>关于</w:t>
      </w:r>
      <w:r>
        <w:rPr>
          <w:rFonts w:hint="eastAsia" w:ascii="仿宋" w:hAnsi="仿宋" w:eastAsia="仿宋" w:cs="仿宋"/>
          <w:sz w:val="32"/>
          <w:szCs w:val="32"/>
        </w:rPr>
        <w:t>推行</w:t>
      </w:r>
      <w:r>
        <w:rPr>
          <w:rFonts w:hint="eastAsia" w:ascii="仿宋" w:hAnsi="仿宋" w:eastAsia="仿宋" w:cs="仿宋"/>
          <w:sz w:val="32"/>
          <w:szCs w:val="32"/>
          <w:lang w:eastAsia="zh-CN"/>
        </w:rPr>
        <w:t>“</w:t>
      </w:r>
      <w:r>
        <w:rPr>
          <w:rFonts w:hint="eastAsia" w:ascii="仿宋" w:hAnsi="仿宋" w:eastAsia="仿宋" w:cs="仿宋"/>
          <w:sz w:val="32"/>
          <w:szCs w:val="32"/>
        </w:rPr>
        <w:t>行政执法公示制度</w:t>
      </w:r>
      <w:r>
        <w:rPr>
          <w:rFonts w:hint="eastAsia" w:ascii="仿宋" w:hAnsi="仿宋" w:eastAsia="仿宋" w:cs="仿宋"/>
          <w:sz w:val="32"/>
          <w:szCs w:val="32"/>
          <w:lang w:eastAsia="zh-CN"/>
        </w:rPr>
        <w:t>、</w:t>
      </w:r>
      <w:r>
        <w:rPr>
          <w:rFonts w:hint="eastAsia" w:ascii="仿宋" w:hAnsi="仿宋" w:eastAsia="仿宋" w:cs="仿宋"/>
          <w:sz w:val="32"/>
          <w:szCs w:val="32"/>
        </w:rPr>
        <w:t>执法全过程记录制度</w:t>
      </w:r>
      <w:r>
        <w:rPr>
          <w:rFonts w:hint="eastAsia" w:ascii="仿宋" w:hAnsi="仿宋" w:eastAsia="仿宋" w:cs="仿宋"/>
          <w:sz w:val="32"/>
          <w:szCs w:val="32"/>
          <w:lang w:eastAsia="zh-CN"/>
        </w:rPr>
        <w:t>、</w:t>
      </w:r>
      <w:r>
        <w:rPr>
          <w:rFonts w:hint="eastAsia" w:ascii="仿宋" w:hAnsi="仿宋" w:eastAsia="仿宋" w:cs="仿宋"/>
          <w:sz w:val="32"/>
          <w:szCs w:val="32"/>
        </w:rPr>
        <w:t>重大执法决定法制审核制度</w:t>
      </w:r>
      <w:r>
        <w:rPr>
          <w:rFonts w:hint="eastAsia" w:ascii="仿宋" w:hAnsi="仿宋" w:eastAsia="仿宋" w:cs="仿宋"/>
          <w:sz w:val="32"/>
          <w:szCs w:val="32"/>
          <w:lang w:eastAsia="zh-CN"/>
        </w:rPr>
        <w:t>”</w:t>
      </w:r>
      <w:r>
        <w:rPr>
          <w:rFonts w:hint="eastAsia" w:ascii="仿宋" w:hAnsi="仿宋" w:eastAsia="仿宋" w:cs="仿宋"/>
          <w:sz w:val="32"/>
          <w:szCs w:val="32"/>
        </w:rPr>
        <w:t>实施</w:t>
      </w:r>
      <w:r>
        <w:rPr>
          <w:rFonts w:hint="eastAsia" w:ascii="仿宋" w:hAnsi="仿宋" w:eastAsia="仿宋" w:cs="仿宋"/>
          <w:sz w:val="32"/>
          <w:szCs w:val="32"/>
          <w:lang w:eastAsia="zh-CN"/>
        </w:rPr>
        <w:t>方案</w:t>
      </w:r>
      <w:r>
        <w:rPr>
          <w:rFonts w:hint="eastAsia" w:ascii="仿宋" w:hAnsi="仿宋" w:eastAsia="仿宋" w:cs="仿宋"/>
          <w:sz w:val="32"/>
          <w:szCs w:val="32"/>
        </w:rPr>
        <w:t>》的通知</w:t>
      </w:r>
    </w:p>
    <w:p>
      <w:pPr>
        <w:keepNext w:val="0"/>
        <w:keepLines w:val="0"/>
        <w:pageBreakBefore w:val="0"/>
        <w:kinsoku/>
        <w:wordWrap/>
        <w:overflowPunct/>
        <w:topLinePunct w:val="0"/>
        <w:autoSpaceDN/>
        <w:bidi w:val="0"/>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bCs/>
          <w:color w:val="000000" w:themeColor="text1"/>
          <w:sz w:val="32"/>
          <w:szCs w:val="32"/>
          <w:lang w:eastAsia="zh-CN"/>
          <w14:textFill>
            <w14:solidFill>
              <w14:schemeClr w14:val="tx1"/>
            </w14:solidFill>
          </w14:textFill>
        </w:rPr>
        <w:t>遵</w:t>
      </w:r>
      <w:r>
        <w:rPr>
          <w:rFonts w:hint="eastAsia" w:ascii="仿宋" w:hAnsi="仿宋" w:eastAsia="仿宋" w:cs="仿宋"/>
          <w:bCs/>
          <w:color w:val="000000" w:themeColor="text1"/>
          <w:sz w:val="32"/>
          <w:szCs w:val="32"/>
          <w14:textFill>
            <w14:solidFill>
              <w14:schemeClr w14:val="tx1"/>
            </w14:solidFill>
          </w14:textFill>
        </w:rPr>
        <w:t>照执行</w:t>
      </w:r>
      <w:r>
        <w:rPr>
          <w:rFonts w:hint="eastAsia" w:ascii="仿宋" w:hAnsi="仿宋" w:eastAsia="仿宋" w:cs="仿宋"/>
          <w:color w:val="000000" w:themeColor="text1"/>
          <w:sz w:val="32"/>
          <w:szCs w:val="32"/>
          <w14:textFill>
            <w14:solidFill>
              <w14:schemeClr w14:val="tx1"/>
            </w14:solidFill>
          </w14:textFill>
        </w:rPr>
        <w:t>《四川省行政执法公示办法》、《四川省行政执法全过程记录办法》、《四川省重大行政执法决定法制审核办法》</w:t>
      </w:r>
    </w:p>
    <w:sectPr>
      <w:pgSz w:w="11906" w:h="16838"/>
      <w:pgMar w:top="2098" w:right="1474" w:bottom="1814" w:left="1587"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楷体">
    <w:altName w:val="方正楷体_GBK"/>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D4DE"/>
    <w:multiLevelType w:val="singleLevel"/>
    <w:tmpl w:val="AE1FD4DE"/>
    <w:lvl w:ilvl="0" w:tentative="0">
      <w:start w:val="4"/>
      <w:numFmt w:val="chineseCounting"/>
      <w:suff w:val="nothing"/>
      <w:lvlText w:val="%1、"/>
      <w:lvlJc w:val="left"/>
      <w:rPr>
        <w:rFonts w:hint="eastAsia"/>
      </w:rPr>
    </w:lvl>
  </w:abstractNum>
  <w:abstractNum w:abstractNumId="1">
    <w:nsid w:val="CA7538FC"/>
    <w:multiLevelType w:val="singleLevel"/>
    <w:tmpl w:val="CA7538FC"/>
    <w:lvl w:ilvl="0" w:tentative="0">
      <w:start w:val="7"/>
      <w:numFmt w:val="chineseCounting"/>
      <w:suff w:val="nothing"/>
      <w:lvlText w:val="%1、"/>
      <w:lvlJc w:val="left"/>
      <w:rPr>
        <w:rFonts w:hint="eastAsia"/>
      </w:rPr>
    </w:lvl>
  </w:abstractNum>
  <w:abstractNum w:abstractNumId="2">
    <w:nsid w:val="04961154"/>
    <w:multiLevelType w:val="singleLevel"/>
    <w:tmpl w:val="04961154"/>
    <w:lvl w:ilvl="0" w:tentative="0">
      <w:start w:val="2"/>
      <w:numFmt w:val="chineseCounting"/>
      <w:suff w:val="nothing"/>
      <w:lvlText w:val="（%1）"/>
      <w:lvlJc w:val="left"/>
      <w:rPr>
        <w:rFonts w:hint="eastAsia"/>
      </w:rPr>
    </w:lvl>
  </w:abstractNum>
  <w:abstractNum w:abstractNumId="3">
    <w:nsid w:val="220F1843"/>
    <w:multiLevelType w:val="singleLevel"/>
    <w:tmpl w:val="220F1843"/>
    <w:lvl w:ilvl="0" w:tentative="0">
      <w:start w:val="2"/>
      <w:numFmt w:val="decimal"/>
      <w:suff w:val="nothing"/>
      <w:lvlText w:val="%1、"/>
      <w:lvlJc w:val="left"/>
    </w:lvl>
  </w:abstractNum>
  <w:abstractNum w:abstractNumId="4">
    <w:nsid w:val="38A33660"/>
    <w:multiLevelType w:val="singleLevel"/>
    <w:tmpl w:val="38A33660"/>
    <w:lvl w:ilvl="0" w:tentative="0">
      <w:start w:val="2"/>
      <w:numFmt w:val="decimal"/>
      <w:suff w:val="nothing"/>
      <w:lvlText w:val="（%1）"/>
      <w:lvlJc w:val="left"/>
    </w:lvl>
  </w:abstractNum>
  <w:abstractNum w:abstractNumId="5">
    <w:nsid w:val="45DB7A6D"/>
    <w:multiLevelType w:val="singleLevel"/>
    <w:tmpl w:val="45DB7A6D"/>
    <w:lvl w:ilvl="0" w:tentative="0">
      <w:start w:val="3"/>
      <w:numFmt w:val="decimal"/>
      <w:suff w:val="nothing"/>
      <w:lvlText w:val="（%1）"/>
      <w:lvlJc w:val="left"/>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false"/>
  <w:bordersDoNotSurroundFooter w:val="false"/>
  <w:documentProtection w:enforcement="0"/>
  <w:defaultTabStop w:val="420"/>
  <w:drawingGridHorizontalSpacing w:val="21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00000"/>
    <w:rsid w:val="015F166F"/>
    <w:rsid w:val="03D05267"/>
    <w:rsid w:val="056E01CF"/>
    <w:rsid w:val="060E5279"/>
    <w:rsid w:val="10945CF2"/>
    <w:rsid w:val="11CC59FA"/>
    <w:rsid w:val="159E526A"/>
    <w:rsid w:val="167E354C"/>
    <w:rsid w:val="16F65266"/>
    <w:rsid w:val="199A5D9D"/>
    <w:rsid w:val="1A0332B9"/>
    <w:rsid w:val="1B4915BD"/>
    <w:rsid w:val="1C217098"/>
    <w:rsid w:val="1D6658C6"/>
    <w:rsid w:val="1DB81C4C"/>
    <w:rsid w:val="20B10B9D"/>
    <w:rsid w:val="24483772"/>
    <w:rsid w:val="267D562F"/>
    <w:rsid w:val="269E255D"/>
    <w:rsid w:val="273C5920"/>
    <w:rsid w:val="2A144967"/>
    <w:rsid w:val="2BDB0FDC"/>
    <w:rsid w:val="2C7D0E4E"/>
    <w:rsid w:val="30A37EE4"/>
    <w:rsid w:val="31E52E8B"/>
    <w:rsid w:val="321131B8"/>
    <w:rsid w:val="33D13C0A"/>
    <w:rsid w:val="35902AE0"/>
    <w:rsid w:val="35D42A2C"/>
    <w:rsid w:val="367C2F8C"/>
    <w:rsid w:val="39725350"/>
    <w:rsid w:val="3A436025"/>
    <w:rsid w:val="3BB32E97"/>
    <w:rsid w:val="3CFE5ABE"/>
    <w:rsid w:val="3DC77771"/>
    <w:rsid w:val="3EB502E0"/>
    <w:rsid w:val="3F1E26AC"/>
    <w:rsid w:val="3FAE2BA3"/>
    <w:rsid w:val="41CD3B86"/>
    <w:rsid w:val="44B90D5F"/>
    <w:rsid w:val="44CA22B4"/>
    <w:rsid w:val="49677389"/>
    <w:rsid w:val="49E55453"/>
    <w:rsid w:val="4BA50534"/>
    <w:rsid w:val="4DFC6C06"/>
    <w:rsid w:val="5167717F"/>
    <w:rsid w:val="54385789"/>
    <w:rsid w:val="553C6E1A"/>
    <w:rsid w:val="5543171E"/>
    <w:rsid w:val="557B7751"/>
    <w:rsid w:val="55EB6B12"/>
    <w:rsid w:val="56EE3188"/>
    <w:rsid w:val="5765671E"/>
    <w:rsid w:val="57DD0735"/>
    <w:rsid w:val="59F141A9"/>
    <w:rsid w:val="5AB7197E"/>
    <w:rsid w:val="5F13475B"/>
    <w:rsid w:val="5F5B494C"/>
    <w:rsid w:val="5FB13D86"/>
    <w:rsid w:val="68724D68"/>
    <w:rsid w:val="68CE634E"/>
    <w:rsid w:val="69A20A74"/>
    <w:rsid w:val="6A161983"/>
    <w:rsid w:val="6A330007"/>
    <w:rsid w:val="6AAD0664"/>
    <w:rsid w:val="6ED56783"/>
    <w:rsid w:val="73664B64"/>
    <w:rsid w:val="750F6DAD"/>
    <w:rsid w:val="78226D61"/>
    <w:rsid w:val="7AAC5892"/>
    <w:rsid w:val="7FDF6C8C"/>
    <w:rsid w:val="FF7D9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yperlink"/>
    <w:basedOn w:val="9"/>
    <w:qFormat/>
    <w:uiPriority w:val="99"/>
    <w:rPr>
      <w:color w:val="000000"/>
      <w:u w:val="none"/>
    </w:rPr>
  </w:style>
  <w:style w:type="paragraph" w:customStyle="1" w:styleId="13">
    <w:name w:val="_Style 18"/>
    <w:basedOn w:val="1"/>
    <w:next w:val="1"/>
    <w:qFormat/>
    <w:uiPriority w:val="99"/>
    <w:pPr>
      <w:pBdr>
        <w:bottom w:val="single" w:color="auto" w:sz="6" w:space="1"/>
      </w:pBdr>
      <w:jc w:val="center"/>
    </w:pPr>
    <w:rPr>
      <w:rFonts w:ascii="Arial" w:cs="Arial"/>
      <w:vanish/>
      <w:sz w:val="16"/>
      <w:szCs w:val="16"/>
    </w:rPr>
  </w:style>
  <w:style w:type="character" w:customStyle="1" w:styleId="14">
    <w:name w:val="15"/>
    <w:basedOn w:val="9"/>
    <w:qFormat/>
    <w:uiPriority w:val="99"/>
    <w:rPr>
      <w:rFonts w:ascii="Calibri" w:hAnsi="Calibri" w:cs="Calibri"/>
      <w:color w:val="0000FF"/>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6705</Words>
  <Characters>7467</Characters>
  <Lines>0</Lines>
  <Paragraphs>0</Paragraphs>
  <TotalTime>1</TotalTime>
  <ScaleCrop>false</ScaleCrop>
  <LinksUpToDate>false</LinksUpToDate>
  <CharactersWithSpaces>7471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2025-01-14T11:50:26Z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C18FFDD519A040D8A8C96965FCDBB851</vt:lpwstr>
  </property>
</Properties>
</file>