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line="576" w:lineRule="atLeast"/>
        <w:jc w:val="center"/>
        <w:textAlignment w:val="auto"/>
        <w:outlineLvl w:val="0"/>
        <w:rPr>
          <w:rFonts w:ascii="方正小标宋简体" w:hAnsi="宋体" w:eastAsia="方正小标宋简体"/>
          <w:sz w:val="72"/>
          <w:szCs w:val="72"/>
        </w:rPr>
      </w:pPr>
      <w:bookmarkStart w:id="0" w:name="_Toc15377193"/>
      <w:bookmarkStart w:id="1" w:name="_Toc15378441"/>
      <w:bookmarkStart w:id="2" w:name="_Toc15377425"/>
      <w:bookmarkStart w:id="3" w:name="_Toc15396597"/>
      <w:bookmarkStart w:id="4" w:name="_Toc15396475"/>
      <w:bookmarkStart w:id="5" w:name="_Toc15306267"/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center"/>
        <w:textAlignment w:val="auto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center"/>
        <w:textAlignment w:val="auto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2022年度</w:t>
      </w:r>
      <w:bookmarkEnd w:id="0"/>
      <w:bookmarkEnd w:id="1"/>
      <w:bookmarkEnd w:id="2"/>
      <w:bookmarkEnd w:id="3"/>
      <w:bookmarkEnd w:id="4"/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bookmarkStart w:id="6" w:name="_Toc15378442"/>
      <w:bookmarkStart w:id="7" w:name="_Toc15396476"/>
      <w:bookmarkStart w:id="8" w:name="_Toc15396598"/>
      <w:bookmarkStart w:id="9" w:name="_Toc15377426"/>
      <w:bookmarkStart w:id="10" w:name="_Toc15377194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剑阁县</w:t>
      </w:r>
      <w:bookmarkEnd w:id="5"/>
      <w:bookmarkStart w:id="11" w:name="_Toc15306268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委统战部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部门决算</w:t>
      </w:r>
      <w:bookmarkEnd w:id="6"/>
      <w:bookmarkEnd w:id="7"/>
      <w:bookmarkEnd w:id="8"/>
      <w:bookmarkEnd w:id="9"/>
      <w:bookmarkEnd w:id="10"/>
      <w:bookmarkEnd w:id="11"/>
    </w:p>
    <w:p>
      <w:pPr>
        <w:pageBreakBefore w:val="0"/>
        <w:widowControl/>
        <w:kinsoku/>
        <w:wordWrap/>
        <w:overflowPunct/>
        <w:topLinePunct w:val="0"/>
        <w:bidi w:val="0"/>
        <w:spacing w:line="576" w:lineRule="atLeast"/>
        <w:jc w:val="center"/>
        <w:textAlignment w:val="auto"/>
        <w:rPr>
          <w:rFonts w:ascii="黑体" w:hAnsi="黑体" w:eastAsia="黑体"/>
          <w:sz w:val="48"/>
          <w:szCs w:val="48"/>
        </w:rPr>
      </w:pPr>
      <w:r>
        <w:rPr>
          <w:rFonts w:ascii="方正小标宋简体" w:hAnsi="宋体" w:eastAsia="方正小标宋简体"/>
          <w:sz w:val="36"/>
          <w:szCs w:val="36"/>
        </w:rPr>
        <w:br w:type="page"/>
      </w:r>
      <w:r>
        <w:rPr>
          <w:rFonts w:hint="eastAsia" w:ascii="黑体" w:hAnsi="黑体" w:eastAsia="黑体"/>
          <w:sz w:val="48"/>
          <w:szCs w:val="48"/>
        </w:rPr>
        <w:t>目录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576" w:lineRule="atLeast"/>
        <w:jc w:val="center"/>
        <w:textAlignment w:val="auto"/>
        <w:rPr>
          <w:rFonts w:ascii="黑体" w:hAnsi="黑体" w:eastAsia="黑体" w:cstheme="minorBidi"/>
          <w:sz w:val="28"/>
          <w:szCs w:val="28"/>
        </w:rPr>
      </w:pPr>
    </w:p>
    <w:p>
      <w:pPr>
        <w:pStyle w:val="12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公开时间：2023年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12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第一部分 部门概况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一、部门职责及重点工作</w:t>
      </w:r>
      <w:bookmarkStart w:id="19" w:name="_GoBack"/>
      <w:bookmarkEnd w:id="19"/>
    </w:p>
    <w:p>
      <w:pPr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(一)部门职责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（二）2022年重点工作完成情况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二、机构设置</w:t>
      </w:r>
    </w:p>
    <w:p>
      <w:pPr>
        <w:pStyle w:val="12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第二部分 2022年度部门决算情况说明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一、收入支出决算总体情况说明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二、收入决算情况说明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三、支出决算情况说明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四、财政拨款收入支出决算总体情况说明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五、一般公共预算财政拨款支出决算情况说明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六、一般公共预算财政拨款基本支出决算情况说明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七、财政拨款“三公”经费支出决算情况说明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八、政府性基金预算支出决算情况说明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leftChars="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九、国有资本经营预算支出决算情况说明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525" w:firstLineChars="175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18"/>
          <w:rFonts w:hint="eastAsia" w:ascii="仿宋" w:hAnsi="仿宋" w:eastAsia="仿宋" w:cs="仿宋"/>
          <w:color w:val="auto"/>
          <w:sz w:val="30"/>
          <w:szCs w:val="30"/>
          <w:u w:val="none"/>
        </w:rPr>
        <w:t>十、</w:t>
      </w:r>
      <w:r>
        <w:rPr>
          <w:rFonts w:hint="eastAsia" w:ascii="仿宋" w:hAnsi="仿宋" w:eastAsia="仿宋" w:cs="仿宋"/>
          <w:sz w:val="30"/>
          <w:szCs w:val="30"/>
        </w:rPr>
        <w:t>其他重要事项的情况说明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pStyle w:val="12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第三部分 名词解释</w:t>
      </w:r>
    </w:p>
    <w:p>
      <w:pPr>
        <w:pStyle w:val="12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第四部分 附件</w:t>
      </w:r>
    </w:p>
    <w:p>
      <w:pPr>
        <w:pStyle w:val="12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第五部分 附表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一、收入支出决算总表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二、收入决算表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三、支出决算表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四、财政拨款收入支出决算总表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五、财政拨款支出决算明细表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六、一般公共预算财政拨款支出决算表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七、一般公共预算财政拨款支出决算明细表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八、一般公共预算财政拨款基本支出决算明细表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九、一般公共预算财政拨款项目支出决算表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十、政府性基金预算财政拨款收入支出决算表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十一、国有资本经营预算财政拨款收入支出决算表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十二、国有资本经营预算财政拨款支出决算表</w:t>
      </w:r>
    </w:p>
    <w:p>
      <w:pPr>
        <w:pStyle w:val="13"/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十三、财政拨款“三公”经费支出决算表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576" w:lineRule="atLeast"/>
        <w:jc w:val="left"/>
        <w:textAlignment w:val="auto"/>
        <w:rPr>
          <w:rFonts w:hint="eastAsia" w:ascii="仿宋" w:hAnsi="仿宋" w:eastAsia="仿宋" w:cs="仿宋"/>
          <w:bCs/>
          <w:kern w:val="44"/>
          <w:sz w:val="30"/>
          <w:szCs w:val="30"/>
        </w:rPr>
      </w:pPr>
      <w:bookmarkStart w:id="12" w:name="_Toc15377196"/>
      <w:bookmarkStart w:id="13" w:name="_Toc15396599"/>
      <w:r>
        <w:rPr>
          <w:rFonts w:hint="eastAsia" w:ascii="仿宋" w:hAnsi="仿宋" w:eastAsia="仿宋" w:cs="仿宋"/>
          <w:b/>
          <w:sz w:val="30"/>
          <w:szCs w:val="30"/>
        </w:rPr>
        <w:br w:type="page"/>
      </w:r>
    </w:p>
    <w:p>
      <w:pPr>
        <w:pStyle w:val="3"/>
        <w:pageBreakBefore w:val="0"/>
        <w:kinsoku/>
        <w:wordWrap/>
        <w:overflowPunct/>
        <w:topLinePunct w:val="0"/>
        <w:bidi w:val="0"/>
        <w:spacing w:line="576" w:lineRule="atLeast"/>
        <w:jc w:val="center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 xml:space="preserve">第一部分 </w:t>
      </w:r>
      <w:r>
        <w:rPr>
          <w:rStyle w:val="28"/>
          <w:rFonts w:hint="eastAsia" w:ascii="仿宋" w:hAnsi="仿宋" w:eastAsia="仿宋" w:cs="仿宋"/>
          <w:b/>
          <w:bCs w:val="0"/>
          <w:sz w:val="30"/>
          <w:szCs w:val="30"/>
        </w:rPr>
        <w:t>部门概况</w:t>
      </w:r>
      <w:bookmarkEnd w:id="12"/>
      <w:bookmarkEnd w:id="13"/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bookmarkStart w:id="14" w:name="_Toc15377197"/>
      <w:bookmarkStart w:id="15" w:name="_Toc15396600"/>
      <w:r>
        <w:rPr>
          <w:rFonts w:hint="eastAsia" w:ascii="仿宋" w:hAnsi="仿宋" w:eastAsia="仿宋" w:cs="仿宋"/>
          <w:b/>
          <w:bCs w:val="0"/>
          <w:sz w:val="30"/>
          <w:szCs w:val="30"/>
        </w:rPr>
        <w:t>一、</w:t>
      </w:r>
      <w:bookmarkEnd w:id="14"/>
      <w:bookmarkEnd w:id="15"/>
      <w:r>
        <w:rPr>
          <w:rFonts w:hint="eastAsia" w:ascii="仿宋" w:hAnsi="仿宋" w:eastAsia="仿宋" w:cs="仿宋"/>
          <w:b/>
          <w:bCs w:val="0"/>
          <w:sz w:val="30"/>
          <w:szCs w:val="30"/>
        </w:rPr>
        <w:t>部门职责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76" w:lineRule="atLeast"/>
        <w:ind w:firstLine="642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5" w:line="576" w:lineRule="atLeast"/>
        <w:ind w:left="26" w:firstLine="90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第一条</w:t>
      </w:r>
      <w:r>
        <w:rPr>
          <w:rFonts w:hint="eastAsia" w:ascii="仿宋" w:hAnsi="仿宋" w:eastAsia="仿宋" w:cs="仿宋"/>
          <w:spacing w:val="9"/>
          <w:sz w:val="30"/>
          <w:szCs w:val="30"/>
        </w:rPr>
        <w:t xml:space="preserve"> 根据《中共剑阁县委剑阁县人民政府关于印发〈剑</w:t>
      </w:r>
      <w:r>
        <w:rPr>
          <w:rFonts w:hint="eastAsia"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阁县机构改革方案〉和〈剑阁县机构改革方案的实施意见〉的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通知》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left="14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（剑委发〔2019〕22号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24"/>
          <w:sz w:val="30"/>
          <w:szCs w:val="30"/>
        </w:rPr>
        <w:t>，</w:t>
      </w:r>
      <w:r>
        <w:rPr>
          <w:rFonts w:hint="eastAsia" w:ascii="仿宋" w:hAnsi="仿宋" w:eastAsia="仿宋" w:cs="仿宋"/>
          <w:color w:val="auto"/>
          <w:spacing w:val="4"/>
          <w:sz w:val="30"/>
          <w:szCs w:val="30"/>
        </w:rPr>
        <w:t>制定本规定</w:t>
      </w:r>
      <w:r>
        <w:rPr>
          <w:rFonts w:hint="eastAsia" w:ascii="仿宋" w:hAnsi="仿宋" w:eastAsia="仿宋" w:cs="仿宋"/>
          <w:spacing w:val="4"/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3" w:line="576" w:lineRule="atLeast"/>
        <w:ind w:right="54" w:firstLine="93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第二条</w:t>
      </w:r>
      <w:r>
        <w:rPr>
          <w:rFonts w:hint="eastAsia" w:ascii="仿宋" w:hAnsi="仿宋" w:eastAsia="仿宋" w:cs="仿宋"/>
          <w:spacing w:val="4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8"/>
          <w:sz w:val="30"/>
          <w:szCs w:val="30"/>
        </w:rPr>
        <w:t>中共广元市剑阁县委统一战线工作部（简称县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委统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战部）是县委主管统一战线工作的职能部门，为正科级，列县委工作机关序列。县委统战部统一领导民族宗教工作。县委统战部与剑阁县民族宗教事务局（简称县民宗事务局）合署办公，实行一套工</w:t>
      </w:r>
      <w:r>
        <w:rPr>
          <w:rFonts w:hint="eastAsia"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作机构、两个机关名称。县委统战部统一管理侨务、台湾事务工作，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对外挂剑阁县侨务办公室、中共剑阁县委台湾工作办公室（剑阁县</w:t>
      </w:r>
      <w:r>
        <w:rPr>
          <w:rFonts w:hint="eastAsia"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政府台湾事务办公室）牌子，分别简称县侨务办、县委台办（县台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办）。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3" w:line="576" w:lineRule="atLeast"/>
        <w:ind w:left="93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 xml:space="preserve">第三条 </w:t>
      </w: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30"/>
          <w:szCs w:val="30"/>
        </w:rPr>
        <w:t>县委统战部、县民宗事务局的主要职责是：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576" w:lineRule="atLeast"/>
        <w:ind w:left="1" w:right="136" w:firstLine="952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7"/>
          <w:sz w:val="30"/>
          <w:szCs w:val="30"/>
        </w:rPr>
        <w:t>1、贯彻落实加强党对统一战线工作集中统一领导的要求，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发挥县委在统战工作方面的参谋机构、组织协调机构、具体执行机</w:t>
      </w:r>
      <w:r>
        <w:rPr>
          <w:rFonts w:hint="eastAsia"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构、督促检查机构作用。了解情况、掌握政策、协调关系、安排人</w:t>
      </w:r>
      <w:r>
        <w:rPr>
          <w:rFonts w:hint="eastAsia"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事、增进共识、加强团结，协调统一战线各方面关系，组织落实党</w:t>
      </w:r>
      <w:r>
        <w:rPr>
          <w:rFonts w:hint="eastAsia"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中央和省委、市委、县委关于统一战线工作重大决策部署，巩固壮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大最广泛的统一战线。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576" w:lineRule="atLeast"/>
        <w:ind w:left="1" w:right="138" w:firstLine="92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0"/>
          <w:szCs w:val="30"/>
        </w:rPr>
        <w:t>2、研究拟订统一战线工作的政策和法规草案并推动落实，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深入调查研究，及时向县委报告统一战线工作情况并提出建议，统</w:t>
      </w:r>
      <w:r>
        <w:rPr>
          <w:rFonts w:hint="eastAsia" w:ascii="仿宋" w:hAnsi="仿宋" w:eastAsia="仿宋" w:cs="仿宋"/>
          <w:spacing w:val="9"/>
          <w:sz w:val="30"/>
          <w:szCs w:val="30"/>
        </w:rPr>
        <w:t>筹协调和指导各乡镇、各部门（</w:t>
      </w:r>
      <w:r>
        <w:rPr>
          <w:rFonts w:hint="eastAsia" w:ascii="仿宋" w:hAnsi="仿宋" w:eastAsia="仿宋" w:cs="仿宋"/>
          <w:spacing w:val="9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pacing w:val="9"/>
          <w:sz w:val="30"/>
          <w:szCs w:val="30"/>
        </w:rPr>
        <w:t>）统一</w:t>
      </w:r>
      <w:r>
        <w:rPr>
          <w:rFonts w:hint="eastAsia" w:ascii="仿宋" w:hAnsi="仿宋" w:eastAsia="仿宋" w:cs="仿宋"/>
          <w:spacing w:val="8"/>
          <w:sz w:val="30"/>
          <w:szCs w:val="30"/>
        </w:rPr>
        <w:t>战线工作。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</w:rPr>
        <w:t>负</w:t>
      </w: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责发现、培养党外代表人士，制定党外干部培养规划。负责党外人士的政治安排，会同有关部门做好安排党外人士担任政 府和司法机关等领导职务的工作，推动人民团体、国有企业党外干 部安排工作。协助民主党派县委、县工商联做好干部管理工作，反映和协调解决党外代表人士工作生活中的实际困难。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4、贯彻落实党的宣传工作方针，统筹推进全县统一战线宣传和意识形态工作，组织贯彻落实党中央、省委、市委、县委统一战线宣传工作政策和规划，统筹推进网络统战工作，研判涉及统一战线的舆情并协调有关部门应对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5、负责联系各民主党派，通报情况、反映意见、制定年度政党协商计划，贯彻落实中国共产党领导的多党合作和政治协商制 度以及对民主党派的方针政策，支持、帮助民主党派加强自身建设，做好支持民主党派履行职责、发挥作用的工作。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6、贯彻落实党的民族工作方针和政策，研究拟订民族工作中的政策和重大措施，协调处理民族工作中的重大问题，协调做好少数民族干部工作。依法管理民族事务，全面促进民族事业发展。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7、贯彻落实党的宗教工作基本方针和政策，研究拟订宗教工作的重大政策措施并督促落实。依法管理宗教事务，保护公民宗教信仰自由和正常的宗教活动，维护宗教界合法权益，抵御境外利用宗教进行渗透，引导各宗教坚持中国化方向，巩固和发展同宗教界的爱国统一战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8、规范民间信仰活动，依法管理民间信仰，维护民间信仰信众的合法权益；挖掘民间信仰中的优秀传统文化资源，引导民间信仰信众爱国守法、团结友善，服务社会、维护和谐。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9、负责联系、培养无党派代表人士，支持、帮助无党派人士加强自身建设、发挥作用。调查研究全县党外知识分子情况并提出政策建议，联系、培养党外知识分子代表人士，开展思想政治工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atLeast"/>
        <w:jc w:val="both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作，指导国有企业等有关部门开展统战工作。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10、负责联系、培养新的社会阶层代表人士，支持、帮助新的社会阶层人士加强自身建设、发挥作用。调查研究全县新的社会阶层人士情况并提出政策建议，开展思想政治工作，指导社会组织开展新的社会阶层人士统战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11、承担全县非公有制经济协调工作，负责全县非公有制经济代表人士工作，参与制定、推动落实鼓励支持引导非公有制经济发展的政策，调查研究全县非公有制经济人士情况并提出政策建议，了解和反映非公有制经济人士的意见，团结、服务、引导、教育非公有制经济人士，促进非公有制经济健康发展和非公有制经济人士健康成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12、统一领导港澳统战工作。牵头开展港澳统战工作，贯彻落实党的海外统战工作政策和规划并组织协调、督促检查落实，会同有关部门对香港、澳门地区统一战线工作进行调查研究并提出政策建议，联系香港、澳门有关党派、团体及代表人士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13、统一管理台湾事务工作。贯彻落实党的对台工作方针政策，研究、拟订全县对台工作计划，经批准后组织实施。组织、指导、管理、协调县级部门（部门）和各乡镇对台工作，指导我县各民主党派、工商联和其他人民团体有关重点人物、重大活动等方面的涉台工作。调查研究台湾形势和两岸关系发展动向及剑台交流合作、人员往来发展情况，提出对策建议。开展剑台交流联络活动，会同有关部门协调指导我县对台经贸工作和金融、文化、学术、体育、科技、卫生等各个领域的交流与合作，以及剑台人员往来、考 察、研讨等工作。指导全县对台宣传、涉台教育，负责有关台湾工 作的新闻发布。统筹协调全县涉台法律事务，会同有关部门依法开展涉台权益保护工作。指导县台胞台属联谊会工作。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14、统一管理侨务工作，贯彻落实党的侨务工作方针政策，负责起草涉侨地方性法规草案、拟订全县侨务工作规划并组织协调、督促检查落实。调查研究侨情和侨务工作情况，管理侨务事务，统筹协调有关部门和社会团体涉侨工作，联系海外有关侨团和代表人士，负责海外侨胞代表人士在相关统战团体的安排，指导推动涉侨宣传、文化交流、华文教育工作等，保护华侨和归侨侨眷在县内的合法权利和利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32" w:firstLineChars="200"/>
        <w:textAlignment w:val="auto"/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pacing w:val="8"/>
          <w:kern w:val="0"/>
          <w:sz w:val="30"/>
          <w:szCs w:val="30"/>
          <w:lang w:val="en-US" w:eastAsia="zh-CN" w:bidi="ar-SA"/>
        </w:rPr>
        <w:t>15、受县委委托，领导县工商联党组，指导工商联工作。统一领导县民族宗教工作,做好统一战线有关部门和团体及事业部门的管理工作。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16、完成县委交办的其他任务。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（二）2022年重点工作完成情况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一、聚焦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统战事业发展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，巩固“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大统战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工作格局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进一步加强了县委对统战工作的领导。加强了政治引领。我们在统一战线集中宣讲了党的二十大精神、习近平总书记来川视察重要指示精神、省第十二次党代会精神。落实了“三个带头”。今年县委书记杨祖斌参加了全县统战工作会议，出席并主持了剑阁县旅外企业家联合会成立大会，研究了民主党派干部安排工作，调研宗教工作，并于今年9月撰写了署名文章在省委统战部“同心四川”栏目刊发。今年县委常委会3次专题研究统战工作重大问题、学习统战会议精神，持续开展党员领导干部和党外人士联谊交友。全力争先创优，全年召开统一战线工作会议5次，安排部署了民族团结示范市创建、九广合作、宗教中国化示范场所、剑门关国际华侨交流基地建设等重点工作。12月2日 承办了中国侨联剑门关.中国华侨国际文化交流基地揭牌仪式，国家侨联、省委统战部、市委和县委主要负责同志参加了活动。深化了基层统战，全年对29个乡镇、35个部门统战工作进行了督导，推进党委（党组）书记为统战工作第一责任人，纳入党建述职，各乡镇各部门调整了统一战线工作领导小组，全县各级党组织做到书记管总、分管领导负责、统战干部主抓的良好局面。全县“大统战”工作格局得到进一步巩固和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atLeast"/>
        <w:ind w:left="64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二、党派组织建设加强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，“九广合作”推进有力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atLeas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一年来，我县召开政党协商工作会4次，通报了情况，征求了意见，全年各党派共开展各类调研155人次，撰写提案建议61件（条）。民主党派成员在市、县两会的上发言多次得到市县领导的肯定；民主党派干部队伍建设得到加强，今年新提拔党外干部13人，我县党外正职首次达到3人，分别在教育局、市场监管局和医保局任局长。民主党派阵地建设得到改善，今年我县5个民主党派统一安置了新办公室，更换了办公设备。九广合作工作再上新台阶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围绕我县核桃产业发展，借助“九广合作”东风，协调省林草厅拨付500万园区配套专项经费，把二龙园区打造成“九广合作产业示范园区”，目前该园区成功创建为省级现代林业培育园区。今年6月26日至29日九三四川省委二支社组织医疗专家教授12人在我县武连镇开展妇女两癌筛查及不孕不育义诊项目，义诊人数达500余人，筛查患者73人，目前已完成诊疗方案。6月27日邀请华西医院九三社员彭玉兰教授在我县开展超声科业务培训，全县有50多名超声科医生参加了业务培训，使我县超声业务水平得到进一步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atLeast"/>
        <w:ind w:left="64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三、民族团结宗教和顺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，经济统战推进有效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我们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召开了全县民族宗教工作会议，安排部署了全县相关工作，民宗局配备了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2名专职副局长，深入推进了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民族团结进步市创建工作。坚持每季度开展一次全县宗教场所大检查工作，涵盖安全生产、疫情防控、森林防灭火、食品安全等工作，确保无重大事故发生。我们按照</w:t>
      </w:r>
      <w:r>
        <w:rPr>
          <w:rFonts w:hint="eastAsia" w:ascii="仿宋" w:hAnsi="仿宋" w:eastAsia="仿宋" w:cs="仿宋"/>
          <w:sz w:val="30"/>
          <w:szCs w:val="30"/>
        </w:rPr>
        <w:t>保护合法、制止非法、抵御渗透、打击犯罪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工作要求，全面排查宗教场所，确保全县宗教场所无非法传教、无违禁音像制品、无烧高香等现象发生。深入推依法治寺，今年４月汇同相关部门，开展了“法律进寺庙活动”，并请消防中队对教职人员进行消防安全培训，并现场指导消防栓、灭火器等消防器材的使用。启动宗教场所维修基金对灵泉寺、老君殿、宝龙寺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6个宗教场所进行排危加固、维护维修，同时积极开展宗教中国化场所创建，打造了宝龙寺、志公寺、鹤鸣观等宗教场所为我县示范场所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。我们</w:t>
      </w:r>
      <w:r>
        <w:rPr>
          <w:rFonts w:hint="eastAsia" w:ascii="仿宋" w:hAnsi="仿宋" w:eastAsia="仿宋" w:cs="仿宋"/>
          <w:sz w:val="30"/>
          <w:szCs w:val="30"/>
        </w:rPr>
        <w:t>按照中央省市关于发展非公经济的方针政策，深入开展“不忘创业初心，接力改革伟业”为重点的非公有制经济人士理想信念教育实践活动。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成立了剑阁县旅外企业家联合会，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29个乡镇商会。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非公有制经济代表</w:t>
      </w:r>
      <w:r>
        <w:rPr>
          <w:rFonts w:hint="eastAsia" w:ascii="仿宋" w:hAnsi="仿宋" w:eastAsia="仿宋" w:cs="仿宋"/>
          <w:sz w:val="30"/>
          <w:szCs w:val="30"/>
        </w:rPr>
        <w:t>人士反映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诉求，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积极</w:t>
      </w:r>
      <w:r>
        <w:rPr>
          <w:rFonts w:hint="eastAsia" w:ascii="仿宋" w:hAnsi="仿宋" w:eastAsia="仿宋" w:cs="仿宋"/>
          <w:sz w:val="30"/>
          <w:szCs w:val="30"/>
        </w:rPr>
        <w:t>帮助解决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，全年我们共解决</w:t>
      </w:r>
      <w:r>
        <w:rPr>
          <w:rFonts w:hint="eastAsia" w:ascii="仿宋" w:hAnsi="仿宋" w:eastAsia="仿宋" w:cs="仿宋"/>
          <w:sz w:val="30"/>
          <w:szCs w:val="30"/>
        </w:rPr>
        <w:t>非公有制企业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用水、用电、融资、用工等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10余</w:t>
      </w:r>
      <w:r>
        <w:rPr>
          <w:rFonts w:hint="eastAsia" w:ascii="仿宋" w:hAnsi="仿宋" w:eastAsia="仿宋" w:cs="仿宋"/>
          <w:sz w:val="30"/>
          <w:szCs w:val="30"/>
        </w:rPr>
        <w:t>件困难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问题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Style w:val="29"/>
          <w:rFonts w:hint="eastAsia" w:ascii="仿宋" w:hAnsi="仿宋" w:eastAsia="仿宋" w:cs="仿宋"/>
          <w:b/>
          <w:bCs w:val="0"/>
          <w:sz w:val="30"/>
          <w:szCs w:val="30"/>
        </w:rPr>
      </w:pPr>
      <w:bookmarkStart w:id="16" w:name="_Toc15377200"/>
      <w:bookmarkStart w:id="17" w:name="_Toc15396601"/>
      <w:r>
        <w:rPr>
          <w:rFonts w:hint="eastAsia" w:ascii="仿宋" w:hAnsi="仿宋" w:eastAsia="仿宋" w:cs="仿宋"/>
          <w:b/>
          <w:bCs w:val="0"/>
          <w:sz w:val="30"/>
          <w:szCs w:val="30"/>
        </w:rPr>
        <w:t>二、机</w:t>
      </w:r>
      <w:r>
        <w:rPr>
          <w:rStyle w:val="29"/>
          <w:rFonts w:hint="eastAsia" w:ascii="仿宋" w:hAnsi="仿宋" w:eastAsia="仿宋" w:cs="仿宋"/>
          <w:b/>
          <w:bCs w:val="0"/>
          <w:sz w:val="30"/>
          <w:szCs w:val="30"/>
        </w:rPr>
        <w:t>构设置</w:t>
      </w:r>
      <w:bookmarkEnd w:id="16"/>
      <w:bookmarkEnd w:id="17"/>
    </w:p>
    <w:p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before="93"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剑阁县委统战部无</w:t>
      </w:r>
      <w:r>
        <w:rPr>
          <w:rFonts w:hint="eastAsia" w:ascii="仿宋" w:hAnsi="仿宋" w:eastAsia="仿宋" w:cs="仿宋"/>
          <w:sz w:val="30"/>
          <w:szCs w:val="30"/>
        </w:rPr>
        <w:t>下属二级预算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</w:t>
      </w:r>
      <w:r>
        <w:rPr>
          <w:rFonts w:hint="eastAsia" w:ascii="仿宋" w:hAnsi="仿宋" w:eastAsia="仿宋" w:cs="仿宋"/>
          <w:sz w:val="30"/>
          <w:szCs w:val="30"/>
        </w:rPr>
        <w:t>纳入2022年度部门决算编制范围的二级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部门。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before="93" w:line="576" w:lineRule="atLeas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剑阁县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剑阁县委统战部</w:t>
      </w:r>
      <w:r>
        <w:rPr>
          <w:rFonts w:hint="eastAsia" w:ascii="仿宋" w:hAnsi="仿宋" w:eastAsia="仿宋" w:cs="仿宋"/>
          <w:kern w:val="0"/>
          <w:sz w:val="30"/>
          <w:szCs w:val="30"/>
        </w:rPr>
        <w:t>属全额财政拨款的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，核定总编制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30"/>
          <w:szCs w:val="30"/>
        </w:rPr>
        <w:t>名，其中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公务员</w:t>
      </w:r>
      <w:r>
        <w:rPr>
          <w:rFonts w:hint="eastAsia" w:ascii="仿宋" w:hAnsi="仿宋" w:eastAsia="仿宋" w:cs="仿宋"/>
          <w:kern w:val="0"/>
          <w:sz w:val="30"/>
          <w:szCs w:val="30"/>
        </w:rPr>
        <w:t>编制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名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事业</w:t>
      </w:r>
      <w:r>
        <w:rPr>
          <w:rFonts w:hint="eastAsia" w:ascii="仿宋" w:hAnsi="仿宋" w:eastAsia="仿宋" w:cs="仿宋"/>
          <w:kern w:val="0"/>
          <w:sz w:val="30"/>
          <w:szCs w:val="30"/>
        </w:rPr>
        <w:t>编制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6名，机关工勤</w:t>
      </w:r>
      <w:r>
        <w:rPr>
          <w:rFonts w:hint="eastAsia" w:ascii="仿宋" w:hAnsi="仿宋" w:eastAsia="仿宋" w:cs="仿宋"/>
          <w:kern w:val="0"/>
          <w:sz w:val="30"/>
          <w:szCs w:val="30"/>
        </w:rPr>
        <w:t>编制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1名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before="93" w:line="576" w:lineRule="atLeast"/>
        <w:ind w:firstLine="600" w:firstLineChars="200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line="576" w:lineRule="atLeas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第二部分 2022年度</w:t>
      </w:r>
      <w:r>
        <w:rPr>
          <w:rStyle w:val="28"/>
          <w:rFonts w:hint="eastAsia" w:ascii="仿宋" w:hAnsi="仿宋" w:eastAsia="仿宋" w:cs="仿宋"/>
          <w:b/>
          <w:bCs/>
          <w:sz w:val="30"/>
          <w:szCs w:val="30"/>
        </w:rPr>
        <w:t>部门决算情况说明</w:t>
      </w:r>
    </w:p>
    <w:p>
      <w:pPr>
        <w:pStyle w:val="27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76" w:lineRule="atLeast"/>
        <w:ind w:firstLineChars="0"/>
        <w:textAlignment w:val="auto"/>
        <w:outlineLvl w:val="1"/>
        <w:rPr>
          <w:rStyle w:val="29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收</w:t>
      </w:r>
      <w:r>
        <w:rPr>
          <w:rStyle w:val="29"/>
          <w:rFonts w:hint="eastAsia" w:ascii="仿宋" w:hAnsi="仿宋" w:eastAsia="仿宋" w:cs="仿宋"/>
          <w:b/>
          <w:bCs/>
          <w:sz w:val="30"/>
          <w:szCs w:val="30"/>
        </w:rPr>
        <w:t>入支出决算总体情况说明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2022年度收、支总计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279.38</w:t>
      </w:r>
      <w:r>
        <w:rPr>
          <w:rFonts w:hint="eastAsia" w:ascii="仿宋" w:hAnsi="仿宋" w:eastAsia="仿宋" w:cs="仿宋"/>
          <w:sz w:val="30"/>
          <w:szCs w:val="30"/>
        </w:rPr>
        <w:t>万元。与2021年相比，收、支总计各/减少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244.52</w:t>
      </w:r>
      <w:r>
        <w:rPr>
          <w:rFonts w:hint="eastAsia" w:ascii="仿宋" w:hAnsi="仿宋" w:eastAsia="仿宋" w:cs="仿宋"/>
          <w:sz w:val="30"/>
          <w:szCs w:val="30"/>
        </w:rPr>
        <w:t>万元，下降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46.67</w:t>
      </w:r>
      <w:r>
        <w:rPr>
          <w:rFonts w:hint="eastAsia" w:ascii="仿宋" w:hAnsi="仿宋" w:eastAsia="仿宋" w:cs="仿宋"/>
          <w:sz w:val="30"/>
          <w:szCs w:val="30"/>
        </w:rPr>
        <w:t>%。主要变动原因是项目、人员经费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减少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19"/>
        <w:pageBreakBefore w:val="0"/>
        <w:kinsoku/>
        <w:wordWrap/>
        <w:overflowPunct/>
        <w:topLinePunct w:val="0"/>
        <w:bidi w:val="0"/>
        <w:spacing w:line="576" w:lineRule="atLeast"/>
        <w:jc w:val="center"/>
        <w:textAlignment w:val="auto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4419600" cy="2914650"/>
            <wp:effectExtent l="0" t="0" r="0" b="0"/>
            <wp:docPr id="1" name="图片 1" descr="169820158939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8201589394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（图1：收、支决算总计变动情况图）（柱状图）</w:t>
      </w:r>
    </w:p>
    <w:p>
      <w:pPr>
        <w:pStyle w:val="27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76" w:lineRule="atLeast"/>
        <w:ind w:firstLineChars="0"/>
        <w:textAlignment w:val="auto"/>
        <w:outlineLvl w:val="1"/>
        <w:rPr>
          <w:rStyle w:val="29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收</w:t>
      </w:r>
      <w:r>
        <w:rPr>
          <w:rStyle w:val="29"/>
          <w:rFonts w:hint="eastAsia" w:ascii="仿宋" w:hAnsi="仿宋" w:eastAsia="仿宋" w:cs="仿宋"/>
          <w:b/>
          <w:bCs/>
          <w:sz w:val="30"/>
          <w:szCs w:val="30"/>
        </w:rPr>
        <w:t>入决算情况说明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outlineLvl w:val="1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2022年本年收入合计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279.38</w:t>
      </w:r>
      <w:r>
        <w:rPr>
          <w:rFonts w:hint="eastAsia" w:ascii="仿宋" w:hAnsi="仿宋" w:eastAsia="仿宋" w:cs="仿宋"/>
          <w:sz w:val="30"/>
          <w:szCs w:val="30"/>
        </w:rPr>
        <w:t>万元，其中：一般公共预算财政拨款收入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279.38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%。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76750" cy="2657475"/>
            <wp:effectExtent l="0" t="0" r="0" b="9525"/>
            <wp:docPr id="4" name="图片 4" descr="169820179896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8201798961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（图2：收入决算结构图）（饼状图）</w:t>
      </w:r>
    </w:p>
    <w:p>
      <w:pPr>
        <w:pStyle w:val="27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576" w:lineRule="atLeast"/>
        <w:ind w:firstLineChars="0"/>
        <w:textAlignment w:val="auto"/>
        <w:outlineLvl w:val="1"/>
        <w:rPr>
          <w:rStyle w:val="29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支</w:t>
      </w:r>
      <w:r>
        <w:rPr>
          <w:rStyle w:val="29"/>
          <w:rFonts w:hint="eastAsia" w:ascii="仿宋" w:hAnsi="仿宋" w:eastAsia="仿宋" w:cs="仿宋"/>
          <w:b/>
          <w:bCs/>
          <w:sz w:val="30"/>
          <w:szCs w:val="30"/>
        </w:rPr>
        <w:t>出决算情况说明</w:t>
      </w:r>
    </w:p>
    <w:p>
      <w:pPr>
        <w:pStyle w:val="27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76" w:lineRule="atLeast"/>
        <w:ind w:left="640" w:leftChars="0"/>
        <w:textAlignment w:val="auto"/>
        <w:outlineLvl w:val="1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2022年本年支出合计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279.38</w:t>
      </w:r>
      <w:r>
        <w:rPr>
          <w:rFonts w:hint="eastAsia" w:ascii="仿宋" w:hAnsi="仿宋" w:eastAsia="仿宋" w:cs="仿宋"/>
          <w:sz w:val="30"/>
          <w:szCs w:val="30"/>
        </w:rPr>
        <w:t>万元，其中：基本支出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279.38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%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/>
        </w:rPr>
      </w:pPr>
      <w:r>
        <w:drawing>
          <wp:inline distT="0" distB="0" distL="114300" distR="114300">
            <wp:extent cx="4495800" cy="2667000"/>
            <wp:effectExtent l="0" t="0" r="0" b="0"/>
            <wp:docPr id="6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（图3：支出决算结构图）（饼状图）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outlineLvl w:val="1"/>
        <w:rPr>
          <w:rStyle w:val="29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四、财</w:t>
      </w:r>
      <w:r>
        <w:rPr>
          <w:rStyle w:val="29"/>
          <w:rFonts w:hint="eastAsia" w:ascii="仿宋" w:hAnsi="仿宋" w:eastAsia="仿宋" w:cs="仿宋"/>
          <w:b/>
          <w:bCs/>
          <w:sz w:val="30"/>
          <w:szCs w:val="30"/>
        </w:rPr>
        <w:t>政拨款收入支出决算总体情况说明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2022年财政拨款收、支总计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279.38</w:t>
      </w:r>
      <w:r>
        <w:rPr>
          <w:rFonts w:hint="eastAsia" w:ascii="仿宋" w:hAnsi="仿宋" w:eastAsia="仿宋" w:cs="仿宋"/>
          <w:sz w:val="30"/>
          <w:szCs w:val="30"/>
        </w:rPr>
        <w:t>万元。与2021年相比，财政拨款收、支总计各减少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244.52</w:t>
      </w:r>
      <w:r>
        <w:rPr>
          <w:rFonts w:hint="eastAsia" w:ascii="仿宋" w:hAnsi="仿宋" w:eastAsia="仿宋" w:cs="仿宋"/>
          <w:sz w:val="30"/>
          <w:szCs w:val="30"/>
        </w:rPr>
        <w:t>万元，下降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46.67</w:t>
      </w:r>
      <w:r>
        <w:rPr>
          <w:rFonts w:hint="eastAsia" w:ascii="仿宋" w:hAnsi="仿宋" w:eastAsia="仿宋" w:cs="仿宋"/>
          <w:sz w:val="30"/>
          <w:szCs w:val="30"/>
        </w:rPr>
        <w:t>%。主要变动原因是项目、人员经费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减少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4476750" cy="2676525"/>
            <wp:effectExtent l="0" t="0" r="0" b="9525"/>
            <wp:docPr id="7" name="图片 7" descr="169820278728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98202787281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（图4：财政拨款收、支决算总计变动情况）（柱状图）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outlineLvl w:val="1"/>
        <w:rPr>
          <w:rStyle w:val="29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五、一</w:t>
      </w:r>
      <w:r>
        <w:rPr>
          <w:rStyle w:val="29"/>
          <w:rFonts w:hint="eastAsia" w:ascii="仿宋" w:hAnsi="仿宋" w:eastAsia="仿宋" w:cs="仿宋"/>
          <w:b/>
          <w:bCs/>
          <w:sz w:val="30"/>
          <w:szCs w:val="30"/>
        </w:rPr>
        <w:t>般公共预算财政拨款支出决算情况说明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outlineLvl w:val="2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（一）一般公共预算财政拨款支出决算总体情况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2022年一般公共预算财政拨款支出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279.38</w:t>
      </w:r>
      <w:r>
        <w:rPr>
          <w:rFonts w:hint="eastAsia" w:ascii="仿宋" w:hAnsi="仿宋" w:eastAsia="仿宋" w:cs="仿宋"/>
          <w:sz w:val="30"/>
          <w:szCs w:val="30"/>
        </w:rPr>
        <w:t>万元，占本年支出合计的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%。与2021年相比，一般公共预算财政拨款支出减少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244.52</w:t>
      </w:r>
      <w:r>
        <w:rPr>
          <w:rFonts w:hint="eastAsia" w:ascii="仿宋" w:hAnsi="仿宋" w:eastAsia="仿宋" w:cs="仿宋"/>
          <w:sz w:val="30"/>
          <w:szCs w:val="30"/>
        </w:rPr>
        <w:t>万元，下降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46.67</w:t>
      </w:r>
      <w:r>
        <w:rPr>
          <w:rFonts w:hint="eastAsia" w:ascii="仿宋" w:hAnsi="仿宋" w:eastAsia="仿宋" w:cs="仿宋"/>
          <w:sz w:val="30"/>
          <w:szCs w:val="30"/>
        </w:rPr>
        <w:t>%。主要变动原因是项目、人员经费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减少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drawing>
          <wp:inline distT="0" distB="0" distL="114300" distR="114300">
            <wp:extent cx="4476750" cy="2628900"/>
            <wp:effectExtent l="0" t="0" r="0" b="0"/>
            <wp:docPr id="2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（图5：一般公共预算财政拨款支出决算变动情况）（柱状图）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outlineLvl w:val="2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（二）一般公共预算财政拨款支出决算结构情况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0"/>
          <w:szCs w:val="30"/>
        </w:rPr>
        <w:t>2022年一般公共预算财政拨款支出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279.38</w:t>
      </w:r>
      <w:r>
        <w:rPr>
          <w:rFonts w:hint="eastAsia" w:ascii="仿宋" w:hAnsi="仿宋" w:eastAsia="仿宋" w:cs="仿宋"/>
          <w:sz w:val="30"/>
          <w:szCs w:val="30"/>
        </w:rPr>
        <w:t>万元，主要用于以下方面:</w:t>
      </w:r>
      <w:r>
        <w:rPr>
          <w:rFonts w:hint="eastAsia" w:ascii="仿宋" w:hAnsi="仿宋" w:eastAsia="仿宋" w:cs="仿宋"/>
          <w:b/>
          <w:sz w:val="30"/>
          <w:szCs w:val="30"/>
        </w:rPr>
        <w:t>一般公共服务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233.96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83.74</w:t>
      </w:r>
      <w:r>
        <w:rPr>
          <w:rFonts w:hint="eastAsia" w:ascii="仿宋" w:hAnsi="仿宋" w:eastAsia="仿宋" w:cs="仿宋"/>
          <w:sz w:val="30"/>
          <w:szCs w:val="30"/>
        </w:rPr>
        <w:t>%；</w:t>
      </w:r>
      <w:r>
        <w:rPr>
          <w:rFonts w:hint="eastAsia" w:ascii="仿宋" w:hAnsi="仿宋" w:eastAsia="仿宋" w:cs="仿宋"/>
          <w:b/>
          <w:sz w:val="30"/>
          <w:szCs w:val="30"/>
        </w:rPr>
        <w:t>社会保障和就业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20.19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7.22</w:t>
      </w:r>
      <w:r>
        <w:rPr>
          <w:rFonts w:hint="eastAsia" w:ascii="仿宋" w:hAnsi="仿宋" w:eastAsia="仿宋" w:cs="仿宋"/>
          <w:sz w:val="30"/>
          <w:szCs w:val="30"/>
        </w:rPr>
        <w:t>%；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卫生健康支出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10.09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3.61</w:t>
      </w:r>
      <w:r>
        <w:rPr>
          <w:rFonts w:hint="eastAsia" w:ascii="仿宋" w:hAnsi="仿宋" w:eastAsia="仿宋" w:cs="仿宋"/>
          <w:sz w:val="30"/>
          <w:szCs w:val="30"/>
        </w:rPr>
        <w:t>%；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住房保障支出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15.14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5.43</w:t>
      </w:r>
      <w:r>
        <w:rPr>
          <w:rFonts w:hint="eastAsia" w:ascii="仿宋" w:hAnsi="仿宋" w:eastAsia="仿宋" w:cs="仿宋"/>
          <w:sz w:val="30"/>
          <w:szCs w:val="30"/>
        </w:rPr>
        <w:t>%。</w:t>
      </w:r>
    </w:p>
    <w:p>
      <w:pPr>
        <w:pStyle w:val="19"/>
        <w:pageBreakBefore w:val="0"/>
        <w:kinsoku/>
        <w:wordWrap/>
        <w:overflowPunct/>
        <w:topLinePunct w:val="0"/>
        <w:bidi w:val="0"/>
        <w:spacing w:line="576" w:lineRule="atLeast"/>
        <w:jc w:val="center"/>
        <w:textAlignment w:val="auto"/>
        <w:rPr>
          <w:rFonts w:hint="eastAsia"/>
        </w:rPr>
      </w:pPr>
      <w:r>
        <w:drawing>
          <wp:inline distT="0" distB="0" distL="114300" distR="114300">
            <wp:extent cx="4505325" cy="2667000"/>
            <wp:effectExtent l="0" t="0" r="9525" b="0"/>
            <wp:docPr id="9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（图6：一般公共预算财政拨款支出决算结构）（饼状图）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outlineLvl w:val="2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（三）一般公共预算财政拨款支出决算具体情况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2022年一般公共预算支出决算数为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279.38万元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Style w:val="17"/>
          <w:rFonts w:hint="eastAsia" w:ascii="仿宋" w:hAnsi="仿宋" w:eastAsia="仿宋" w:cs="仿宋"/>
          <w:bCs/>
          <w:sz w:val="30"/>
          <w:szCs w:val="30"/>
        </w:rPr>
        <w:t>完成预算</w:t>
      </w:r>
      <w:r>
        <w:rPr>
          <w:rStyle w:val="17"/>
          <w:rFonts w:hint="eastAsia" w:ascii="仿宋" w:hAnsi="仿宋" w:eastAsia="仿宋" w:cs="仿宋"/>
          <w:bCs/>
          <w:sz w:val="30"/>
          <w:szCs w:val="30"/>
          <w:lang w:val="en-US" w:eastAsia="zh-CN"/>
        </w:rPr>
        <w:t>100</w:t>
      </w:r>
      <w:r>
        <w:rPr>
          <w:rStyle w:val="17"/>
          <w:rFonts w:hint="eastAsia" w:ascii="仿宋" w:hAnsi="仿宋" w:eastAsia="仿宋" w:cs="仿宋"/>
          <w:bCs/>
          <w:sz w:val="30"/>
          <w:szCs w:val="30"/>
        </w:rPr>
        <w:t>%。其中：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Style w:val="17"/>
          <w:rFonts w:hint="eastAsia" w:ascii="仿宋" w:hAnsi="仿宋" w:eastAsia="仿宋" w:cs="仿宋"/>
          <w:bCs/>
          <w:sz w:val="30"/>
          <w:szCs w:val="30"/>
        </w:rPr>
        <w:t>1.一般公共服务（类）</w:t>
      </w:r>
      <w:r>
        <w:rPr>
          <w:rFonts w:hint="eastAsia" w:ascii="仿宋" w:hAnsi="仿宋" w:eastAsia="仿宋" w:cs="仿宋"/>
          <w:sz w:val="30"/>
          <w:szCs w:val="30"/>
        </w:rPr>
        <w:t>一般公共服务支出</w:t>
      </w:r>
      <w:r>
        <w:rPr>
          <w:rStyle w:val="17"/>
          <w:rFonts w:hint="eastAsia" w:ascii="仿宋" w:hAnsi="仿宋" w:eastAsia="仿宋" w:cs="仿宋"/>
          <w:bCs/>
          <w:sz w:val="30"/>
          <w:szCs w:val="30"/>
        </w:rPr>
        <w:t>（款）</w:t>
      </w:r>
      <w:r>
        <w:rPr>
          <w:rStyle w:val="17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统战事务</w:t>
      </w:r>
      <w:r>
        <w:rPr>
          <w:rStyle w:val="17"/>
          <w:rFonts w:hint="eastAsia" w:ascii="仿宋" w:hAnsi="仿宋" w:eastAsia="仿宋" w:cs="仿宋"/>
          <w:bCs/>
          <w:sz w:val="30"/>
          <w:szCs w:val="30"/>
        </w:rPr>
        <w:t>（项）: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</w:rPr>
        <w:t xml:space="preserve"> 支出决算为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233.96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</w:rPr>
        <w:t>万元，完成预算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100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</w:rPr>
        <w:t>%。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576" w:lineRule="atLeast"/>
        <w:ind w:right="599"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7"/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Style w:val="17"/>
          <w:rFonts w:hint="eastAsia" w:ascii="仿宋" w:hAnsi="仿宋" w:eastAsia="仿宋" w:cs="仿宋"/>
          <w:bCs/>
          <w:sz w:val="30"/>
          <w:szCs w:val="30"/>
        </w:rPr>
        <w:t>.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社会保障和就业（类）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行政事业部门养老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（款）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行政部门离退休、事业部门离退休、机关事业部门基本养老保险缴费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（项）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:支出决算为20.19万元，完成预算100%。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line="576" w:lineRule="atLeast"/>
        <w:ind w:right="715" w:firstLine="602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17"/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Style w:val="17"/>
          <w:rFonts w:hint="eastAsia" w:ascii="仿宋" w:hAnsi="仿宋" w:eastAsia="仿宋" w:cs="仿宋"/>
          <w:bCs/>
          <w:sz w:val="30"/>
          <w:szCs w:val="30"/>
        </w:rPr>
        <w:t>.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卫生健康（类）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行政事业部门医疗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（款）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行政部门医疗、事业部门医疗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（项）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:支出决算为10.09万元，完成预算100%。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76" w:lineRule="atLeast"/>
        <w:ind w:right="760" w:firstLine="642" w:firstLineChars="200"/>
        <w:jc w:val="both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4.住房保障（类）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住房改革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（款）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住房公积金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（项）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: 支出决算为15.14万元，完成预算100%。</w:t>
      </w:r>
    </w:p>
    <w:p>
      <w:pPr>
        <w:pageBreakBefore w:val="0"/>
        <w:tabs>
          <w:tab w:val="right" w:pos="8306"/>
        </w:tabs>
        <w:kinsoku/>
        <w:wordWrap/>
        <w:overflowPunct/>
        <w:topLinePunct w:val="0"/>
        <w:bidi w:val="0"/>
        <w:spacing w:line="576" w:lineRule="atLeast"/>
        <w:ind w:firstLine="640"/>
        <w:textAlignment w:val="auto"/>
        <w:outlineLvl w:val="1"/>
        <w:rPr>
          <w:rStyle w:val="29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六、一</w:t>
      </w:r>
      <w:r>
        <w:rPr>
          <w:rStyle w:val="29"/>
          <w:rFonts w:hint="eastAsia" w:ascii="仿宋" w:hAnsi="仿宋" w:eastAsia="仿宋" w:cs="仿宋"/>
          <w:b/>
          <w:bCs/>
          <w:sz w:val="30"/>
          <w:szCs w:val="30"/>
        </w:rPr>
        <w:t>般公共预算财政拨款基本支出决算情况说明</w:t>
      </w:r>
      <w:r>
        <w:rPr>
          <w:rStyle w:val="29"/>
          <w:rFonts w:hint="eastAsia" w:ascii="仿宋" w:hAnsi="仿宋" w:eastAsia="仿宋" w:cs="仿宋"/>
          <w:b/>
          <w:bCs/>
          <w:sz w:val="30"/>
          <w:szCs w:val="30"/>
        </w:rPr>
        <w:tab/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5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2022年一般公共预算财政拨款基本支出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279.38</w:t>
      </w:r>
      <w:r>
        <w:rPr>
          <w:rFonts w:hint="eastAsia" w:ascii="仿宋" w:hAnsi="仿宋" w:eastAsia="仿宋" w:cs="仿宋"/>
          <w:sz w:val="30"/>
          <w:szCs w:val="30"/>
        </w:rPr>
        <w:t>万元，其中：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5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人员经费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249.9</w:t>
      </w:r>
      <w:r>
        <w:rPr>
          <w:rFonts w:hint="eastAsia" w:ascii="仿宋" w:hAnsi="仿宋" w:eastAsia="仿宋" w:cs="仿宋"/>
          <w:sz w:val="30"/>
          <w:szCs w:val="30"/>
        </w:rPr>
        <w:t>万元，主要包括：基本工资、津贴补贴、奖金、绩效工资、机关事业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基本养老保险缴费、其他社会保障缴费、住房公积金、其他对个人和家庭的补助支出等。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5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0"/>
          <w:szCs w:val="30"/>
        </w:rPr>
        <w:t>公用经费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29.48</w:t>
      </w:r>
      <w:r>
        <w:rPr>
          <w:rFonts w:hint="eastAsia" w:ascii="仿宋" w:hAnsi="仿宋" w:eastAsia="仿宋" w:cs="仿宋"/>
          <w:sz w:val="30"/>
          <w:szCs w:val="30"/>
        </w:rPr>
        <w:t>万元，主要包括：办公费、印刷费、水费、电费、差旅费、会议费、培训费、公务接待费、福利费、其他商品和服务支出等。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outlineLvl w:val="1"/>
        <w:rPr>
          <w:rStyle w:val="29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</w:t>
      </w:r>
      <w:r>
        <w:rPr>
          <w:rStyle w:val="29"/>
          <w:rFonts w:hint="eastAsia" w:ascii="仿宋" w:hAnsi="仿宋" w:eastAsia="仿宋" w:cs="仿宋"/>
          <w:b/>
          <w:bCs/>
          <w:sz w:val="30"/>
          <w:szCs w:val="30"/>
        </w:rPr>
        <w:t>财政拨款“三公”经费支出决算情况说明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outlineLvl w:val="2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（一）“三公”经费财政拨款支出决算总体情况说明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2022年“三公”经费财政拨款支出决算为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万元，完成预算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%，较上年增加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2.1</w:t>
      </w:r>
      <w:r>
        <w:rPr>
          <w:rFonts w:hint="eastAsia" w:ascii="仿宋" w:hAnsi="仿宋" w:eastAsia="仿宋" w:cs="仿宋"/>
          <w:sz w:val="30"/>
          <w:szCs w:val="30"/>
        </w:rPr>
        <w:t>万元，增长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110.52</w:t>
      </w:r>
      <w:r>
        <w:rPr>
          <w:rFonts w:hint="eastAsia" w:ascii="仿宋" w:hAnsi="仿宋" w:eastAsia="仿宋" w:cs="仿宋"/>
          <w:sz w:val="30"/>
          <w:szCs w:val="30"/>
        </w:rPr>
        <w:t>%。主要原因是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本年接待任务增加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outlineLvl w:val="2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（二）“三公”经费财政拨款支出决算具体情况说明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2022年“三公”经费财政拨款支出决算中，因公出国（境）费支出决算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%；公务用车购置及运行维护费支出决算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%；公务接待费支出决算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%。具体情况如下：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center"/>
        <w:textAlignment w:val="auto"/>
        <w:rPr>
          <w:rFonts w:hint="eastAsia"/>
        </w:rPr>
      </w:pPr>
      <w:r>
        <w:drawing>
          <wp:inline distT="0" distB="0" distL="114300" distR="114300">
            <wp:extent cx="4772025" cy="2628900"/>
            <wp:effectExtent l="0" t="0" r="9525" b="0"/>
            <wp:docPr id="11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（图7：“三公”经费财政拨款支出结构）（饼状图）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1.因公出国（境）经费支出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万元，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</w:rPr>
        <w:t>完成预算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0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</w:rPr>
        <w:t>%。</w:t>
      </w:r>
      <w:r>
        <w:rPr>
          <w:rFonts w:hint="eastAsia" w:ascii="仿宋" w:hAnsi="仿宋" w:eastAsia="仿宋" w:cs="仿宋"/>
          <w:sz w:val="30"/>
          <w:szCs w:val="30"/>
        </w:rPr>
        <w:t>全年安排因公出国（境）团组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次，出国（境）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人。因公出国（境）支出决算比2021年增加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2.1</w:t>
      </w:r>
      <w:r>
        <w:rPr>
          <w:rFonts w:hint="eastAsia" w:ascii="仿宋" w:hAnsi="仿宋" w:eastAsia="仿宋" w:cs="仿宋"/>
          <w:sz w:val="30"/>
          <w:szCs w:val="30"/>
        </w:rPr>
        <w:t>万元，增长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110.52</w:t>
      </w:r>
      <w:r>
        <w:rPr>
          <w:rFonts w:hint="eastAsia" w:ascii="仿宋" w:hAnsi="仿宋" w:eastAsia="仿宋" w:cs="仿宋"/>
          <w:sz w:val="30"/>
          <w:szCs w:val="30"/>
        </w:rPr>
        <w:t>%。主要原因是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本年接待任务增加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2.公务用车购置及运行维护费支出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万元,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</w:rPr>
        <w:t>完成预算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0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</w:rPr>
        <w:t>%。</w:t>
      </w:r>
      <w:r>
        <w:rPr>
          <w:rFonts w:hint="eastAsia" w:ascii="仿宋" w:hAnsi="仿宋" w:eastAsia="仿宋" w:cs="仿宋"/>
          <w:sz w:val="30"/>
          <w:szCs w:val="30"/>
        </w:rPr>
        <w:t>公务用车购置及运行维护费支出决算比2021年增加/减少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万元，增长/下降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%。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其中：</w:t>
      </w:r>
      <w:r>
        <w:rPr>
          <w:rFonts w:hint="eastAsia" w:ascii="仿宋" w:hAnsi="仿宋" w:eastAsia="仿宋" w:cs="仿宋"/>
          <w:b/>
          <w:sz w:val="30"/>
          <w:szCs w:val="30"/>
        </w:rPr>
        <w:t>公务用车购置支出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万元。全年按规定更新购置公务用车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辆，其中：轿车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辆、金额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万元，越野车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辆、金额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万元，载客汽车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辆、金额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万元。截至2022年12月底，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共有公务用车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辆，其中：轿车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辆、越野车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辆、载客汽车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辆。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公务用车运行维护费支出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3.公务接待费支出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万元，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</w:rPr>
        <w:t>完成预算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100</w:t>
      </w:r>
      <w:r>
        <w:rPr>
          <w:rStyle w:val="17"/>
          <w:rFonts w:hint="eastAsia" w:ascii="仿宋" w:hAnsi="仿宋" w:eastAsia="仿宋" w:cs="仿宋"/>
          <w:b w:val="0"/>
          <w:bCs/>
          <w:sz w:val="30"/>
          <w:szCs w:val="30"/>
        </w:rPr>
        <w:t>%。</w:t>
      </w:r>
      <w:r>
        <w:rPr>
          <w:rFonts w:hint="eastAsia" w:ascii="仿宋" w:hAnsi="仿宋" w:eastAsia="仿宋" w:cs="仿宋"/>
          <w:sz w:val="30"/>
          <w:szCs w:val="30"/>
        </w:rPr>
        <w:t>公务接待费支出决算比2021年增加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2.1</w:t>
      </w:r>
      <w:r>
        <w:rPr>
          <w:rFonts w:hint="eastAsia" w:ascii="仿宋" w:hAnsi="仿宋" w:eastAsia="仿宋" w:cs="仿宋"/>
          <w:sz w:val="30"/>
          <w:szCs w:val="30"/>
        </w:rPr>
        <w:t>万元，增长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110.52</w:t>
      </w:r>
      <w:r>
        <w:rPr>
          <w:rFonts w:hint="eastAsia" w:ascii="仿宋" w:hAnsi="仿宋" w:eastAsia="仿宋" w:cs="仿宋"/>
          <w:sz w:val="30"/>
          <w:szCs w:val="30"/>
        </w:rPr>
        <w:t>%。主要原因是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本年接待任务增加</w:t>
      </w:r>
      <w:r>
        <w:rPr>
          <w:rFonts w:hint="eastAsia" w:ascii="仿宋" w:hAnsi="仿宋" w:eastAsia="仿宋" w:cs="仿宋"/>
          <w:sz w:val="30"/>
          <w:szCs w:val="30"/>
        </w:rPr>
        <w:t>。其中：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国内公务接待支出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万元，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主要用于执行公务、开展业务活动开支的交通费、住宿费、用餐费等</w:t>
      </w:r>
      <w:r>
        <w:rPr>
          <w:rFonts w:hint="eastAsia" w:ascii="仿宋" w:hAnsi="仿宋" w:eastAsia="仿宋" w:cs="仿宋"/>
          <w:sz w:val="30"/>
          <w:szCs w:val="30"/>
        </w:rPr>
        <w:t>。国内公务接待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60</w:t>
      </w:r>
      <w:r>
        <w:rPr>
          <w:rFonts w:hint="eastAsia" w:ascii="仿宋" w:hAnsi="仿宋" w:eastAsia="仿宋" w:cs="仿宋"/>
          <w:sz w:val="30"/>
          <w:szCs w:val="30"/>
        </w:rPr>
        <w:t>批次，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510</w:t>
      </w:r>
      <w:r>
        <w:rPr>
          <w:rFonts w:hint="eastAsia" w:ascii="仿宋" w:hAnsi="仿宋" w:eastAsia="仿宋" w:cs="仿宋"/>
          <w:sz w:val="30"/>
          <w:szCs w:val="30"/>
        </w:rPr>
        <w:t>人次（不包括陪同人员），共计支出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外事接待支出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outlineLvl w:val="1"/>
        <w:rPr>
          <w:rStyle w:val="29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八、</w:t>
      </w:r>
      <w:r>
        <w:rPr>
          <w:rStyle w:val="29"/>
          <w:rFonts w:hint="eastAsia" w:ascii="仿宋" w:hAnsi="仿宋" w:eastAsia="仿宋" w:cs="仿宋"/>
          <w:b/>
          <w:bCs/>
          <w:sz w:val="30"/>
          <w:szCs w:val="30"/>
        </w:rPr>
        <w:t>政府性基金预算支出决算情况说明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2022年政府性基金预算财政拨款支出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76" w:lineRule="atLeast"/>
        <w:ind w:firstLine="640"/>
        <w:textAlignment w:val="auto"/>
        <w:outlineLvl w:val="1"/>
        <w:rPr>
          <w:rStyle w:val="29"/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Style w:val="29"/>
          <w:rFonts w:hint="eastAsia" w:ascii="仿宋" w:hAnsi="仿宋" w:eastAsia="仿宋" w:cs="仿宋"/>
          <w:b/>
          <w:bCs w:val="0"/>
          <w:sz w:val="30"/>
          <w:szCs w:val="30"/>
        </w:rPr>
        <w:t>国有资本经营预算支出决算情况说明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2022年国有资本经营预算财政拨款支出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line="576" w:lineRule="atLeast"/>
        <w:ind w:firstLine="640"/>
        <w:textAlignment w:val="auto"/>
        <w:outlineLvl w:val="1"/>
        <w:rPr>
          <w:rStyle w:val="29"/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Style w:val="29"/>
          <w:rFonts w:hint="eastAsia" w:ascii="仿宋" w:hAnsi="仿宋" w:eastAsia="仿宋" w:cs="仿宋"/>
          <w:b/>
          <w:bCs w:val="0"/>
          <w:sz w:val="30"/>
          <w:szCs w:val="30"/>
        </w:rPr>
        <w:t>其他重要事项的情况说明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outlineLvl w:val="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（一）机关运行经费支出情况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剑阁县委统战部</w:t>
      </w:r>
      <w:r>
        <w:rPr>
          <w:rFonts w:hint="eastAsia" w:ascii="仿宋" w:hAnsi="仿宋" w:eastAsia="仿宋" w:cs="仿宋"/>
          <w:sz w:val="30"/>
          <w:szCs w:val="30"/>
        </w:rPr>
        <w:t>机关运行经费支出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29.48</w:t>
      </w:r>
      <w:r>
        <w:rPr>
          <w:rFonts w:hint="eastAsia" w:ascii="仿宋" w:hAnsi="仿宋" w:eastAsia="仿宋" w:cs="仿宋"/>
          <w:sz w:val="30"/>
          <w:szCs w:val="30"/>
        </w:rPr>
        <w:t>万元，比2021年减少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17.48</w:t>
      </w:r>
      <w:r>
        <w:rPr>
          <w:rFonts w:hint="eastAsia" w:ascii="仿宋" w:hAnsi="仿宋" w:eastAsia="仿宋" w:cs="仿宋"/>
          <w:sz w:val="30"/>
          <w:szCs w:val="30"/>
        </w:rPr>
        <w:t>万元，下降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37.22</w:t>
      </w:r>
      <w:r>
        <w:rPr>
          <w:rFonts w:hint="eastAsia" w:ascii="仿宋" w:hAnsi="仿宋" w:eastAsia="仿宋" w:cs="仿宋"/>
          <w:sz w:val="30"/>
          <w:szCs w:val="30"/>
        </w:rPr>
        <w:t>%。主要原因是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" w:hAnsi="仿宋" w:eastAsia="仿宋" w:cs="仿宋"/>
          <w:sz w:val="30"/>
          <w:szCs w:val="30"/>
        </w:rPr>
        <w:t>减少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导致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机关运行经费</w:t>
      </w:r>
      <w:r>
        <w:rPr>
          <w:rFonts w:hint="eastAsia" w:ascii="仿宋" w:hAnsi="仿宋" w:eastAsia="仿宋" w:cs="仿宋"/>
          <w:sz w:val="30"/>
          <w:szCs w:val="30"/>
        </w:rPr>
        <w:t>减少。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atLeast"/>
        <w:ind w:firstLine="6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（二）政府采购支出情况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剑阁县委统战部无</w:t>
      </w:r>
      <w:r>
        <w:rPr>
          <w:rFonts w:hint="eastAsia" w:ascii="仿宋" w:hAnsi="仿宋" w:eastAsia="仿宋" w:cs="仿宋"/>
          <w:sz w:val="30"/>
          <w:szCs w:val="30"/>
        </w:rPr>
        <w:t>政府采购支出。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atLeast"/>
        <w:ind w:firstLine="6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（三）国有资产占有使用情况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截至2022年12月31日，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剑阁县委统战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部无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国有资产占有使用情况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6" w:lineRule="atLeast"/>
        <w:ind w:firstLine="6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（四）预算绩效管理情况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576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根据预算绩效管理要求，本部门2022年度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没有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预算项目编制。</w:t>
      </w:r>
    </w:p>
    <w:p>
      <w:pPr>
        <w:pStyle w:val="19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/>
        </w:rPr>
      </w:pP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bidi w:val="0"/>
        <w:spacing w:line="576" w:lineRule="atLeast"/>
        <w:ind w:firstLine="451" w:firstLineChars="150"/>
        <w:jc w:val="center"/>
        <w:textAlignment w:val="auto"/>
        <w:outlineLvl w:val="0"/>
        <w:rPr>
          <w:rStyle w:val="28"/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名</w:t>
      </w:r>
      <w:r>
        <w:rPr>
          <w:rStyle w:val="28"/>
          <w:rFonts w:hint="eastAsia" w:ascii="仿宋" w:hAnsi="仿宋" w:eastAsia="仿宋" w:cs="仿宋"/>
          <w:b/>
          <w:bCs/>
          <w:sz w:val="30"/>
          <w:szCs w:val="30"/>
        </w:rPr>
        <w:t>词解释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left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1.财政拨款收入：</w:t>
      </w:r>
      <w:r>
        <w:rPr>
          <w:rFonts w:hint="eastAsia" w:ascii="仿宋" w:hAnsi="仿宋" w:eastAsia="仿宋" w:cs="仿宋"/>
          <w:sz w:val="30"/>
          <w:szCs w:val="30"/>
        </w:rPr>
        <w:t>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从同级财政部门取得的财政预算资金。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 一般公共服务支出（类）统战事务（款）行政运行（项）:</w:t>
      </w:r>
      <w:r>
        <w:rPr>
          <w:rFonts w:hint="eastAsia" w:ascii="仿宋" w:hAnsi="仿宋" w:eastAsia="仿宋" w:cs="仿宋"/>
          <w:sz w:val="30"/>
          <w:szCs w:val="30"/>
        </w:rPr>
        <w:t xml:space="preserve"> 反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映行政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（包括实行公务员管理的事业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）的基本支出。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. 一般公共服务支出（类）统战事务（款）一般行政管理事务 （项）: </w:t>
      </w:r>
      <w:r>
        <w:rPr>
          <w:rFonts w:hint="eastAsia" w:ascii="仿宋" w:hAnsi="仿宋" w:eastAsia="仿宋" w:cs="仿宋"/>
          <w:sz w:val="30"/>
          <w:szCs w:val="30"/>
        </w:rPr>
        <w:t>反映行政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（包括实行公务员管理的事业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）未单独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设置项级科目的其他项目支出。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. 一般公共服务支出（类）统战事务（款）事业运行（项）: </w:t>
      </w:r>
      <w:r>
        <w:rPr>
          <w:rFonts w:hint="eastAsia" w:ascii="仿宋" w:hAnsi="仿宋" w:eastAsia="仿宋" w:cs="仿宋"/>
          <w:sz w:val="30"/>
          <w:szCs w:val="30"/>
        </w:rPr>
        <w:t>反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映事业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的基本支出。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 社会保障和就业支出（类）行政事业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养老支出（款） 机关事业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基本养老保险缴费支出（项）:</w:t>
      </w:r>
      <w:r>
        <w:rPr>
          <w:rFonts w:hint="eastAsia" w:ascii="仿宋" w:hAnsi="仿宋" w:eastAsia="仿宋" w:cs="仿宋"/>
          <w:sz w:val="30"/>
          <w:szCs w:val="30"/>
        </w:rPr>
        <w:t xml:space="preserve"> 指反映机关事业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实施养老保险制度由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缴纳的基本养老保险费支出。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.卫生健康支出（类）行政事业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医疗（款）行政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医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疗（项）：</w:t>
      </w:r>
      <w:r>
        <w:rPr>
          <w:rFonts w:hint="eastAsia" w:ascii="仿宋" w:hAnsi="仿宋" w:eastAsia="仿宋" w:cs="仿宋"/>
          <w:sz w:val="30"/>
          <w:szCs w:val="30"/>
        </w:rPr>
        <w:t>指行政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用于缴纳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基本医疗保险支出。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.卫生健康支出（类）行政事业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医疗（款）事业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医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疗（项）：</w:t>
      </w:r>
      <w:r>
        <w:rPr>
          <w:rFonts w:hint="eastAsia" w:ascii="仿宋" w:hAnsi="仿宋" w:eastAsia="仿宋" w:cs="仿宋"/>
          <w:sz w:val="30"/>
          <w:szCs w:val="30"/>
        </w:rPr>
        <w:t>指事业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用于缴纳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基本医疗保险支出。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.住房保障支出（类）住房改革支出（款）住房公积金（项）： </w:t>
      </w:r>
      <w:r>
        <w:rPr>
          <w:rFonts w:hint="eastAsia" w:ascii="仿宋" w:hAnsi="仿宋" w:eastAsia="仿宋" w:cs="仿宋"/>
          <w:sz w:val="30"/>
          <w:szCs w:val="30"/>
        </w:rPr>
        <w:t>指反映行政事业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按人力资源和社会保障部、财政部规定的基本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工资和津贴补贴以及规定比例为职工缴纳的住房公积金。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.基本支出：</w:t>
      </w:r>
      <w:r>
        <w:rPr>
          <w:rFonts w:hint="eastAsia" w:ascii="仿宋" w:hAnsi="仿宋" w:eastAsia="仿宋" w:cs="仿宋"/>
          <w:sz w:val="30"/>
          <w:szCs w:val="30"/>
        </w:rPr>
        <w:t>指为保障机构正常运转、完成日常工作任务而发生的人员支出和公用支出。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.“三公”经费：</w:t>
      </w:r>
      <w:r>
        <w:rPr>
          <w:rFonts w:hint="eastAsia" w:ascii="仿宋" w:hAnsi="仿宋" w:eastAsia="仿宋" w:cs="仿宋"/>
          <w:sz w:val="30"/>
          <w:szCs w:val="30"/>
        </w:rPr>
        <w:t>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用财政拨款安排的因公出国（境）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费、公务用车购置及运行费和公务接待费。其中，因公出国（境） 费反映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公务出国（境）的国际旅费、国外城市间交通费、住 宿费、伙食费、培训费、公杂费等支出；公务用车购置及运行费 反映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公务用车车辆购置支出（含车辆购置税）及租用费、燃 料费、维修费、过路过桥费、保险费等支出；公务接待费反映单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位按规定开支的各类公务接待（含外宾接待）支出。</w:t>
      </w:r>
    </w:p>
    <w:p>
      <w:pPr>
        <w:pStyle w:val="26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hAnsi="仿宋" w:cs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机关运行经费：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center"/>
        <w:textAlignment w:val="auto"/>
        <w:outlineLvl w:val="0"/>
        <w:rPr>
          <w:rStyle w:val="28"/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第</w:t>
      </w:r>
      <w:r>
        <w:rPr>
          <w:rStyle w:val="28"/>
          <w:rFonts w:hint="eastAsia" w:ascii="仿宋" w:hAnsi="仿宋" w:eastAsia="仿宋" w:cs="仿宋"/>
          <w:b/>
          <w:bCs/>
          <w:color w:val="auto"/>
          <w:sz w:val="30"/>
          <w:szCs w:val="30"/>
        </w:rPr>
        <w:t>四部分 附件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left"/>
        <w:textAlignment w:val="auto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atLeast"/>
        <w:contextualSpacing/>
        <w:jc w:val="center"/>
        <w:textAlignment w:val="auto"/>
        <w:rPr>
          <w:rFonts w:hint="default" w:ascii="宋体" w:hAnsi="宋体" w:eastAsia="宋体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44"/>
          <w:szCs w:val="44"/>
          <w:highlight w:val="none"/>
          <w:shd w:val="clear" w:color="auto" w:fill="FFFFFF"/>
        </w:rPr>
        <w:t>剑阁县</w:t>
      </w:r>
      <w:r>
        <w:rPr>
          <w:rFonts w:hint="eastAsia" w:ascii="宋体" w:hAnsi="宋体" w:eastAsia="宋体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委统战部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880" w:firstLineChars="200"/>
        <w:contextualSpacing/>
        <w:jc w:val="center"/>
        <w:textAlignment w:val="auto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部门</w:t>
      </w:r>
      <w:r>
        <w:rPr>
          <w:rFonts w:hint="eastAsia" w:ascii="宋体" w:hAnsi="宋体" w:eastAsia="宋体"/>
          <w:b w:val="0"/>
          <w:bCs/>
          <w:sz w:val="44"/>
          <w:szCs w:val="44"/>
          <w:highlight w:val="none"/>
          <w:shd w:val="clear" w:color="auto" w:fill="FFFFFF"/>
        </w:rPr>
        <w:t>整体支出绩效评价报告</w:t>
      </w:r>
    </w:p>
    <w:p>
      <w:pPr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部门基本情况</w:t>
      </w:r>
    </w:p>
    <w:p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机构组成。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0" w:firstLineChars="200"/>
        <w:contextualSpacing/>
        <w:jc w:val="left"/>
        <w:textAlignment w:val="auto"/>
        <w:rPr>
          <w:rFonts w:hint="eastAsia"/>
          <w:lang w:val="zh-CN"/>
        </w:rPr>
      </w:pPr>
      <w:r>
        <w:rPr>
          <w:rFonts w:hint="eastAsia" w:ascii="仿宋" w:hAnsi="仿宋" w:eastAsia="仿宋" w:cs="仿宋"/>
          <w:sz w:val="30"/>
          <w:szCs w:val="30"/>
        </w:rPr>
        <w:t>剑阁县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委统战部</w:t>
      </w:r>
      <w:r>
        <w:rPr>
          <w:rFonts w:hint="eastAsia" w:ascii="仿宋" w:hAnsi="仿宋" w:eastAsia="仿宋" w:cs="仿宋"/>
          <w:sz w:val="30"/>
          <w:szCs w:val="30"/>
        </w:rPr>
        <w:t>属全额财政拨款的事业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，核定总编制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名，其中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公务员</w:t>
      </w:r>
      <w:r>
        <w:rPr>
          <w:rFonts w:hint="eastAsia" w:ascii="仿宋" w:hAnsi="仿宋" w:eastAsia="仿宋" w:cs="仿宋"/>
          <w:sz w:val="30"/>
          <w:szCs w:val="30"/>
        </w:rPr>
        <w:t>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事业</w:t>
      </w:r>
      <w:r>
        <w:rPr>
          <w:rFonts w:hint="eastAsia" w:ascii="仿宋" w:hAnsi="仿宋" w:eastAsia="仿宋" w:cs="仿宋"/>
          <w:sz w:val="30"/>
          <w:szCs w:val="30"/>
        </w:rPr>
        <w:t>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机关工勤编制1名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无下属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left="0" w:leftChars="0"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机构职能和人员概况。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76" w:lineRule="atLeast"/>
        <w:ind w:firstLine="642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职责</w:t>
      </w:r>
    </w:p>
    <w:p>
      <w:pPr>
        <w:pStyle w:val="2"/>
        <w:pageBreakBefore w:val="0"/>
        <w:kinsoku/>
        <w:wordWrap/>
        <w:overflowPunct/>
        <w:topLinePunct w:val="0"/>
        <w:bidi w:val="0"/>
        <w:spacing w:before="125" w:line="576" w:lineRule="atLeast"/>
        <w:ind w:left="26" w:firstLine="90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第一条</w:t>
      </w:r>
      <w:r>
        <w:rPr>
          <w:rFonts w:hint="eastAsia" w:ascii="仿宋" w:hAnsi="仿宋" w:eastAsia="仿宋" w:cs="仿宋"/>
          <w:spacing w:val="9"/>
          <w:sz w:val="30"/>
          <w:szCs w:val="30"/>
        </w:rPr>
        <w:t xml:space="preserve"> 根据《中共剑阁县委剑阁县人民政府关于印发〈剑</w:t>
      </w:r>
      <w:r>
        <w:rPr>
          <w:rFonts w:hint="eastAsia"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阁县机构改革方案〉和〈剑阁县机构改革方案的实施意见〉的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通知》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left="14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4"/>
          <w:sz w:val="30"/>
          <w:szCs w:val="30"/>
        </w:rPr>
        <w:t>（剑委发〔2019〕22号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pacing w:val="24"/>
          <w:sz w:val="30"/>
          <w:szCs w:val="30"/>
        </w:rPr>
        <w:t>，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制定本规定。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before="153" w:line="576" w:lineRule="atLeast"/>
        <w:ind w:right="54" w:firstLine="93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第二条</w:t>
      </w:r>
      <w:r>
        <w:rPr>
          <w:rFonts w:hint="eastAsia" w:ascii="仿宋" w:hAnsi="仿宋" w:eastAsia="仿宋" w:cs="仿宋"/>
          <w:spacing w:val="4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8"/>
          <w:sz w:val="30"/>
          <w:szCs w:val="30"/>
        </w:rPr>
        <w:t>中共广元市剑阁县委统一战线工作部（简称县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委统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战部）是县委主管统一战线工作的职能部门，为正科级，列县委工</w:t>
      </w:r>
      <w:r>
        <w:rPr>
          <w:rFonts w:hint="eastAsia"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作机关序列。县委统战部统一领导民族宗教工作。县委统战部与剑</w:t>
      </w:r>
      <w:r>
        <w:rPr>
          <w:rFonts w:hint="eastAsia"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阁县民族宗教事务局（简称县民宗事务局）合署办公，实行一套工</w:t>
      </w:r>
      <w:r>
        <w:rPr>
          <w:rFonts w:hint="eastAsia"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作机构、两个机关名称。县委统战部统一管理侨务、台湾事务工作，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对外挂剑阁县侨务办公室、中共剑阁县委台湾工作办公室（剑阁县</w:t>
      </w:r>
      <w:r>
        <w:rPr>
          <w:rFonts w:hint="eastAsia"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政府台湾事务办公室）牌子，分别简称县侨务办、县委台办（县台</w:t>
      </w:r>
      <w:r>
        <w:rPr>
          <w:rFonts w:hint="eastAsia" w:ascii="仿宋" w:hAnsi="仿宋" w:eastAsia="仿宋" w:cs="仿宋"/>
          <w:spacing w:val="-3"/>
          <w:sz w:val="30"/>
          <w:szCs w:val="30"/>
        </w:rPr>
        <w:t>办）。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before="153" w:line="576" w:lineRule="atLeast"/>
        <w:ind w:left="93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 xml:space="preserve">第三条 </w:t>
      </w:r>
      <w:r>
        <w:rPr>
          <w:rFonts w:hint="eastAsia" w:ascii="仿宋" w:hAnsi="仿宋" w:eastAsia="仿宋" w:cs="仿宋"/>
          <w:b w:val="0"/>
          <w:bCs w:val="0"/>
          <w:color w:val="auto"/>
          <w:spacing w:val="8"/>
          <w:sz w:val="30"/>
          <w:szCs w:val="30"/>
        </w:rPr>
        <w:t>县委统战部、县民宗事务局的主要职责是：</w:t>
      </w:r>
    </w:p>
    <w:p>
      <w:pPr>
        <w:pStyle w:val="2"/>
        <w:pageBreakBefore w:val="0"/>
        <w:kinsoku/>
        <w:wordWrap/>
        <w:overflowPunct/>
        <w:topLinePunct w:val="0"/>
        <w:bidi w:val="0"/>
        <w:spacing w:before="152" w:line="576" w:lineRule="atLeast"/>
        <w:ind w:left="1" w:right="136" w:firstLine="952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7"/>
          <w:sz w:val="30"/>
          <w:szCs w:val="30"/>
        </w:rPr>
        <w:t>1、贯彻落实加强党对统一战线工作集中统一领导的要求，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发挥县委在统战工作方面的参谋机构、组织协调机构、具体执行机</w:t>
      </w:r>
      <w:r>
        <w:rPr>
          <w:rFonts w:hint="eastAsia"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构、督促检查机构作用。了解情况、掌握政策、协调关系、安排人</w:t>
      </w:r>
      <w:r>
        <w:rPr>
          <w:rFonts w:hint="eastAsia"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事、增进共识、加强团结，协调统一战线各方面关系，组织落实党</w:t>
      </w:r>
      <w:r>
        <w:rPr>
          <w:rFonts w:hint="eastAsia"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中央和省委、市委、县委关于统一战线工作重大决策部署，巩固壮</w:t>
      </w:r>
      <w:r>
        <w:rPr>
          <w:rFonts w:hint="eastAsia" w:ascii="仿宋" w:hAnsi="仿宋" w:eastAsia="仿宋" w:cs="仿宋"/>
          <w:spacing w:val="7"/>
          <w:sz w:val="30"/>
          <w:szCs w:val="30"/>
        </w:rPr>
        <w:t>大最广泛的统一战线。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before="152" w:line="576" w:lineRule="atLeast"/>
        <w:ind w:left="1" w:right="138" w:firstLine="923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8"/>
          <w:sz w:val="30"/>
          <w:szCs w:val="30"/>
        </w:rPr>
        <w:t>2、研究拟订统一战线工作的政策和法规草案并推动落实，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4"/>
          <w:sz w:val="30"/>
          <w:szCs w:val="30"/>
        </w:rPr>
        <w:t>深入调查研究，及时向县委报告统一战线工作情况并提出建议，统</w:t>
      </w:r>
      <w:r>
        <w:rPr>
          <w:rFonts w:hint="eastAsia" w:ascii="仿宋" w:hAnsi="仿宋" w:eastAsia="仿宋" w:cs="仿宋"/>
          <w:spacing w:val="9"/>
          <w:sz w:val="30"/>
          <w:szCs w:val="30"/>
        </w:rPr>
        <w:t>筹协调和指导各乡镇、各部门（</w:t>
      </w:r>
      <w:r>
        <w:rPr>
          <w:rFonts w:hint="eastAsia" w:ascii="仿宋" w:hAnsi="仿宋" w:eastAsia="仿宋" w:cs="仿宋"/>
          <w:spacing w:val="9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pacing w:val="9"/>
          <w:sz w:val="30"/>
          <w:szCs w:val="30"/>
        </w:rPr>
        <w:t>）统一</w:t>
      </w:r>
      <w:r>
        <w:rPr>
          <w:rFonts w:hint="eastAsia" w:ascii="仿宋" w:hAnsi="仿宋" w:eastAsia="仿宋" w:cs="仿宋"/>
          <w:spacing w:val="8"/>
          <w:sz w:val="30"/>
          <w:szCs w:val="30"/>
        </w:rPr>
        <w:t>战线工作。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负责发现、培养党外代表人士，制定党外干部培养规划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负责党外人士的政治安排，会同有关部门做好安排党外人士担任政 府和司法机关等领导职务的工作，推动人民团体、国有企业党外干 部安排工作。协助民主党派县委、县工商联做好干部管理工作，反映和协调解决党外代表人士工作生活中的实际困难。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贯彻落实党的宣传工作方针，统筹推进全县统一战线宣传和意识形态工作，组织贯彻落实党中央、省委、市委、县委统一战线宣传工作政策和规划，统筹推进网络统战工作，研判涉及统一战线的舆情并协调有关部门应对处置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5、负责联系各民主党派，通报情况、反映意见、制定年度政党协商计划，贯彻落实中国共产党领导的多党合作和政治协商制 度以及对民主党派的方针政策，支持、帮助民主党派加强自身建设，做好支持民主党派履行职责、发挥作用的工作。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6、贯彻落实党的民族工作方针和政策，研究拟订民族工作中的政策和重大措施，协调处理民族工作中的重大问题，协调做好少数民族干部工作。依法管理民族事务，全面促进民族事业发展。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贯彻落实党的宗教工作基本方针和政策，研究拟订宗教工作的重大政策措施并督促落实。依法管理宗教事务，保护公民宗教信仰自由和正常的宗教活动，维护宗教界合法权益，抵御境外利用宗教进行渗透，引导各宗教坚持中国化方向，巩固和发展同宗教界的爱国统一战线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8、规范民间信仰活动，依法管理民间信仰，维护民间信仰信众的合法权益；挖掘民间信仰中的优秀传统文化资源，引导民间信仰信众爱国守法、团结友善，服务社会、维护和谐。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9、负责联系、培养无党派代表人士，支持、帮助无党派人士加强自身建设、发挥作用。调查研究全县党外知识分子情况并提出政策建议，联系、培养党外知识分子代表人士，开展思想政治工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6" w:lineRule="atLeas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作，指导国有企业等有关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开展统战工作。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、负责联系、培养新的社会阶层代表人士，支持、帮助新的社会阶层人士加强自身建设、发挥作用。调查研究全县新的社会阶层人士情况并提出政策建议，开展思想政治工作，指导社会组织开展新的社会阶层人士统战工作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11、承担全县非公有制经济协调工作，负责全县非公有制经济代表人士工作，参与制定、推动落实鼓励支持引导非公有制经济发展的政策，调查研究全县非公有制经济人士情况并提出政策建议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了解和反映非公有制经济人士的意见，团结、服务、引导、教育非公有制经济人士，促进非公有制经济健康发展和非公有制经济人士健康成长。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12、统一领导港澳统战工作。牵头开展港澳统战工作，贯彻落实党的海外统战工作政策和规划并组织协调、督促检查落实，会同有关部门对香港、澳门地区统一战线工作进行调查研究并提出政策建议，联系香港、澳门有关党派、团体及代表人士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13、统一管理台湾事务工作。贯彻落实党的对台工作方针政策，研究、拟订全县对台工作计划，经批准后组织实施。组织、指导、管理、协调县级部门（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）和各乡镇对台工作，指导我县各民主党派、工商联和其他人民团体有关重点人物、重大活动等方面的涉台工作。调查研究台湾形势和两岸关系发展动向及剑台交流合作、人员往来发展情况，提出对策建议。开展剑台交流联络活动，会同有关部门协调指导我县对台经贸工作和金融、文化、学术、体育、科技、卫生等各个领域的交流与合作，以及剑台人员往来、考 察、研讨等工作。指导全县对台宣传、涉台教育，负责有关台湾工 作的新闻发布。统筹协调全县涉台法律事务，会同有关部门依法开展涉台权益保护工作。指导县台胞台属联谊会工作。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14、统一管理侨务工作，贯彻落实党的侨务工作方针政策，负责起草涉侨地方性法规草案、拟订全县侨务工作规划并组织协调、督促检查落实。调查研究侨情和侨务工作情况，管理侨务事务，统筹协调有关部门和社会团体涉侨工作，联系海外有关侨团和代表人士，负责海外侨胞代表人士在相关统战团体的安排，指导推动涉侨宣传、文化交流、华文教育工作等，保护华侨和归侨侨眷在县内的合法权利和利益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15、受县委委托，领导县工商联党组，指导工商联工作。统一领导县民族宗教工作,做好统一战线有关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和团体及事业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的管理工作。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16、完成县委交办的其他任务。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Style w:val="29"/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机</w:t>
      </w:r>
      <w:r>
        <w:rPr>
          <w:rStyle w:val="29"/>
          <w:rFonts w:hint="eastAsia" w:ascii="仿宋" w:hAnsi="仿宋" w:eastAsia="仿宋" w:cs="仿宋"/>
          <w:b/>
          <w:bCs w:val="0"/>
          <w:sz w:val="30"/>
          <w:szCs w:val="30"/>
        </w:rPr>
        <w:t>构设置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before="93"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剑阁县委统战部无</w:t>
      </w:r>
      <w:r>
        <w:rPr>
          <w:rFonts w:hint="eastAsia" w:ascii="仿宋" w:hAnsi="仿宋" w:eastAsia="仿宋" w:cs="仿宋"/>
          <w:sz w:val="30"/>
          <w:szCs w:val="30"/>
        </w:rPr>
        <w:t>下属二级预算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</w:t>
      </w:r>
      <w:r>
        <w:rPr>
          <w:rFonts w:hint="eastAsia" w:ascii="仿宋" w:hAnsi="仿宋" w:eastAsia="仿宋" w:cs="仿宋"/>
          <w:sz w:val="30"/>
          <w:szCs w:val="30"/>
        </w:rPr>
        <w:t>纳入2022年度部门决算编制范围的二级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部门。</w:t>
      </w:r>
    </w:p>
    <w:p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before="93" w:line="576" w:lineRule="atLeast"/>
        <w:ind w:firstLine="600" w:firstLineChars="200"/>
        <w:textAlignment w:val="auto"/>
        <w:rPr>
          <w:rFonts w:hint="eastAsia"/>
          <w:lang w:val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剑阁县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剑阁县委统战部</w:t>
      </w:r>
      <w:r>
        <w:rPr>
          <w:rFonts w:hint="eastAsia" w:ascii="仿宋" w:hAnsi="仿宋" w:eastAsia="仿宋" w:cs="仿宋"/>
          <w:kern w:val="0"/>
          <w:sz w:val="30"/>
          <w:szCs w:val="30"/>
        </w:rPr>
        <w:t>属全额财政拨款的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部门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，核定总编制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30"/>
          <w:szCs w:val="30"/>
        </w:rPr>
        <w:t>名，其中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公务员</w:t>
      </w:r>
      <w:r>
        <w:rPr>
          <w:rFonts w:hint="eastAsia" w:ascii="仿宋" w:hAnsi="仿宋" w:eastAsia="仿宋" w:cs="仿宋"/>
          <w:kern w:val="0"/>
          <w:sz w:val="30"/>
          <w:szCs w:val="30"/>
        </w:rPr>
        <w:t>编制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名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事业</w:t>
      </w:r>
      <w:r>
        <w:rPr>
          <w:rFonts w:hint="eastAsia" w:ascii="仿宋" w:hAnsi="仿宋" w:eastAsia="仿宋" w:cs="仿宋"/>
          <w:kern w:val="0"/>
          <w:sz w:val="30"/>
          <w:szCs w:val="30"/>
        </w:rPr>
        <w:t>编制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6名，机关工勤</w:t>
      </w:r>
      <w:r>
        <w:rPr>
          <w:rFonts w:hint="eastAsia" w:ascii="仿宋" w:hAnsi="仿宋" w:eastAsia="仿宋" w:cs="仿宋"/>
          <w:kern w:val="0"/>
          <w:sz w:val="30"/>
          <w:szCs w:val="30"/>
        </w:rPr>
        <w:t>编制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1名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left="0" w:leftChars="0"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shd w:val="clear" w:color="auto" w:fill="FFFFFF"/>
          <w:lang w:val="zh-CN"/>
        </w:rPr>
        <w:t>年度主要工作任务。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一、聚焦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统战事业发展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，巩固“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大统战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工作格局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　　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进一步加强了县委对统战工作的领导。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加强了政治引领。我们在统一战线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集中宣讲了党的二十大精神、习近平总书记来川视察重要指示精神、省第十二次党代会精神。落实了“三个带头”。今年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县委书记杨祖斌参加了全县统战工作会议，出席并主持了剑阁县旅外企业家联合会成立大会，研究了民主党派干部安排工作，调研宗教工作，并于今年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9月撰写了署名文章在省委统战部“同心四川”栏目刊发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。今年县委常委会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3次专题研究统战工作重大问题、学习统战会议精神，持续开展党员领导干部和党外人士联谊交友。全力争先创优，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全年召开统一战线工作会议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5次，安排部署了民族团结示范市创建、九广合作、宗教中国化示范场所、剑门关国际华侨交流基地建设等重点工作。12月2日 承办了中国侨联剑门关.中国华侨国际文化交流基地揭牌仪式，国家侨联、省委统战部、市委和县委主要负责同志参加了活动。深化了基层统战，全年对29个乡镇、35个部门统战工作进行了督导，推进党委（党组）书记为统战工作第一责任人，纳入党建述职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各乡镇各部门调整了统一战线工作领导小组，全县各级党组织做到书记管总、分管领导负责、统战干部主抓的良好局面。全县“大统战”工作格局得到进一步巩固和加强。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atLeast"/>
        <w:ind w:left="64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二、党派组织建设加强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，“九广合作”推进有力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atLeas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　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一年来，我县召开政党协商工作会4次，通报了情况，征求了意见，全年各党派共开展各类调研155人次，撰写提案建议61件（条）。民主党派成员在市、县两会的上发言多次得到市县领导的肯定；民主党派干部队伍建设得到加强，今年新提拔党外干部13人，我县党外正职首次达到3人，分别在教育局、市场监管局和医保局任局长。民主党派阵地建设得到改善，今年我县5个民主党派统一安置了新办公室，更换了办公设备。九广合作工作再上新台阶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围绕我县核桃产业发展，借助“九广合作”东风，协调省林草厅拨付500万园区配套专项经费，把二龙园区打造成“九广合作产业示范园区”，目前该园区成功创建为省级现代林业培育园区。今年6月26日至29日九三四川省委二支社组织医疗专家教授12人在我县武连镇开展妇女两癌筛查及不孕不育义诊项目，义诊人数达500余人，筛查患者73人，目前已完成诊疗方案。6月27日邀请华西医院九三社员彭玉兰教授在我县开展超声科业务培训，全县有50多名超声科医生参加了业务培训，使我县超声业务水平得到进一步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atLeast"/>
        <w:ind w:left="640" w:left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三、民族团结宗教和顺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，经济统战推进有效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我们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召开了全县民族宗教工作会议，安排部署了全县相关工作，民宗局配备了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2名专职副局长，深入推进了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民族团结进步市创建工作。坚持每季度开展一次全县宗教场所大检查工作，涵盖安全生产、疫情防控、森林防灭火、食品安全等工作，确保无重大事故发生。我们按照</w:t>
      </w:r>
      <w:r>
        <w:rPr>
          <w:rFonts w:hint="eastAsia" w:ascii="仿宋" w:hAnsi="仿宋" w:eastAsia="仿宋" w:cs="仿宋"/>
          <w:sz w:val="30"/>
          <w:szCs w:val="30"/>
        </w:rPr>
        <w:t>保护合法、制止非法、抵御渗透、打击犯罪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工作要求，全面排查宗教场所，确保全县宗教场所无非法传教、无违禁音像制品、无烧高香等现象发生。深入推依法治寺，今年４月汇同相关部门，开展了“法律进寺庙活动”，并请消防中队对教职人员进行消防安全培训，并现场指导消防栓、灭火器等消防器材的使用。启动宗教场所维修基金对灵泉寺、老君殿、宝龙寺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6个宗教场所进行排危加固、维护维修，同时积极开展宗教中国化场所创建，打造了宝龙寺、志公寺、鹤鸣观等宗教场所为我县示范场所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。我们</w:t>
      </w:r>
      <w:r>
        <w:rPr>
          <w:rFonts w:hint="eastAsia" w:ascii="仿宋" w:hAnsi="仿宋" w:eastAsia="仿宋" w:cs="仿宋"/>
          <w:sz w:val="30"/>
          <w:szCs w:val="30"/>
        </w:rPr>
        <w:t>按照中央省市关于发展非公经济的方针政策，深入开展“不忘创业初心，接力改革伟业”为重点的非公有制经济人士理想信念教育实践活动。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成立了剑阁县旅外企业家联合会，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29个乡镇商会。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非公有制经济代表</w:t>
      </w:r>
      <w:r>
        <w:rPr>
          <w:rFonts w:hint="eastAsia" w:ascii="仿宋" w:hAnsi="仿宋" w:eastAsia="仿宋" w:cs="仿宋"/>
          <w:sz w:val="30"/>
          <w:szCs w:val="30"/>
        </w:rPr>
        <w:t>人士反映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诉求，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积极</w:t>
      </w:r>
      <w:r>
        <w:rPr>
          <w:rFonts w:hint="eastAsia" w:ascii="仿宋" w:hAnsi="仿宋" w:eastAsia="仿宋" w:cs="仿宋"/>
          <w:sz w:val="30"/>
          <w:szCs w:val="30"/>
        </w:rPr>
        <w:t>帮助解决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，全年我们共解决</w:t>
      </w:r>
      <w:r>
        <w:rPr>
          <w:rFonts w:hint="eastAsia" w:ascii="仿宋" w:hAnsi="仿宋" w:eastAsia="仿宋" w:cs="仿宋"/>
          <w:sz w:val="30"/>
          <w:szCs w:val="30"/>
        </w:rPr>
        <w:t>非公有制企业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用水、用电、融资、用工等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10余</w:t>
      </w:r>
      <w:r>
        <w:rPr>
          <w:rFonts w:hint="eastAsia" w:ascii="仿宋" w:hAnsi="仿宋" w:eastAsia="仿宋" w:cs="仿宋"/>
          <w:sz w:val="30"/>
          <w:szCs w:val="30"/>
        </w:rPr>
        <w:t>件困难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问题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</w:rPr>
        <w:t>二、部门资金收支情况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（一）部门总体收支情况。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atLeast"/>
        <w:ind w:firstLine="642" w:firstLineChars="200"/>
        <w:jc w:val="left"/>
        <w:textAlignment w:val="auto"/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1.部门财政拨款收入情况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/>
          <w:color w:val="auto"/>
          <w:lang w:val="en-US" w:eastAsia="zh-CN"/>
        </w:rPr>
      </w:pPr>
      <w:r>
        <w:rPr>
          <w:rFonts w:ascii="仿宋" w:hAnsi="仿宋" w:eastAsia="仿宋"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22年财政拨款收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入</w:t>
      </w:r>
      <w:r>
        <w:rPr>
          <w:rFonts w:hint="eastAsia" w:ascii="仿宋" w:hAnsi="仿宋" w:eastAsia="仿宋"/>
          <w:color w:val="auto"/>
          <w:sz w:val="32"/>
          <w:szCs w:val="32"/>
        </w:rPr>
        <w:t>总计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279.38</w:t>
      </w:r>
      <w:r>
        <w:rPr>
          <w:rFonts w:hint="eastAsia" w:ascii="仿宋" w:hAnsi="仿宋" w:eastAsia="仿宋"/>
          <w:color w:val="auto"/>
          <w:sz w:val="32"/>
          <w:szCs w:val="32"/>
        </w:rPr>
        <w:t>万元。与</w:t>
      </w:r>
      <w:r>
        <w:rPr>
          <w:rFonts w:ascii="仿宋" w:hAnsi="仿宋" w:eastAsia="仿宋"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21年相比，财政拨款收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入</w:t>
      </w:r>
      <w:r>
        <w:rPr>
          <w:rFonts w:hint="eastAsia" w:ascii="仿宋" w:hAnsi="仿宋" w:eastAsia="仿宋"/>
          <w:color w:val="auto"/>
          <w:sz w:val="32"/>
          <w:szCs w:val="32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244.52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46.67</w:t>
      </w:r>
      <w:r>
        <w:rPr>
          <w:rFonts w:ascii="仿宋" w:hAnsi="仿宋" w:eastAsia="仿宋"/>
          <w:color w:val="auto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sz w:val="32"/>
          <w:szCs w:val="32"/>
        </w:rPr>
        <w:t>。主要变动原因是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2022年财政下达项目资金减少，项目支出安排减少。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剔除变动情况，2022年收支总体平衡。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atLeast"/>
        <w:ind w:firstLine="642" w:firstLineChars="200"/>
        <w:jc w:val="left"/>
        <w:textAlignment w:val="auto"/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2.部门财政拨款支出情况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剑阁县委统战部部门2022年支出合计279.38万元。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/>
          <w:lang w:val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2022年一般公共预算财政拨款支出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279.38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其中：</w:t>
      </w:r>
      <w:r>
        <w:rPr>
          <w:rFonts w:hint="eastAsia" w:ascii="仿宋" w:hAnsi="仿宋" w:eastAsia="仿宋" w:cs="仿宋"/>
          <w:b/>
          <w:sz w:val="30"/>
          <w:szCs w:val="30"/>
        </w:rPr>
        <w:t>一般公共服务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233.96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83.74</w:t>
      </w:r>
      <w:r>
        <w:rPr>
          <w:rFonts w:hint="eastAsia" w:ascii="仿宋" w:hAnsi="仿宋" w:eastAsia="仿宋" w:cs="仿宋"/>
          <w:sz w:val="30"/>
          <w:szCs w:val="30"/>
        </w:rPr>
        <w:t>%；</w:t>
      </w:r>
      <w:r>
        <w:rPr>
          <w:rFonts w:hint="eastAsia" w:ascii="仿宋" w:hAnsi="仿宋" w:eastAsia="仿宋" w:cs="仿宋"/>
          <w:b/>
          <w:sz w:val="30"/>
          <w:szCs w:val="30"/>
        </w:rPr>
        <w:t>社会保障和就业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20.19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7.22</w:t>
      </w:r>
      <w:r>
        <w:rPr>
          <w:rFonts w:hint="eastAsia" w:ascii="仿宋" w:hAnsi="仿宋" w:eastAsia="仿宋" w:cs="仿宋"/>
          <w:sz w:val="30"/>
          <w:szCs w:val="30"/>
        </w:rPr>
        <w:t>%；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卫生健康支出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10.09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3.61</w:t>
      </w:r>
      <w:r>
        <w:rPr>
          <w:rFonts w:hint="eastAsia" w:ascii="仿宋" w:hAnsi="仿宋" w:eastAsia="仿宋" w:cs="仿宋"/>
          <w:sz w:val="30"/>
          <w:szCs w:val="30"/>
        </w:rPr>
        <w:t>%；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住房保障支出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15.14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5.43</w:t>
      </w:r>
      <w:r>
        <w:rPr>
          <w:rFonts w:hint="eastAsia" w:ascii="仿宋" w:hAnsi="仿宋" w:eastAsia="仿宋" w:cs="仿宋"/>
          <w:sz w:val="30"/>
          <w:szCs w:val="30"/>
        </w:rPr>
        <w:t>%。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leftChars="200" w:firstLine="301" w:firstLineChars="1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</w:rPr>
        <w:t>部门总体结转结余情况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atLeas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22年度我部门无结余结转资金。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2" w:firstLineChars="200"/>
        <w:contextualSpacing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val="zh-CN"/>
          <w14:textFill>
            <w14:solidFill>
              <w14:schemeClr w14:val="tx1"/>
            </w14:solidFill>
          </w14:textFill>
        </w:rPr>
        <w:t>（二）部门财政拨款收支情况。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atLeast"/>
        <w:ind w:firstLine="642" w:firstLineChars="200"/>
        <w:jc w:val="left"/>
        <w:textAlignment w:val="auto"/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1.部门财政拨款收入情况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/>
          <w:color w:val="auto"/>
          <w:lang w:val="en-US" w:eastAsia="zh-CN"/>
        </w:rPr>
      </w:pPr>
      <w:r>
        <w:rPr>
          <w:rFonts w:ascii="仿宋" w:hAnsi="仿宋" w:eastAsia="仿宋"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22年财政拨款收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入</w:t>
      </w:r>
      <w:r>
        <w:rPr>
          <w:rFonts w:hint="eastAsia" w:ascii="仿宋" w:hAnsi="仿宋" w:eastAsia="仿宋"/>
          <w:color w:val="auto"/>
          <w:sz w:val="32"/>
          <w:szCs w:val="32"/>
        </w:rPr>
        <w:t>总计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289.38</w:t>
      </w:r>
      <w:r>
        <w:rPr>
          <w:rFonts w:hint="eastAsia" w:ascii="仿宋" w:hAnsi="仿宋" w:eastAsia="仿宋"/>
          <w:color w:val="auto"/>
          <w:sz w:val="32"/>
          <w:szCs w:val="32"/>
        </w:rPr>
        <w:t>万元。与</w:t>
      </w:r>
      <w:r>
        <w:rPr>
          <w:rFonts w:ascii="仿宋" w:hAnsi="仿宋" w:eastAsia="仿宋"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21年相比，财政拨款收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入</w:t>
      </w:r>
      <w:r>
        <w:rPr>
          <w:rFonts w:hint="eastAsia" w:ascii="仿宋" w:hAnsi="仿宋" w:eastAsia="仿宋"/>
          <w:color w:val="auto"/>
          <w:sz w:val="32"/>
          <w:szCs w:val="32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244.52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46.67</w:t>
      </w:r>
      <w:r>
        <w:rPr>
          <w:rFonts w:ascii="仿宋" w:hAnsi="仿宋" w:eastAsia="仿宋"/>
          <w:color w:val="auto"/>
          <w:sz w:val="32"/>
          <w:szCs w:val="32"/>
        </w:rPr>
        <w:t>%</w:t>
      </w:r>
      <w:r>
        <w:rPr>
          <w:rFonts w:hint="eastAsia" w:ascii="仿宋" w:hAnsi="仿宋" w:eastAsia="仿宋"/>
          <w:color w:val="auto"/>
          <w:sz w:val="32"/>
          <w:szCs w:val="32"/>
        </w:rPr>
        <w:t>。主要变动原因是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2022年财政下达项目资金减少，项目支出安排减少。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剔除变动情况，2022年收支总体平衡。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atLeast"/>
        <w:ind w:firstLine="642" w:firstLineChars="200"/>
        <w:jc w:val="left"/>
        <w:textAlignment w:val="auto"/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2.部门财政拨款支出情况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剑阁县委统战部部门2022年支出合计279.38万元。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40"/>
        <w:textAlignment w:val="auto"/>
        <w:rPr>
          <w:rFonts w:hint="eastAsia"/>
          <w:lang w:val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2022年一般公共预算财政拨款支出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279.38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其中：</w:t>
      </w:r>
      <w:r>
        <w:rPr>
          <w:rFonts w:hint="eastAsia" w:ascii="仿宋" w:hAnsi="仿宋" w:eastAsia="仿宋" w:cs="仿宋"/>
          <w:b/>
          <w:sz w:val="30"/>
          <w:szCs w:val="30"/>
        </w:rPr>
        <w:t>一般公共服务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233.96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83.74</w:t>
      </w:r>
      <w:r>
        <w:rPr>
          <w:rFonts w:hint="eastAsia" w:ascii="仿宋" w:hAnsi="仿宋" w:eastAsia="仿宋" w:cs="仿宋"/>
          <w:sz w:val="30"/>
          <w:szCs w:val="30"/>
        </w:rPr>
        <w:t>%；</w:t>
      </w:r>
      <w:r>
        <w:rPr>
          <w:rFonts w:hint="eastAsia" w:ascii="仿宋" w:hAnsi="仿宋" w:eastAsia="仿宋" w:cs="仿宋"/>
          <w:b/>
          <w:sz w:val="30"/>
          <w:szCs w:val="30"/>
        </w:rPr>
        <w:t>社会保障和就业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20.19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7.22</w:t>
      </w:r>
      <w:r>
        <w:rPr>
          <w:rFonts w:hint="eastAsia" w:ascii="仿宋" w:hAnsi="仿宋" w:eastAsia="仿宋" w:cs="仿宋"/>
          <w:sz w:val="30"/>
          <w:szCs w:val="30"/>
        </w:rPr>
        <w:t>%；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卫生健康支出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10.09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3.61</w:t>
      </w:r>
      <w:r>
        <w:rPr>
          <w:rFonts w:hint="eastAsia" w:ascii="仿宋" w:hAnsi="仿宋" w:eastAsia="仿宋" w:cs="仿宋"/>
          <w:sz w:val="30"/>
          <w:szCs w:val="30"/>
        </w:rPr>
        <w:t>%；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住房保障支出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15.14</w:t>
      </w:r>
      <w:r>
        <w:rPr>
          <w:rFonts w:hint="eastAsia" w:ascii="仿宋" w:hAnsi="仿宋" w:eastAsia="仿宋" w:cs="仿宋"/>
          <w:sz w:val="30"/>
          <w:szCs w:val="30"/>
        </w:rPr>
        <w:t>万元，占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5.43</w:t>
      </w:r>
      <w:r>
        <w:rPr>
          <w:rFonts w:hint="eastAsia" w:ascii="仿宋" w:hAnsi="仿宋" w:eastAsia="仿宋" w:cs="仿宋"/>
          <w:sz w:val="30"/>
          <w:szCs w:val="30"/>
        </w:rPr>
        <w:t>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2" w:firstLineChars="200"/>
        <w:jc w:val="left"/>
        <w:textAlignment w:val="auto"/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3.部门财政拨款结转结余情况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2022年度我部门财政拨款无结余结转资金。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leftChars="200" w:firstLine="301" w:firstLineChars="1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</w:rPr>
        <w:t>部门整体绩效分析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（一）部门预算项目绩效分析。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atLeast"/>
        <w:ind w:firstLine="602" w:firstLineChars="200"/>
        <w:jc w:val="left"/>
        <w:textAlignment w:val="auto"/>
        <w:rPr>
          <w:rFonts w:hint="eastAsia" w:ascii="仿宋" w:hAnsi="仿宋" w:eastAsia="仿宋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1.人员类项目绩效分析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atLeast"/>
        <w:ind w:firstLine="600" w:firstLineChars="200"/>
        <w:jc w:val="left"/>
        <w:textAlignment w:val="auto"/>
        <w:rPr>
          <w:rFonts w:hint="default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人员类预算资</w:t>
      </w:r>
      <w:r>
        <w:rPr>
          <w:rFonts w:hint="eastAsia" w:ascii="仿宋" w:hAnsi="仿宋" w:eastAsia="仿宋" w:cs="宋体"/>
          <w:color w:val="auto"/>
          <w:sz w:val="30"/>
          <w:szCs w:val="30"/>
          <w:lang w:val="en-US" w:eastAsia="zh-CN"/>
        </w:rPr>
        <w:t>金249.9万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元，为部门职工工资福利和工作正常开展提供经费保障，完成工资福利支出249.9万元；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及时开展绩效运行监控，按需进行预算调整；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截止2022年底部门预算执行进度100%；人员类预算支出完成率100%；人员类资金结余0万元，资金结余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率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0%，不存在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低效无效率的情况；人员类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支出无违规记录的情况。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atLeast"/>
        <w:ind w:firstLine="602" w:firstLineChars="200"/>
        <w:jc w:val="left"/>
        <w:textAlignment w:val="auto"/>
        <w:rPr>
          <w:rFonts w:hint="eastAsia" w:ascii="仿宋" w:hAnsi="仿宋" w:eastAsia="仿宋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2.运转类项目绩效分析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运转类预算资金29.48万元，2022年度决算职工日常工作运转支出29.48万元，非定额公用支出0万元；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及时开展绩效运行监控，按需进行预算调整</w:t>
      </w:r>
      <w:r>
        <w:rPr>
          <w:rFonts w:hint="eastAsia" w:ascii="仿宋" w:hAnsi="仿宋" w:eastAsia="仿宋" w:cs="宋体"/>
          <w:color w:val="auto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截止2022年底部门预算执行进度100%；运转类预算支出完成率100%；运转类资金结余0万元，资金结余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率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0%，不存在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zh-CN" w:eastAsia="zh-CN"/>
          <w14:textFill>
            <w14:solidFill>
              <w14:schemeClr w14:val="tx1"/>
            </w14:solidFill>
          </w14:textFill>
        </w:rPr>
        <w:t>低效无效率的情况；运转类</w:t>
      </w:r>
      <w:r>
        <w:rPr>
          <w:rFonts w:hint="eastAsia" w:ascii="仿宋" w:hAnsi="仿宋" w:eastAsia="仿宋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支出无违规记录的情况。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</w:rPr>
        <w:t>3.特定目标类项目绩效分析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0" w:firstLineChars="200"/>
        <w:contextualSpacing/>
        <w:jc w:val="left"/>
        <w:textAlignment w:val="auto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/>
        </w:rPr>
        <w:t>2022年无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特定目标类项目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）结果应用情况。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0" w:firstLineChars="200"/>
        <w:contextualSpacing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剑阁县委统战部</w:t>
      </w:r>
      <w:r>
        <w:rPr>
          <w:rFonts w:hint="eastAsia" w:ascii="华文仿宋" w:hAnsi="华文仿宋" w:eastAsia="华文仿宋" w:cs="华文仿宋"/>
          <w:sz w:val="32"/>
          <w:szCs w:val="32"/>
        </w:rPr>
        <w:t>在保障机关正常运转的同时，认真履行好部门的职能职责，全面完成全年的各项目标任务。通过加强预算收支管理，不断建立健全内部管理制度，梳理内部管理流程，部门整体支出管理情况得到提升。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）自评质量。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ind w:firstLine="600" w:firstLineChars="200"/>
        <w:textAlignment w:val="auto"/>
        <w:rPr>
          <w:rFonts w:hint="eastAsia"/>
          <w:lang w:val="zh-CN"/>
        </w:rPr>
      </w:pPr>
      <w:r>
        <w:rPr>
          <w:rFonts w:hint="eastAsia" w:ascii="仿宋" w:hAnsi="仿宋" w:eastAsia="仿宋" w:cs="仿宋"/>
          <w:sz w:val="30"/>
          <w:szCs w:val="30"/>
        </w:rPr>
        <w:t>按照财政局的统一部署和要求，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剑阁县统战部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年组织开展了202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年度部门整体支出绩效自评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自评得分较为准确，自评质量较高。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</w:rPr>
        <w:t>四、评价结论及建议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（一）评价结论。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atLeast"/>
        <w:ind w:leftChars="0" w:firstLine="60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</w:t>
      </w:r>
      <w:r>
        <w:rPr>
          <w:rFonts w:hint="eastAsia" w:ascii="仿宋" w:hAnsi="仿宋" w:eastAsia="仿宋" w:cs="仿宋"/>
          <w:sz w:val="30"/>
          <w:szCs w:val="30"/>
        </w:rPr>
        <w:t>以实现绩效目标为导向,以财政支出绩效评价手段,以评价结果应用为保障,提高财政资金使用效益，扎实有效推进了我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</w:rPr>
        <w:t>预算绩效管理工作,预算绩效管理工作取得了一定的成效。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部门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认真做好各项资金的预算及执行，在严控各项经费专款专用的同时，加强成本控制和节约资金使用规范、资金管理严格，使财政资金充分发挥经济效益和社会效益。</w:t>
      </w:r>
    </w:p>
    <w:p>
      <w:pPr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left="0" w:leftChars="0"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我部门通过对2022年度部门整体支出绩效自评，我们认识到，绩效管理不只是财政支出方面，而应更加注重产出及效率，这样有利于我们强化支出的责任，提高财政资金的使用效益，更好地促进我们履行职责。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1.完善管理制度。进一步加强资产管理进一步贯彻落实中央八项规定，进一步完善本部门“三公”经费等公务支出管理制度及厉行节约制度，加强经费审批和控制，规范支出标准与范围，并严格执行。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科学合理编制预算，严格执行预算。按照新《预算法》及其实施条例的相关规定，按政策规定及本部门的发展规划，结合上一年度预算执行情况和本年度预算收支变化因素，进行科学、合理地编制本年预算草案，避免预算支出与实际执行出现较大偏差的情况，执行中确需调剂预算的，按规定程序报经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00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财务制度执行力有待加强，资金使用计划有待细化。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6" w:lineRule="atLeast"/>
        <w:ind w:firstLine="602" w:firstLineChars="200"/>
        <w:contextualSpacing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shd w:val="clear" w:color="auto" w:fill="FFFFFF"/>
          <w:lang w:val="zh-CN"/>
        </w:rPr>
        <w:t>（三）改进建议。</w:t>
      </w:r>
    </w:p>
    <w:p>
      <w:pPr>
        <w:pStyle w:val="7"/>
        <w:pageBreakBefore w:val="0"/>
        <w:kinsoku/>
        <w:wordWrap/>
        <w:overflowPunct/>
        <w:topLinePunct w:val="0"/>
        <w:bidi w:val="0"/>
        <w:spacing w:line="576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加强政策学习，提高思想认识。组织部门干部职工认真学习《预算法》等相关法规、制度，提高部门领导对全面预算管理的重视程度，增强财务人员的预算意识，坚持先有预算、后有支出，没有预算不得支出的支出理念。</w:t>
      </w:r>
    </w:p>
    <w:p>
      <w:pPr>
        <w:pStyle w:val="7"/>
        <w:pageBreakBefore w:val="0"/>
        <w:kinsoku/>
        <w:wordWrap/>
        <w:overflowPunct/>
        <w:topLinePunct w:val="0"/>
        <w:bidi w:val="0"/>
        <w:spacing w:line="576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细化预算指标，提高预算科学性。预算编制前根据年度内部门可预见的工作任务，确定部门年度预算目标，细化预算指标，科学合理编制部门预算，推进预算编制科学化、准确化。年度预算编制后，加强预算执行管理，根据实际情况，定期做好预算执行分析，掌握预算执行进度，及时找出预算实际执行情况与预算目标之间存在的差异，采取有效措施纠正偏差，提高预算执行的时效性和均衡性，同时为下一次科学、准确地编制部门预算积累经验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before="93" w:line="576" w:lineRule="atLeast"/>
        <w:textAlignment w:val="auto"/>
        <w:rPr>
          <w:rFonts w:hint="eastAsia" w:ascii="仿宋" w:hAnsi="仿宋" w:eastAsia="仿宋" w:cs="仿宋"/>
          <w:sz w:val="30"/>
          <w:szCs w:val="30"/>
          <w:shd w:val="clear" w:color="auto" w:fill="FFFFFF"/>
          <w:lang w:val="zh-CN"/>
        </w:rPr>
      </w:pPr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both"/>
        <w:textAlignment w:val="auto"/>
        <w:outlineLvl w:val="0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center"/>
        <w:textAlignment w:val="auto"/>
        <w:outlineLvl w:val="0"/>
        <w:rPr>
          <w:rStyle w:val="28"/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Style w:val="28"/>
          <w:rFonts w:hint="eastAsia" w:ascii="仿宋" w:hAnsi="仿宋" w:eastAsia="仿宋" w:cs="仿宋"/>
          <w:b w:val="0"/>
          <w:sz w:val="30"/>
          <w:szCs w:val="30"/>
        </w:rPr>
        <w:t>五部分 附表</w:t>
      </w:r>
    </w:p>
    <w:p>
      <w:pPr>
        <w:pageBreakBefore w:val="0"/>
        <w:kinsoku/>
        <w:wordWrap/>
        <w:overflowPunct/>
        <w:topLinePunct w:val="0"/>
        <w:bidi w:val="0"/>
        <w:spacing w:line="576" w:lineRule="atLeast"/>
        <w:jc w:val="both"/>
        <w:textAlignment w:val="auto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一、收</w:t>
      </w: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入支出决算总表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二、收</w:t>
      </w: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入决算表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三、</w:t>
      </w:r>
      <w:r>
        <w:rPr>
          <w:rFonts w:hint="eastAsia" w:ascii="仿宋" w:hAnsi="仿宋" w:eastAsia="仿宋" w:cs="仿宋"/>
          <w:b w:val="0"/>
          <w:sz w:val="30"/>
          <w:szCs w:val="30"/>
        </w:rPr>
        <w:t>支</w:t>
      </w: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出决算表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四、</w:t>
      </w:r>
      <w:r>
        <w:rPr>
          <w:rFonts w:hint="eastAsia" w:ascii="仿宋" w:hAnsi="仿宋" w:eastAsia="仿宋" w:cs="仿宋"/>
          <w:b w:val="0"/>
          <w:sz w:val="30"/>
          <w:szCs w:val="30"/>
        </w:rPr>
        <w:t>财</w:t>
      </w: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政拨款收入支出决算总表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五、</w:t>
      </w:r>
      <w:r>
        <w:rPr>
          <w:rFonts w:hint="eastAsia" w:ascii="仿宋" w:hAnsi="仿宋" w:eastAsia="仿宋" w:cs="仿宋"/>
          <w:b w:val="0"/>
          <w:sz w:val="30"/>
          <w:szCs w:val="30"/>
        </w:rPr>
        <w:t>财</w:t>
      </w: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政拨款支出决算明细表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六、</w:t>
      </w:r>
      <w:r>
        <w:rPr>
          <w:rFonts w:hint="eastAsia" w:ascii="仿宋" w:hAnsi="仿宋" w:eastAsia="仿宋" w:cs="仿宋"/>
          <w:b w:val="0"/>
          <w:sz w:val="30"/>
          <w:szCs w:val="30"/>
        </w:rPr>
        <w:t>一</w:t>
      </w: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般公共预算财政拨款支出决算表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七、</w:t>
      </w:r>
      <w:r>
        <w:rPr>
          <w:rFonts w:hint="eastAsia" w:ascii="仿宋" w:hAnsi="仿宋" w:eastAsia="仿宋" w:cs="仿宋"/>
          <w:b w:val="0"/>
          <w:sz w:val="30"/>
          <w:szCs w:val="30"/>
        </w:rPr>
        <w:t>一</w:t>
      </w: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般公共预算财政拨款支出决算明细表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八、</w:t>
      </w:r>
      <w:r>
        <w:rPr>
          <w:rFonts w:hint="eastAsia" w:ascii="仿宋" w:hAnsi="仿宋" w:eastAsia="仿宋" w:cs="仿宋"/>
          <w:b w:val="0"/>
          <w:sz w:val="30"/>
          <w:szCs w:val="30"/>
        </w:rPr>
        <w:t>一</w:t>
      </w: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般公共预算财政拨款基本支出决算表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九、</w:t>
      </w:r>
      <w:r>
        <w:rPr>
          <w:rFonts w:hint="eastAsia" w:ascii="仿宋" w:hAnsi="仿宋" w:eastAsia="仿宋" w:cs="仿宋"/>
          <w:b w:val="0"/>
          <w:sz w:val="30"/>
          <w:szCs w:val="30"/>
        </w:rPr>
        <w:t>一</w:t>
      </w: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般公共预算财政拨款项目支出决算表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十、</w:t>
      </w:r>
      <w:r>
        <w:rPr>
          <w:rFonts w:hint="eastAsia" w:ascii="仿宋" w:hAnsi="仿宋" w:eastAsia="仿宋" w:cs="仿宋"/>
          <w:b w:val="0"/>
          <w:sz w:val="30"/>
          <w:szCs w:val="30"/>
        </w:rPr>
        <w:t>政</w:t>
      </w: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府性基金预算财政拨款收入支出决算表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十一、</w:t>
      </w:r>
      <w:r>
        <w:rPr>
          <w:rFonts w:hint="eastAsia" w:ascii="仿宋" w:hAnsi="仿宋" w:eastAsia="仿宋" w:cs="仿宋"/>
          <w:b w:val="0"/>
          <w:sz w:val="30"/>
          <w:szCs w:val="30"/>
        </w:rPr>
        <w:t>国</w:t>
      </w: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有资本经营预算财政拨款收入支出决算表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十二、国有资本经营预算财政拨款支出决算表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  <w:sectPr>
          <w:footerReference r:id="rId3" w:type="default"/>
          <w:pgSz w:w="11900" w:h="16820"/>
          <w:pgMar w:top="1429" w:right="1531" w:bottom="1865" w:left="1542" w:header="0" w:footer="1701" w:gutter="0"/>
          <w:cols w:space="720" w:num="1"/>
        </w:sectPr>
      </w:pPr>
      <w:r>
        <w:rPr>
          <w:rStyle w:val="29"/>
          <w:rFonts w:hint="eastAsia" w:ascii="仿宋" w:hAnsi="仿宋" w:eastAsia="仿宋" w:cs="仿宋"/>
          <w:b w:val="0"/>
          <w:bCs w:val="0"/>
          <w:sz w:val="30"/>
          <w:szCs w:val="30"/>
        </w:rPr>
        <w:t>十三、财政拨款“三公”经费支出决算表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76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18" w:name="bookmark14"/>
      <w:bookmarkEnd w:id="18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FE515B54"/>
    <w:multiLevelType w:val="singleLevel"/>
    <w:tmpl w:val="FE515B54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FFF674BC"/>
    <w:multiLevelType w:val="singleLevel"/>
    <w:tmpl w:val="FFF674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7ECAF9F"/>
    <w:multiLevelType w:val="singleLevel"/>
    <w:tmpl w:val="67ECAF9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YTMyNWEyZTJiMjZkNDBkOGQ3NmYxOGQ3MjU2NDIifQ=="/>
  </w:docVars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53CE0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3216A9"/>
    <w:rsid w:val="00335A74"/>
    <w:rsid w:val="00342F6E"/>
    <w:rsid w:val="00357D1A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2A80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94377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9666D"/>
    <w:rsid w:val="008B0651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2647E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21F16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D54BB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C75C6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A3F4C"/>
    <w:rsid w:val="00FD3CC1"/>
    <w:rsid w:val="00FF1E02"/>
    <w:rsid w:val="00FF30B4"/>
    <w:rsid w:val="015975B8"/>
    <w:rsid w:val="01A00C4B"/>
    <w:rsid w:val="02063FE0"/>
    <w:rsid w:val="02143E91"/>
    <w:rsid w:val="024617F2"/>
    <w:rsid w:val="02C45520"/>
    <w:rsid w:val="04F217BD"/>
    <w:rsid w:val="05012375"/>
    <w:rsid w:val="058B39C0"/>
    <w:rsid w:val="060B364D"/>
    <w:rsid w:val="066E0107"/>
    <w:rsid w:val="06C23411"/>
    <w:rsid w:val="07996F6E"/>
    <w:rsid w:val="083851C6"/>
    <w:rsid w:val="0A2032A3"/>
    <w:rsid w:val="0A407D85"/>
    <w:rsid w:val="0A9B6453"/>
    <w:rsid w:val="0AF838A6"/>
    <w:rsid w:val="0C2D1E2A"/>
    <w:rsid w:val="0D755681"/>
    <w:rsid w:val="0E341099"/>
    <w:rsid w:val="0F421593"/>
    <w:rsid w:val="0F4946D0"/>
    <w:rsid w:val="0F98263C"/>
    <w:rsid w:val="0FEE3740"/>
    <w:rsid w:val="0FF87EA4"/>
    <w:rsid w:val="101860EC"/>
    <w:rsid w:val="10C055FF"/>
    <w:rsid w:val="10E741A0"/>
    <w:rsid w:val="10F20D97"/>
    <w:rsid w:val="118107EC"/>
    <w:rsid w:val="12CF0570"/>
    <w:rsid w:val="13217712"/>
    <w:rsid w:val="13387E13"/>
    <w:rsid w:val="135D2E40"/>
    <w:rsid w:val="136F4F1C"/>
    <w:rsid w:val="138A175B"/>
    <w:rsid w:val="13971D0C"/>
    <w:rsid w:val="13D50BC4"/>
    <w:rsid w:val="14B7657F"/>
    <w:rsid w:val="14E6507F"/>
    <w:rsid w:val="15170DCC"/>
    <w:rsid w:val="15C2342E"/>
    <w:rsid w:val="160A501C"/>
    <w:rsid w:val="163F4A7E"/>
    <w:rsid w:val="16BB723D"/>
    <w:rsid w:val="1874543C"/>
    <w:rsid w:val="18E71267"/>
    <w:rsid w:val="19F93196"/>
    <w:rsid w:val="1A5B175B"/>
    <w:rsid w:val="1B617245"/>
    <w:rsid w:val="1BB455C7"/>
    <w:rsid w:val="1BE8440E"/>
    <w:rsid w:val="1BF6798D"/>
    <w:rsid w:val="1D155CEE"/>
    <w:rsid w:val="1DEF28E6"/>
    <w:rsid w:val="1EA307B4"/>
    <w:rsid w:val="1FAB6CE1"/>
    <w:rsid w:val="1FE12702"/>
    <w:rsid w:val="1FEB1793"/>
    <w:rsid w:val="1FF35744"/>
    <w:rsid w:val="20A0436C"/>
    <w:rsid w:val="22105521"/>
    <w:rsid w:val="225673D8"/>
    <w:rsid w:val="2265586D"/>
    <w:rsid w:val="22F10EAE"/>
    <w:rsid w:val="23860B96"/>
    <w:rsid w:val="240371BF"/>
    <w:rsid w:val="250732A1"/>
    <w:rsid w:val="25861D82"/>
    <w:rsid w:val="25BEE48F"/>
    <w:rsid w:val="26405AAC"/>
    <w:rsid w:val="279C6222"/>
    <w:rsid w:val="284B2E0F"/>
    <w:rsid w:val="28C73D8F"/>
    <w:rsid w:val="29FD04D3"/>
    <w:rsid w:val="2A2E29E8"/>
    <w:rsid w:val="2C106849"/>
    <w:rsid w:val="2C6170A5"/>
    <w:rsid w:val="2C8A61B5"/>
    <w:rsid w:val="2DA74F8B"/>
    <w:rsid w:val="2DF04E50"/>
    <w:rsid w:val="2E2C5491"/>
    <w:rsid w:val="2F040D46"/>
    <w:rsid w:val="30C65728"/>
    <w:rsid w:val="31973569"/>
    <w:rsid w:val="319F7F4E"/>
    <w:rsid w:val="32755658"/>
    <w:rsid w:val="3304709D"/>
    <w:rsid w:val="33E10ACB"/>
    <w:rsid w:val="36AA5135"/>
    <w:rsid w:val="376D39B2"/>
    <w:rsid w:val="37707F24"/>
    <w:rsid w:val="37C07CD2"/>
    <w:rsid w:val="37E16F03"/>
    <w:rsid w:val="389600D6"/>
    <w:rsid w:val="38960718"/>
    <w:rsid w:val="38D469F0"/>
    <w:rsid w:val="3D98207C"/>
    <w:rsid w:val="3DF633C5"/>
    <w:rsid w:val="3E78745D"/>
    <w:rsid w:val="3F685F87"/>
    <w:rsid w:val="3F9F033B"/>
    <w:rsid w:val="41B96BE3"/>
    <w:rsid w:val="41F8595E"/>
    <w:rsid w:val="436332AB"/>
    <w:rsid w:val="43F42155"/>
    <w:rsid w:val="443F7874"/>
    <w:rsid w:val="44AC1252"/>
    <w:rsid w:val="44E268DA"/>
    <w:rsid w:val="44EE4DF6"/>
    <w:rsid w:val="4508410A"/>
    <w:rsid w:val="45CC15DB"/>
    <w:rsid w:val="46361C50"/>
    <w:rsid w:val="475573AE"/>
    <w:rsid w:val="47A81FAC"/>
    <w:rsid w:val="4A627F82"/>
    <w:rsid w:val="4B0E749A"/>
    <w:rsid w:val="4B4F25DA"/>
    <w:rsid w:val="4BE068DB"/>
    <w:rsid w:val="4D577224"/>
    <w:rsid w:val="4E3715BC"/>
    <w:rsid w:val="4EAB630A"/>
    <w:rsid w:val="4ECE2238"/>
    <w:rsid w:val="4F4C1097"/>
    <w:rsid w:val="4FDFDB7E"/>
    <w:rsid w:val="50454464"/>
    <w:rsid w:val="50E377D9"/>
    <w:rsid w:val="537E6D0A"/>
    <w:rsid w:val="538434F5"/>
    <w:rsid w:val="54A05BFF"/>
    <w:rsid w:val="55083CB2"/>
    <w:rsid w:val="5560589C"/>
    <w:rsid w:val="55853555"/>
    <w:rsid w:val="574865E8"/>
    <w:rsid w:val="5835049D"/>
    <w:rsid w:val="589046EA"/>
    <w:rsid w:val="594B0611"/>
    <w:rsid w:val="59602753"/>
    <w:rsid w:val="5A753F56"/>
    <w:rsid w:val="5A8A44B2"/>
    <w:rsid w:val="5AF92295"/>
    <w:rsid w:val="5BDF732D"/>
    <w:rsid w:val="5C0A47B4"/>
    <w:rsid w:val="5CD71FC4"/>
    <w:rsid w:val="5CEB1EEF"/>
    <w:rsid w:val="5D02548B"/>
    <w:rsid w:val="5DDB6801"/>
    <w:rsid w:val="5E25629B"/>
    <w:rsid w:val="607B17DC"/>
    <w:rsid w:val="60B61E73"/>
    <w:rsid w:val="62D11B87"/>
    <w:rsid w:val="635B76A3"/>
    <w:rsid w:val="639D7CBB"/>
    <w:rsid w:val="65711CFD"/>
    <w:rsid w:val="65BB267B"/>
    <w:rsid w:val="661B6F36"/>
    <w:rsid w:val="66AA4BC9"/>
    <w:rsid w:val="6802082F"/>
    <w:rsid w:val="69110F2F"/>
    <w:rsid w:val="6A803596"/>
    <w:rsid w:val="6B361121"/>
    <w:rsid w:val="6BB87D88"/>
    <w:rsid w:val="6C1C06B0"/>
    <w:rsid w:val="6C4A05C8"/>
    <w:rsid w:val="6CDA45EF"/>
    <w:rsid w:val="6E245261"/>
    <w:rsid w:val="6E625D89"/>
    <w:rsid w:val="6E7D7ABA"/>
    <w:rsid w:val="6E7E3605"/>
    <w:rsid w:val="6EDAB07C"/>
    <w:rsid w:val="6FF5CC65"/>
    <w:rsid w:val="715C0E4B"/>
    <w:rsid w:val="71A566B9"/>
    <w:rsid w:val="72734D90"/>
    <w:rsid w:val="72E6342D"/>
    <w:rsid w:val="736D1458"/>
    <w:rsid w:val="73AD73D5"/>
    <w:rsid w:val="73B6EB34"/>
    <w:rsid w:val="742A7349"/>
    <w:rsid w:val="744731E5"/>
    <w:rsid w:val="7471587A"/>
    <w:rsid w:val="753C5586"/>
    <w:rsid w:val="764D336D"/>
    <w:rsid w:val="76746FA2"/>
    <w:rsid w:val="76E3355F"/>
    <w:rsid w:val="76EE28B0"/>
    <w:rsid w:val="778769C8"/>
    <w:rsid w:val="77F167A6"/>
    <w:rsid w:val="7919798C"/>
    <w:rsid w:val="79EE5BA4"/>
    <w:rsid w:val="7A894339"/>
    <w:rsid w:val="7AEC1C35"/>
    <w:rsid w:val="7B2965AD"/>
    <w:rsid w:val="7B845591"/>
    <w:rsid w:val="7CAA1027"/>
    <w:rsid w:val="7CF36E72"/>
    <w:rsid w:val="7EEF11D3"/>
    <w:rsid w:val="7FA30C79"/>
    <w:rsid w:val="7FB7269E"/>
    <w:rsid w:val="7FC96657"/>
    <w:rsid w:val="B72D1151"/>
    <w:rsid w:val="D8D6DB89"/>
    <w:rsid w:val="DB6F4CAB"/>
    <w:rsid w:val="DF6F9789"/>
    <w:rsid w:val="DFEDA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6">
    <w:name w:val="Body Text Indent"/>
    <w:basedOn w:val="1"/>
    <w:next w:val="7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7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8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1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3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4">
    <w:name w:val="Body Text First Indent"/>
    <w:basedOn w:val="2"/>
    <w:unhideWhenUsed/>
    <w:qFormat/>
    <w:uiPriority w:val="0"/>
    <w:pPr>
      <w:ind w:firstLine="420" w:firstLineChars="100"/>
    </w:pPr>
    <w:rPr>
      <w:rFonts w:hint="default"/>
      <w:sz w:val="21"/>
      <w:szCs w:val="24"/>
    </w:rPr>
  </w:style>
  <w:style w:type="character" w:styleId="17">
    <w:name w:val="Strong"/>
    <w:basedOn w:val="16"/>
    <w:qFormat/>
    <w:uiPriority w:val="99"/>
    <w:rPr>
      <w:b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character" w:customStyle="1" w:styleId="20">
    <w:name w:val="Header Char"/>
    <w:basedOn w:val="1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页眉 字符"/>
    <w:link w:val="11"/>
    <w:semiHidden/>
    <w:qFormat/>
    <w:locked/>
    <w:uiPriority w:val="99"/>
    <w:rPr>
      <w:sz w:val="18"/>
    </w:rPr>
  </w:style>
  <w:style w:type="character" w:customStyle="1" w:styleId="22">
    <w:name w:val="Footer Char"/>
    <w:basedOn w:val="1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脚 字符"/>
    <w:link w:val="10"/>
    <w:qFormat/>
    <w:locked/>
    <w:uiPriority w:val="99"/>
    <w:rPr>
      <w:sz w:val="18"/>
    </w:rPr>
  </w:style>
  <w:style w:type="character" w:customStyle="1" w:styleId="24">
    <w:name w:val="Body Text Char"/>
    <w:basedOn w:val="16"/>
    <w:semiHidden/>
    <w:qFormat/>
    <w:uiPriority w:val="99"/>
    <w:rPr>
      <w:rFonts w:ascii="Times New Roman" w:hAnsi="Times New Roman"/>
      <w:szCs w:val="24"/>
    </w:rPr>
  </w:style>
  <w:style w:type="character" w:customStyle="1" w:styleId="25">
    <w:name w:val="正文文本 字符"/>
    <w:link w:val="2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1 字符"/>
    <w:basedOn w:val="16"/>
    <w:link w:val="3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9">
    <w:name w:val="标题 2 字符"/>
    <w:basedOn w:val="16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批注框文本 字符"/>
    <w:basedOn w:val="16"/>
    <w:link w:val="9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3 字符"/>
    <w:basedOn w:val="16"/>
    <w:link w:val="5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3">
    <w:name w:val="TOC 标题2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4">
    <w:name w:val="四号正文"/>
    <w:basedOn w:val="1"/>
    <w:qFormat/>
    <w:uiPriority w:val="0"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四川省财政厅</Company>
  <Pages>22</Pages>
  <Words>1230</Words>
  <Characters>7012</Characters>
  <Lines>58</Lines>
  <Paragraphs>16</Paragraphs>
  <TotalTime>67</TotalTime>
  <ScaleCrop>false</ScaleCrop>
  <LinksUpToDate>false</LinksUpToDate>
  <CharactersWithSpaces>8226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2020-08-06T17:49:00Z</dcterms:created>
  <dc:creator>曹颖</dc:creator>
  <cp:lastModifiedBy>user</cp:lastModifiedBy>
  <cp:lastPrinted>2023-08-01T18:35:00Z</cp:lastPrinted>
  <dcterms:modified xsi:type="dcterms:W3CDTF">2024-12-25T08:55:40Z</dcterms:modified>
  <dc:title>四川省***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090428101C244530ADDC1DE44E9ADF6E_12</vt:lpwstr>
  </property>
</Properties>
</file>