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FED9">
      <w:pPr>
        <w:adjustRightInd w:val="0"/>
        <w:spacing w:line="600" w:lineRule="exact"/>
        <w:rPr>
          <w:rStyle w:val="9"/>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05773FFA">
      <w:pPr>
        <w:keepNext w:val="0"/>
        <w:keepLines w:val="0"/>
        <w:pageBreakBefore w:val="0"/>
        <w:kinsoku/>
        <w:wordWrap/>
        <w:overflowPunct/>
        <w:topLinePunct w:val="0"/>
        <w:autoSpaceDE/>
        <w:autoSpaceDN/>
        <w:bidi w:val="0"/>
        <w:adjustRightInd/>
        <w:snapToGrid/>
        <w:spacing w:line="560" w:lineRule="exact"/>
        <w:jc w:val="center"/>
        <w:textAlignment w:val="auto"/>
        <w:rPr>
          <w:rStyle w:val="9"/>
          <w:rFonts w:ascii="Times New Roman" w:hAnsi="Times New Roman" w:eastAsia="方正小标宋简体" w:cs="Times New Roman"/>
          <w:b w:val="0"/>
          <w:sz w:val="44"/>
          <w:szCs w:val="44"/>
        </w:rPr>
      </w:pPr>
      <w:r>
        <w:rPr>
          <w:rStyle w:val="9"/>
          <w:rFonts w:ascii="Times New Roman" w:hAnsi="Times New Roman" w:eastAsia="方正小标宋简体" w:cs="Times New Roman"/>
          <w:b w:val="0"/>
          <w:sz w:val="44"/>
          <w:szCs w:val="44"/>
        </w:rPr>
        <w:t>不合格项目解读</w:t>
      </w:r>
    </w:p>
    <w:p w14:paraId="4D43DADC">
      <w:pPr>
        <w:pStyle w:val="2"/>
        <w:keepNext w:val="0"/>
        <w:keepLines w:val="0"/>
        <w:pageBreakBefore w:val="0"/>
        <w:kinsoku/>
        <w:wordWrap/>
        <w:overflowPunct/>
        <w:topLinePunct w:val="0"/>
        <w:autoSpaceDE/>
        <w:autoSpaceDN/>
        <w:bidi w:val="0"/>
        <w:adjustRightInd/>
        <w:snapToGrid/>
        <w:spacing w:line="560" w:lineRule="exact"/>
        <w:textAlignment w:val="auto"/>
      </w:pPr>
    </w:p>
    <w:p w14:paraId="123FC1D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镉(以Cd计)</w:t>
      </w:r>
      <w:bookmarkStart w:id="0" w:name="_GoBack"/>
      <w:bookmarkEnd w:id="0"/>
    </w:p>
    <w:p w14:paraId="5A55777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镉是一种蓄积性的重金属元素，主要损害肾脏、骨骼和消化系统。由于镉排泄缓慢，可对肾脏和肝脏造成巨大伤害，还可以造成骨质疏松和软化，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根据《食品安全国家标准 食品中污染物限量》（</w:t>
      </w:r>
      <w:r>
        <w:rPr>
          <w:rFonts w:hint="default" w:ascii="仿宋" w:hAnsi="仿宋" w:eastAsia="仿宋" w:cs="仿宋"/>
          <w:color w:val="auto"/>
          <w:kern w:val="2"/>
          <w:sz w:val="32"/>
          <w:szCs w:val="32"/>
          <w:lang w:val="en-US" w:eastAsia="zh-CN" w:bidi="zh-CN"/>
        </w:rPr>
        <w:t>GB 2762-20</w:t>
      </w:r>
      <w:r>
        <w:rPr>
          <w:rFonts w:hint="eastAsia" w:ascii="仿宋" w:hAnsi="仿宋" w:eastAsia="仿宋" w:cs="仿宋"/>
          <w:color w:val="auto"/>
          <w:kern w:val="2"/>
          <w:sz w:val="32"/>
          <w:szCs w:val="32"/>
          <w:lang w:val="en-US" w:eastAsia="zh-CN" w:bidi="zh-CN"/>
        </w:rPr>
        <w:t>22）中的规定茄子中镉的残留量不得高于0.05mg/kg。而茄子中镉残留量超标的原因可能是含镉的废水等污染农田或是土壤中镉含量过高。</w:t>
      </w:r>
    </w:p>
    <w:p w14:paraId="27089506">
      <w:pPr>
        <w:pStyle w:val="5"/>
        <w:keepNext w:val="0"/>
        <w:keepLines w:val="0"/>
        <w:pageBreakBefore w:val="0"/>
        <w:widowControl w:val="0"/>
        <w:numPr>
          <w:ilvl w:val="0"/>
          <w:numId w:val="1"/>
        </w:numPr>
        <w:kinsoku/>
        <w:wordWrap w:val="0"/>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毒死蜱</w:t>
      </w:r>
    </w:p>
    <w:p w14:paraId="2E14078E">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eastAsia" w:ascii="仿宋" w:hAnsi="仿宋" w:eastAsia="仿宋" w:cs="仿宋"/>
          <w:b w:val="0"/>
          <w:bCs w:val="0"/>
          <w:kern w:val="2"/>
          <w:sz w:val="32"/>
          <w:szCs w:val="32"/>
          <w:lang w:val="en-US" w:eastAsia="zh-CN" w:bidi="zh-CN"/>
        </w:rPr>
      </w:pPr>
      <w:r>
        <w:rPr>
          <w:rFonts w:hint="eastAsia" w:ascii="仿宋" w:hAnsi="仿宋" w:eastAsia="仿宋" w:cs="仿宋"/>
          <w:b w:val="0"/>
          <w:bCs w:val="0"/>
          <w:kern w:val="2"/>
          <w:sz w:val="32"/>
          <w:szCs w:val="32"/>
          <w:lang w:val="en-US" w:eastAsia="zh-CN" w:bidi="zh-CN"/>
        </w:rPr>
        <w:t>毒死蜱，又名氯吡硫磷，是一种</w:t>
      </w:r>
      <w:r>
        <w:rPr>
          <w:rFonts w:hint="eastAsia" w:ascii="仿宋" w:hAnsi="仿宋" w:eastAsia="仿宋" w:cs="仿宋"/>
          <w:i w:val="0"/>
          <w:iCs w:val="0"/>
          <w:caps w:val="0"/>
          <w:color w:val="333333"/>
          <w:spacing w:val="0"/>
          <w:sz w:val="32"/>
          <w:szCs w:val="32"/>
          <w:shd w:val="clear" w:fill="FFFFFF"/>
        </w:rPr>
        <w:t>一种高效、广谱</w:t>
      </w:r>
      <w:r>
        <w:rPr>
          <w:rFonts w:hint="eastAsia" w:ascii="仿宋" w:hAnsi="仿宋" w:eastAsia="仿宋" w:cs="仿宋"/>
          <w:b w:val="0"/>
          <w:bCs w:val="0"/>
          <w:kern w:val="2"/>
          <w:sz w:val="32"/>
          <w:szCs w:val="32"/>
          <w:lang w:val="en-US" w:eastAsia="zh-CN" w:bidi="zh-CN"/>
        </w:rPr>
        <w:t>硫代磷酸酯类有机磷杀虫、杀螨剂，具有良好的触杀、胃毒和熏蒸作用，对水稻、小麦、棉花、果树、蔬菜、茶树上多种咀嚼式和刺吸式口器害虫均具有较好防效。根据《食品安全国家标准 食品中农药最大残留限量》（GB 2763-2021）中的规定，大白菜中毒死蜱的最大残留量为0.02mg/kg。少量的农药残留不会引起人体急性中毒，但长期食用毒死蜱超标的食品，对人体健康可能有一定影响，甚至可能会引起头昏、头痛、无力、呕吐等症状。大白菜中毒死蜱超标的原因可能是菜农对使用农药的安全间隔期不了解，从而违规使用或滥用农药。</w:t>
      </w:r>
    </w:p>
    <w:p w14:paraId="3C71B954">
      <w:pPr>
        <w:pStyle w:val="5"/>
        <w:keepNext w:val="0"/>
        <w:keepLines w:val="0"/>
        <w:pageBreakBefore w:val="0"/>
        <w:widowControl w:val="0"/>
        <w:numPr>
          <w:ilvl w:val="0"/>
          <w:numId w:val="1"/>
        </w:numPr>
        <w:kinsoku/>
        <w:wordWrap w:val="0"/>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酸价(以脂肪计)(KOH)</w:t>
      </w:r>
    </w:p>
    <w:p w14:paraId="47F354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kern w:val="0"/>
          <w:sz w:val="32"/>
          <w:szCs w:val="32"/>
          <w:highlight w:val="none"/>
          <w:lang w:val="en-US" w:eastAsia="zh-CN" w:bidi="ar-SA"/>
        </w:rPr>
        <w:t>酸价，又称酸值，主要反映食品中的油脂酸败程度。酸价超标会导致食品有哈喇味，超标严重时所产生的醛、酮、酸会破坏脂溶性维生素，导致肠胃不适。GB 19300-2014《食品安全国家标准 坚果与籽类食品》中规定，生干籽类中酸价(以脂肪计)(KOH)应≤3mg/g。生干籽类食品中酸价（以脂肪计）(KOH)检测值超标的原因，可能是企业原料采购把关不严，也可能是生产工艺不达标，还可能与产品储藏条件不当有关。</w:t>
      </w:r>
    </w:p>
    <w:p w14:paraId="77098E6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总酸(以乙酸计)</w:t>
      </w:r>
    </w:p>
    <w:p w14:paraId="3ADE0B3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总酸是白酒的特征性品质指标之一。一般而言，总酸含量适中时，可以使白酒更加醇厚、回味悠长，而总酸含量过高或过低都会影响白酒的品质。总酸不合格主要影响产品的品质。GB/T 26761-2011《小曲固态法白酒》中规定，高度酒的总酸（以乙酸计）≥0.3g/L。总酸达不到，主要原因有摘酒方式、入窖条件不合理，配糟使用不当，以及酒曲、工艺或操作不当等均会造成总酸偏低。</w:t>
      </w:r>
    </w:p>
    <w:p w14:paraId="3413F9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总酯(以乙酸乙酯计)</w:t>
      </w:r>
    </w:p>
    <w:p w14:paraId="188199BA">
      <w:pPr>
        <w:pStyle w:val="6"/>
        <w:keepNext w:val="0"/>
        <w:keepLines w:val="0"/>
        <w:pageBreakBefore w:val="0"/>
        <w:widowControl w:val="0"/>
        <w:kinsoku/>
        <w:wordWrap/>
        <w:overflowPunct/>
        <w:topLinePunct w:val="0"/>
        <w:autoSpaceDE/>
        <w:autoSpaceDN/>
        <w:bidi w:val="0"/>
        <w:snapToGrid/>
        <w:ind w:firstLine="640" w:firstLineChars="200"/>
        <w:textAlignment w:val="auto"/>
        <w:rPr>
          <w:rFonts w:hint="eastAsia" w:ascii="仿宋" w:hAnsi="仿宋" w:eastAsia="仿宋" w:cs="仿宋"/>
          <w:color w:val="000000" w:themeColor="text1"/>
          <w:kern w:val="2"/>
          <w:sz w:val="32"/>
          <w:szCs w:val="32"/>
          <w:lang w:val="en-US" w:eastAsia="zh-CN" w:bidi="zh-CN"/>
          <w14:textFill>
            <w14:solidFill>
              <w14:schemeClr w14:val="tx1"/>
            </w14:solidFill>
          </w14:textFill>
        </w:rPr>
      </w:pPr>
      <w:r>
        <w:rPr>
          <w:rFonts w:hint="eastAsia" w:ascii="仿宋" w:hAnsi="仿宋" w:cs="仿宋"/>
          <w:color w:val="000000" w:themeColor="text1"/>
          <w:kern w:val="2"/>
          <w:sz w:val="32"/>
          <w:szCs w:val="32"/>
          <w:lang w:val="en-US" w:eastAsia="zh-CN" w:bidi="zh-CN"/>
          <w14:textFill>
            <w14:solidFill>
              <w14:schemeClr w14:val="tx1"/>
            </w14:solidFill>
          </w14:textFill>
        </w:rPr>
        <w:t>总酯是白酒中所有酯类芳香物的总和，在一定范围内，总酯含量越高，酒体越厚重，刺激性越小，香气越浓郁持久，如果总酯含量太低则酒香淡薄。</w:t>
      </w:r>
      <w:r>
        <w:rPr>
          <w:rFonts w:hint="eastAsia" w:ascii="仿宋" w:hAnsi="仿宋" w:eastAsia="仿宋" w:cs="仿宋"/>
          <w:color w:val="000000" w:themeColor="text1"/>
          <w:sz w:val="32"/>
          <w:szCs w:val="32"/>
          <w:lang w:eastAsia="zh-CN"/>
          <w14:textFill>
            <w14:solidFill>
              <w14:schemeClr w14:val="tx1"/>
            </w14:solidFill>
          </w14:textFill>
        </w:rPr>
        <w:t>GB/T 26761-2011《小曲固态法白酒》</w:t>
      </w:r>
      <w:r>
        <w:rPr>
          <w:rFonts w:hint="eastAsia" w:ascii="仿宋" w:hAnsi="仿宋" w:eastAsia="仿宋" w:cs="仿宋"/>
          <w:color w:val="000000" w:themeColor="text1"/>
          <w:kern w:val="2"/>
          <w:sz w:val="32"/>
          <w:szCs w:val="32"/>
          <w:lang w:val="en-US" w:eastAsia="zh-CN" w:bidi="zh-CN"/>
          <w14:textFill>
            <w14:solidFill>
              <w14:schemeClr w14:val="tx1"/>
            </w14:solidFill>
          </w14:textFill>
        </w:rPr>
        <w:t>中规定，高度酒的总酯(以乙酸乙酯计)≥0.</w:t>
      </w:r>
      <w:r>
        <w:rPr>
          <w:rFonts w:hint="eastAsia" w:ascii="仿宋" w:hAnsi="仿宋" w:cs="仿宋"/>
          <w:color w:val="000000" w:themeColor="text1"/>
          <w:kern w:val="2"/>
          <w:sz w:val="32"/>
          <w:szCs w:val="32"/>
          <w:lang w:val="en-US" w:eastAsia="zh-CN" w:bidi="zh-CN"/>
          <w14:textFill>
            <w14:solidFill>
              <w14:schemeClr w14:val="tx1"/>
            </w14:solidFill>
          </w14:textFill>
        </w:rPr>
        <w:t>5</w:t>
      </w:r>
      <w:r>
        <w:rPr>
          <w:rFonts w:hint="eastAsia" w:ascii="仿宋" w:hAnsi="仿宋" w:eastAsia="仿宋" w:cs="仿宋"/>
          <w:color w:val="000000" w:themeColor="text1"/>
          <w:kern w:val="2"/>
          <w:sz w:val="32"/>
          <w:szCs w:val="32"/>
          <w:lang w:val="en-US" w:eastAsia="zh-CN" w:bidi="zh-CN"/>
          <w14:textFill>
            <w14:solidFill>
              <w14:schemeClr w14:val="tx1"/>
            </w14:solidFill>
          </w14:textFill>
        </w:rPr>
        <w:t>g/L</w:t>
      </w:r>
      <w:r>
        <w:rPr>
          <w:rFonts w:hint="eastAsia" w:ascii="仿宋" w:hAnsi="仿宋" w:cs="仿宋"/>
          <w:color w:val="000000" w:themeColor="text1"/>
          <w:kern w:val="2"/>
          <w:sz w:val="32"/>
          <w:szCs w:val="32"/>
          <w:lang w:val="en-US" w:eastAsia="zh-CN" w:bidi="zh-CN"/>
          <w14:textFill>
            <w14:solidFill>
              <w14:schemeClr w14:val="tx1"/>
            </w14:solidFill>
          </w14:textFill>
        </w:rPr>
        <w:t>。</w:t>
      </w:r>
      <w:r>
        <w:rPr>
          <w:rFonts w:hint="eastAsia" w:ascii="仿宋" w:hAnsi="仿宋" w:eastAsia="仿宋" w:cs="仿宋"/>
          <w:color w:val="000000" w:themeColor="text1"/>
          <w:kern w:val="2"/>
          <w:sz w:val="32"/>
          <w:szCs w:val="32"/>
          <w:lang w:val="en-US" w:eastAsia="zh-CN" w:bidi="zh-CN"/>
          <w14:textFill>
            <w14:solidFill>
              <w14:schemeClr w14:val="tx1"/>
            </w14:solidFill>
          </w14:textFill>
        </w:rPr>
        <w:t>白酒中总酯不达标，主要原因有摘酒方式、入窖条件不合理、配糟使用不当、白酒酒曲、辅料处理不当</w:t>
      </w:r>
      <w:r>
        <w:rPr>
          <w:rFonts w:hint="eastAsia" w:ascii="仿宋" w:hAnsi="仿宋" w:cs="仿宋"/>
          <w:color w:val="000000" w:themeColor="text1"/>
          <w:kern w:val="2"/>
          <w:sz w:val="32"/>
          <w:szCs w:val="32"/>
          <w:lang w:val="en-US" w:eastAsia="zh-CN" w:bidi="zh-CN"/>
          <w14:textFill>
            <w14:solidFill>
              <w14:schemeClr w14:val="tx1"/>
            </w14:solidFill>
          </w14:textFill>
        </w:rPr>
        <w:t>，以及</w:t>
      </w:r>
      <w:r>
        <w:rPr>
          <w:rFonts w:hint="eastAsia" w:ascii="仿宋" w:hAnsi="仿宋" w:eastAsia="仿宋" w:cs="仿宋"/>
          <w:color w:val="000000" w:themeColor="text1"/>
          <w:kern w:val="2"/>
          <w:sz w:val="32"/>
          <w:szCs w:val="32"/>
          <w:lang w:val="en-US" w:eastAsia="zh-CN" w:bidi="zh-CN"/>
          <w14:textFill>
            <w14:solidFill>
              <w14:schemeClr w14:val="tx1"/>
            </w14:solidFill>
          </w14:textFill>
        </w:rPr>
        <w:t>存储时间</w:t>
      </w:r>
      <w:r>
        <w:rPr>
          <w:rFonts w:hint="eastAsia" w:ascii="仿宋" w:hAnsi="仿宋" w:cs="仿宋"/>
          <w:color w:val="000000" w:themeColor="text1"/>
          <w:kern w:val="2"/>
          <w:sz w:val="32"/>
          <w:szCs w:val="32"/>
          <w:lang w:val="en-US" w:eastAsia="zh-CN" w:bidi="zh-CN"/>
          <w14:textFill>
            <w14:solidFill>
              <w14:schemeClr w14:val="tx1"/>
            </w14:solidFill>
          </w14:textFill>
        </w:rPr>
        <w:t>不足</w:t>
      </w:r>
      <w:r>
        <w:rPr>
          <w:rFonts w:hint="eastAsia" w:ascii="仿宋" w:hAnsi="仿宋" w:eastAsia="仿宋" w:cs="仿宋"/>
          <w:color w:val="000000" w:themeColor="text1"/>
          <w:kern w:val="2"/>
          <w:sz w:val="32"/>
          <w:szCs w:val="32"/>
          <w:lang w:val="en-US" w:eastAsia="zh-CN" w:bidi="zh-CN"/>
          <w14:textFill>
            <w14:solidFill>
              <w14:schemeClr w14:val="tx1"/>
            </w14:solidFill>
          </w14:textFill>
        </w:rPr>
        <w:t>等均会造成总酯偏低。</w:t>
      </w:r>
    </w:p>
    <w:p w14:paraId="35995B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固形物</w:t>
      </w:r>
    </w:p>
    <w:p w14:paraId="2E7C6EA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kern w:val="2"/>
          <w:sz w:val="32"/>
          <w:szCs w:val="32"/>
          <w:lang w:val="en-US" w:eastAsia="zh-CN" w:bidi="zh-CN"/>
          <w14:textFill>
            <w14:solidFill>
              <w14:schemeClr w14:val="tx1"/>
            </w14:solidFill>
          </w14:textFill>
        </w:rPr>
      </w:pPr>
      <w:r>
        <w:rPr>
          <w:rFonts w:hint="eastAsia" w:ascii="仿宋" w:hAnsi="仿宋" w:eastAsia="仿宋" w:cs="仿宋"/>
          <w:color w:val="000000" w:themeColor="text1"/>
          <w:kern w:val="2"/>
          <w:sz w:val="32"/>
          <w:szCs w:val="32"/>
          <w:lang w:val="en-US" w:eastAsia="zh-CN" w:bidi="zh-CN"/>
          <w14:textFill>
            <w14:solidFill>
              <w14:schemeClr w14:val="tx1"/>
            </w14:solidFill>
          </w14:textFill>
        </w:rPr>
        <w:t>固形物是指白酒在100～105℃条件下经蒸发、烘干将乙醇、水分等物质除去后的残留物。固形物是白酒的一个理化指标，超标会造成酒体失光、浑浊、沉淀，影响白酒的感官与质量。GB/T 26761-2011《小曲固态法白酒》中规定，固形物≤0.5g/L，固形物不合格的主要原因可能是企业生产白酒所用的水质差，生产处理技术不到位，或过量添加增香物质等。</w:t>
      </w:r>
    </w:p>
    <w:p w14:paraId="543C69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糖精钠(以糖精计)</w:t>
      </w:r>
    </w:p>
    <w:p w14:paraId="5D66C75E">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 w:hAnsi="仿宋" w:eastAsia="仿宋" w:cs="仿宋"/>
          <w:color w:val="auto"/>
          <w:kern w:val="2"/>
          <w:sz w:val="32"/>
          <w:szCs w:val="32"/>
          <w:lang w:val="en-US" w:eastAsia="zh-CN" w:bidi="zh-CN"/>
        </w:rPr>
        <w:t>糖精钠是一种无色结晶或稍带白色的结晶性粉末，无臭或微有香气，甜度为蔗糖的 200～700 倍。糖精钠是普遍使用的人工合成甜味剂。GB 2760-2014《食品安全国家标准 食品添加剂使用标准》中规定白酒不得检出糖精钠，糖精钠在人体内不被吸收，不产生热量，大部分经肾排出而不损害肾功能，不改变体内酶系统的活性。但食用较多的糖精钠，会影响肠胃消化酶的正常分泌，降低小肠的吸收能力，使食欲减退；使用量过大时有金属苦味。</w:t>
      </w:r>
      <w:r>
        <w:rPr>
          <w:rFonts w:hint="eastAsia" w:ascii="Times New Roman" w:hAnsi="Times New Roman" w:eastAsia="仿宋_GB2312"/>
          <w:sz w:val="32"/>
          <w:szCs w:val="32"/>
          <w:lang w:val="en-US" w:eastAsia="zh-CN"/>
        </w:rPr>
        <w:t>白酒</w:t>
      </w:r>
      <w:r>
        <w:rPr>
          <w:rFonts w:hint="eastAsia" w:ascii="Times New Roman" w:hAnsi="Times New Roman" w:eastAsia="仿宋_GB2312"/>
          <w:sz w:val="32"/>
          <w:szCs w:val="32"/>
        </w:rPr>
        <w:t>中检出糖精钠</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rPr>
        <w:t>的原因，</w:t>
      </w:r>
      <w:r>
        <w:rPr>
          <w:rFonts w:hint="eastAsia" w:ascii="Times New Roman" w:hAnsi="Times New Roman" w:eastAsia="仿宋_GB2312" w:cs="Times New Roman"/>
          <w:sz w:val="32"/>
          <w:szCs w:val="32"/>
          <w:lang w:val="en-US" w:eastAsia="zh-CN"/>
        </w:rPr>
        <w:t>可能是生产企业违规添加以改善口感，也可能是在生产过程中与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配制酒交叉污染所致</w:t>
      </w:r>
      <w:r>
        <w:rPr>
          <w:rFonts w:hint="eastAsia" w:ascii="Times New Roman" w:hAnsi="Times New Roman" w:eastAsia="仿宋_GB2312" w:cs="Times New Roman"/>
          <w:sz w:val="32"/>
          <w:szCs w:val="32"/>
          <w:lang w:val="en-US" w:eastAsia="zh-CN"/>
        </w:rPr>
        <w:t>。</w:t>
      </w:r>
    </w:p>
    <w:p w14:paraId="709E77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kern w:val="0"/>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D595E4-C2C6-41FC-9F96-98A0C35B81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FD7682-6DDE-41C1-88F6-15D930B2049A}"/>
  </w:font>
  <w:font w:name="方正小标宋简体">
    <w:panose1 w:val="03000509000000000000"/>
    <w:charset w:val="86"/>
    <w:family w:val="script"/>
    <w:pitch w:val="default"/>
    <w:sig w:usb0="00000001" w:usb1="080E0000" w:usb2="00000000" w:usb3="00000000" w:csb0="00040000" w:csb1="00000000"/>
    <w:embedRegular r:id="rId3" w:fontKey="{718D4AD5-474E-4B4F-908B-C07416EA69D0}"/>
  </w:font>
  <w:font w:name="仿宋">
    <w:panose1 w:val="02010609060101010101"/>
    <w:charset w:val="86"/>
    <w:family w:val="auto"/>
    <w:pitch w:val="default"/>
    <w:sig w:usb0="800002BF" w:usb1="38CF7CFA" w:usb2="00000016" w:usb3="00000000" w:csb0="00040001" w:csb1="00000000"/>
    <w:embedRegular r:id="rId4" w:fontKey="{1F3674EA-0A5F-4E40-ABD5-FEBBAF8B45E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64EBA"/>
    <w:multiLevelType w:val="singleLevel"/>
    <w:tmpl w:val="27664EBA"/>
    <w:lvl w:ilvl="0" w:tentative="0">
      <w:start w:val="1"/>
      <w:numFmt w:val="chineseCounting"/>
      <w:suff w:val="nothing"/>
      <w:lvlText w:val="%1、"/>
      <w:lvlJc w:val="left"/>
      <w:rPr>
        <w:rFonts w:hint="eastAsia" w:ascii="仿宋" w:hAnsi="仿宋" w:eastAsia="仿宋" w:cs="仿宋"/>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ZTljMGUxMzNkNjhhYjA3NDlkNTYwNTBjNTBhYjIifQ=="/>
  </w:docVars>
  <w:rsids>
    <w:rsidRoot w:val="00000000"/>
    <w:rsid w:val="0522199E"/>
    <w:rsid w:val="3EA11583"/>
    <w:rsid w:val="469D6BE2"/>
    <w:rsid w:val="517B2C2C"/>
    <w:rsid w:val="606F72DB"/>
    <w:rsid w:val="610857DC"/>
    <w:rsid w:val="62EC69C1"/>
    <w:rsid w:val="6774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902</Words>
  <Characters>992</Characters>
  <Lines>0</Lines>
  <Paragraphs>0</Paragraphs>
  <TotalTime>0</TotalTime>
  <ScaleCrop>false</ScaleCrop>
  <LinksUpToDate>false</LinksUpToDate>
  <CharactersWithSpaces>1000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2024-08-26T13:07:00Z</dcterms:created>
  <dc:creator>外勤支持</dc:creator>
  <cp:lastModifiedBy></cp:lastModifiedBy>
  <dcterms:modified xsi:type="dcterms:W3CDTF">2024-11-05T08:20:29Z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182DDABB7C174CA185A37F7BC558D0C8_12</vt:lpwstr>
  </property>
</Properties>
</file>