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75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  <w:t>附件1</w:t>
      </w:r>
    </w:p>
    <w:p w14:paraId="7AD39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2024年省级（第三批）及市级（第二批）财政衔接推进乡村振兴补助资金拟安排项目公示表</w:t>
      </w:r>
    </w:p>
    <w:p w14:paraId="640BF7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</w:pPr>
    </w:p>
    <w:p w14:paraId="4B298E3F">
      <w:pPr>
        <w:keepNext w:val="0"/>
        <w:keepLines w:val="0"/>
        <w:pageBreakBefore w:val="0"/>
        <w:widowControl/>
        <w:tabs>
          <w:tab w:val="left" w:pos="16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单位：万元</w:t>
      </w:r>
    </w:p>
    <w:tbl>
      <w:tblPr>
        <w:tblStyle w:val="5"/>
        <w:tblW w:w="14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00"/>
        <w:gridCol w:w="1935"/>
        <w:gridCol w:w="3433"/>
        <w:gridCol w:w="1932"/>
        <w:gridCol w:w="1070"/>
        <w:gridCol w:w="1026"/>
        <w:gridCol w:w="1147"/>
        <w:gridCol w:w="942"/>
        <w:gridCol w:w="662"/>
      </w:tblGrid>
      <w:tr w14:paraId="1DA0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tblHeader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D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财政衔接资金投入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资金来源层级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指导责任站股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B57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2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F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E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E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3848.17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E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6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D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6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E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省级优势特色产业集群建设项目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开封镇、柳沟镇、武连镇部分村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建万亩标准化小麦种植区，补助种子、肥料，配套产地初加工、农机装配相关设施等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种子按照15公斤/亩补助执行，其他按方案执行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525.00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525.00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县农业技术推广站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戴帽下达</w:t>
            </w:r>
          </w:p>
        </w:tc>
      </w:tr>
      <w:tr w14:paraId="1AC4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省级优势特色产业乡镇建设项目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普安镇亮垭村、柳垭村、联合村等6个村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改造低效猕猴桃产业园380亩，提升标准化猕猴桃基地1050亩，新（改）建冻库3处、加工分选场3处，品牌营销及农旅融合基地建设等配套设施设备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按照标准执行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1131.59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县经济作物技术推广站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戴帽下达</w:t>
            </w:r>
          </w:p>
        </w:tc>
      </w:tr>
      <w:tr w14:paraId="18A6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蛋鸡重点县项目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剑门关镇新龙村、开封镇迎水社区、开封镇庙湾村、樵店乡木林村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>新建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福利养殖蛋鸡舍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栋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>00平方米；生产育雏舍笼位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>套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>配套修建鲜鸡蛋自动化包装车间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>00平方米，库房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>00平方米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新（改）建蛋鸡圈舍3763平方米；配套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>智能化鸡类风干设备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1套；新（改）建饲料仓库418平方米；配套相关设施设备等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>鸡舍主体采用钢结构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eastAsia="zh-CN"/>
              </w:rPr>
              <w:t>，其他按照建设标准执行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县畜禽产业发展事务中心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7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戴帽下达</w:t>
            </w:r>
          </w:p>
        </w:tc>
      </w:tr>
      <w:tr w14:paraId="452D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高标准农田建设及管护补助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县域内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高标准农田管护面积5.4万亩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按3元/亩标准执行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县土壤肥料工作站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戴帽下达</w:t>
            </w:r>
          </w:p>
        </w:tc>
      </w:tr>
      <w:tr w14:paraId="764E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农机化补助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县域内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新建区域性农机服务中心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1个，完善农机社会化服务平台建设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1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按照标准执行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县农机化技术推广站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戴帽下达</w:t>
            </w:r>
          </w:p>
        </w:tc>
      </w:tr>
      <w:tr w14:paraId="1C87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乡村振兴战略分类考评激励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县域内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乡村振兴战略分类考评激励成绩突出乡镇2个、突出村11个、突出重点帮扶村7个进行奖补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乡镇按20万元/个奖补，村按5万元/个奖补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县委农办督查办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戴帽下达</w:t>
            </w:r>
          </w:p>
        </w:tc>
      </w:tr>
    </w:tbl>
    <w:p w14:paraId="52715C4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686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2024-10-18T07:19:11Z</dcterms:created>
  <dc:creator>1</dc:creator>
  <cp:lastModifiedBy>寒～炎</cp:lastModifiedBy>
  <dcterms:modified xsi:type="dcterms:W3CDTF">2024-10-18T07:19:32Z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D25D6DF2BE774DED8B36AEDB62CD61C2_12</vt:lpwstr>
  </property>
</Properties>
</file>