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hint="eastAsia" w:ascii="仿宋" w:hAnsi="仿宋" w:eastAsia="仿宋" w:cs="仿宋"/>
          <w:sz w:val="72"/>
          <w:szCs w:val="72"/>
        </w:rPr>
      </w:pPr>
      <w:bookmarkStart w:id="1" w:name="_Toc15378441"/>
      <w:bookmarkStart w:id="2" w:name="_Toc15396475"/>
      <w:bookmarkStart w:id="3" w:name="_Toc15377193"/>
      <w:bookmarkStart w:id="4" w:name="_Toc15396597"/>
      <w:bookmarkStart w:id="5" w:name="_Toc15377425"/>
      <w:bookmarkStart w:id="6" w:name="_Toc20787"/>
      <w:r>
        <w:rPr>
          <w:rFonts w:hint="eastAsia" w:ascii="仿宋" w:hAnsi="仿宋" w:eastAsia="仿宋" w:cs="仿宋"/>
          <w:sz w:val="72"/>
          <w:szCs w:val="72"/>
        </w:rPr>
        <w:t>2022年度</w:t>
      </w:r>
      <w:bookmarkEnd w:id="1"/>
      <w:bookmarkEnd w:id="2"/>
      <w:bookmarkEnd w:id="3"/>
      <w:bookmarkEnd w:id="4"/>
      <w:bookmarkEnd w:id="5"/>
      <w:bookmarkEnd w:id="6"/>
    </w:p>
    <w:p>
      <w:pPr>
        <w:adjustRightInd w:val="0"/>
        <w:snapToGrid w:val="0"/>
        <w:spacing w:line="360" w:lineRule="auto"/>
        <w:jc w:val="center"/>
        <w:outlineLvl w:val="0"/>
        <w:rPr>
          <w:rFonts w:hint="eastAsia" w:ascii="仿宋" w:hAnsi="仿宋" w:eastAsia="仿宋" w:cs="仿宋"/>
          <w:sz w:val="72"/>
          <w:szCs w:val="72"/>
          <w:lang w:val="en-US" w:eastAsia="zh-CN"/>
        </w:rPr>
      </w:pPr>
      <w:bookmarkStart w:id="7" w:name="_Toc15396598"/>
      <w:bookmarkStart w:id="8" w:name="_Toc15396476"/>
      <w:bookmarkStart w:id="9" w:name="_Toc32705"/>
      <w:bookmarkStart w:id="10" w:name="_Toc15377194"/>
      <w:bookmarkStart w:id="11" w:name="_Toc15378442"/>
      <w:bookmarkStart w:id="12" w:name="_Toc15377426"/>
      <w:r>
        <w:rPr>
          <w:rFonts w:hint="eastAsia" w:ascii="仿宋" w:hAnsi="仿宋" w:eastAsia="仿宋" w:cs="仿宋"/>
          <w:sz w:val="72"/>
          <w:szCs w:val="72"/>
        </w:rPr>
        <w:t>剑阁县</w:t>
      </w:r>
      <w:bookmarkEnd w:id="0"/>
      <w:bookmarkStart w:id="13" w:name="_Toc15306268"/>
      <w:r>
        <w:rPr>
          <w:rFonts w:hint="eastAsia" w:ascii="仿宋" w:hAnsi="仿宋" w:eastAsia="仿宋" w:cs="仿宋"/>
          <w:sz w:val="72"/>
          <w:szCs w:val="72"/>
          <w:lang w:val="en-US" w:eastAsia="zh-CN"/>
        </w:rPr>
        <w:t>普安镇中心卫生院</w:t>
      </w:r>
      <w:r>
        <w:rPr>
          <w:rFonts w:hint="eastAsia" w:ascii="仿宋" w:hAnsi="仿宋" w:eastAsia="仿宋" w:cs="仿宋"/>
          <w:sz w:val="72"/>
          <w:szCs w:val="72"/>
        </w:rPr>
        <w:t>决算</w:t>
      </w:r>
      <w:bookmarkEnd w:id="7"/>
      <w:bookmarkEnd w:id="8"/>
      <w:bookmarkEnd w:id="9"/>
      <w:bookmarkEnd w:id="10"/>
      <w:bookmarkEnd w:id="11"/>
      <w:bookmarkEnd w:id="12"/>
      <w:bookmarkEnd w:id="13"/>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公开时间：2023年</w:t>
      </w:r>
      <w:r>
        <w:rPr>
          <w:rFonts w:hint="eastAsia"/>
          <w:lang w:val="en-US" w:eastAsia="zh-CN"/>
        </w:rPr>
        <w:t>10</w:t>
      </w:r>
      <w:r>
        <w:rPr>
          <w:rFonts w:hint="eastAsia"/>
        </w:rPr>
        <w:t>月</w:t>
      </w:r>
      <w:r>
        <w:rPr>
          <w:rFonts w:hint="eastAsia"/>
          <w:lang w:val="en-US" w:eastAsia="zh-CN"/>
        </w:rPr>
        <w:t>29</w:t>
      </w:r>
      <w:bookmarkStart w:id="113" w:name="_GoBack"/>
      <w:bookmarkEnd w:id="113"/>
      <w:r>
        <w:rPr>
          <w:rFonts w:hint="eastAsia"/>
        </w:rPr>
        <w:t>日</w:t>
      </w:r>
      <w:bookmarkStart w:id="14" w:name="_Toc15377196"/>
      <w:bookmarkStart w:id="15" w:name="_Toc15396599"/>
      <w:r>
        <w:fldChar w:fldCharType="begin"/>
      </w:r>
      <w:r>
        <w:instrText xml:space="preserve">TOC \o "1-9" \h \u </w:instrText>
      </w:r>
      <w:r>
        <w:fldChar w:fldCharType="separate"/>
      </w:r>
    </w:p>
    <w:p>
      <w:pPr>
        <w:pStyle w:val="12"/>
        <w:tabs>
          <w:tab w:val="right" w:leader="dot" w:pos="8306"/>
          <w:tab w:val="clear" w:pos="8296"/>
        </w:tabs>
      </w:pPr>
      <w:r>
        <w:fldChar w:fldCharType="begin"/>
      </w:r>
      <w:r>
        <w:instrText xml:space="preserve"> HYPERLINK \l _Toc29681 </w:instrText>
      </w:r>
      <w:r>
        <w:fldChar w:fldCharType="separate"/>
      </w:r>
      <w:r>
        <w:rPr>
          <w:rFonts w:hint="eastAsia" w:ascii="黑体" w:hAnsi="黑体" w:eastAsia="黑体"/>
        </w:rPr>
        <w:t>第一部分 单位</w:t>
      </w:r>
      <w:r>
        <w:rPr>
          <w:rFonts w:hint="eastAsia" w:ascii="黑体" w:hAnsi="黑体" w:eastAsia="黑体"/>
          <w:bCs w:val="0"/>
        </w:rPr>
        <w:t>概况</w:t>
      </w:r>
      <w:r>
        <w:tab/>
      </w:r>
      <w:r>
        <w:fldChar w:fldCharType="begin"/>
      </w:r>
      <w:r>
        <w:instrText xml:space="preserve"> PAGEREF _Toc29681 \h </w:instrText>
      </w:r>
      <w:r>
        <w:fldChar w:fldCharType="separate"/>
      </w:r>
      <w:r>
        <w:t>4</w:t>
      </w:r>
      <w:r>
        <w:fldChar w:fldCharType="end"/>
      </w:r>
      <w:r>
        <w:fldChar w:fldCharType="end"/>
      </w:r>
    </w:p>
    <w:p>
      <w:pPr>
        <w:pStyle w:val="13"/>
        <w:tabs>
          <w:tab w:val="right" w:leader="dot" w:pos="8306"/>
          <w:tab w:val="clear" w:pos="8296"/>
        </w:tabs>
      </w:pPr>
      <w:r>
        <w:fldChar w:fldCharType="begin"/>
      </w:r>
      <w:r>
        <w:instrText xml:space="preserve"> HYPERLINK \l _Toc18690 </w:instrText>
      </w:r>
      <w:r>
        <w:fldChar w:fldCharType="separate"/>
      </w:r>
      <w:r>
        <w:rPr>
          <w:rFonts w:hint="eastAsia" w:ascii="仿宋_GB2312" w:hAnsi="仿宋_GB2312" w:cs="仿宋_GB2312"/>
          <w:szCs w:val="32"/>
          <w:lang w:val="en-US" w:eastAsia="zh-CN"/>
        </w:rPr>
        <w:t xml:space="preserve">一、 </w:t>
      </w:r>
      <w:r>
        <w:rPr>
          <w:rFonts w:hint="eastAsia" w:ascii="黑体" w:hAnsi="黑体" w:eastAsia="黑体"/>
          <w:bCs w:val="0"/>
        </w:rPr>
        <w:t>主要职责</w:t>
      </w:r>
      <w:r>
        <w:tab/>
      </w:r>
      <w:r>
        <w:fldChar w:fldCharType="begin"/>
      </w:r>
      <w:r>
        <w:instrText xml:space="preserve"> PAGEREF _Toc18690 \h </w:instrText>
      </w:r>
      <w:r>
        <w:fldChar w:fldCharType="separate"/>
      </w:r>
      <w:r>
        <w:t>4</w:t>
      </w:r>
      <w:r>
        <w:fldChar w:fldCharType="end"/>
      </w:r>
      <w:r>
        <w:fldChar w:fldCharType="end"/>
      </w:r>
    </w:p>
    <w:p>
      <w:pPr>
        <w:pStyle w:val="13"/>
        <w:tabs>
          <w:tab w:val="right" w:leader="dot" w:pos="8306"/>
          <w:tab w:val="clear" w:pos="8296"/>
        </w:tabs>
        <w:ind w:left="0" w:leftChars="0" w:firstLine="0" w:firstLineChars="0"/>
      </w:pPr>
    </w:p>
    <w:p>
      <w:pPr>
        <w:pStyle w:val="13"/>
        <w:tabs>
          <w:tab w:val="right" w:leader="dot" w:pos="8306"/>
          <w:tab w:val="clear" w:pos="8296"/>
        </w:tabs>
      </w:pPr>
      <w:r>
        <w:fldChar w:fldCharType="begin"/>
      </w:r>
      <w:r>
        <w:instrText xml:space="preserve"> HYPERLINK \l _Toc3149 </w:instrText>
      </w:r>
      <w:r>
        <w:fldChar w:fldCharType="separate"/>
      </w:r>
      <w:r>
        <w:rPr>
          <w:rFonts w:hint="eastAsia" w:ascii="黑体" w:hAnsi="黑体" w:eastAsia="黑体"/>
        </w:rPr>
        <w:t>二、 机构设置</w:t>
      </w:r>
      <w:r>
        <w:tab/>
      </w:r>
      <w:r>
        <w:fldChar w:fldCharType="begin"/>
      </w:r>
      <w:r>
        <w:instrText xml:space="preserve"> PAGEREF _Toc3149 \h </w:instrText>
      </w:r>
      <w:r>
        <w:fldChar w:fldCharType="separate"/>
      </w:r>
      <w:r>
        <w:t>5</w:t>
      </w:r>
      <w:r>
        <w:fldChar w:fldCharType="end"/>
      </w:r>
      <w:r>
        <w:fldChar w:fldCharType="end"/>
      </w:r>
    </w:p>
    <w:p>
      <w:pPr>
        <w:pStyle w:val="12"/>
        <w:tabs>
          <w:tab w:val="right" w:leader="dot" w:pos="8306"/>
          <w:tab w:val="clear" w:pos="8296"/>
        </w:tabs>
      </w:pPr>
      <w:r>
        <w:fldChar w:fldCharType="begin"/>
      </w:r>
      <w:r>
        <w:instrText xml:space="preserve"> HYPERLINK \l _Toc16232 </w:instrText>
      </w:r>
      <w:r>
        <w:fldChar w:fldCharType="separate"/>
      </w:r>
      <w:r>
        <w:rPr>
          <w:rFonts w:hint="eastAsia" w:ascii="黑体" w:hAnsi="黑体" w:eastAsia="黑体"/>
        </w:rPr>
        <w:t>第二部分 2022年度</w:t>
      </w:r>
      <w:r>
        <w:rPr>
          <w:rFonts w:hint="eastAsia" w:ascii="黑体" w:hAnsi="黑体" w:eastAsia="黑体"/>
          <w:bCs/>
        </w:rPr>
        <w:t>单位决算情况说明</w:t>
      </w:r>
      <w:r>
        <w:tab/>
      </w:r>
      <w:r>
        <w:fldChar w:fldCharType="begin"/>
      </w:r>
      <w:r>
        <w:instrText xml:space="preserve"> PAGEREF _Toc16232 \h </w:instrText>
      </w:r>
      <w:r>
        <w:fldChar w:fldCharType="separate"/>
      </w:r>
      <w:r>
        <w:t>5</w:t>
      </w:r>
      <w:r>
        <w:fldChar w:fldCharType="end"/>
      </w:r>
      <w:r>
        <w:fldChar w:fldCharType="end"/>
      </w:r>
    </w:p>
    <w:p>
      <w:pPr>
        <w:pStyle w:val="13"/>
        <w:tabs>
          <w:tab w:val="right" w:leader="dot" w:pos="8306"/>
          <w:tab w:val="clear" w:pos="8296"/>
        </w:tabs>
      </w:pPr>
      <w:r>
        <w:fldChar w:fldCharType="begin"/>
      </w:r>
      <w:r>
        <w:instrText xml:space="preserve"> HYPERLINK \l _Toc6803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_Toc6803 \h </w:instrText>
      </w:r>
      <w:r>
        <w:fldChar w:fldCharType="separate"/>
      </w:r>
      <w:r>
        <w:t>5</w:t>
      </w:r>
      <w:r>
        <w:fldChar w:fldCharType="end"/>
      </w:r>
      <w:r>
        <w:fldChar w:fldCharType="end"/>
      </w:r>
    </w:p>
    <w:p>
      <w:pPr>
        <w:pStyle w:val="13"/>
        <w:tabs>
          <w:tab w:val="right" w:leader="dot" w:pos="8306"/>
          <w:tab w:val="clear" w:pos="8296"/>
        </w:tabs>
      </w:pPr>
      <w:r>
        <w:fldChar w:fldCharType="begin"/>
      </w:r>
      <w:r>
        <w:instrText xml:space="preserve"> HYPERLINK \l _Toc15115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_Toc15115 \h </w:instrText>
      </w:r>
      <w:r>
        <w:fldChar w:fldCharType="separate"/>
      </w:r>
      <w:r>
        <w:t>5</w:t>
      </w:r>
      <w:r>
        <w:fldChar w:fldCharType="end"/>
      </w:r>
      <w:r>
        <w:fldChar w:fldCharType="end"/>
      </w:r>
    </w:p>
    <w:p>
      <w:pPr>
        <w:pStyle w:val="13"/>
        <w:tabs>
          <w:tab w:val="right" w:leader="dot" w:pos="8306"/>
          <w:tab w:val="clear" w:pos="8296"/>
        </w:tabs>
      </w:pPr>
      <w:r>
        <w:fldChar w:fldCharType="begin"/>
      </w:r>
      <w:r>
        <w:instrText xml:space="preserve"> HYPERLINK \l _Toc7353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_Toc7353 \h </w:instrText>
      </w:r>
      <w:r>
        <w:fldChar w:fldCharType="separate"/>
      </w:r>
      <w:r>
        <w:t>6</w:t>
      </w:r>
      <w:r>
        <w:fldChar w:fldCharType="end"/>
      </w:r>
      <w:r>
        <w:fldChar w:fldCharType="end"/>
      </w:r>
    </w:p>
    <w:p>
      <w:pPr>
        <w:pStyle w:val="13"/>
        <w:tabs>
          <w:tab w:val="right" w:leader="dot" w:pos="8306"/>
          <w:tab w:val="clear" w:pos="8296"/>
        </w:tabs>
      </w:pPr>
      <w:r>
        <w:fldChar w:fldCharType="begin"/>
      </w:r>
      <w:r>
        <w:instrText xml:space="preserve"> HYPERLINK \l _Toc24553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_Toc24553 \h </w:instrText>
      </w:r>
      <w:r>
        <w:fldChar w:fldCharType="separate"/>
      </w:r>
      <w:r>
        <w:t>6</w:t>
      </w:r>
      <w:r>
        <w:fldChar w:fldCharType="end"/>
      </w:r>
      <w:r>
        <w:fldChar w:fldCharType="end"/>
      </w:r>
    </w:p>
    <w:p>
      <w:pPr>
        <w:pStyle w:val="13"/>
        <w:tabs>
          <w:tab w:val="right" w:leader="dot" w:pos="8306"/>
          <w:tab w:val="clear" w:pos="8296"/>
        </w:tabs>
      </w:pPr>
      <w:r>
        <w:fldChar w:fldCharType="begin"/>
      </w:r>
      <w:r>
        <w:instrText xml:space="preserve"> HYPERLINK \l _Toc31042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_Toc31042 \h </w:instrText>
      </w:r>
      <w:r>
        <w:fldChar w:fldCharType="separate"/>
      </w:r>
      <w:r>
        <w:t>7</w:t>
      </w:r>
      <w:r>
        <w:fldChar w:fldCharType="end"/>
      </w:r>
      <w:r>
        <w:fldChar w:fldCharType="end"/>
      </w:r>
    </w:p>
    <w:p>
      <w:pPr>
        <w:pStyle w:val="7"/>
        <w:tabs>
          <w:tab w:val="right" w:leader="dot" w:pos="8306"/>
          <w:tab w:val="clear" w:pos="8296"/>
        </w:tabs>
      </w:pPr>
      <w:r>
        <w:fldChar w:fldCharType="begin"/>
      </w:r>
      <w:r>
        <w:instrText xml:space="preserve"> HYPERLINK \l _Toc3817 </w:instrText>
      </w:r>
      <w:r>
        <w:fldChar w:fldCharType="separate"/>
      </w:r>
      <w:r>
        <w:rPr>
          <w:rFonts w:hint="eastAsia" w:ascii="仿宋" w:hAnsi="仿宋" w:eastAsia="仿宋"/>
          <w:szCs w:val="32"/>
        </w:rPr>
        <w:t>（一）一般公共预算财政拨款支出决算总体情况</w:t>
      </w:r>
      <w:r>
        <w:tab/>
      </w:r>
      <w:r>
        <w:fldChar w:fldCharType="begin"/>
      </w:r>
      <w:r>
        <w:instrText xml:space="preserve"> PAGEREF _Toc3817 \h </w:instrText>
      </w:r>
      <w:r>
        <w:fldChar w:fldCharType="separate"/>
      </w:r>
      <w:r>
        <w:t>7</w:t>
      </w:r>
      <w:r>
        <w:fldChar w:fldCharType="end"/>
      </w:r>
      <w:r>
        <w:fldChar w:fldCharType="end"/>
      </w:r>
    </w:p>
    <w:p>
      <w:pPr>
        <w:pStyle w:val="7"/>
        <w:tabs>
          <w:tab w:val="right" w:leader="dot" w:pos="8306"/>
          <w:tab w:val="clear" w:pos="8296"/>
        </w:tabs>
      </w:pPr>
      <w:r>
        <w:fldChar w:fldCharType="begin"/>
      </w:r>
      <w:r>
        <w:instrText xml:space="preserve"> HYPERLINK \l _Toc30868 </w:instrText>
      </w:r>
      <w:r>
        <w:fldChar w:fldCharType="separate"/>
      </w:r>
      <w:r>
        <w:rPr>
          <w:rFonts w:hint="eastAsia" w:ascii="仿宋" w:hAnsi="仿宋" w:eastAsia="仿宋"/>
          <w:szCs w:val="32"/>
        </w:rPr>
        <w:t>（二）一般公共预算财政拨款支出决算结构情况</w:t>
      </w:r>
      <w:r>
        <w:tab/>
      </w:r>
      <w:r>
        <w:fldChar w:fldCharType="begin"/>
      </w:r>
      <w:r>
        <w:instrText xml:space="preserve"> PAGEREF _Toc30868 \h </w:instrText>
      </w:r>
      <w:r>
        <w:fldChar w:fldCharType="separate"/>
      </w:r>
      <w:r>
        <w:t>7</w:t>
      </w:r>
      <w:r>
        <w:fldChar w:fldCharType="end"/>
      </w:r>
      <w:r>
        <w:fldChar w:fldCharType="end"/>
      </w:r>
    </w:p>
    <w:p>
      <w:pPr>
        <w:pStyle w:val="7"/>
        <w:tabs>
          <w:tab w:val="right" w:leader="dot" w:pos="8306"/>
          <w:tab w:val="clear" w:pos="8296"/>
        </w:tabs>
      </w:pPr>
      <w:r>
        <w:fldChar w:fldCharType="begin"/>
      </w:r>
      <w:r>
        <w:instrText xml:space="preserve"> HYPERLINK \l _Toc3236 </w:instrText>
      </w:r>
      <w:r>
        <w:fldChar w:fldCharType="separate"/>
      </w:r>
      <w:r>
        <w:rPr>
          <w:rFonts w:hint="eastAsia" w:ascii="仿宋" w:hAnsi="仿宋" w:eastAsia="仿宋"/>
          <w:szCs w:val="32"/>
        </w:rPr>
        <w:t>（三）一般公共预算财政拨款支出决算具体情况</w:t>
      </w:r>
      <w:r>
        <w:tab/>
      </w:r>
      <w:r>
        <w:fldChar w:fldCharType="begin"/>
      </w:r>
      <w:r>
        <w:instrText xml:space="preserve"> PAGEREF _Toc3236 \h </w:instrText>
      </w:r>
      <w:r>
        <w:fldChar w:fldCharType="separate"/>
      </w:r>
      <w:r>
        <w:t>7</w:t>
      </w:r>
      <w:r>
        <w:fldChar w:fldCharType="end"/>
      </w:r>
      <w:r>
        <w:fldChar w:fldCharType="end"/>
      </w:r>
    </w:p>
    <w:p>
      <w:pPr>
        <w:pStyle w:val="13"/>
        <w:tabs>
          <w:tab w:val="right" w:leader="dot" w:pos="8306"/>
          <w:tab w:val="clear" w:pos="8296"/>
        </w:tabs>
      </w:pPr>
      <w:r>
        <w:fldChar w:fldCharType="begin"/>
      </w:r>
      <w:r>
        <w:instrText xml:space="preserve"> HYPERLINK \l _Toc7052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_Toc7052 \h </w:instrText>
      </w:r>
      <w:r>
        <w:fldChar w:fldCharType="separate"/>
      </w:r>
      <w:r>
        <w:t>8</w:t>
      </w:r>
      <w:r>
        <w:fldChar w:fldCharType="end"/>
      </w:r>
      <w:r>
        <w:fldChar w:fldCharType="end"/>
      </w:r>
    </w:p>
    <w:p>
      <w:pPr>
        <w:pStyle w:val="13"/>
        <w:tabs>
          <w:tab w:val="right" w:leader="dot" w:pos="8306"/>
          <w:tab w:val="clear" w:pos="8296"/>
        </w:tabs>
      </w:pPr>
      <w:r>
        <w:fldChar w:fldCharType="begin"/>
      </w:r>
      <w:r>
        <w:instrText xml:space="preserve"> HYPERLINK \l _Toc8042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_Toc8042 \h </w:instrText>
      </w:r>
      <w:r>
        <w:fldChar w:fldCharType="separate"/>
      </w:r>
      <w:r>
        <w:t>9</w:t>
      </w:r>
      <w:r>
        <w:fldChar w:fldCharType="end"/>
      </w:r>
      <w:r>
        <w:fldChar w:fldCharType="end"/>
      </w:r>
    </w:p>
    <w:p>
      <w:pPr>
        <w:pStyle w:val="7"/>
        <w:tabs>
          <w:tab w:val="right" w:leader="dot" w:pos="8306"/>
          <w:tab w:val="clear" w:pos="8296"/>
        </w:tabs>
      </w:pPr>
      <w:r>
        <w:fldChar w:fldCharType="begin"/>
      </w:r>
      <w:r>
        <w:instrText xml:space="preserve"> HYPERLINK \l _Toc10782 </w:instrText>
      </w:r>
      <w:r>
        <w:fldChar w:fldCharType="separate"/>
      </w:r>
      <w:r>
        <w:rPr>
          <w:rFonts w:hint="eastAsia" w:ascii="仿宋" w:hAnsi="仿宋" w:eastAsia="仿宋"/>
          <w:szCs w:val="32"/>
        </w:rPr>
        <w:t>（一）“三公”经费财政拨款支出决算总体情况说明</w:t>
      </w:r>
      <w:r>
        <w:tab/>
      </w:r>
      <w:r>
        <w:fldChar w:fldCharType="begin"/>
      </w:r>
      <w:r>
        <w:instrText xml:space="preserve"> PAGEREF _Toc10782 \h </w:instrText>
      </w:r>
      <w:r>
        <w:fldChar w:fldCharType="separate"/>
      </w:r>
      <w:r>
        <w:t>9</w:t>
      </w:r>
      <w:r>
        <w:fldChar w:fldCharType="end"/>
      </w:r>
      <w:r>
        <w:fldChar w:fldCharType="end"/>
      </w:r>
    </w:p>
    <w:p>
      <w:pPr>
        <w:pStyle w:val="7"/>
        <w:tabs>
          <w:tab w:val="right" w:leader="dot" w:pos="8306"/>
          <w:tab w:val="clear" w:pos="8296"/>
        </w:tabs>
      </w:pPr>
      <w:r>
        <w:fldChar w:fldCharType="begin"/>
      </w:r>
      <w:r>
        <w:instrText xml:space="preserve"> HYPERLINK \l _Toc13130 </w:instrText>
      </w:r>
      <w:r>
        <w:fldChar w:fldCharType="separate"/>
      </w:r>
      <w:r>
        <w:rPr>
          <w:rFonts w:hint="eastAsia" w:ascii="仿宋" w:hAnsi="仿宋" w:eastAsia="仿宋"/>
          <w:szCs w:val="32"/>
        </w:rPr>
        <w:t>（二）“三公”经费财政拨款支出决算具体情况说明</w:t>
      </w:r>
      <w:r>
        <w:tab/>
      </w:r>
      <w:r>
        <w:fldChar w:fldCharType="begin"/>
      </w:r>
      <w:r>
        <w:instrText xml:space="preserve"> PAGEREF _Toc13130 \h </w:instrText>
      </w:r>
      <w:r>
        <w:fldChar w:fldCharType="separate"/>
      </w:r>
      <w:r>
        <w:t>9</w:t>
      </w:r>
      <w:r>
        <w:fldChar w:fldCharType="end"/>
      </w:r>
      <w:r>
        <w:fldChar w:fldCharType="end"/>
      </w:r>
    </w:p>
    <w:p>
      <w:pPr>
        <w:pStyle w:val="13"/>
        <w:tabs>
          <w:tab w:val="right" w:leader="dot" w:pos="8306"/>
          <w:tab w:val="clear" w:pos="8296"/>
        </w:tabs>
      </w:pPr>
      <w:r>
        <w:fldChar w:fldCharType="begin"/>
      </w:r>
      <w:r>
        <w:instrText xml:space="preserve"> HYPERLINK \l _Toc5982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_Toc5982 \h </w:instrText>
      </w:r>
      <w:r>
        <w:fldChar w:fldCharType="separate"/>
      </w:r>
      <w:r>
        <w:t>10</w:t>
      </w:r>
      <w:r>
        <w:fldChar w:fldCharType="end"/>
      </w:r>
      <w:r>
        <w:fldChar w:fldCharType="end"/>
      </w:r>
    </w:p>
    <w:p>
      <w:pPr>
        <w:pStyle w:val="13"/>
        <w:tabs>
          <w:tab w:val="right" w:leader="dot" w:pos="8306"/>
          <w:tab w:val="clear" w:pos="8296"/>
        </w:tabs>
      </w:pPr>
      <w:r>
        <w:fldChar w:fldCharType="begin"/>
      </w:r>
      <w:r>
        <w:instrText xml:space="preserve"> HYPERLINK \l _Toc14858 </w:instrText>
      </w:r>
      <w:r>
        <w:fldChar w:fldCharType="separate"/>
      </w:r>
      <w:r>
        <w:rPr>
          <w:rFonts w:hint="eastAsia" w:ascii="黑体" w:hAnsi="黑体" w:eastAsia="黑体"/>
        </w:rPr>
        <w:t>九、 国有资本经营预算支出决算情况说明</w:t>
      </w:r>
      <w:r>
        <w:tab/>
      </w:r>
      <w:r>
        <w:fldChar w:fldCharType="begin"/>
      </w:r>
      <w:r>
        <w:instrText xml:space="preserve"> PAGEREF _Toc14858 \h </w:instrText>
      </w:r>
      <w:r>
        <w:fldChar w:fldCharType="separate"/>
      </w:r>
      <w:r>
        <w:t>11</w:t>
      </w:r>
      <w:r>
        <w:fldChar w:fldCharType="end"/>
      </w:r>
      <w:r>
        <w:fldChar w:fldCharType="end"/>
      </w:r>
    </w:p>
    <w:p>
      <w:pPr>
        <w:pStyle w:val="13"/>
        <w:tabs>
          <w:tab w:val="right" w:leader="dot" w:pos="8306"/>
          <w:tab w:val="clear" w:pos="8296"/>
        </w:tabs>
      </w:pPr>
      <w:r>
        <w:fldChar w:fldCharType="begin"/>
      </w:r>
      <w:r>
        <w:instrText xml:space="preserve"> HYPERLINK \l _Toc15419 </w:instrText>
      </w:r>
      <w:r>
        <w:fldChar w:fldCharType="separate"/>
      </w:r>
      <w:r>
        <w:rPr>
          <w:rFonts w:hint="eastAsia" w:ascii="黑体" w:hAnsi="黑体" w:eastAsia="黑体"/>
        </w:rPr>
        <w:t>十、 其他重要事项的情况说明</w:t>
      </w:r>
      <w:r>
        <w:tab/>
      </w:r>
      <w:r>
        <w:fldChar w:fldCharType="begin"/>
      </w:r>
      <w:r>
        <w:instrText xml:space="preserve"> PAGEREF _Toc15419 \h </w:instrText>
      </w:r>
      <w:r>
        <w:fldChar w:fldCharType="separate"/>
      </w:r>
      <w:r>
        <w:t>11</w:t>
      </w:r>
      <w:r>
        <w:fldChar w:fldCharType="end"/>
      </w:r>
      <w:r>
        <w:fldChar w:fldCharType="end"/>
      </w:r>
    </w:p>
    <w:p>
      <w:pPr>
        <w:pStyle w:val="7"/>
        <w:tabs>
          <w:tab w:val="right" w:leader="dot" w:pos="8306"/>
          <w:tab w:val="clear" w:pos="8296"/>
        </w:tabs>
      </w:pPr>
      <w:r>
        <w:fldChar w:fldCharType="begin"/>
      </w:r>
      <w:r>
        <w:instrText xml:space="preserve"> HYPERLINK \l _Toc12857 </w:instrText>
      </w:r>
      <w:r>
        <w:fldChar w:fldCharType="separate"/>
      </w:r>
      <w:r>
        <w:rPr>
          <w:rFonts w:hint="eastAsia" w:ascii="仿宋" w:hAnsi="仿宋" w:eastAsia="仿宋"/>
          <w:szCs w:val="32"/>
        </w:rPr>
        <w:t>（一）机关运行经费支出情况</w:t>
      </w:r>
      <w:r>
        <w:tab/>
      </w:r>
      <w:r>
        <w:fldChar w:fldCharType="begin"/>
      </w:r>
      <w:r>
        <w:instrText xml:space="preserve"> PAGEREF _Toc12857 \h </w:instrText>
      </w:r>
      <w:r>
        <w:fldChar w:fldCharType="separate"/>
      </w:r>
      <w:r>
        <w:t>11</w:t>
      </w:r>
      <w:r>
        <w:fldChar w:fldCharType="end"/>
      </w:r>
      <w:r>
        <w:fldChar w:fldCharType="end"/>
      </w:r>
    </w:p>
    <w:p>
      <w:pPr>
        <w:pStyle w:val="7"/>
        <w:tabs>
          <w:tab w:val="right" w:leader="dot" w:pos="8306"/>
          <w:tab w:val="clear" w:pos="8296"/>
        </w:tabs>
      </w:pPr>
      <w:r>
        <w:fldChar w:fldCharType="begin"/>
      </w:r>
      <w:r>
        <w:instrText xml:space="preserve"> HYPERLINK \l _Toc26876 </w:instrText>
      </w:r>
      <w:r>
        <w:fldChar w:fldCharType="separate"/>
      </w:r>
      <w:r>
        <w:rPr>
          <w:rFonts w:hint="eastAsia" w:ascii="仿宋" w:hAnsi="仿宋" w:eastAsia="仿宋"/>
          <w:szCs w:val="32"/>
        </w:rPr>
        <w:t>（二）政府采购支出情况</w:t>
      </w:r>
      <w:r>
        <w:tab/>
      </w:r>
      <w:r>
        <w:fldChar w:fldCharType="begin"/>
      </w:r>
      <w:r>
        <w:instrText xml:space="preserve"> PAGEREF _Toc26876 \h </w:instrText>
      </w:r>
      <w:r>
        <w:fldChar w:fldCharType="separate"/>
      </w:r>
      <w:r>
        <w:t>11</w:t>
      </w:r>
      <w:r>
        <w:fldChar w:fldCharType="end"/>
      </w:r>
      <w:r>
        <w:fldChar w:fldCharType="end"/>
      </w:r>
    </w:p>
    <w:p>
      <w:pPr>
        <w:pStyle w:val="7"/>
        <w:tabs>
          <w:tab w:val="right" w:leader="dot" w:pos="8306"/>
          <w:tab w:val="clear" w:pos="8296"/>
        </w:tabs>
      </w:pPr>
      <w:r>
        <w:fldChar w:fldCharType="begin"/>
      </w:r>
      <w:r>
        <w:instrText xml:space="preserve"> HYPERLINK \l _Toc3884 </w:instrText>
      </w:r>
      <w:r>
        <w:fldChar w:fldCharType="separate"/>
      </w:r>
      <w:r>
        <w:rPr>
          <w:rFonts w:hint="eastAsia" w:ascii="仿宋" w:hAnsi="仿宋" w:eastAsia="仿宋"/>
          <w:szCs w:val="32"/>
        </w:rPr>
        <w:t>（三）国有资产占有使用情况</w:t>
      </w:r>
      <w:r>
        <w:tab/>
      </w:r>
      <w:r>
        <w:fldChar w:fldCharType="begin"/>
      </w:r>
      <w:r>
        <w:instrText xml:space="preserve"> PAGEREF _Toc3884 \h </w:instrText>
      </w:r>
      <w:r>
        <w:fldChar w:fldCharType="separate"/>
      </w:r>
      <w:r>
        <w:t>11</w:t>
      </w:r>
      <w:r>
        <w:fldChar w:fldCharType="end"/>
      </w:r>
      <w:r>
        <w:fldChar w:fldCharType="end"/>
      </w:r>
    </w:p>
    <w:p>
      <w:pPr>
        <w:pStyle w:val="7"/>
        <w:tabs>
          <w:tab w:val="right" w:leader="dot" w:pos="8306"/>
          <w:tab w:val="clear" w:pos="8296"/>
        </w:tabs>
      </w:pPr>
      <w:r>
        <w:fldChar w:fldCharType="begin"/>
      </w:r>
      <w:r>
        <w:instrText xml:space="preserve"> HYPERLINK \l _Toc16163 </w:instrText>
      </w:r>
      <w:r>
        <w:fldChar w:fldCharType="separate"/>
      </w:r>
      <w:r>
        <w:rPr>
          <w:rFonts w:hint="eastAsia" w:ascii="仿宋" w:hAnsi="仿宋" w:eastAsia="仿宋"/>
          <w:szCs w:val="32"/>
        </w:rPr>
        <w:t>（四）预算绩效管理情况</w:t>
      </w:r>
      <w:r>
        <w:tab/>
      </w:r>
      <w:r>
        <w:fldChar w:fldCharType="begin"/>
      </w:r>
      <w:r>
        <w:instrText xml:space="preserve"> PAGEREF _Toc16163 \h </w:instrText>
      </w:r>
      <w:r>
        <w:fldChar w:fldCharType="separate"/>
      </w:r>
      <w:r>
        <w:t>11</w:t>
      </w:r>
      <w:r>
        <w:fldChar w:fldCharType="end"/>
      </w:r>
      <w:r>
        <w:fldChar w:fldCharType="end"/>
      </w:r>
    </w:p>
    <w:p>
      <w:pPr>
        <w:pStyle w:val="12"/>
        <w:tabs>
          <w:tab w:val="right" w:leader="dot" w:pos="8306"/>
          <w:tab w:val="clear" w:pos="8296"/>
        </w:tabs>
      </w:pPr>
      <w:r>
        <w:fldChar w:fldCharType="begin"/>
      </w:r>
      <w:r>
        <w:instrText xml:space="preserve"> HYPERLINK \l _Toc468 </w:instrText>
      </w:r>
      <w: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_Toc468 \h </w:instrText>
      </w:r>
      <w:r>
        <w:fldChar w:fldCharType="separate"/>
      </w:r>
      <w:r>
        <w:t>12</w:t>
      </w:r>
      <w:r>
        <w:fldChar w:fldCharType="end"/>
      </w:r>
      <w:r>
        <w:fldChar w:fldCharType="end"/>
      </w:r>
    </w:p>
    <w:p>
      <w:pPr>
        <w:pStyle w:val="12"/>
        <w:tabs>
          <w:tab w:val="right" w:leader="dot" w:pos="8306"/>
          <w:tab w:val="clear" w:pos="8296"/>
        </w:tabs>
      </w:pPr>
      <w:r>
        <w:fldChar w:fldCharType="begin"/>
      </w:r>
      <w:r>
        <w:instrText xml:space="preserve"> HYPERLINK \l _Toc21362 </w:instrText>
      </w:r>
      <w: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_Toc21362 \h </w:instrText>
      </w:r>
      <w:r>
        <w:fldChar w:fldCharType="separate"/>
      </w:r>
      <w:r>
        <w:t>12</w:t>
      </w:r>
      <w:r>
        <w:fldChar w:fldCharType="end"/>
      </w:r>
      <w:r>
        <w:fldChar w:fldCharType="end"/>
      </w:r>
    </w:p>
    <w:p>
      <w:pPr>
        <w:pStyle w:val="12"/>
        <w:tabs>
          <w:tab w:val="right" w:leader="dot" w:pos="8306"/>
          <w:tab w:val="clear" w:pos="8296"/>
        </w:tabs>
      </w:pPr>
    </w:p>
    <w:p>
      <w:pPr>
        <w:pStyle w:val="12"/>
        <w:tabs>
          <w:tab w:val="right" w:leader="dot" w:pos="8306"/>
          <w:tab w:val="clear" w:pos="8296"/>
        </w:tabs>
      </w:pPr>
      <w:r>
        <w:fldChar w:fldCharType="begin"/>
      </w:r>
      <w:r>
        <w:instrText xml:space="preserve"> HYPERLINK \l _Toc23540 </w:instrText>
      </w:r>
      <w: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_Toc23540 \h </w:instrText>
      </w:r>
      <w:r>
        <w:fldChar w:fldCharType="separate"/>
      </w:r>
      <w:r>
        <w:t>17</w:t>
      </w:r>
      <w:r>
        <w:fldChar w:fldCharType="end"/>
      </w:r>
      <w:r>
        <w:fldChar w:fldCharType="end"/>
      </w:r>
    </w:p>
    <w:p>
      <w:pPr>
        <w:pStyle w:val="13"/>
        <w:tabs>
          <w:tab w:val="right" w:leader="dot" w:pos="8306"/>
          <w:tab w:val="clear" w:pos="8296"/>
        </w:tabs>
      </w:pPr>
      <w:r>
        <w:fldChar w:fldCharType="begin"/>
      </w:r>
      <w:r>
        <w:instrText xml:space="preserve"> HYPERLINK \l _Toc23808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_Toc23808 \h </w:instrText>
      </w:r>
      <w:r>
        <w:fldChar w:fldCharType="separate"/>
      </w:r>
      <w:r>
        <w:t>17</w:t>
      </w:r>
      <w:r>
        <w:fldChar w:fldCharType="end"/>
      </w:r>
      <w:r>
        <w:fldChar w:fldCharType="end"/>
      </w:r>
    </w:p>
    <w:p>
      <w:pPr>
        <w:pStyle w:val="13"/>
        <w:tabs>
          <w:tab w:val="right" w:leader="dot" w:pos="8306"/>
          <w:tab w:val="clear" w:pos="8296"/>
        </w:tabs>
      </w:pPr>
      <w:r>
        <w:fldChar w:fldCharType="begin"/>
      </w:r>
      <w:r>
        <w:instrText xml:space="preserve"> HYPERLINK \l _Toc30213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_Toc30213 \h </w:instrText>
      </w:r>
      <w:r>
        <w:fldChar w:fldCharType="separate"/>
      </w:r>
      <w:r>
        <w:t>17</w:t>
      </w:r>
      <w:r>
        <w:fldChar w:fldCharType="end"/>
      </w:r>
      <w:r>
        <w:fldChar w:fldCharType="end"/>
      </w:r>
    </w:p>
    <w:p>
      <w:pPr>
        <w:pStyle w:val="13"/>
        <w:tabs>
          <w:tab w:val="right" w:leader="dot" w:pos="8306"/>
          <w:tab w:val="clear" w:pos="8296"/>
        </w:tabs>
      </w:pPr>
      <w:r>
        <w:fldChar w:fldCharType="begin"/>
      </w:r>
      <w:r>
        <w:instrText xml:space="preserve"> HYPERLINK \l _Toc32363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_Toc32363 \h </w:instrText>
      </w:r>
      <w:r>
        <w:fldChar w:fldCharType="separate"/>
      </w:r>
      <w:r>
        <w:t>17</w:t>
      </w:r>
      <w:r>
        <w:fldChar w:fldCharType="end"/>
      </w:r>
      <w:r>
        <w:fldChar w:fldCharType="end"/>
      </w:r>
    </w:p>
    <w:p>
      <w:pPr>
        <w:pStyle w:val="13"/>
        <w:tabs>
          <w:tab w:val="right" w:leader="dot" w:pos="8306"/>
          <w:tab w:val="clear" w:pos="8296"/>
        </w:tabs>
      </w:pPr>
      <w:r>
        <w:fldChar w:fldCharType="begin"/>
      </w:r>
      <w:r>
        <w:instrText xml:space="preserve"> HYPERLINK \l _Toc13068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_Toc13068 \h </w:instrText>
      </w:r>
      <w:r>
        <w:fldChar w:fldCharType="separate"/>
      </w:r>
      <w:r>
        <w:t>17</w:t>
      </w:r>
      <w:r>
        <w:fldChar w:fldCharType="end"/>
      </w:r>
      <w:r>
        <w:fldChar w:fldCharType="end"/>
      </w:r>
    </w:p>
    <w:p>
      <w:pPr>
        <w:pStyle w:val="13"/>
        <w:tabs>
          <w:tab w:val="right" w:leader="dot" w:pos="8306"/>
          <w:tab w:val="clear" w:pos="8296"/>
        </w:tabs>
      </w:pPr>
      <w:r>
        <w:fldChar w:fldCharType="begin"/>
      </w:r>
      <w:r>
        <w:instrText xml:space="preserve"> HYPERLINK \l _Toc4894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_Toc4894 \h </w:instrText>
      </w:r>
      <w:r>
        <w:fldChar w:fldCharType="separate"/>
      </w:r>
      <w:r>
        <w:t>17</w:t>
      </w:r>
      <w:r>
        <w:fldChar w:fldCharType="end"/>
      </w:r>
      <w:r>
        <w:fldChar w:fldCharType="end"/>
      </w:r>
    </w:p>
    <w:p>
      <w:pPr>
        <w:pStyle w:val="13"/>
        <w:tabs>
          <w:tab w:val="right" w:leader="dot" w:pos="8306"/>
          <w:tab w:val="clear" w:pos="8296"/>
        </w:tabs>
      </w:pPr>
      <w:r>
        <w:fldChar w:fldCharType="begin"/>
      </w:r>
      <w:r>
        <w:instrText xml:space="preserve"> HYPERLINK \l _Toc694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_Toc694 \h </w:instrText>
      </w:r>
      <w:r>
        <w:fldChar w:fldCharType="separate"/>
      </w:r>
      <w:r>
        <w:t>17</w:t>
      </w:r>
      <w:r>
        <w:fldChar w:fldCharType="end"/>
      </w:r>
      <w:r>
        <w:fldChar w:fldCharType="end"/>
      </w:r>
    </w:p>
    <w:p>
      <w:pPr>
        <w:pStyle w:val="13"/>
        <w:tabs>
          <w:tab w:val="right" w:leader="dot" w:pos="8306"/>
          <w:tab w:val="clear" w:pos="8296"/>
        </w:tabs>
      </w:pPr>
      <w:r>
        <w:fldChar w:fldCharType="begin"/>
      </w:r>
      <w:r>
        <w:instrText xml:space="preserve"> HYPERLINK \l _Toc10105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_Toc10105 \h </w:instrText>
      </w:r>
      <w:r>
        <w:fldChar w:fldCharType="separate"/>
      </w:r>
      <w:r>
        <w:t>17</w:t>
      </w:r>
      <w:r>
        <w:fldChar w:fldCharType="end"/>
      </w:r>
      <w:r>
        <w:fldChar w:fldCharType="end"/>
      </w:r>
    </w:p>
    <w:p>
      <w:pPr>
        <w:pStyle w:val="13"/>
        <w:tabs>
          <w:tab w:val="right" w:leader="dot" w:pos="8306"/>
          <w:tab w:val="clear" w:pos="8296"/>
        </w:tabs>
      </w:pPr>
      <w:r>
        <w:fldChar w:fldCharType="begin"/>
      </w:r>
      <w:r>
        <w:instrText xml:space="preserve"> HYPERLINK \l _Toc13757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_Toc13757 \h </w:instrText>
      </w:r>
      <w:r>
        <w:fldChar w:fldCharType="separate"/>
      </w:r>
      <w:r>
        <w:t>17</w:t>
      </w:r>
      <w:r>
        <w:fldChar w:fldCharType="end"/>
      </w:r>
      <w:r>
        <w:fldChar w:fldCharType="end"/>
      </w:r>
    </w:p>
    <w:p>
      <w:pPr>
        <w:pStyle w:val="13"/>
        <w:tabs>
          <w:tab w:val="right" w:leader="dot" w:pos="8306"/>
          <w:tab w:val="clear" w:pos="8296"/>
        </w:tabs>
      </w:pPr>
      <w:r>
        <w:fldChar w:fldCharType="begin"/>
      </w:r>
      <w:r>
        <w:instrText xml:space="preserve"> HYPERLINK \l _Toc20413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_Toc20413 \h </w:instrText>
      </w:r>
      <w:r>
        <w:fldChar w:fldCharType="separate"/>
      </w:r>
      <w:r>
        <w:t>17</w:t>
      </w:r>
      <w:r>
        <w:fldChar w:fldCharType="end"/>
      </w:r>
      <w:r>
        <w:fldChar w:fldCharType="end"/>
      </w:r>
    </w:p>
    <w:p>
      <w:pPr>
        <w:pStyle w:val="13"/>
        <w:tabs>
          <w:tab w:val="right" w:leader="dot" w:pos="8306"/>
          <w:tab w:val="clear" w:pos="8296"/>
        </w:tabs>
      </w:pPr>
      <w:r>
        <w:fldChar w:fldCharType="begin"/>
      </w:r>
      <w:r>
        <w:instrText xml:space="preserve"> HYPERLINK \l _Toc17415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_Toc17415 \h </w:instrText>
      </w:r>
      <w:r>
        <w:fldChar w:fldCharType="separate"/>
      </w:r>
      <w:r>
        <w:t>17</w:t>
      </w:r>
      <w:r>
        <w:fldChar w:fldCharType="end"/>
      </w:r>
      <w:r>
        <w:fldChar w:fldCharType="end"/>
      </w:r>
    </w:p>
    <w:p>
      <w:pPr>
        <w:pStyle w:val="13"/>
        <w:tabs>
          <w:tab w:val="right" w:leader="dot" w:pos="8306"/>
          <w:tab w:val="clear" w:pos="8296"/>
        </w:tabs>
      </w:pPr>
      <w:r>
        <w:fldChar w:fldCharType="begin"/>
      </w:r>
      <w:r>
        <w:instrText xml:space="preserve"> HYPERLINK \l _Toc11833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_Toc11833 \h </w:instrText>
      </w:r>
      <w:r>
        <w:fldChar w:fldCharType="separate"/>
      </w:r>
      <w:r>
        <w:t>17</w:t>
      </w:r>
      <w:r>
        <w:fldChar w:fldCharType="end"/>
      </w:r>
      <w:r>
        <w:fldChar w:fldCharType="end"/>
      </w:r>
    </w:p>
    <w:p>
      <w:pPr>
        <w:pStyle w:val="13"/>
        <w:tabs>
          <w:tab w:val="right" w:leader="dot" w:pos="8306"/>
          <w:tab w:val="clear" w:pos="8296"/>
        </w:tabs>
      </w:pPr>
      <w:r>
        <w:fldChar w:fldCharType="begin"/>
      </w:r>
      <w:r>
        <w:instrText xml:space="preserve"> HYPERLINK \l _Toc12452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_Toc12452 \h </w:instrText>
      </w:r>
      <w:r>
        <w:fldChar w:fldCharType="separate"/>
      </w:r>
      <w:r>
        <w:t>17</w:t>
      </w:r>
      <w:r>
        <w:fldChar w:fldCharType="end"/>
      </w:r>
      <w:r>
        <w:fldChar w:fldCharType="end"/>
      </w:r>
    </w:p>
    <w:p>
      <w:pPr>
        <w:pStyle w:val="13"/>
        <w:tabs>
          <w:tab w:val="right" w:leader="dot" w:pos="8306"/>
          <w:tab w:val="clear" w:pos="8296"/>
        </w:tabs>
      </w:pPr>
      <w:r>
        <w:fldChar w:fldCharType="begin"/>
      </w:r>
      <w:r>
        <w:instrText xml:space="preserve"> HYPERLINK \l _Toc25552 </w:instrText>
      </w:r>
      <w:r>
        <w:fldChar w:fldCharType="separate"/>
      </w:r>
      <w:r>
        <w:rPr>
          <w:rFonts w:hint="eastAsia" w:ascii="仿宋" w:hAnsi="仿宋" w:eastAsia="仿宋"/>
          <w:bCs w:val="0"/>
        </w:rPr>
        <w:t>十三、财政拨款“三公”经费支出决算表</w:t>
      </w:r>
      <w:r>
        <w:tab/>
      </w:r>
      <w:r>
        <w:fldChar w:fldCharType="begin"/>
      </w:r>
      <w:r>
        <w:instrText xml:space="preserve"> PAGEREF _Toc25552 \h </w:instrText>
      </w:r>
      <w:r>
        <w:fldChar w:fldCharType="separate"/>
      </w:r>
      <w:r>
        <w:t>17</w:t>
      </w:r>
      <w:r>
        <w:fldChar w:fldCharType="end"/>
      </w:r>
      <w:r>
        <w:fldChar w:fldCharType="end"/>
      </w:r>
    </w:p>
    <w:p>
      <w:r>
        <w:fldChar w:fldCharType="end"/>
      </w: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2"/>
        <w:jc w:val="center"/>
        <w:rPr>
          <w:rFonts w:ascii="黑体" w:eastAsia="黑体"/>
          <w:sz w:val="32"/>
          <w:szCs w:val="32"/>
        </w:rPr>
      </w:pPr>
      <w:bookmarkStart w:id="16" w:name="_Toc29681"/>
      <w:r>
        <w:rPr>
          <w:rFonts w:hint="eastAsia" w:ascii="黑体" w:hAnsi="黑体" w:eastAsia="黑体"/>
          <w:b w:val="0"/>
        </w:rPr>
        <w:t>第一部分 单位</w:t>
      </w:r>
      <w:r>
        <w:rPr>
          <w:rStyle w:val="29"/>
          <w:rFonts w:hint="eastAsia" w:ascii="黑体" w:hAnsi="黑体" w:eastAsia="黑体"/>
          <w:b w:val="0"/>
          <w:bCs w:val="0"/>
        </w:rPr>
        <w:t>概况</w:t>
      </w:r>
      <w:bookmarkEnd w:id="14"/>
      <w:bookmarkEnd w:id="15"/>
      <w:bookmarkEnd w:id="16"/>
    </w:p>
    <w:p>
      <w:pPr>
        <w:pStyle w:val="3"/>
        <w:numPr>
          <w:ilvl w:val="0"/>
          <w:numId w:val="1"/>
        </w:numPr>
        <w:rPr>
          <w:rFonts w:hint="eastAsia" w:ascii="仿宋_GB2312" w:hAnsi="仿宋_GB2312" w:cs="仿宋_GB2312"/>
          <w:sz w:val="32"/>
          <w:szCs w:val="32"/>
          <w:lang w:val="en-US" w:eastAsia="zh-CN"/>
        </w:rPr>
      </w:pPr>
      <w:bookmarkStart w:id="17" w:name="_Toc18690"/>
      <w:bookmarkStart w:id="18" w:name="_Toc15396600"/>
      <w:bookmarkStart w:id="19" w:name="_Toc15377197"/>
      <w:r>
        <w:rPr>
          <w:rStyle w:val="30"/>
          <w:rFonts w:hint="eastAsia" w:ascii="黑体" w:hAnsi="黑体" w:eastAsia="黑体"/>
          <w:b w:val="0"/>
          <w:bCs w:val="0"/>
        </w:rPr>
        <w:t>主要职责</w:t>
      </w:r>
      <w:bookmarkEnd w:id="17"/>
    </w:p>
    <w:p>
      <w:pPr>
        <w:pStyle w:val="3"/>
        <w:numPr>
          <w:ilvl w:val="0"/>
          <w:numId w:val="0"/>
        </w:numPr>
        <w:ind w:firstLine="640" w:firstLineChars="200"/>
        <w:rPr>
          <w:rFonts w:hint="eastAsia" w:ascii="仿宋_GB2312" w:hAnsi="仿宋_GB2312" w:cs="仿宋_GB2312"/>
          <w:b w:val="0"/>
          <w:bCs w:val="0"/>
          <w:sz w:val="32"/>
          <w:szCs w:val="32"/>
          <w:lang w:val="en-US" w:eastAsia="zh-CN"/>
        </w:rPr>
      </w:pPr>
      <w:bookmarkStart w:id="20" w:name="_Toc24926"/>
      <w:r>
        <w:rPr>
          <w:rFonts w:hint="eastAsia" w:ascii="仿宋_GB2312" w:hAnsi="仿宋_GB2312" w:cs="仿宋_GB2312"/>
          <w:b w:val="0"/>
          <w:bCs w:val="0"/>
          <w:sz w:val="32"/>
          <w:szCs w:val="32"/>
          <w:lang w:val="en-US" w:eastAsia="zh-CN"/>
        </w:rPr>
        <w:t>剑阁县普安镇现有中心卫生院一所，中心卫生院下设分院5个，中心卫生院是一所集医疗、预防保健为一体的一级甲等卫生院，医院建筑面积 8500平方米，开放病床104张，年收治住院病人 3800人，年门诊 8.2万人次。现有在职职工125人，其中有高级职称4人，中级职称24人，初级职称75人，门诊部设有中西医内、儿、妇、外、皮肤、口腔、五官等临床科室，开设有B超、心电、放射、化验、脑电、脑血管检查等医技科室。本院还设有碎石、泌尿生殖、疼痛小针刀、针灸理疗等特色专科，碎石专科被评为市级重点专科。住院部现开放病床75张，设有普通病区、爱婴区，还设有治疗室、手术室、危重急症抢救室、分娩室、待产室。医院配置有大型体外震波碎石机、前列腺汽化电切镜、膀胱镜、心电监护仪、微波治疗、牙科综合治疗机、婴儿暖箱等大中型高精尖治疗设备以及DR、脑电地形图、彩色脑血管多普勒、B超、心电图机、血糖仪、全自动生化仪、尿液分析仪、血球计数分析仪、仪等大中型诊疗设备，各类诊疗设备共50余台件。</w:t>
      </w:r>
      <w:bookmarkEnd w:id="20"/>
    </w:p>
    <w:p/>
    <w:p>
      <w:pPr>
        <w:pStyle w:val="3"/>
        <w:numPr>
          <w:ilvl w:val="0"/>
          <w:numId w:val="1"/>
        </w:numPr>
        <w:ind w:left="0" w:leftChars="0" w:firstLine="0" w:firstLineChars="0"/>
        <w:rPr>
          <w:rFonts w:hint="eastAsia" w:ascii="黑体" w:hAnsi="黑体" w:eastAsia="黑体"/>
          <w:b w:val="0"/>
        </w:rPr>
      </w:pPr>
      <w:bookmarkStart w:id="21" w:name="_Toc3149"/>
      <w:r>
        <w:rPr>
          <w:rFonts w:hint="eastAsia" w:ascii="黑体" w:hAnsi="黑体" w:eastAsia="黑体"/>
          <w:b w:val="0"/>
        </w:rPr>
        <w:t>机构设置</w:t>
      </w:r>
      <w:bookmarkEnd w:id="18"/>
      <w:bookmarkEnd w:id="19"/>
      <w:bookmarkEnd w:id="21"/>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sz w:val="32"/>
          <w:szCs w:val="32"/>
          <w:highlight w:val="none"/>
          <w:lang w:val="en-US" w:eastAsia="zh-CN"/>
        </w:rPr>
      </w:pPr>
      <w:r>
        <w:rPr>
          <w:rFonts w:hint="eastAsia" w:ascii="仿宋" w:hAnsi="仿宋" w:eastAsia="仿宋"/>
          <w:sz w:val="32"/>
          <w:szCs w:val="32"/>
          <w:highlight w:val="none"/>
        </w:rPr>
        <w:t>剑阁县</w:t>
      </w:r>
      <w:r>
        <w:rPr>
          <w:rFonts w:hint="eastAsia" w:ascii="仿宋" w:hAnsi="仿宋" w:eastAsia="仿宋"/>
          <w:sz w:val="32"/>
          <w:szCs w:val="32"/>
          <w:highlight w:val="none"/>
          <w:lang w:eastAsia="zh-CN"/>
        </w:rPr>
        <w:t>普安镇中心卫生院</w:t>
      </w:r>
      <w:r>
        <w:rPr>
          <w:rFonts w:hint="eastAsia" w:ascii="仿宋" w:hAnsi="仿宋" w:eastAsia="仿宋"/>
          <w:sz w:val="32"/>
          <w:szCs w:val="32"/>
          <w:highlight w:val="none"/>
          <w:lang w:val="en-US" w:eastAsia="zh-CN"/>
        </w:rPr>
        <w:t>科室设置坚持精简效能、因地制宜、便于管理原则。</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办公室：负责人员、财务、信息、设备、后勤工作的组织协调和管理。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门诊部：负责常见病、多发病的诊疗、康复医疗和建立健康档案，下设急诊室，内、外、妇、儿等诊室，慢病门诊、感染性门诊、心电图室、中西药房等。</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住院部：负责常见病、多发病的住院治疗。按照服务人口配备住院床位，设有专用的传染病隔离观察室。</w:t>
      </w:r>
    </w:p>
    <w:p>
      <w:pPr>
        <w:numPr>
          <w:ilvl w:val="0"/>
          <w:numId w:val="0"/>
        </w:numPr>
        <w:ind w:leftChars="0"/>
      </w:pPr>
    </w:p>
    <w:p>
      <w:pPr>
        <w:pStyle w:val="2"/>
        <w:ind w:right="440"/>
        <w:jc w:val="center"/>
        <w:rPr>
          <w:rStyle w:val="29"/>
          <w:rFonts w:ascii="黑体" w:hAnsi="黑体" w:eastAsia="黑体"/>
          <w:b w:val="0"/>
          <w:bCs/>
        </w:rPr>
      </w:pPr>
      <w:bookmarkStart w:id="22" w:name="_Toc16232"/>
      <w:bookmarkStart w:id="23" w:name="_Toc15377204"/>
      <w:bookmarkStart w:id="24" w:name="_Toc15396602"/>
      <w:r>
        <w:rPr>
          <w:rFonts w:hint="eastAsia" w:ascii="黑体" w:hAnsi="黑体" w:eastAsia="黑体"/>
          <w:b w:val="0"/>
        </w:rPr>
        <w:t>第二部分 2022年度</w:t>
      </w:r>
      <w:r>
        <w:rPr>
          <w:rStyle w:val="29"/>
          <w:rFonts w:hint="eastAsia" w:ascii="黑体" w:hAnsi="黑体" w:eastAsia="黑体"/>
          <w:b w:val="0"/>
          <w:bCs/>
        </w:rPr>
        <w:t>单位决算情况说明</w:t>
      </w:r>
      <w:bookmarkEnd w:id="22"/>
      <w:bookmarkEnd w:id="23"/>
      <w:bookmarkEnd w:id="24"/>
    </w:p>
    <w:p/>
    <w:p>
      <w:pPr>
        <w:pStyle w:val="28"/>
        <w:numPr>
          <w:ilvl w:val="0"/>
          <w:numId w:val="2"/>
        </w:numPr>
        <w:spacing w:line="600" w:lineRule="exact"/>
        <w:ind w:firstLineChars="0"/>
        <w:outlineLvl w:val="1"/>
        <w:rPr>
          <w:rStyle w:val="30"/>
          <w:rFonts w:ascii="黑体" w:hAnsi="黑体" w:eastAsia="黑体"/>
          <w:b w:val="0"/>
        </w:rPr>
      </w:pPr>
      <w:bookmarkStart w:id="25" w:name="_Toc15396603"/>
      <w:bookmarkStart w:id="26" w:name="_Toc15377205"/>
      <w:bookmarkStart w:id="27" w:name="_Toc6803"/>
      <w:r>
        <w:rPr>
          <w:rFonts w:hint="eastAsia" w:ascii="黑体" w:hAnsi="黑体" w:eastAsia="黑体"/>
          <w:sz w:val="32"/>
          <w:szCs w:val="32"/>
        </w:rPr>
        <w:t>收</w:t>
      </w:r>
      <w:r>
        <w:rPr>
          <w:rStyle w:val="30"/>
          <w:rFonts w:hint="eastAsia" w:ascii="黑体" w:hAnsi="黑体" w:eastAsia="黑体"/>
          <w:b w:val="0"/>
        </w:rPr>
        <w:t>入支出决算总体情况说明</w:t>
      </w:r>
      <w:bookmarkEnd w:id="25"/>
      <w:bookmarkEnd w:id="26"/>
      <w:bookmarkEnd w:id="27"/>
    </w:p>
    <w:p>
      <w:pPr>
        <w:spacing w:line="600" w:lineRule="exact"/>
        <w:ind w:firstLine="640" w:firstLineChars="200"/>
        <w:rPr>
          <w:rFonts w:hint="eastAsia" w:ascii="仿宋" w:hAnsi="仿宋" w:eastAsia="仿宋" w:cs="仿宋"/>
          <w:sz w:val="32"/>
          <w:szCs w:val="32"/>
        </w:rPr>
      </w:pPr>
      <w:r>
        <w:rPr>
          <w:rFonts w:hint="eastAsia" w:ascii="仿宋" w:hAnsi="仿宋" w:eastAsia="仿宋"/>
          <w:sz w:val="32"/>
          <w:szCs w:val="32"/>
        </w:rPr>
        <w:t>2022年度收</w:t>
      </w:r>
      <w:r>
        <w:rPr>
          <w:rFonts w:hint="eastAsia" w:ascii="仿宋" w:hAnsi="仿宋" w:eastAsia="仿宋"/>
          <w:sz w:val="32"/>
          <w:szCs w:val="32"/>
          <w:lang w:eastAsia="zh-CN"/>
        </w:rPr>
        <w:t>、</w:t>
      </w:r>
      <w:r>
        <w:rPr>
          <w:rFonts w:hint="eastAsia" w:ascii="仿宋" w:hAnsi="仿宋" w:eastAsia="仿宋"/>
          <w:sz w:val="32"/>
          <w:szCs w:val="32"/>
          <w:lang w:val="en-US" w:eastAsia="zh-CN"/>
        </w:rPr>
        <w:t>支总计2953.94万元</w:t>
      </w:r>
      <w:r>
        <w:rPr>
          <w:rFonts w:hint="eastAsia" w:ascii="仿宋" w:hAnsi="仿宋" w:eastAsia="仿宋"/>
          <w:sz w:val="32"/>
          <w:szCs w:val="32"/>
        </w:rPr>
        <w:t>。</w:t>
      </w:r>
      <w:r>
        <w:rPr>
          <w:rFonts w:hint="eastAsia" w:ascii="仿宋" w:hAnsi="仿宋" w:eastAsia="仿宋" w:cs="仿宋"/>
          <w:sz w:val="32"/>
          <w:szCs w:val="32"/>
        </w:rPr>
        <w:t>2021年本单位未单独填报决算，由系统统一填报部门决算，故无法对比。</w:t>
      </w:r>
    </w:p>
    <w:p>
      <w:pPr>
        <w:pStyle w:val="28"/>
        <w:numPr>
          <w:ilvl w:val="0"/>
          <w:numId w:val="2"/>
        </w:numPr>
        <w:spacing w:line="600" w:lineRule="exact"/>
        <w:ind w:firstLineChars="0"/>
        <w:outlineLvl w:val="1"/>
        <w:rPr>
          <w:rStyle w:val="30"/>
          <w:rFonts w:ascii="黑体" w:hAnsi="黑体" w:eastAsia="黑体"/>
          <w:b w:val="0"/>
        </w:rPr>
      </w:pPr>
      <w:bookmarkStart w:id="28" w:name="_Toc15377206"/>
      <w:bookmarkStart w:id="29" w:name="_Toc15115"/>
      <w:bookmarkStart w:id="30" w:name="_Toc15396604"/>
      <w:r>
        <w:rPr>
          <w:rFonts w:hint="eastAsia" w:ascii="黑体" w:hAnsi="黑体" w:eastAsia="黑体"/>
          <w:sz w:val="32"/>
          <w:szCs w:val="32"/>
        </w:rPr>
        <w:t>收</w:t>
      </w:r>
      <w:r>
        <w:rPr>
          <w:rStyle w:val="30"/>
          <w:rFonts w:hint="eastAsia" w:ascii="黑体" w:hAnsi="黑体" w:eastAsia="黑体"/>
          <w:b w:val="0"/>
        </w:rPr>
        <w:t>入决算情况说明</w:t>
      </w:r>
      <w:bookmarkEnd w:id="28"/>
      <w:bookmarkEnd w:id="29"/>
      <w:bookmarkEnd w:id="30"/>
    </w:p>
    <w:p>
      <w:pPr>
        <w:spacing w:line="600" w:lineRule="exact"/>
        <w:ind w:firstLine="640" w:firstLineChars="200"/>
        <w:outlineLvl w:val="1"/>
        <w:rPr>
          <w:rFonts w:ascii="仿宋" w:hAnsi="仿宋" w:eastAsia="仿宋"/>
          <w:sz w:val="32"/>
          <w:szCs w:val="32"/>
        </w:rPr>
      </w:pPr>
      <w:bookmarkStart w:id="31" w:name="_Toc21865"/>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2953.94</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1329.4</w:t>
      </w:r>
      <w:r>
        <w:rPr>
          <w:rFonts w:hint="eastAsia" w:ascii="仿宋" w:hAnsi="仿宋" w:eastAsia="仿宋"/>
          <w:sz w:val="32"/>
          <w:szCs w:val="32"/>
        </w:rPr>
        <w:t>万元，占</w:t>
      </w:r>
      <w:r>
        <w:rPr>
          <w:rFonts w:hint="eastAsia" w:ascii="仿宋" w:hAnsi="仿宋" w:eastAsia="仿宋"/>
          <w:sz w:val="32"/>
          <w:szCs w:val="32"/>
          <w:lang w:val="en-US" w:eastAsia="zh-CN"/>
        </w:rPr>
        <w:t>46</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1538.09</w:t>
      </w:r>
      <w:r>
        <w:rPr>
          <w:rFonts w:hint="eastAsia" w:ascii="仿宋" w:hAnsi="仿宋" w:eastAsia="仿宋"/>
          <w:sz w:val="32"/>
          <w:szCs w:val="32"/>
        </w:rPr>
        <w:t>万元，占</w:t>
      </w:r>
      <w:r>
        <w:rPr>
          <w:rFonts w:hint="eastAsia" w:ascii="仿宋" w:hAnsi="仿宋" w:eastAsia="仿宋"/>
          <w:sz w:val="32"/>
          <w:szCs w:val="32"/>
          <w:lang w:val="en-US" w:eastAsia="zh-CN"/>
        </w:rPr>
        <w:t>52</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86.45</w:t>
      </w:r>
      <w:r>
        <w:rPr>
          <w:rFonts w:hint="eastAsia" w:ascii="仿宋" w:hAnsi="仿宋" w:eastAsia="仿宋"/>
          <w:sz w:val="32"/>
          <w:szCs w:val="32"/>
        </w:rPr>
        <w:t>万元，占</w:t>
      </w: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rPr>
        <w:t>。</w:t>
      </w:r>
      <w:bookmarkEnd w:id="31"/>
    </w:p>
    <w:p>
      <w:pPr>
        <w:pStyle w:val="16"/>
        <w:rPr>
          <w:rFonts w:hint="eastAsia"/>
        </w:rPr>
      </w:pPr>
    </w:p>
    <w:p>
      <w:pPr>
        <w:pStyle w:val="16"/>
      </w:pPr>
      <w:r>
        <w:drawing>
          <wp:inline distT="0" distB="0" distL="114300" distR="114300">
            <wp:extent cx="4154170" cy="2164080"/>
            <wp:effectExtent l="4445" t="5080" r="17145" b="1016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_GB2312" w:eastAsia="仿宋_GB2312"/>
          <w:sz w:val="32"/>
          <w:szCs w:val="32"/>
        </w:rPr>
      </w:pPr>
    </w:p>
    <w:p>
      <w:pPr>
        <w:pStyle w:val="28"/>
        <w:numPr>
          <w:ilvl w:val="0"/>
          <w:numId w:val="2"/>
        </w:numPr>
        <w:spacing w:line="600" w:lineRule="exact"/>
        <w:ind w:firstLineChars="0"/>
        <w:outlineLvl w:val="1"/>
        <w:rPr>
          <w:rStyle w:val="30"/>
          <w:rFonts w:ascii="黑体" w:hAnsi="黑体" w:eastAsia="黑体"/>
          <w:b w:val="0"/>
        </w:rPr>
      </w:pPr>
      <w:bookmarkStart w:id="32" w:name="_Toc7353"/>
      <w:bookmarkStart w:id="33" w:name="_Toc15396605"/>
      <w:bookmarkStart w:id="34" w:name="_Toc15377207"/>
      <w:r>
        <w:rPr>
          <w:rFonts w:hint="eastAsia" w:ascii="黑体" w:hAnsi="黑体" w:eastAsia="黑体"/>
          <w:sz w:val="32"/>
          <w:szCs w:val="32"/>
        </w:rPr>
        <w:t>支</w:t>
      </w:r>
      <w:r>
        <w:rPr>
          <w:rStyle w:val="30"/>
          <w:rFonts w:hint="eastAsia" w:ascii="黑体" w:hAnsi="黑体" w:eastAsia="黑体"/>
          <w:b w:val="0"/>
        </w:rPr>
        <w:t>出决算情况说明</w:t>
      </w:r>
      <w:bookmarkEnd w:id="32"/>
      <w:bookmarkEnd w:id="33"/>
      <w:bookmarkEnd w:id="34"/>
    </w:p>
    <w:p>
      <w:pPr>
        <w:spacing w:line="600" w:lineRule="exact"/>
        <w:ind w:firstLine="640" w:firstLineChars="200"/>
        <w:outlineLvl w:val="1"/>
        <w:rPr>
          <w:rFonts w:ascii="仿宋" w:hAnsi="仿宋" w:eastAsia="仿宋"/>
          <w:sz w:val="32"/>
          <w:szCs w:val="32"/>
        </w:rPr>
      </w:pPr>
      <w:bookmarkStart w:id="35" w:name="_Toc31169"/>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2953.94</w:t>
      </w:r>
      <w:r>
        <w:rPr>
          <w:rFonts w:hint="eastAsia" w:ascii="仿宋" w:hAnsi="仿宋" w:eastAsia="仿宋"/>
          <w:sz w:val="32"/>
          <w:szCs w:val="32"/>
        </w:rPr>
        <w:t>万元，其中：基本支出</w:t>
      </w:r>
      <w:r>
        <w:rPr>
          <w:rFonts w:hint="eastAsia" w:ascii="仿宋" w:hAnsi="仿宋" w:eastAsia="仿宋"/>
          <w:sz w:val="32"/>
          <w:szCs w:val="32"/>
          <w:lang w:val="en-US" w:eastAsia="zh-CN"/>
        </w:rPr>
        <w:t>2951.94</w:t>
      </w:r>
      <w:r>
        <w:rPr>
          <w:rFonts w:hint="eastAsia" w:ascii="仿宋" w:hAnsi="仿宋" w:eastAsia="仿宋"/>
          <w:sz w:val="32"/>
          <w:szCs w:val="32"/>
        </w:rPr>
        <w:t>万元，占</w:t>
      </w:r>
      <w:r>
        <w:rPr>
          <w:rFonts w:hint="eastAsia" w:ascii="仿宋" w:hAnsi="仿宋" w:eastAsia="仿宋"/>
          <w:sz w:val="32"/>
          <w:szCs w:val="32"/>
          <w:lang w:val="en-US" w:eastAsia="zh-CN"/>
        </w:rPr>
        <w:t>99</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2</w:t>
      </w:r>
      <w:r>
        <w:rPr>
          <w:rFonts w:hint="eastAsia" w:ascii="仿宋" w:hAnsi="仿宋" w:eastAsia="仿宋"/>
          <w:sz w:val="32"/>
          <w:szCs w:val="32"/>
        </w:rPr>
        <w:t>万元，占</w:t>
      </w: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bookmarkEnd w:id="35"/>
    </w:p>
    <w:p>
      <w:pPr>
        <w:pStyle w:val="16"/>
      </w:pPr>
      <w:r>
        <w:drawing>
          <wp:inline distT="0" distB="0" distL="114300" distR="114300">
            <wp:extent cx="4091940" cy="2360295"/>
            <wp:effectExtent l="4445" t="5080" r="18415" b="1206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30"/>
          <w:rFonts w:ascii="黑体" w:hAnsi="黑体" w:eastAsia="黑体"/>
          <w:b w:val="0"/>
        </w:rPr>
      </w:pPr>
      <w:bookmarkStart w:id="36" w:name="_Toc24553"/>
      <w:bookmarkStart w:id="37" w:name="_Toc15396606"/>
      <w:bookmarkStart w:id="38" w:name="_Toc15377208"/>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36"/>
      <w:bookmarkEnd w:id="37"/>
      <w:bookmarkEnd w:id="38"/>
    </w:p>
    <w:p>
      <w:pPr>
        <w:spacing w:line="600" w:lineRule="exact"/>
        <w:ind w:firstLine="640" w:firstLineChars="200"/>
        <w:rPr>
          <w:rFonts w:hint="eastAsia" w:ascii="仿宋" w:hAnsi="仿宋" w:eastAsia="仿宋" w:cs="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1329.4</w:t>
      </w:r>
      <w:r>
        <w:rPr>
          <w:rFonts w:hint="eastAsia" w:ascii="仿宋" w:hAnsi="仿宋" w:eastAsia="仿宋"/>
          <w:sz w:val="32"/>
          <w:szCs w:val="32"/>
        </w:rPr>
        <w:t>万元。</w:t>
      </w:r>
      <w:r>
        <w:rPr>
          <w:rFonts w:hint="eastAsia" w:ascii="仿宋" w:hAnsi="仿宋" w:eastAsia="仿宋" w:cs="仿宋"/>
          <w:sz w:val="32"/>
          <w:szCs w:val="32"/>
        </w:rPr>
        <w:t>2021年本单位未单独填报决算，由系统统一填报部门决算，故无法对比。</w:t>
      </w:r>
    </w:p>
    <w:p>
      <w:pPr>
        <w:spacing w:line="600" w:lineRule="exact"/>
        <w:ind w:firstLine="640" w:firstLineChars="200"/>
        <w:outlineLvl w:val="1"/>
        <w:rPr>
          <w:rStyle w:val="30"/>
          <w:rFonts w:ascii="黑体" w:hAnsi="黑体" w:eastAsia="黑体"/>
          <w:b w:val="0"/>
        </w:rPr>
      </w:pPr>
      <w:bookmarkStart w:id="39" w:name="_Toc15396607"/>
      <w:bookmarkStart w:id="40" w:name="_Toc15377209"/>
      <w:bookmarkStart w:id="41" w:name="_Toc31042"/>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39"/>
      <w:bookmarkEnd w:id="40"/>
      <w:bookmarkEnd w:id="41"/>
    </w:p>
    <w:p>
      <w:pPr>
        <w:spacing w:line="600" w:lineRule="exact"/>
        <w:ind w:firstLine="643" w:firstLineChars="200"/>
        <w:outlineLvl w:val="2"/>
        <w:rPr>
          <w:rFonts w:ascii="仿宋" w:hAnsi="仿宋" w:eastAsia="仿宋"/>
          <w:b/>
          <w:sz w:val="32"/>
          <w:szCs w:val="32"/>
        </w:rPr>
      </w:pPr>
      <w:bookmarkStart w:id="42" w:name="_Toc15377210"/>
      <w:bookmarkStart w:id="43" w:name="_Toc3817"/>
      <w:r>
        <w:rPr>
          <w:rFonts w:hint="eastAsia" w:ascii="仿宋" w:hAnsi="仿宋" w:eastAsia="仿宋"/>
          <w:b/>
          <w:sz w:val="32"/>
          <w:szCs w:val="32"/>
        </w:rPr>
        <w:t>（一）一般公共预算财政拨款支出决算总体情况</w:t>
      </w:r>
      <w:bookmarkEnd w:id="42"/>
      <w:bookmarkEnd w:id="43"/>
    </w:p>
    <w:p>
      <w:pPr>
        <w:spacing w:line="600" w:lineRule="exact"/>
        <w:ind w:firstLine="640" w:firstLineChars="200"/>
        <w:rPr>
          <w:rFonts w:hint="eastAsia" w:ascii="仿宋" w:hAnsi="仿宋" w:eastAsia="仿宋" w:cs="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1329.4</w:t>
      </w:r>
      <w:r>
        <w:rPr>
          <w:rFonts w:hint="eastAsia" w:ascii="仿宋" w:hAnsi="仿宋" w:eastAsia="仿宋"/>
          <w:sz w:val="32"/>
          <w:szCs w:val="32"/>
        </w:rPr>
        <w:t>万元，占本年支出合计的</w:t>
      </w:r>
      <w:r>
        <w:rPr>
          <w:rFonts w:hint="eastAsia" w:ascii="仿宋" w:hAnsi="仿宋" w:eastAsia="仿宋"/>
          <w:sz w:val="32"/>
          <w:szCs w:val="32"/>
          <w:lang w:val="en-US" w:eastAsia="zh-CN"/>
        </w:rPr>
        <w:t>45.01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仿宋"/>
          <w:sz w:val="32"/>
          <w:szCs w:val="32"/>
        </w:rPr>
        <w:t>2021年本单位未单独填报决算，由系统统一填报部门决算，故无法对比。</w:t>
      </w:r>
    </w:p>
    <w:p>
      <w:pPr>
        <w:spacing w:line="600" w:lineRule="exact"/>
        <w:ind w:firstLine="643" w:firstLineChars="200"/>
        <w:outlineLvl w:val="2"/>
        <w:rPr>
          <w:rFonts w:ascii="仿宋" w:hAnsi="仿宋" w:eastAsia="仿宋"/>
          <w:b/>
          <w:sz w:val="32"/>
          <w:szCs w:val="32"/>
        </w:rPr>
      </w:pPr>
      <w:bookmarkStart w:id="44" w:name="_Toc30868"/>
      <w:bookmarkStart w:id="45" w:name="_Toc15377211"/>
      <w:r>
        <w:rPr>
          <w:rFonts w:hint="eastAsia" w:ascii="仿宋" w:hAnsi="仿宋" w:eastAsia="仿宋"/>
          <w:b/>
          <w:sz w:val="32"/>
          <w:szCs w:val="32"/>
        </w:rPr>
        <w:t>（二）一般公共预算财政拨款支出决算结构情况</w:t>
      </w:r>
      <w:bookmarkEnd w:id="44"/>
      <w:bookmarkEnd w:id="45"/>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1329.4</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b/>
          <w:bCs/>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b/>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b/>
          <w:bCs/>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bCs/>
          <w:sz w:val="32"/>
          <w:szCs w:val="32"/>
          <w:lang w:val="en-US" w:eastAsia="zh-CN"/>
        </w:rPr>
        <w:t>95.86</w:t>
      </w:r>
      <w:r>
        <w:rPr>
          <w:rFonts w:hint="eastAsia" w:ascii="仿宋" w:hAnsi="仿宋" w:eastAsia="仿宋"/>
          <w:sz w:val="32"/>
          <w:szCs w:val="32"/>
        </w:rPr>
        <w:t>万元，占</w:t>
      </w:r>
      <w:r>
        <w:rPr>
          <w:rFonts w:hint="eastAsia" w:ascii="仿宋" w:hAnsi="仿宋" w:eastAsia="仿宋"/>
          <w:sz w:val="32"/>
          <w:szCs w:val="32"/>
          <w:lang w:val="en-US" w:eastAsia="zh-CN"/>
        </w:rPr>
        <w:t>7.2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bCs/>
          <w:sz w:val="32"/>
          <w:szCs w:val="32"/>
          <w:lang w:val="en-US" w:eastAsia="zh-CN"/>
        </w:rPr>
        <w:t>1209.98</w:t>
      </w:r>
      <w:r>
        <w:rPr>
          <w:rFonts w:hint="eastAsia" w:ascii="仿宋" w:hAnsi="仿宋" w:eastAsia="仿宋"/>
          <w:sz w:val="32"/>
          <w:szCs w:val="32"/>
        </w:rPr>
        <w:t>万元，占</w:t>
      </w:r>
      <w:r>
        <w:rPr>
          <w:rFonts w:hint="eastAsia" w:ascii="仿宋" w:hAnsi="仿宋" w:eastAsia="仿宋"/>
          <w:sz w:val="32"/>
          <w:szCs w:val="32"/>
          <w:lang w:val="en-US" w:eastAsia="zh-CN"/>
        </w:rPr>
        <w:t>91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val="en-US" w:eastAsia="zh-CN"/>
        </w:rPr>
        <w:t>农林水支出2</w:t>
      </w:r>
      <w:r>
        <w:rPr>
          <w:rFonts w:hint="eastAsia" w:ascii="仿宋" w:hAnsi="仿宋" w:eastAsia="仿宋"/>
          <w:sz w:val="32"/>
          <w:szCs w:val="32"/>
          <w:lang w:val="en-US" w:eastAsia="zh-CN"/>
        </w:rPr>
        <w:t>万元，占0.2%；</w:t>
      </w:r>
      <w:r>
        <w:rPr>
          <w:rFonts w:hint="eastAsia" w:ascii="仿宋" w:hAnsi="仿宋" w:eastAsia="仿宋"/>
          <w:b/>
          <w:bCs/>
          <w:sz w:val="32"/>
          <w:szCs w:val="32"/>
        </w:rPr>
        <w:t>住房保障支出</w:t>
      </w:r>
      <w:r>
        <w:rPr>
          <w:rFonts w:hint="eastAsia" w:ascii="仿宋" w:hAnsi="仿宋" w:eastAsia="仿宋"/>
          <w:b/>
          <w:bCs/>
          <w:sz w:val="32"/>
          <w:szCs w:val="32"/>
          <w:lang w:val="en-US" w:eastAsia="zh-CN"/>
        </w:rPr>
        <w:t>21.57</w:t>
      </w:r>
      <w:r>
        <w:rPr>
          <w:rFonts w:hint="eastAsia" w:ascii="仿宋" w:hAnsi="仿宋" w:eastAsia="仿宋"/>
          <w:sz w:val="32"/>
          <w:szCs w:val="32"/>
        </w:rPr>
        <w:t>万元，占</w:t>
      </w:r>
      <w:r>
        <w:rPr>
          <w:rFonts w:hint="eastAsia" w:ascii="仿宋" w:hAnsi="仿宋" w:eastAsia="仿宋"/>
          <w:sz w:val="32"/>
          <w:szCs w:val="32"/>
          <w:lang w:val="en-US" w:eastAsia="zh-CN"/>
        </w:rPr>
        <w:t>1.6</w:t>
      </w:r>
      <w:r>
        <w:rPr>
          <w:rFonts w:ascii="仿宋" w:hAnsi="仿宋" w:eastAsia="仿宋"/>
          <w:sz w:val="32"/>
          <w:szCs w:val="32"/>
        </w:rPr>
        <w:t>%</w:t>
      </w:r>
      <w:r>
        <w:rPr>
          <w:rFonts w:hint="eastAsia" w:ascii="仿宋" w:hAnsi="仿宋" w:eastAsia="仿宋"/>
          <w:sz w:val="32"/>
          <w:szCs w:val="32"/>
        </w:rPr>
        <w:t>。</w:t>
      </w:r>
    </w:p>
    <w:p>
      <w:pPr>
        <w:pStyle w:val="16"/>
      </w:pPr>
      <w:r>
        <w:drawing>
          <wp:anchor distT="0" distB="0" distL="114300" distR="114300" simplePos="0" relativeHeight="251659264" behindDoc="0" locked="0" layoutInCell="1" allowOverlap="1">
            <wp:simplePos x="0" y="0"/>
            <wp:positionH relativeFrom="column">
              <wp:posOffset>237490</wp:posOffset>
            </wp:positionH>
            <wp:positionV relativeFrom="paragraph">
              <wp:posOffset>163195</wp:posOffset>
            </wp:positionV>
            <wp:extent cx="4091940" cy="2248535"/>
            <wp:effectExtent l="4445" t="5080" r="18415" b="17145"/>
            <wp:wrapTopAndBottom/>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46" w:name="_Toc3236"/>
      <w:bookmarkStart w:id="47" w:name="_Toc15377212"/>
      <w:r>
        <w:rPr>
          <w:rFonts w:hint="eastAsia" w:ascii="仿宋" w:hAnsi="仿宋" w:eastAsia="仿宋"/>
          <w:b/>
          <w:sz w:val="32"/>
          <w:szCs w:val="32"/>
        </w:rPr>
        <w:t>（三）一般公共预算财政拨款支出决算具体情况</w:t>
      </w:r>
      <w:bookmarkEnd w:id="46"/>
      <w:bookmarkEnd w:id="47"/>
    </w:p>
    <w:p>
      <w:pPr>
        <w:spacing w:line="600" w:lineRule="exact"/>
        <w:ind w:firstLine="643" w:firstLineChars="200"/>
        <w:outlineLvl w:val="2"/>
        <w:rPr>
          <w:rFonts w:ascii="仿宋" w:hAnsi="仿宋" w:eastAsia="仿宋"/>
          <w:sz w:val="32"/>
          <w:szCs w:val="32"/>
        </w:rPr>
      </w:pPr>
      <w:bookmarkStart w:id="48" w:name="_Toc15378460"/>
      <w:bookmarkStart w:id="49" w:name="_Toc10863"/>
      <w:bookmarkStart w:id="50" w:name="_Toc15377444"/>
      <w:bookmarkStart w:id="51" w:name="_Toc15377213"/>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1329.4万元</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bookmarkEnd w:id="48"/>
      <w:bookmarkEnd w:id="49"/>
      <w:bookmarkEnd w:id="50"/>
      <w:bookmarkEnd w:id="51"/>
    </w:p>
    <w:p>
      <w:pPr>
        <w:spacing w:line="600" w:lineRule="exact"/>
        <w:ind w:firstLine="643" w:firstLineChars="200"/>
        <w:rPr>
          <w:rStyle w:val="19"/>
          <w:rFonts w:hint="eastAsia" w:ascii="仿宋" w:hAnsi="仿宋" w:eastAsia="仿宋"/>
          <w:b w:val="0"/>
          <w:bCs/>
          <w:sz w:val="32"/>
          <w:szCs w:val="32"/>
          <w:lang w:eastAsia="zh-CN"/>
        </w:rPr>
      </w:pPr>
      <w:r>
        <w:rPr>
          <w:rStyle w:val="19"/>
          <w:rFonts w:hint="eastAsia" w:ascii="仿宋" w:hAnsi="仿宋" w:eastAsia="仿宋"/>
          <w:bCs/>
          <w:sz w:val="32"/>
          <w:szCs w:val="32"/>
          <w:lang w:val="en-US" w:eastAsia="zh-CN"/>
        </w:rPr>
        <w:t>1</w:t>
      </w:r>
      <w:r>
        <w:rPr>
          <w:rStyle w:val="19"/>
          <w:rFonts w:ascii="仿宋" w:hAnsi="仿宋" w:eastAsia="仿宋"/>
          <w:bCs/>
          <w:sz w:val="32"/>
          <w:szCs w:val="32"/>
        </w:rPr>
        <w:t>.</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val="en-US" w:eastAsia="zh-CN"/>
        </w:rPr>
        <w:t>行政事业单位养老</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机关事业单位基本养老保险缴费</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95.86</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lang w:eastAsia="zh-CN"/>
        </w:rPr>
        <w:t>。</w:t>
      </w:r>
    </w:p>
    <w:p>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2</w:t>
      </w:r>
      <w:r>
        <w:rPr>
          <w:rStyle w:val="19"/>
          <w:rFonts w:ascii="仿宋" w:hAnsi="仿宋" w:eastAsia="仿宋"/>
          <w:bCs/>
          <w:sz w:val="32"/>
          <w:szCs w:val="32"/>
        </w:rPr>
        <w:t>.</w:t>
      </w:r>
      <w:r>
        <w:rPr>
          <w:rFonts w:hint="eastAsia" w:ascii="仿宋" w:hAnsi="仿宋" w:eastAsia="仿宋"/>
          <w:b/>
          <w:bCs/>
          <w:sz w:val="32"/>
          <w:szCs w:val="32"/>
        </w:rPr>
        <w:t>卫生健康</w:t>
      </w:r>
      <w:r>
        <w:rPr>
          <w:rStyle w:val="19"/>
          <w:rFonts w:hint="eastAsia" w:ascii="仿宋" w:hAnsi="仿宋" w:eastAsia="仿宋"/>
          <w:bCs/>
          <w:sz w:val="32"/>
          <w:szCs w:val="32"/>
        </w:rPr>
        <w:t>（类）</w:t>
      </w:r>
      <w:r>
        <w:rPr>
          <w:rStyle w:val="19"/>
          <w:rFonts w:hint="eastAsia" w:ascii="仿宋" w:hAnsi="仿宋" w:eastAsia="仿宋"/>
          <w:bCs/>
          <w:sz w:val="32"/>
          <w:szCs w:val="32"/>
          <w:lang w:val="en-US" w:eastAsia="zh-CN"/>
        </w:rPr>
        <w:t>基层医疗卫生机构</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乡镇卫生院</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725.28</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3</w:t>
      </w:r>
      <w:r>
        <w:rPr>
          <w:rStyle w:val="19"/>
          <w:rFonts w:ascii="仿宋" w:hAnsi="仿宋" w:eastAsia="仿宋"/>
          <w:bCs/>
          <w:sz w:val="32"/>
          <w:szCs w:val="32"/>
        </w:rPr>
        <w:t>.</w:t>
      </w:r>
      <w:r>
        <w:rPr>
          <w:rFonts w:hint="eastAsia" w:ascii="仿宋" w:hAnsi="仿宋" w:eastAsia="仿宋"/>
          <w:b/>
          <w:bCs/>
          <w:sz w:val="32"/>
          <w:szCs w:val="32"/>
        </w:rPr>
        <w:t>卫生健康</w:t>
      </w:r>
      <w:r>
        <w:rPr>
          <w:rStyle w:val="19"/>
          <w:rFonts w:hint="eastAsia" w:ascii="仿宋" w:hAnsi="仿宋" w:eastAsia="仿宋"/>
          <w:bCs/>
          <w:sz w:val="32"/>
          <w:szCs w:val="32"/>
        </w:rPr>
        <w:t>（类）</w:t>
      </w:r>
      <w:r>
        <w:rPr>
          <w:rStyle w:val="19"/>
          <w:rFonts w:hint="eastAsia" w:ascii="仿宋" w:hAnsi="仿宋" w:eastAsia="仿宋"/>
          <w:bCs/>
          <w:sz w:val="32"/>
          <w:szCs w:val="32"/>
          <w:lang w:val="en-US" w:eastAsia="zh-CN"/>
        </w:rPr>
        <w:t>基层医疗卫生机构</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其他基层医疗卫生机构支出</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60.49</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3" w:firstLineChars="200"/>
        <w:rPr>
          <w:rFonts w:hint="eastAsia" w:ascii="仿宋" w:hAnsi="仿宋" w:eastAsia="仿宋"/>
          <w:sz w:val="32"/>
          <w:szCs w:val="32"/>
          <w:lang w:val="en-US" w:eastAsia="zh-CN"/>
        </w:rPr>
      </w:pPr>
      <w:r>
        <w:rPr>
          <w:rFonts w:hint="eastAsia" w:ascii="仿宋" w:hAnsi="仿宋" w:eastAsia="仿宋"/>
          <w:b/>
          <w:bCs/>
          <w:sz w:val="32"/>
          <w:szCs w:val="32"/>
          <w:lang w:val="en-US" w:eastAsia="zh-CN"/>
        </w:rPr>
        <w:t>4.卫生健康（类）公共卫生（款）基本公共卫生服务（项）：</w:t>
      </w:r>
      <w:r>
        <w:rPr>
          <w:rFonts w:hint="eastAsia" w:ascii="仿宋" w:hAnsi="仿宋" w:eastAsia="仿宋"/>
          <w:sz w:val="32"/>
          <w:szCs w:val="32"/>
          <w:lang w:val="en-US" w:eastAsia="zh-CN"/>
        </w:rPr>
        <w:t>支出决算376.28万元，完成预算100%。</w:t>
      </w:r>
    </w:p>
    <w:p>
      <w:pPr>
        <w:pStyle w:val="16"/>
        <w:ind w:left="0" w:leftChars="0" w:firstLine="643" w:firstLineChars="200"/>
        <w:rPr>
          <w:rFonts w:hint="eastAsia" w:ascii="仿宋" w:hAnsi="仿宋" w:eastAsia="仿宋"/>
          <w:sz w:val="32"/>
          <w:szCs w:val="32"/>
          <w:lang w:val="en-US" w:eastAsia="zh-CN"/>
        </w:rPr>
      </w:pPr>
      <w:r>
        <w:rPr>
          <w:rFonts w:hint="eastAsia" w:ascii="仿宋" w:hAnsi="仿宋" w:eastAsia="仿宋"/>
          <w:b/>
          <w:bCs/>
          <w:sz w:val="32"/>
          <w:szCs w:val="32"/>
          <w:lang w:val="en-US" w:eastAsia="zh-CN"/>
        </w:rPr>
        <w:t>5.卫生健康（类）行政事业单位医疗（款）事业单位医疗（项）：</w:t>
      </w:r>
      <w:r>
        <w:rPr>
          <w:rFonts w:hint="eastAsia" w:ascii="仿宋" w:hAnsi="仿宋" w:eastAsia="仿宋"/>
          <w:sz w:val="32"/>
          <w:szCs w:val="32"/>
          <w:lang w:val="en-US" w:eastAsia="zh-CN"/>
        </w:rPr>
        <w:t>支出决算47.93万元，完成预算100%。</w:t>
      </w:r>
    </w:p>
    <w:p>
      <w:pPr>
        <w:pStyle w:val="15"/>
        <w:ind w:firstLine="643" w:firstLineChars="200"/>
        <w:rPr>
          <w:rFonts w:hint="eastAsia" w:ascii="仿宋" w:hAnsi="仿宋" w:eastAsia="仿宋"/>
          <w:sz w:val="32"/>
          <w:szCs w:val="32"/>
          <w:lang w:val="en-US" w:eastAsia="zh-CN"/>
        </w:rPr>
      </w:pPr>
      <w:r>
        <w:rPr>
          <w:rFonts w:hint="eastAsia" w:ascii="仿宋" w:hAnsi="仿宋" w:eastAsia="仿宋"/>
          <w:b/>
          <w:bCs/>
          <w:sz w:val="32"/>
          <w:szCs w:val="32"/>
          <w:lang w:val="en-US" w:eastAsia="zh-CN"/>
        </w:rPr>
        <w:t>6.住房保障（类）住房改革（款）住房公积金（项）：</w:t>
      </w:r>
      <w:r>
        <w:rPr>
          <w:rFonts w:hint="eastAsia" w:ascii="仿宋" w:hAnsi="仿宋" w:eastAsia="仿宋"/>
          <w:sz w:val="32"/>
          <w:szCs w:val="32"/>
          <w:lang w:val="en-US" w:eastAsia="zh-CN"/>
        </w:rPr>
        <w:t>支出预算21.58万元，完成预算100%。</w:t>
      </w:r>
    </w:p>
    <w:p>
      <w:pPr>
        <w:pStyle w:val="15"/>
        <w:ind w:firstLine="643" w:firstLineChars="200"/>
        <w:rPr>
          <w:rFonts w:ascii="仿宋" w:hAnsi="仿宋" w:eastAsia="仿宋"/>
          <w:b/>
          <w:sz w:val="32"/>
          <w:szCs w:val="32"/>
        </w:rPr>
      </w:pPr>
      <w:r>
        <w:rPr>
          <w:rFonts w:hint="eastAsia" w:ascii="仿宋" w:hAnsi="仿宋" w:eastAsia="仿宋"/>
          <w:b/>
          <w:bCs/>
          <w:sz w:val="32"/>
          <w:szCs w:val="32"/>
          <w:lang w:val="en-US" w:eastAsia="zh-CN"/>
        </w:rPr>
        <w:t>7.农林水（类）巩固脱贫医疗衔接乡村振兴（款）社会发展（项）：</w:t>
      </w:r>
      <w:r>
        <w:rPr>
          <w:rFonts w:hint="eastAsia" w:ascii="仿宋" w:hAnsi="仿宋" w:eastAsia="仿宋"/>
          <w:sz w:val="32"/>
          <w:szCs w:val="32"/>
          <w:lang w:val="en-US" w:eastAsia="zh-CN"/>
        </w:rPr>
        <w:t>支出预算2万元，完成预算100%。</w:t>
      </w:r>
    </w:p>
    <w:p>
      <w:pPr>
        <w:tabs>
          <w:tab w:val="right" w:pos="8306"/>
        </w:tabs>
        <w:spacing w:line="600" w:lineRule="exact"/>
        <w:ind w:firstLine="640"/>
        <w:outlineLvl w:val="1"/>
        <w:rPr>
          <w:rStyle w:val="30"/>
        </w:rPr>
      </w:pPr>
      <w:bookmarkStart w:id="52" w:name="_Toc15377214"/>
      <w:bookmarkStart w:id="53" w:name="_Toc15396608"/>
      <w:bookmarkStart w:id="54" w:name="_Toc7052"/>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52"/>
      <w:bookmarkEnd w:id="53"/>
      <w:bookmarkEnd w:id="54"/>
      <w:r>
        <w:rPr>
          <w:rStyle w:val="30"/>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1327.4</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1297.44</w:t>
      </w:r>
      <w:r>
        <w:rPr>
          <w:rFonts w:hint="eastAsia" w:ascii="仿宋" w:hAnsi="仿宋" w:eastAsia="仿宋"/>
          <w:sz w:val="32"/>
          <w:szCs w:val="32"/>
        </w:rPr>
        <w:t>万元，主要包括：基本工资、津贴补贴、绩效工资、机关事业单位基本养老保险缴费、</w:t>
      </w:r>
      <w:r>
        <w:rPr>
          <w:rFonts w:hint="eastAsia" w:ascii="仿宋" w:hAnsi="仿宋" w:eastAsia="仿宋"/>
          <w:sz w:val="32"/>
          <w:szCs w:val="32"/>
          <w:lang w:val="en-US" w:eastAsia="zh-CN"/>
        </w:rPr>
        <w:t>职工基本医疗保险、</w:t>
      </w:r>
      <w:r>
        <w:rPr>
          <w:rFonts w:hint="eastAsia" w:ascii="仿宋" w:hAnsi="仿宋" w:eastAsia="仿宋"/>
          <w:sz w:val="32"/>
          <w:szCs w:val="32"/>
        </w:rPr>
        <w:t>其他社会保障缴费、其他工资福利支出</w:t>
      </w:r>
      <w:r>
        <w:rPr>
          <w:rFonts w:hint="eastAsia" w:ascii="仿宋" w:hAnsi="仿宋" w:eastAsia="仿宋"/>
          <w:sz w:val="32"/>
          <w:szCs w:val="32"/>
          <w:lang w:eastAsia="zh-CN"/>
        </w:rPr>
        <w:t>、</w:t>
      </w:r>
      <w:r>
        <w:rPr>
          <w:rFonts w:hint="eastAsia" w:ascii="仿宋" w:hAnsi="仿宋" w:eastAsia="仿宋"/>
          <w:sz w:val="32"/>
          <w:szCs w:val="32"/>
        </w:rPr>
        <w:t>生活补助、住房公积金、其他对个人和家庭的补助支出等。</w:t>
      </w:r>
    </w:p>
    <w:p>
      <w:pPr>
        <w:spacing w:line="600" w:lineRule="exact"/>
        <w:ind w:firstLine="645"/>
        <w:rPr>
          <w:rFonts w:ascii="仿宋" w:hAnsi="仿宋" w:eastAsia="仿宋"/>
          <w:b/>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29.97</w:t>
      </w:r>
      <w:r>
        <w:rPr>
          <w:rFonts w:hint="eastAsia" w:ascii="仿宋" w:hAnsi="仿宋" w:eastAsia="仿宋"/>
          <w:sz w:val="32"/>
          <w:szCs w:val="32"/>
        </w:rPr>
        <w:t>万元，主要包括：办公费、印刷费</w:t>
      </w:r>
      <w:r>
        <w:rPr>
          <w:rFonts w:hint="eastAsia" w:ascii="仿宋" w:hAnsi="仿宋" w:eastAsia="仿宋"/>
          <w:sz w:val="32"/>
          <w:szCs w:val="32"/>
          <w:lang w:eastAsia="zh-CN"/>
        </w:rPr>
        <w:t>、</w:t>
      </w:r>
      <w:r>
        <w:rPr>
          <w:rFonts w:hint="eastAsia" w:ascii="仿宋" w:hAnsi="仿宋" w:eastAsia="仿宋"/>
          <w:sz w:val="32"/>
          <w:szCs w:val="32"/>
        </w:rPr>
        <w:t>水费、电费</w:t>
      </w:r>
      <w:r>
        <w:rPr>
          <w:rFonts w:hint="eastAsia" w:ascii="仿宋" w:hAnsi="仿宋" w:eastAsia="仿宋"/>
          <w:sz w:val="32"/>
          <w:szCs w:val="32"/>
          <w:lang w:eastAsia="zh-CN"/>
        </w:rPr>
        <w:t>、</w:t>
      </w:r>
      <w:r>
        <w:rPr>
          <w:rFonts w:hint="eastAsia" w:ascii="仿宋" w:hAnsi="仿宋" w:eastAsia="仿宋"/>
          <w:sz w:val="32"/>
          <w:szCs w:val="32"/>
        </w:rPr>
        <w:t>差旅费、</w:t>
      </w:r>
      <w:r>
        <w:rPr>
          <w:rFonts w:hint="eastAsia" w:ascii="仿宋" w:hAnsi="仿宋" w:eastAsia="仿宋"/>
          <w:sz w:val="32"/>
          <w:szCs w:val="32"/>
          <w:lang w:val="en-US" w:eastAsia="zh-CN"/>
        </w:rPr>
        <w:t>会议费、</w:t>
      </w:r>
      <w:r>
        <w:rPr>
          <w:rFonts w:hint="eastAsia" w:ascii="仿宋" w:hAnsi="仿宋" w:eastAsia="仿宋"/>
          <w:sz w:val="32"/>
          <w:szCs w:val="32"/>
        </w:rPr>
        <w:t>培训费、公务接待费、劳务费、等。</w:t>
      </w:r>
    </w:p>
    <w:p>
      <w:pPr>
        <w:spacing w:line="600" w:lineRule="exact"/>
        <w:ind w:firstLine="640"/>
        <w:outlineLvl w:val="1"/>
        <w:rPr>
          <w:rStyle w:val="30"/>
          <w:rFonts w:ascii="黑体" w:hAnsi="黑体" w:eastAsia="黑体"/>
          <w:b w:val="0"/>
        </w:rPr>
      </w:pPr>
      <w:bookmarkStart w:id="55" w:name="_Toc15396609"/>
      <w:bookmarkStart w:id="56" w:name="_Toc8042"/>
      <w:bookmarkStart w:id="57"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55"/>
      <w:bookmarkEnd w:id="56"/>
      <w:bookmarkEnd w:id="57"/>
    </w:p>
    <w:p>
      <w:pPr>
        <w:spacing w:line="600" w:lineRule="exact"/>
        <w:ind w:firstLine="640"/>
        <w:outlineLvl w:val="2"/>
        <w:rPr>
          <w:rFonts w:ascii="仿宋" w:hAnsi="仿宋" w:eastAsia="仿宋"/>
          <w:b/>
          <w:sz w:val="32"/>
          <w:szCs w:val="32"/>
        </w:rPr>
      </w:pPr>
      <w:bookmarkStart w:id="58" w:name="_Toc10782"/>
      <w:bookmarkStart w:id="59" w:name="_Toc15377216"/>
      <w:r>
        <w:rPr>
          <w:rFonts w:hint="eastAsia" w:ascii="仿宋" w:hAnsi="仿宋" w:eastAsia="仿宋"/>
          <w:b/>
          <w:sz w:val="32"/>
          <w:szCs w:val="32"/>
        </w:rPr>
        <w:t>（一）“三公”经费财政拨款支出决算总体情况说明</w:t>
      </w:r>
      <w:bookmarkEnd w:id="58"/>
      <w:bookmarkEnd w:id="5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0.16</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仿宋"/>
          <w:sz w:val="32"/>
          <w:szCs w:val="32"/>
        </w:rPr>
        <w:t>2021年本单位未单独填报决算，由系统统一填报部门决算，故无法对比。</w:t>
      </w:r>
    </w:p>
    <w:p>
      <w:pPr>
        <w:spacing w:line="600" w:lineRule="exact"/>
        <w:ind w:firstLine="640"/>
        <w:outlineLvl w:val="2"/>
        <w:rPr>
          <w:rFonts w:ascii="仿宋" w:hAnsi="仿宋" w:eastAsia="仿宋"/>
          <w:b/>
          <w:sz w:val="32"/>
          <w:szCs w:val="32"/>
        </w:rPr>
      </w:pPr>
      <w:bookmarkStart w:id="60" w:name="_Toc15377217"/>
      <w:bookmarkStart w:id="61" w:name="_Toc13130"/>
      <w:r>
        <w:rPr>
          <w:rFonts w:hint="eastAsia" w:ascii="仿宋" w:hAnsi="仿宋" w:eastAsia="仿宋"/>
          <w:b/>
          <w:sz w:val="32"/>
          <w:szCs w:val="32"/>
        </w:rPr>
        <w:t>（二）“三公”经费财政拨款支出决算具体情况说明</w:t>
      </w:r>
      <w:bookmarkEnd w:id="60"/>
      <w:bookmarkEnd w:id="61"/>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0.15</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16"/>
      </w:pPr>
      <w:r>
        <w:drawing>
          <wp:inline distT="0" distB="0" distL="114300" distR="114300">
            <wp:extent cx="4367530" cy="2303145"/>
            <wp:effectExtent l="4445" t="4445" r="17145" b="8890"/>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b/>
          <w:sz w:val="32"/>
          <w:szCs w:val="32"/>
          <w:lang w:val="en-US" w:eastAsia="zh-CN"/>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开支内容包括：…（团组名称、出访地点、取得成效）等。</w:t>
      </w:r>
    </w:p>
    <w:p>
      <w:pPr>
        <w:spacing w:line="600" w:lineRule="exact"/>
        <w:ind w:firstLine="640"/>
        <w:rPr>
          <w:rFonts w:hint="eastAsia" w:ascii="仿宋_GB2312" w:eastAsia="仿宋_GB2312"/>
          <w:b/>
          <w:sz w:val="32"/>
          <w:szCs w:val="32"/>
          <w:lang w:val="en-US" w:eastAsia="zh-CN"/>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b/>
          <w:sz w:val="32"/>
          <w:szCs w:val="32"/>
          <w:lang w:val="en-US" w:eastAsia="zh-CN"/>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b/>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万元，主要用于…。截至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b/>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b/>
          <w:sz w:val="32"/>
          <w:szCs w:val="32"/>
          <w:lang w:val="en-US" w:eastAsia="zh-CN"/>
        </w:rPr>
        <w:t>0.16</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 w:hAnsi="仿宋" w:eastAsia="仿宋" w:cs="仿宋"/>
          <w:sz w:val="32"/>
          <w:szCs w:val="32"/>
        </w:rPr>
        <w:t>2021年本单位未单独填报决算，由系统统一填报部门决算，故无法对比。</w:t>
      </w:r>
      <w:r>
        <w:rPr>
          <w:rFonts w:hint="eastAsia" w:ascii="仿宋_GB2312" w:eastAsia="仿宋_GB2312"/>
          <w:sz w:val="32"/>
          <w:szCs w:val="32"/>
        </w:rPr>
        <w:t>其中：</w:t>
      </w:r>
    </w:p>
    <w:p>
      <w:pPr>
        <w:spacing w:line="600" w:lineRule="exact"/>
        <w:ind w:firstLine="640"/>
        <w:rPr>
          <w:rFonts w:hint="eastAsia" w:ascii="仿宋_GB2312" w:eastAsia="仿宋_GB2312"/>
          <w:sz w:val="32"/>
          <w:szCs w:val="32"/>
          <w:lang w:eastAsia="zh-CN"/>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0.16</w:t>
      </w:r>
      <w:r>
        <w:rPr>
          <w:rFonts w:hint="eastAsia" w:ascii="仿宋_GB2312" w:eastAsia="仿宋_GB2312"/>
          <w:sz w:val="32"/>
          <w:szCs w:val="32"/>
        </w:rPr>
        <w:t>万元，主要用于开展业务活动开支住宿费、用餐费。国内公务接待</w:t>
      </w:r>
      <w:r>
        <w:rPr>
          <w:rFonts w:hint="eastAsia" w:ascii="仿宋_GB2312" w:eastAsia="仿宋_GB2312"/>
          <w:sz w:val="32"/>
          <w:szCs w:val="32"/>
          <w:lang w:val="en-US" w:eastAsia="zh-CN"/>
        </w:rPr>
        <w:t>3</w:t>
      </w:r>
      <w:r>
        <w:rPr>
          <w:rFonts w:hint="eastAsia" w:ascii="仿宋_GB2312" w:eastAsia="仿宋_GB2312"/>
          <w:sz w:val="32"/>
          <w:szCs w:val="32"/>
        </w:rPr>
        <w:t>批次，</w:t>
      </w:r>
      <w:r>
        <w:rPr>
          <w:rFonts w:hint="eastAsia" w:ascii="仿宋_GB2312" w:eastAsia="仿宋_GB2312"/>
          <w:sz w:val="32"/>
          <w:szCs w:val="32"/>
          <w:lang w:val="en-US" w:eastAsia="zh-CN"/>
        </w:rPr>
        <w:t>20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0.16</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Style w:val="30"/>
          <w:rFonts w:ascii="黑体" w:hAnsi="黑体" w:eastAsia="黑体"/>
        </w:rPr>
      </w:pPr>
      <w:bookmarkStart w:id="62" w:name="_Toc15377218"/>
      <w:bookmarkStart w:id="63" w:name="_Toc15396610"/>
      <w:bookmarkStart w:id="64" w:name="_Toc5982"/>
      <w:r>
        <w:rPr>
          <w:rFonts w:hint="eastAsia" w:ascii="黑体" w:eastAsia="黑体"/>
          <w:sz w:val="32"/>
          <w:szCs w:val="32"/>
        </w:rPr>
        <w:t>八、</w:t>
      </w:r>
      <w:r>
        <w:rPr>
          <w:rStyle w:val="30"/>
          <w:rFonts w:hint="eastAsia" w:ascii="黑体" w:hAnsi="黑体" w:eastAsia="黑体"/>
          <w:b w:val="0"/>
        </w:rPr>
        <w:t>政府性基金预算支出决算情况说明</w:t>
      </w:r>
      <w:bookmarkEnd w:id="62"/>
      <w:bookmarkEnd w:id="63"/>
      <w:bookmarkEnd w:id="64"/>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30"/>
          <w:rFonts w:ascii="黑体" w:hAnsi="黑体" w:eastAsia="黑体"/>
          <w:b w:val="0"/>
        </w:rPr>
      </w:pPr>
      <w:bookmarkStart w:id="65" w:name="_Toc14858"/>
      <w:bookmarkStart w:id="66" w:name="_Toc15377219"/>
      <w:bookmarkStart w:id="67" w:name="_Toc15396611"/>
      <w:r>
        <w:rPr>
          <w:rStyle w:val="30"/>
          <w:rFonts w:hint="eastAsia" w:ascii="黑体" w:hAnsi="黑体" w:eastAsia="黑体"/>
          <w:b w:val="0"/>
        </w:rPr>
        <w:t>国有资本经营预算支出决算情况说明</w:t>
      </w:r>
      <w:bookmarkEnd w:id="65"/>
      <w:bookmarkEnd w:id="66"/>
      <w:bookmarkEnd w:id="67"/>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30"/>
          <w:rFonts w:ascii="黑体" w:hAnsi="黑体" w:eastAsia="黑体"/>
          <w:b w:val="0"/>
        </w:rPr>
      </w:pPr>
      <w:bookmarkStart w:id="68" w:name="_Toc15419"/>
      <w:bookmarkStart w:id="69" w:name="_Toc15377221"/>
      <w:bookmarkStart w:id="70" w:name="_Toc15396612"/>
      <w:r>
        <w:rPr>
          <w:rStyle w:val="30"/>
          <w:rFonts w:hint="eastAsia" w:ascii="黑体" w:hAnsi="黑体" w:eastAsia="黑体"/>
          <w:b w:val="0"/>
        </w:rPr>
        <w:t>其他重要事项的情况说明</w:t>
      </w:r>
      <w:bookmarkEnd w:id="68"/>
      <w:bookmarkEnd w:id="69"/>
      <w:bookmarkEnd w:id="70"/>
    </w:p>
    <w:p>
      <w:pPr>
        <w:spacing w:line="600" w:lineRule="exact"/>
        <w:ind w:firstLine="643" w:firstLineChars="200"/>
        <w:outlineLvl w:val="2"/>
        <w:rPr>
          <w:rFonts w:ascii="仿宋" w:hAnsi="仿宋" w:eastAsia="仿宋"/>
          <w:sz w:val="32"/>
          <w:szCs w:val="32"/>
        </w:rPr>
      </w:pPr>
      <w:bookmarkStart w:id="71" w:name="_Toc15377222"/>
      <w:bookmarkStart w:id="72" w:name="_Toc12857"/>
      <w:r>
        <w:rPr>
          <w:rFonts w:hint="eastAsia" w:ascii="仿宋" w:hAnsi="仿宋" w:eastAsia="仿宋"/>
          <w:b/>
          <w:sz w:val="32"/>
          <w:szCs w:val="32"/>
        </w:rPr>
        <w:t>（一）机关运行经费支出情况</w:t>
      </w:r>
      <w:bookmarkEnd w:id="71"/>
      <w:bookmarkEnd w:id="72"/>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剑阁县普安镇中心卫生院</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本单位属于事业单位，无机关运行经费支出。</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3" w:name="_Toc15377223"/>
      <w:bookmarkStart w:id="74" w:name="_Toc26876"/>
      <w:r>
        <w:rPr>
          <w:rFonts w:hint="eastAsia" w:ascii="仿宋" w:hAnsi="仿宋" w:eastAsia="仿宋"/>
          <w:b/>
          <w:sz w:val="32"/>
          <w:szCs w:val="32"/>
        </w:rPr>
        <w:t>（二）政府采购支出情况</w:t>
      </w:r>
      <w:bookmarkEnd w:id="73"/>
      <w:bookmarkEnd w:id="74"/>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剑阁县普安镇中心卫生院</w:t>
      </w:r>
      <w:r>
        <w:rPr>
          <w:rFonts w:hint="eastAsia" w:ascii="仿宋_GB2312" w:eastAsia="仿宋_GB2312"/>
          <w:sz w:val="32"/>
          <w:szCs w:val="32"/>
        </w:rPr>
        <w:t>政府采购支出总额</w:t>
      </w:r>
      <w:r>
        <w:rPr>
          <w:rFonts w:hint="eastAsia" w:ascii="仿宋_GB2312" w:eastAsia="仿宋_GB2312"/>
          <w:sz w:val="32"/>
          <w:szCs w:val="32"/>
          <w:lang w:val="en-US" w:eastAsia="zh-CN"/>
        </w:rPr>
        <w:t>43.5</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43.5</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hint="eastAsia" w:ascii="仿宋_GB2312" w:eastAsia="仿宋_GB2312"/>
          <w:sz w:val="32"/>
          <w:szCs w:val="32"/>
          <w:lang w:val="en-US" w:eastAsia="zh-CN"/>
        </w:rPr>
        <w:t>医疗设备采购</w:t>
      </w:r>
      <w:r>
        <w:rPr>
          <w:rFonts w:hint="eastAsia" w:ascii="仿宋_GB2312" w:eastAsia="仿宋_GB2312"/>
          <w:sz w:val="32"/>
          <w:szCs w:val="32"/>
        </w:rPr>
        <w:t>。授予中小企业合同金额</w:t>
      </w:r>
      <w:r>
        <w:rPr>
          <w:rFonts w:hint="eastAsia" w:ascii="仿宋_GB2312" w:eastAsia="仿宋_GB2312"/>
          <w:sz w:val="32"/>
          <w:szCs w:val="32"/>
          <w:lang w:val="en-US" w:eastAsia="zh-CN"/>
        </w:rPr>
        <w:t>43.5</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43.5</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5" w:name="_Toc3884"/>
      <w:bookmarkStart w:id="76" w:name="_Toc15377224"/>
      <w:r>
        <w:rPr>
          <w:rFonts w:hint="eastAsia" w:ascii="仿宋" w:hAnsi="仿宋" w:eastAsia="仿宋"/>
          <w:b/>
          <w:sz w:val="32"/>
          <w:szCs w:val="32"/>
        </w:rPr>
        <w:t>（三）国有资产占有使用情况</w:t>
      </w:r>
      <w:bookmarkEnd w:id="75"/>
      <w:bookmarkEnd w:id="76"/>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剑阁县普安镇中心卫生院</w:t>
      </w:r>
      <w:r>
        <w:rPr>
          <w:rFonts w:hint="eastAsia" w:ascii="仿宋_GB2312" w:eastAsia="仿宋_GB2312"/>
          <w:sz w:val="32"/>
          <w:szCs w:val="32"/>
        </w:rPr>
        <w:t>共有车辆</w:t>
      </w:r>
      <w:r>
        <w:rPr>
          <w:rFonts w:hint="eastAsia" w:ascii="仿宋_GB2312" w:eastAsia="仿宋_GB2312"/>
          <w:sz w:val="32"/>
          <w:szCs w:val="32"/>
          <w:lang w:val="en-US" w:eastAsia="zh-CN"/>
        </w:rPr>
        <w:t>1</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1</w:t>
      </w:r>
      <w:r>
        <w:rPr>
          <w:rFonts w:hint="eastAsia" w:ascii="仿宋_GB2312" w:eastAsia="仿宋_GB2312"/>
          <w:sz w:val="32"/>
          <w:szCs w:val="32"/>
        </w:rPr>
        <w:t>辆，其他用车主要是用</w:t>
      </w:r>
      <w:r>
        <w:rPr>
          <w:rFonts w:hint="eastAsia" w:ascii="仿宋_GB2312" w:eastAsia="仿宋_GB2312"/>
          <w:sz w:val="32"/>
          <w:szCs w:val="32"/>
          <w:lang w:val="en-US" w:eastAsia="zh-CN"/>
        </w:rPr>
        <w:t>于护理及运送病员的特种车辆</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7" w:name="_Toc16163"/>
      <w:r>
        <w:rPr>
          <w:rFonts w:hint="eastAsia" w:ascii="仿宋" w:hAnsi="仿宋" w:eastAsia="仿宋"/>
          <w:b/>
          <w:sz w:val="32"/>
          <w:szCs w:val="32"/>
        </w:rPr>
        <w:t>（四）预算绩效管理情况</w:t>
      </w:r>
      <w:bookmarkEnd w:id="77"/>
    </w:p>
    <w:p>
      <w:pPr>
        <w:pStyle w:val="5"/>
        <w:spacing w:before="93"/>
        <w:ind w:firstLine="640" w:firstLineChars="200"/>
        <w:rPr>
          <w:rFonts w:ascii="仿宋_GB2312" w:eastAsia="仿宋_GB2312"/>
          <w:b/>
          <w:sz w:val="32"/>
          <w:szCs w:val="32"/>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eastAsia="zh-CN"/>
        </w:rPr>
        <w:t>“</w:t>
      </w:r>
      <w:r>
        <w:rPr>
          <w:rFonts w:hint="eastAsia" w:hAnsi="仿宋_GB2312" w:cs="仿宋_GB2312"/>
          <w:sz w:val="32"/>
          <w:szCs w:val="32"/>
          <w:lang w:val="en-US" w:eastAsia="zh-CN"/>
        </w:rPr>
        <w:t>院对院</w:t>
      </w:r>
      <w:r>
        <w:rPr>
          <w:rFonts w:hint="eastAsia" w:hAnsi="仿宋_GB2312" w:cs="仿宋_GB2312"/>
          <w:sz w:val="32"/>
          <w:szCs w:val="32"/>
          <w:lang w:eastAsia="zh-CN"/>
        </w:rPr>
        <w:t>”</w:t>
      </w:r>
      <w:r>
        <w:rPr>
          <w:rFonts w:hint="eastAsia" w:hAnsi="仿宋_GB2312" w:cs="仿宋_GB2312"/>
          <w:sz w:val="32"/>
          <w:szCs w:val="32"/>
          <w:lang w:val="en-US" w:eastAsia="zh-CN"/>
        </w:rPr>
        <w:t>结对帮扶1</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1</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1</w:t>
      </w:r>
      <w:r>
        <w:rPr>
          <w:rFonts w:hint="eastAsia" w:hAnsi="仿宋_GB2312" w:cs="仿宋_GB2312"/>
          <w:sz w:val="32"/>
          <w:szCs w:val="32"/>
        </w:rPr>
        <w:t>个项目开展绩效监控，组织对</w:t>
      </w:r>
      <w:r>
        <w:rPr>
          <w:rFonts w:hint="eastAsia" w:hAnsi="仿宋_GB2312" w:cs="仿宋_GB2312"/>
          <w:sz w:val="32"/>
          <w:szCs w:val="32"/>
          <w:lang w:val="en-US" w:eastAsia="zh-CN"/>
        </w:rPr>
        <w:t>1</w:t>
      </w:r>
      <w:r>
        <w:rPr>
          <w:rFonts w:hint="eastAsia" w:hAnsi="仿宋_GB2312" w:cs="仿宋_GB2312"/>
          <w:sz w:val="32"/>
          <w:szCs w:val="32"/>
        </w:rPr>
        <w:t>个项目开展绩效自评，绩效自评表详见第四部分附件。</w:t>
      </w:r>
    </w:p>
    <w:p>
      <w:pPr>
        <w:numPr>
          <w:ilvl w:val="0"/>
          <w:numId w:val="4"/>
        </w:numPr>
        <w:spacing w:line="600" w:lineRule="exact"/>
        <w:ind w:firstLine="660" w:firstLineChars="150"/>
        <w:jc w:val="center"/>
        <w:outlineLvl w:val="0"/>
        <w:rPr>
          <w:rFonts w:ascii="宋体"/>
          <w:b/>
          <w:sz w:val="44"/>
          <w:szCs w:val="44"/>
        </w:rPr>
      </w:pPr>
      <w:bookmarkStart w:id="78" w:name="_Toc15396613"/>
      <w:bookmarkStart w:id="79" w:name="_Toc468"/>
      <w:bookmarkStart w:id="80" w:name="_Toc15377225"/>
      <w:r>
        <w:rPr>
          <w:rFonts w:hint="eastAsia" w:ascii="黑体" w:hAnsi="黑体" w:eastAsia="黑体"/>
          <w:sz w:val="44"/>
          <w:szCs w:val="44"/>
        </w:rPr>
        <w:t>名</w:t>
      </w:r>
      <w:r>
        <w:rPr>
          <w:rStyle w:val="29"/>
          <w:rFonts w:hint="eastAsia" w:ascii="黑体" w:hAnsi="黑体" w:eastAsia="黑体"/>
          <w:b w:val="0"/>
        </w:rPr>
        <w:t>词解释</w:t>
      </w:r>
      <w:bookmarkEnd w:id="78"/>
      <w:bookmarkEnd w:id="79"/>
      <w:bookmarkEnd w:id="80"/>
    </w:p>
    <w:p>
      <w:pPr>
        <w:numPr>
          <w:ilvl w:val="0"/>
          <w:numId w:val="5"/>
        </w:numPr>
        <w:spacing w:line="600" w:lineRule="exact"/>
        <w:jc w:val="left"/>
        <w:outlineLvl w:val="0"/>
        <w:rPr>
          <w:rFonts w:ascii="宋体" w:hAnsi="宋体" w:eastAsia="宋体" w:cs="宋体"/>
          <w:sz w:val="24"/>
          <w:szCs w:val="24"/>
        </w:rPr>
      </w:pPr>
      <w:bookmarkStart w:id="81" w:name="_Toc15396614"/>
      <w:bookmarkStart w:id="82" w:name="_Toc21362"/>
      <w:bookmarkStart w:id="83" w:name="_Toc15377226"/>
      <w:r>
        <w:rPr>
          <w:rFonts w:hint="eastAsia" w:ascii="仿宋" w:hAnsi="仿宋" w:eastAsia="仿宋" w:cs="仿宋"/>
          <w:sz w:val="32"/>
          <w:szCs w:val="32"/>
        </w:rPr>
        <w:t>财政拨款收入：指单位从同级财政部门取得的财政预算资金。</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事业收入：指事业单位开展专业业务活动及辅助活动取得的收入。</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其他收入：指单位取得的除上述收入以外的各项收入。</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社会保障和就业（类）行政事业单位养老支出（款）机关事业单位基本养老保险缴费支出（项）: 指部门实施养老保险制度由单位缴纳的养老保险费的支出。</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卫生健康支出（类）基层医疗卫生机构（款）乡镇卫生院（项）:反映用于乡镇卫生院的支出。</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卫生健康支出（类）基层医疗卫生机构（款）其他基层医疗卫生机构支出（项）:反映除上述项目以外的其他用于基层医疗卫生机构的支出</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卫生健康支出（类）公共卫生（款）基本公共卫生服务（项）:反映基本公共卫生服务支出。</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卫生健康支出（类）行政事业单位医疗（款）事业单位医疗（项）:指事业单位用于缴纳单位基本医疗保险支出。</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卫生健康支出（类）其他卫生健康支出（款）其他卫生健康支出（项）:反映除上述项目以外其他用于卫生健康方面的支出。</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农林水支出（类）巩固脱贫衔接乡村振兴（款）社会发展（项）:反映用于农村欠发达地区中小学教育、文化、广播、电视、卫生健康等方面的项目支出。</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住房保障支出（类）住房改革支出（款）住房公积金（项）:反映行政事业单位按人力资源和社会保障部、财政部规定的基本工资和津贴补贴以及规定比例为职工缴纳的住房公积金。</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基本支出：指为保障机构正常运转、完成日常工作任务而发生的人员支出和公用支出。</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项目支出：指在基本支出之外为完成特定行政任务和事业发展目标所发生的支出。 </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5"/>
        <w:numPr>
          <w:ilvl w:val="0"/>
          <w:numId w:val="4"/>
        </w:numPr>
        <w:spacing w:line="578" w:lineRule="exact"/>
        <w:ind w:left="0" w:leftChars="0" w:firstLine="660" w:firstLineChars="150"/>
        <w:jc w:val="center"/>
        <w:rPr>
          <w:rStyle w:val="29"/>
          <w:rFonts w:hint="eastAsia" w:ascii="黑体" w:hAnsi="黑体" w:eastAsia="黑体"/>
          <w:b w:val="0"/>
        </w:rPr>
      </w:pPr>
      <w:r>
        <w:rPr>
          <w:rStyle w:val="29"/>
          <w:rFonts w:hint="eastAsia" w:ascii="黑体" w:hAnsi="黑体" w:eastAsia="黑体"/>
          <w:b w:val="0"/>
        </w:rPr>
        <w:t>附件</w:t>
      </w:r>
      <w:bookmarkEnd w:id="81"/>
      <w:bookmarkEnd w:id="82"/>
    </w:p>
    <w:p>
      <w:pPr>
        <w:pStyle w:val="35"/>
        <w:numPr>
          <w:ilvl w:val="0"/>
          <w:numId w:val="0"/>
        </w:numPr>
        <w:spacing w:line="578" w:lineRule="exact"/>
        <w:ind w:leftChars="150" w:firstLine="1325" w:firstLineChars="300"/>
        <w:jc w:val="both"/>
        <w:rPr>
          <w:rFonts w:hint="eastAsia" w:ascii="仿宋" w:hAnsi="仿宋" w:eastAsia="仿宋" w:cs="仿宋"/>
          <w:b/>
          <w:bCs/>
          <w:color w:val="auto"/>
          <w:kern w:val="2"/>
          <w:sz w:val="44"/>
          <w:szCs w:val="44"/>
          <w:lang w:val="en-US"/>
        </w:rPr>
      </w:pPr>
      <w:r>
        <w:rPr>
          <w:rFonts w:hint="eastAsia" w:ascii="仿宋" w:hAnsi="仿宋" w:eastAsia="仿宋" w:cs="仿宋"/>
          <w:b/>
          <w:bCs/>
          <w:color w:val="auto"/>
          <w:kern w:val="2"/>
          <w:sz w:val="44"/>
          <w:szCs w:val="44"/>
          <w:lang w:val="en-US"/>
        </w:rPr>
        <w:t>剑阁县</w:t>
      </w:r>
      <w:r>
        <w:rPr>
          <w:rFonts w:hint="eastAsia" w:ascii="仿宋" w:hAnsi="仿宋" w:eastAsia="仿宋" w:cs="仿宋"/>
          <w:b/>
          <w:bCs/>
          <w:color w:val="auto"/>
          <w:kern w:val="2"/>
          <w:sz w:val="44"/>
          <w:szCs w:val="44"/>
          <w:lang w:val="en-US" w:eastAsia="zh-CN"/>
        </w:rPr>
        <w:t>普安</w:t>
      </w:r>
      <w:r>
        <w:rPr>
          <w:rFonts w:hint="eastAsia" w:ascii="仿宋" w:hAnsi="仿宋" w:eastAsia="仿宋" w:cs="仿宋"/>
          <w:b/>
          <w:bCs/>
          <w:color w:val="auto"/>
          <w:kern w:val="2"/>
          <w:sz w:val="44"/>
          <w:szCs w:val="44"/>
          <w:lang w:val="en-US"/>
        </w:rPr>
        <w:t>镇中心卫生院</w:t>
      </w:r>
    </w:p>
    <w:p>
      <w:pPr>
        <w:pStyle w:val="35"/>
        <w:spacing w:line="578" w:lineRule="exact"/>
        <w:jc w:val="center"/>
        <w:rPr>
          <w:rFonts w:hint="eastAsia" w:ascii="仿宋" w:hAnsi="仿宋" w:eastAsia="仿宋" w:cs="仿宋"/>
          <w:b/>
          <w:bCs/>
          <w:color w:val="auto"/>
          <w:kern w:val="2"/>
          <w:sz w:val="44"/>
          <w:szCs w:val="44"/>
          <w:lang w:val="en-US"/>
        </w:rPr>
      </w:pPr>
      <w:r>
        <w:rPr>
          <w:rFonts w:hint="eastAsia" w:ascii="仿宋" w:hAnsi="仿宋" w:eastAsia="仿宋" w:cs="仿宋"/>
          <w:b/>
          <w:bCs/>
          <w:color w:val="auto"/>
          <w:kern w:val="2"/>
          <w:sz w:val="44"/>
          <w:szCs w:val="44"/>
          <w:lang w:val="en-US"/>
        </w:rPr>
        <w:t>2022年专项资金预算项目绩效自评报告</w:t>
      </w:r>
    </w:p>
    <w:p>
      <w:pPr>
        <w:pStyle w:val="35"/>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项目概况</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“院对院”结对帮扶，提升基层医疗卫生机构服务能力。重点说明以下内容：</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（一）项目资金申报及批复情况。</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项目资金申报严格按照上级要求来确定资金标准，资金批复按照流程一级上报一级。</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sz w:val="32"/>
          <w:szCs w:val="32"/>
        </w:rPr>
        <w:t>（二）</w:t>
      </w:r>
      <w:r>
        <w:rPr>
          <w:rFonts w:hint="eastAsia" w:ascii="仿宋_GB2312" w:hAnsi="仿宋_GB2312" w:eastAsia="仿宋_GB2312" w:cs="仿宋_GB2312"/>
          <w:b/>
          <w:bCs/>
          <w:sz w:val="32"/>
          <w:szCs w:val="32"/>
        </w:rPr>
        <w:t>项目绩效目标。</w:t>
      </w:r>
    </w:p>
    <w:p>
      <w:pPr>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“院对院”结对帮扶，通过医院间的交流与帮扶，旨在提升基层医疗卫生机构服务能力。作为此次对口帮扶基层医疗卫生机构，质量上任务完成覆盖率100%，且在一年内完成，满意度达95%。</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（三）项目资金申报相符性。</w:t>
      </w:r>
    </w:p>
    <w:p>
      <w:pPr>
        <w:ind w:left="-442"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zh-CN"/>
        </w:rPr>
        <w:t>严格按照要求申报资金，相关</w:t>
      </w:r>
      <w:r>
        <w:rPr>
          <w:rFonts w:hint="eastAsia" w:ascii="仿宋_GB2312" w:hAnsi="仿宋_GB2312" w:eastAsia="仿宋_GB2312" w:cs="仿宋_GB2312"/>
          <w:bCs/>
          <w:sz w:val="32"/>
          <w:szCs w:val="32"/>
        </w:rPr>
        <w:t>资料真实合理。</w:t>
      </w:r>
    </w:p>
    <w:p>
      <w:pPr>
        <w:adjustRightInd w:val="0"/>
        <w:snapToGrid w:val="0"/>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二、项目实施及管理情况</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（一）资金计划、到位及使用情况。</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1．资金计划及到位。2022年财政下达“院对院”结对帮扶资金2万元，于2022年12月31日前已全部用于“院对院”结对帮扶项目中。</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2．资金使用。财政审核已审核</w:t>
      </w:r>
      <w:r>
        <w:rPr>
          <w:rFonts w:hint="eastAsia" w:ascii="仿宋_GB2312" w:hAnsi="仿宋_GB2312" w:eastAsia="仿宋_GB2312" w:cs="仿宋_GB2312"/>
          <w:sz w:val="32"/>
          <w:szCs w:val="32"/>
          <w:lang w:val="zh-CN"/>
        </w:rPr>
        <w:t>资金及时足额发放，到位率100%,支付合规合法，资金支付与预算相符。</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（二）项目财务管理情况。</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严格执行政府财务管理制度、财务处理及时、会计核算规范</w:t>
      </w:r>
      <w:r>
        <w:rPr>
          <w:rFonts w:hint="eastAsia" w:ascii="仿宋_GB2312" w:hAnsi="仿宋_GB2312" w:eastAsia="仿宋_GB2312" w:cs="仿宋_GB2312"/>
          <w:sz w:val="32"/>
          <w:szCs w:val="32"/>
        </w:rPr>
        <w:t>。</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（三）项目组织实施情况。</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资金按时按量支付到位。</w:t>
      </w:r>
    </w:p>
    <w:p>
      <w:pPr>
        <w:adjustRightInd w:val="0"/>
        <w:snapToGrid w:val="0"/>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三、项目绩效情况</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（一）项目完成情况。</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剑阁县普安镇中心卫生院</w:t>
      </w:r>
      <w:r>
        <w:rPr>
          <w:rFonts w:hint="eastAsia" w:ascii="仿宋_GB2312" w:hAnsi="仿宋_GB2312" w:eastAsia="仿宋_GB2312" w:cs="仿宋_GB2312"/>
          <w:sz w:val="32"/>
          <w:szCs w:val="32"/>
        </w:rPr>
        <w:t>2022年“院对院”结对帮扶资金2万元，于2022年12月31日前已全部用于“院对院”结对帮扶项目中。</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（二）项目效益情况。</w:t>
      </w:r>
    </w:p>
    <w:p>
      <w:pPr>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zh-CN"/>
        </w:rPr>
        <w:t>服务对象满意度达95%以上</w:t>
      </w:r>
      <w:r>
        <w:rPr>
          <w:rFonts w:hint="eastAsia" w:ascii="仿宋_GB2312" w:hAnsi="仿宋_GB2312" w:eastAsia="仿宋_GB2312" w:cs="仿宋_GB2312"/>
          <w:sz w:val="32"/>
          <w:szCs w:val="32"/>
        </w:rPr>
        <w:t>。</w:t>
      </w:r>
    </w:p>
    <w:p>
      <w:pPr>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四、问题及建议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（一）存在的问题。</w:t>
      </w:r>
    </w:p>
    <w:p>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无。</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（二）相关建议。</w:t>
      </w:r>
    </w:p>
    <w:p>
      <w:pPr>
        <w:spacing w:line="4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numPr>
          <w:ilvl w:val="0"/>
          <w:numId w:val="0"/>
        </w:numPr>
        <w:spacing w:line="600" w:lineRule="exact"/>
        <w:ind w:firstLine="2640" w:firstLineChars="600"/>
        <w:jc w:val="left"/>
        <w:outlineLvl w:val="0"/>
        <w:rPr>
          <w:rStyle w:val="29"/>
          <w:rFonts w:ascii="黑体" w:hAnsi="黑体" w:eastAsia="黑体"/>
          <w:b w:val="0"/>
        </w:rPr>
      </w:pPr>
    </w:p>
    <w:p>
      <w:pPr>
        <w:spacing w:line="572" w:lineRule="exact"/>
        <w:jc w:val="left"/>
        <w:outlineLvl w:val="0"/>
        <w:rPr>
          <w:rFonts w:ascii="仿宋_GB2312" w:hAnsi="仿宋_GB2312" w:eastAsia="仿宋_GB2312" w:cs="仿宋_GB2312"/>
          <w:sz w:val="32"/>
          <w:szCs w:val="32"/>
        </w:rPr>
      </w:pPr>
    </w:p>
    <w:tbl>
      <w:tblPr>
        <w:tblStyle w:val="1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4"/>
        <w:gridCol w:w="769"/>
        <w:gridCol w:w="615"/>
        <w:gridCol w:w="653"/>
        <w:gridCol w:w="454"/>
        <w:gridCol w:w="435"/>
        <w:gridCol w:w="454"/>
        <w:gridCol w:w="943"/>
        <w:gridCol w:w="496"/>
        <w:gridCol w:w="415"/>
        <w:gridCol w:w="24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84"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51082322T000007030163-“院对院”结对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剑阁县卫生健康局部门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剑阁县普安镇中心卫生院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spacing w:line="600" w:lineRule="exact"/>
        <w:jc w:val="left"/>
        <w:outlineLvl w:val="0"/>
        <w:rPr>
          <w:rFonts w:ascii="仿宋_GB2312" w:hAnsi="Calibri" w:eastAsia="仿宋_GB2312" w:cs="仿宋"/>
          <w:kern w:val="0"/>
          <w:sz w:val="32"/>
          <w:szCs w:val="32"/>
        </w:rPr>
      </w:pPr>
    </w:p>
    <w:p>
      <w:pPr>
        <w:ind w:firstLine="640" w:firstLineChars="200"/>
        <w:jc w:val="left"/>
        <w:rPr>
          <w:rFonts w:hint="eastAsia" w:ascii="仿宋_GB2312" w:hAnsi="Calibri" w:eastAsia="仿宋_GB2312" w:cs="仿宋"/>
          <w:kern w:val="0"/>
          <w:sz w:val="32"/>
          <w:szCs w:val="32"/>
        </w:rPr>
      </w:pPr>
      <w:bookmarkStart w:id="85" w:name="_Toc8425"/>
    </w:p>
    <w:bookmarkEnd w:id="85"/>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both"/>
        <w:outlineLvl w:val="0"/>
        <w:rPr>
          <w:rFonts w:hint="eastAsia" w:ascii="黑体" w:hAnsi="黑体" w:eastAsia="黑体"/>
          <w:sz w:val="44"/>
          <w:szCs w:val="44"/>
        </w:rPr>
      </w:pPr>
    </w:p>
    <w:p>
      <w:pPr>
        <w:spacing w:line="600" w:lineRule="exact"/>
        <w:ind w:firstLine="2640" w:firstLineChars="600"/>
        <w:jc w:val="both"/>
        <w:outlineLvl w:val="0"/>
        <w:rPr>
          <w:rFonts w:ascii="仿宋" w:hAnsi="仿宋" w:eastAsia="仿宋"/>
        </w:rPr>
      </w:pPr>
      <w:bookmarkStart w:id="86" w:name="_Toc23540"/>
      <w:r>
        <w:rPr>
          <w:rFonts w:hint="eastAsia" w:ascii="黑体" w:hAnsi="黑体" w:eastAsia="黑体"/>
          <w:sz w:val="44"/>
          <w:szCs w:val="44"/>
        </w:rPr>
        <w:t>第</w:t>
      </w:r>
      <w:r>
        <w:rPr>
          <w:rStyle w:val="29"/>
          <w:rFonts w:hint="eastAsia" w:ascii="黑体" w:hAnsi="黑体" w:eastAsia="黑体"/>
          <w:b w:val="0"/>
        </w:rPr>
        <w:t>五部分 附表</w:t>
      </w:r>
      <w:bookmarkEnd w:id="83"/>
      <w:bookmarkEnd w:id="84"/>
      <w:bookmarkEnd w:id="86"/>
      <w:bookmarkStart w:id="87" w:name="_Toc15396619"/>
    </w:p>
    <w:p>
      <w:pPr>
        <w:pStyle w:val="3"/>
        <w:rPr>
          <w:rFonts w:ascii="仿宋" w:hAnsi="仿宋" w:eastAsia="仿宋"/>
        </w:rPr>
      </w:pPr>
      <w:bookmarkStart w:id="88" w:name="_Toc23808"/>
      <w:r>
        <w:rPr>
          <w:rFonts w:hint="eastAsia" w:ascii="仿宋" w:hAnsi="仿宋" w:eastAsia="仿宋"/>
          <w:b w:val="0"/>
        </w:rPr>
        <w:t>一、收</w:t>
      </w:r>
      <w:r>
        <w:rPr>
          <w:rStyle w:val="30"/>
          <w:rFonts w:hint="eastAsia" w:ascii="仿宋" w:hAnsi="仿宋" w:eastAsia="仿宋"/>
          <w:b w:val="0"/>
          <w:bCs w:val="0"/>
        </w:rPr>
        <w:t>入支出决算总表</w:t>
      </w:r>
      <w:bookmarkEnd w:id="87"/>
      <w:bookmarkEnd w:id="88"/>
    </w:p>
    <w:p>
      <w:pPr>
        <w:pStyle w:val="3"/>
        <w:rPr>
          <w:rFonts w:ascii="仿宋" w:hAnsi="仿宋" w:eastAsia="仿宋"/>
        </w:rPr>
      </w:pPr>
      <w:bookmarkStart w:id="89" w:name="_Toc30213"/>
      <w:bookmarkStart w:id="90" w:name="_Toc15396620"/>
      <w:r>
        <w:rPr>
          <w:rFonts w:hint="eastAsia" w:ascii="仿宋" w:hAnsi="仿宋" w:eastAsia="仿宋"/>
          <w:b w:val="0"/>
        </w:rPr>
        <w:t>二、收</w:t>
      </w:r>
      <w:r>
        <w:rPr>
          <w:rStyle w:val="30"/>
          <w:rFonts w:hint="eastAsia" w:ascii="仿宋" w:hAnsi="仿宋" w:eastAsia="仿宋"/>
          <w:b w:val="0"/>
          <w:bCs w:val="0"/>
        </w:rPr>
        <w:t>入决算表</w:t>
      </w:r>
      <w:bookmarkEnd w:id="89"/>
      <w:bookmarkEnd w:id="90"/>
    </w:p>
    <w:p>
      <w:pPr>
        <w:pStyle w:val="3"/>
        <w:rPr>
          <w:rFonts w:ascii="仿宋" w:hAnsi="仿宋" w:eastAsia="仿宋"/>
        </w:rPr>
      </w:pPr>
      <w:bookmarkStart w:id="91" w:name="_Toc15396621"/>
      <w:bookmarkStart w:id="92" w:name="_Toc32363"/>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91"/>
      <w:bookmarkEnd w:id="92"/>
    </w:p>
    <w:p>
      <w:pPr>
        <w:pStyle w:val="3"/>
        <w:rPr>
          <w:rFonts w:ascii="仿宋" w:hAnsi="仿宋" w:eastAsia="仿宋"/>
          <w:b w:val="0"/>
        </w:rPr>
      </w:pPr>
      <w:bookmarkStart w:id="93" w:name="_Toc15396622"/>
      <w:bookmarkStart w:id="94" w:name="_Toc13068"/>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93"/>
      <w:bookmarkEnd w:id="94"/>
    </w:p>
    <w:p>
      <w:pPr>
        <w:pStyle w:val="3"/>
        <w:rPr>
          <w:rStyle w:val="30"/>
          <w:rFonts w:ascii="仿宋" w:hAnsi="仿宋" w:eastAsia="仿宋"/>
          <w:b w:val="0"/>
          <w:bCs w:val="0"/>
        </w:rPr>
      </w:pPr>
      <w:bookmarkStart w:id="95" w:name="_Toc4894"/>
      <w:bookmarkStart w:id="96"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95"/>
      <w:bookmarkEnd w:id="96"/>
      <w:bookmarkStart w:id="97" w:name="_Toc15396624"/>
    </w:p>
    <w:p>
      <w:pPr>
        <w:pStyle w:val="3"/>
        <w:rPr>
          <w:rFonts w:ascii="仿宋" w:hAnsi="仿宋" w:eastAsia="仿宋"/>
        </w:rPr>
      </w:pPr>
      <w:bookmarkStart w:id="98" w:name="_Toc694"/>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97"/>
      <w:bookmarkEnd w:id="98"/>
    </w:p>
    <w:p>
      <w:pPr>
        <w:pStyle w:val="3"/>
        <w:rPr>
          <w:rFonts w:ascii="仿宋" w:hAnsi="仿宋" w:eastAsia="仿宋"/>
        </w:rPr>
      </w:pPr>
      <w:bookmarkStart w:id="99" w:name="_Toc15396625"/>
      <w:bookmarkStart w:id="100" w:name="_Toc1010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99"/>
      <w:bookmarkEnd w:id="100"/>
    </w:p>
    <w:p>
      <w:pPr>
        <w:pStyle w:val="3"/>
        <w:rPr>
          <w:rFonts w:ascii="仿宋" w:hAnsi="仿宋" w:eastAsia="仿宋"/>
        </w:rPr>
      </w:pPr>
      <w:bookmarkStart w:id="101" w:name="_Toc13757"/>
      <w:bookmarkStart w:id="102"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101"/>
      <w:bookmarkEnd w:id="102"/>
    </w:p>
    <w:p>
      <w:pPr>
        <w:pStyle w:val="3"/>
        <w:rPr>
          <w:rFonts w:ascii="仿宋" w:hAnsi="仿宋" w:eastAsia="仿宋"/>
        </w:rPr>
      </w:pPr>
      <w:bookmarkStart w:id="103" w:name="_Toc15396627"/>
      <w:bookmarkStart w:id="104" w:name="_Toc20413"/>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103"/>
      <w:bookmarkEnd w:id="104"/>
    </w:p>
    <w:p>
      <w:pPr>
        <w:pStyle w:val="3"/>
        <w:rPr>
          <w:rFonts w:ascii="仿宋" w:hAnsi="仿宋" w:eastAsia="仿宋"/>
        </w:rPr>
      </w:pPr>
      <w:bookmarkStart w:id="105" w:name="_Toc15396628"/>
      <w:bookmarkStart w:id="106" w:name="_Toc17415"/>
      <w:r>
        <w:rPr>
          <w:rStyle w:val="30"/>
          <w:rFonts w:hint="eastAsia" w:ascii="仿宋" w:hAnsi="仿宋" w:eastAsia="仿宋"/>
          <w:b w:val="0"/>
          <w:bCs w:val="0"/>
        </w:rPr>
        <w:t>十、</w:t>
      </w:r>
      <w:bookmarkEnd w:id="105"/>
      <w:r>
        <w:rPr>
          <w:rFonts w:hint="eastAsia" w:ascii="仿宋" w:hAnsi="仿宋" w:eastAsia="仿宋"/>
          <w:b w:val="0"/>
        </w:rPr>
        <w:t>政</w:t>
      </w:r>
      <w:r>
        <w:rPr>
          <w:rStyle w:val="30"/>
          <w:rFonts w:hint="eastAsia" w:ascii="仿宋" w:hAnsi="仿宋" w:eastAsia="仿宋"/>
          <w:b w:val="0"/>
          <w:bCs w:val="0"/>
        </w:rPr>
        <w:t>府性基金预算财政拨款收入支出决算表</w:t>
      </w:r>
      <w:bookmarkEnd w:id="106"/>
    </w:p>
    <w:p>
      <w:pPr>
        <w:pStyle w:val="3"/>
        <w:rPr>
          <w:rFonts w:ascii="仿宋" w:hAnsi="仿宋" w:eastAsia="仿宋"/>
        </w:rPr>
      </w:pPr>
      <w:bookmarkStart w:id="107" w:name="_Toc15396629"/>
      <w:bookmarkStart w:id="108" w:name="_Toc11833"/>
      <w:r>
        <w:rPr>
          <w:rStyle w:val="30"/>
          <w:rFonts w:hint="eastAsia" w:ascii="仿宋" w:hAnsi="仿宋" w:eastAsia="仿宋"/>
          <w:b w:val="0"/>
          <w:bCs w:val="0"/>
        </w:rPr>
        <w:t>十一、</w:t>
      </w:r>
      <w:bookmarkEnd w:id="107"/>
      <w:r>
        <w:rPr>
          <w:rFonts w:hint="eastAsia" w:ascii="仿宋" w:hAnsi="仿宋" w:eastAsia="仿宋"/>
          <w:b w:val="0"/>
        </w:rPr>
        <w:t>国</w:t>
      </w:r>
      <w:r>
        <w:rPr>
          <w:rStyle w:val="30"/>
          <w:rFonts w:hint="eastAsia" w:ascii="仿宋" w:hAnsi="仿宋" w:eastAsia="仿宋"/>
          <w:b w:val="0"/>
          <w:bCs w:val="0"/>
        </w:rPr>
        <w:t>有资本经营预算财政拨款收入支出决算表</w:t>
      </w:r>
      <w:bookmarkEnd w:id="108"/>
    </w:p>
    <w:p>
      <w:pPr>
        <w:pStyle w:val="3"/>
        <w:rPr>
          <w:rFonts w:ascii="仿宋" w:hAnsi="仿宋" w:eastAsia="仿宋"/>
        </w:rPr>
      </w:pPr>
      <w:bookmarkStart w:id="109" w:name="_Toc15396630"/>
      <w:bookmarkStart w:id="110" w:name="_Toc12452"/>
      <w:r>
        <w:rPr>
          <w:rStyle w:val="30"/>
          <w:rFonts w:hint="eastAsia" w:ascii="仿宋" w:hAnsi="仿宋" w:eastAsia="仿宋"/>
          <w:b w:val="0"/>
          <w:bCs w:val="0"/>
        </w:rPr>
        <w:t>十二、</w:t>
      </w:r>
      <w:bookmarkEnd w:id="109"/>
      <w:r>
        <w:rPr>
          <w:rStyle w:val="30"/>
          <w:rFonts w:hint="eastAsia" w:ascii="仿宋" w:hAnsi="仿宋" w:eastAsia="仿宋"/>
          <w:b w:val="0"/>
          <w:bCs w:val="0"/>
        </w:rPr>
        <w:t>国有资本经营预算财政拨款支出决算表</w:t>
      </w:r>
      <w:bookmarkEnd w:id="110"/>
    </w:p>
    <w:p>
      <w:pPr>
        <w:pStyle w:val="3"/>
        <w:rPr>
          <w:rFonts w:eastAsia="仿宋"/>
        </w:rPr>
      </w:pPr>
      <w:bookmarkStart w:id="111" w:name="_Toc15396631"/>
      <w:bookmarkStart w:id="112" w:name="_Toc25552"/>
      <w:r>
        <w:rPr>
          <w:rStyle w:val="30"/>
          <w:rFonts w:hint="eastAsia" w:ascii="仿宋" w:hAnsi="仿宋" w:eastAsia="仿宋"/>
          <w:b w:val="0"/>
          <w:bCs w:val="0"/>
        </w:rPr>
        <w:t>十三、</w:t>
      </w:r>
      <w:bookmarkEnd w:id="111"/>
      <w:r>
        <w:rPr>
          <w:rStyle w:val="30"/>
          <w:rFonts w:hint="eastAsia" w:ascii="仿宋" w:hAnsi="仿宋" w:eastAsia="仿宋"/>
          <w:b w:val="0"/>
          <w:bCs w:val="0"/>
        </w:rPr>
        <w:t>财政拨款“三公”经费支出决算表</w:t>
      </w:r>
      <w:bookmarkEnd w:id="11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3FA7FBB"/>
    <w:multiLevelType w:val="singleLevel"/>
    <w:tmpl w:val="13FA7FBB"/>
    <w:lvl w:ilvl="0" w:tentative="0">
      <w:start w:val="1"/>
      <w:numFmt w:val="decimal"/>
      <w:lvlText w:val="%1."/>
      <w:lvlJc w:val="left"/>
      <w:pPr>
        <w:tabs>
          <w:tab w:val="left" w:pos="312"/>
        </w:tabs>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ZjZhOThhOGZiYzQwNWYwZTFhMmI3MTU3Nzg2Nj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23EB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4A57"/>
    <w:rsid w:val="00F754A1"/>
    <w:rsid w:val="00F81FD9"/>
    <w:rsid w:val="00F841AA"/>
    <w:rsid w:val="00F84A94"/>
    <w:rsid w:val="00F87E96"/>
    <w:rsid w:val="00FA23E8"/>
    <w:rsid w:val="00FD3CC1"/>
    <w:rsid w:val="00FF1E02"/>
    <w:rsid w:val="00FF30B4"/>
    <w:rsid w:val="01B14C06"/>
    <w:rsid w:val="020C62E0"/>
    <w:rsid w:val="02994018"/>
    <w:rsid w:val="03351867"/>
    <w:rsid w:val="0414147C"/>
    <w:rsid w:val="04CE3D21"/>
    <w:rsid w:val="053A62B5"/>
    <w:rsid w:val="05663F59"/>
    <w:rsid w:val="058F525E"/>
    <w:rsid w:val="06AB60C8"/>
    <w:rsid w:val="06C245DA"/>
    <w:rsid w:val="075449B1"/>
    <w:rsid w:val="0A2032A3"/>
    <w:rsid w:val="0A397E8E"/>
    <w:rsid w:val="0B8A37D8"/>
    <w:rsid w:val="0BB76E03"/>
    <w:rsid w:val="0DB717F6"/>
    <w:rsid w:val="0E5E4367"/>
    <w:rsid w:val="0F010976"/>
    <w:rsid w:val="0F621C35"/>
    <w:rsid w:val="0FAB0EE6"/>
    <w:rsid w:val="100E76C7"/>
    <w:rsid w:val="10152804"/>
    <w:rsid w:val="108D4A90"/>
    <w:rsid w:val="10C055FF"/>
    <w:rsid w:val="10F845FF"/>
    <w:rsid w:val="11391A49"/>
    <w:rsid w:val="118107EC"/>
    <w:rsid w:val="11DD6519"/>
    <w:rsid w:val="11EB0ADE"/>
    <w:rsid w:val="126977D8"/>
    <w:rsid w:val="153D4CD7"/>
    <w:rsid w:val="160056CA"/>
    <w:rsid w:val="160C46A9"/>
    <w:rsid w:val="168E3310"/>
    <w:rsid w:val="16B40FC8"/>
    <w:rsid w:val="16BB723D"/>
    <w:rsid w:val="17101F77"/>
    <w:rsid w:val="18015F3F"/>
    <w:rsid w:val="18153CE9"/>
    <w:rsid w:val="19FB2A6A"/>
    <w:rsid w:val="1A08552B"/>
    <w:rsid w:val="1AD27C6F"/>
    <w:rsid w:val="1B463960"/>
    <w:rsid w:val="1B593EEC"/>
    <w:rsid w:val="1BE8440E"/>
    <w:rsid w:val="1D155CEE"/>
    <w:rsid w:val="1E854FF8"/>
    <w:rsid w:val="206F5F60"/>
    <w:rsid w:val="20D61B3B"/>
    <w:rsid w:val="20F02977"/>
    <w:rsid w:val="20F57F95"/>
    <w:rsid w:val="211C60E8"/>
    <w:rsid w:val="221E5E35"/>
    <w:rsid w:val="223B259E"/>
    <w:rsid w:val="225D1F83"/>
    <w:rsid w:val="23BE3486"/>
    <w:rsid w:val="23ED3D6C"/>
    <w:rsid w:val="240371BF"/>
    <w:rsid w:val="25253091"/>
    <w:rsid w:val="25711CC6"/>
    <w:rsid w:val="25C741E6"/>
    <w:rsid w:val="26D703BB"/>
    <w:rsid w:val="26EA279D"/>
    <w:rsid w:val="26F947D6"/>
    <w:rsid w:val="27842671"/>
    <w:rsid w:val="28690BE6"/>
    <w:rsid w:val="28CA642A"/>
    <w:rsid w:val="290556B4"/>
    <w:rsid w:val="294F4776"/>
    <w:rsid w:val="297B3BC8"/>
    <w:rsid w:val="29FD04D3"/>
    <w:rsid w:val="2ABE7A3E"/>
    <w:rsid w:val="2B597F39"/>
    <w:rsid w:val="2B91393E"/>
    <w:rsid w:val="2C4A2D0A"/>
    <w:rsid w:val="2CA234A8"/>
    <w:rsid w:val="2CDA7161"/>
    <w:rsid w:val="2D4C1B03"/>
    <w:rsid w:val="2E535200"/>
    <w:rsid w:val="2E7F7CB6"/>
    <w:rsid w:val="2EFA178C"/>
    <w:rsid w:val="2F4800A8"/>
    <w:rsid w:val="2FB971F8"/>
    <w:rsid w:val="2FED0C50"/>
    <w:rsid w:val="308B46F0"/>
    <w:rsid w:val="30B46D73"/>
    <w:rsid w:val="31336B36"/>
    <w:rsid w:val="319F7F4E"/>
    <w:rsid w:val="3227669B"/>
    <w:rsid w:val="328C2A32"/>
    <w:rsid w:val="34D94003"/>
    <w:rsid w:val="36211653"/>
    <w:rsid w:val="383D272C"/>
    <w:rsid w:val="38456B65"/>
    <w:rsid w:val="39A849C3"/>
    <w:rsid w:val="39AE70AB"/>
    <w:rsid w:val="3A706705"/>
    <w:rsid w:val="3C0C0783"/>
    <w:rsid w:val="3CF4361D"/>
    <w:rsid w:val="3DF6228E"/>
    <w:rsid w:val="3F4343E8"/>
    <w:rsid w:val="3F9F3A96"/>
    <w:rsid w:val="3FD17C46"/>
    <w:rsid w:val="41EE44E7"/>
    <w:rsid w:val="434D6D25"/>
    <w:rsid w:val="43587A43"/>
    <w:rsid w:val="45DE4E6B"/>
    <w:rsid w:val="46C93D6D"/>
    <w:rsid w:val="481E3C44"/>
    <w:rsid w:val="48364B04"/>
    <w:rsid w:val="48BF60AB"/>
    <w:rsid w:val="493C27E9"/>
    <w:rsid w:val="496F39ED"/>
    <w:rsid w:val="49FF41D3"/>
    <w:rsid w:val="4AE03433"/>
    <w:rsid w:val="4B50680B"/>
    <w:rsid w:val="4BE068DB"/>
    <w:rsid w:val="4BE17463"/>
    <w:rsid w:val="4BF6002B"/>
    <w:rsid w:val="4D9D385D"/>
    <w:rsid w:val="4E1E674C"/>
    <w:rsid w:val="4ECE2238"/>
    <w:rsid w:val="4F196F13"/>
    <w:rsid w:val="4FA113E3"/>
    <w:rsid w:val="4FE45773"/>
    <w:rsid w:val="50047BC4"/>
    <w:rsid w:val="50222CF0"/>
    <w:rsid w:val="50E53551"/>
    <w:rsid w:val="51DB4B86"/>
    <w:rsid w:val="52BC2C06"/>
    <w:rsid w:val="54745318"/>
    <w:rsid w:val="54752E3E"/>
    <w:rsid w:val="54907C78"/>
    <w:rsid w:val="55333C3E"/>
    <w:rsid w:val="559E63C4"/>
    <w:rsid w:val="56B57E6A"/>
    <w:rsid w:val="5737087F"/>
    <w:rsid w:val="5B061F32"/>
    <w:rsid w:val="5BEC7E8A"/>
    <w:rsid w:val="5D543F38"/>
    <w:rsid w:val="5FFE018B"/>
    <w:rsid w:val="60277EAE"/>
    <w:rsid w:val="61001844"/>
    <w:rsid w:val="614B38A4"/>
    <w:rsid w:val="6291178B"/>
    <w:rsid w:val="64393E88"/>
    <w:rsid w:val="64671697"/>
    <w:rsid w:val="64CA39A1"/>
    <w:rsid w:val="65366619"/>
    <w:rsid w:val="654D42FD"/>
    <w:rsid w:val="66466138"/>
    <w:rsid w:val="67184229"/>
    <w:rsid w:val="686C1254"/>
    <w:rsid w:val="69630ADE"/>
    <w:rsid w:val="69CA7330"/>
    <w:rsid w:val="6AEC1C54"/>
    <w:rsid w:val="6B824366"/>
    <w:rsid w:val="6C4A05C8"/>
    <w:rsid w:val="6C6A090B"/>
    <w:rsid w:val="6D0A4613"/>
    <w:rsid w:val="6D3B1A89"/>
    <w:rsid w:val="6D5E2269"/>
    <w:rsid w:val="6DB63E53"/>
    <w:rsid w:val="708B5A6B"/>
    <w:rsid w:val="71BF4EC2"/>
    <w:rsid w:val="71CD79BE"/>
    <w:rsid w:val="72734D90"/>
    <w:rsid w:val="72824C4C"/>
    <w:rsid w:val="7412278C"/>
    <w:rsid w:val="746E5488"/>
    <w:rsid w:val="754B3A1B"/>
    <w:rsid w:val="75A4312B"/>
    <w:rsid w:val="76242E03"/>
    <w:rsid w:val="770F16FC"/>
    <w:rsid w:val="77534E09"/>
    <w:rsid w:val="78264D62"/>
    <w:rsid w:val="784309DA"/>
    <w:rsid w:val="79404F19"/>
    <w:rsid w:val="79E7B28D"/>
    <w:rsid w:val="7A267135"/>
    <w:rsid w:val="7A3462CC"/>
    <w:rsid w:val="7AAF41BA"/>
    <w:rsid w:val="7AD11099"/>
    <w:rsid w:val="7C593703"/>
    <w:rsid w:val="7DB61C4E"/>
    <w:rsid w:val="7E2968C4"/>
    <w:rsid w:val="7EBB705E"/>
    <w:rsid w:val="7EC03550"/>
    <w:rsid w:val="7EE92330"/>
    <w:rsid w:val="7F0A2251"/>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Lines="0" w:afterAutospacing="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99"/>
    <w:rPr>
      <w:rFonts w:ascii="宋体" w:hAnsi="Courier New" w:eastAsia="仿宋_GB2312" w:cs="Courier New"/>
      <w:b/>
      <w:sz w:val="32"/>
      <w:szCs w:val="21"/>
    </w:r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5"/>
    <w:qFormat/>
    <w:uiPriority w:val="0"/>
    <w:pPr>
      <w:ind w:firstLine="420" w:firstLineChars="100"/>
    </w:pPr>
  </w:style>
  <w:style w:type="paragraph" w:styleId="16">
    <w:name w:val="Body Text First Indent 2"/>
    <w:basedOn w:val="6"/>
    <w:next w:val="15"/>
    <w:qFormat/>
    <w:uiPriority w:val="0"/>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字符"/>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8"/>
    <w:link w:val="2"/>
    <w:qFormat/>
    <w:uiPriority w:val="9"/>
    <w:rPr>
      <w:rFonts w:ascii="Times New Roman" w:hAnsi="Times New Roman"/>
      <w:b/>
      <w:bCs/>
      <w:kern w:val="44"/>
      <w:sz w:val="44"/>
      <w:szCs w:val="44"/>
    </w:rPr>
  </w:style>
  <w:style w:type="character" w:customStyle="1" w:styleId="30">
    <w:name w:val="标题 2 字符"/>
    <w:basedOn w:val="18"/>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8"/>
    <w:link w:val="9"/>
    <w:semiHidden/>
    <w:qFormat/>
    <w:uiPriority w:val="99"/>
    <w:rPr>
      <w:rFonts w:ascii="Times New Roman" w:hAnsi="Times New Roman"/>
      <w:kern w:val="2"/>
      <w:sz w:val="18"/>
      <w:szCs w:val="18"/>
    </w:rPr>
  </w:style>
  <w:style w:type="character" w:customStyle="1" w:styleId="33">
    <w:name w:val="标题 3 字符"/>
    <w:basedOn w:val="18"/>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Desktop\&#20915;&#31639;&#20844;&#24320;&#25554;&#22270;&#21046;&#20316;&#31034;&#2036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0.46</c:v>
                </c:pt>
                <c:pt idx="1">
                  <c:v>0</c:v>
                </c:pt>
                <c:pt idx="2">
                  <c:v>0</c:v>
                </c:pt>
                <c:pt idx="3">
                  <c:v>0.52</c:v>
                </c:pt>
                <c:pt idx="4">
                  <c:v>0</c:v>
                </c:pt>
                <c:pt idx="5">
                  <c:v>0.02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0.99</c:v>
                </c:pt>
                <c:pt idx="1">
                  <c:v>0.01</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农林水支出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2</c:v>
                </c:pt>
                <c:pt idx="1">
                  <c:v>95.85</c:v>
                </c:pt>
                <c:pt idx="2">
                  <c:v>1209.98</c:v>
                </c:pt>
                <c:pt idx="3">
                  <c:v>21.57</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0.15</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5732</Words>
  <Characters>6227</Characters>
  <Lines>5</Lines>
  <Paragraphs>11</Paragraphs>
  <TotalTime>5</TotalTime>
  <ScaleCrop>false</ScaleCrop>
  <LinksUpToDate>false</LinksUpToDate>
  <CharactersWithSpaces>6291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NO LOVE</cp:lastModifiedBy>
  <cp:lastPrinted>2023-07-31T02:35:00Z</cp:lastPrinted>
  <dcterms:modified xsi:type="dcterms:W3CDTF">2023-10-29T03:19:22Z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DAE54463F14C45889F3F8F6F25FC9C3E_12</vt:lpwstr>
  </property>
</Properties>
</file>