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szCs w:val="21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1" w:name="_Toc15396475"/>
      <w:bookmarkStart w:id="2" w:name="_Toc15377425"/>
      <w:bookmarkStart w:id="3" w:name="_Toc15378441"/>
      <w:bookmarkStart w:id="4" w:name="_Toc15377193"/>
      <w:bookmarkStart w:id="5" w:name="_Toc15396597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spacing w:line="360" w:lineRule="auto"/>
        <w:jc w:val="center"/>
        <w:outlineLvl w:val="0"/>
        <w:rPr>
          <w:rFonts w:ascii="黑体" w:hAnsi="黑体" w:eastAsia="黑体"/>
          <w:sz w:val="48"/>
          <w:szCs w:val="48"/>
        </w:rPr>
      </w:pPr>
      <w:bookmarkStart w:id="6" w:name="_Toc15378442"/>
      <w:bookmarkStart w:id="7" w:name="_Toc15377426"/>
      <w:bookmarkStart w:id="8" w:name="_Toc15377194"/>
      <w:bookmarkStart w:id="9" w:name="_Toc15396598"/>
      <w:bookmarkStart w:id="10" w:name="_Toc15396476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剑阁县</w:t>
      </w:r>
      <w:bookmarkEnd w:id="0"/>
      <w:bookmarkStart w:id="11" w:name="_Toc15306268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柳沟镇中心卫生院单位决算</w:t>
      </w:r>
      <w:bookmarkEnd w:id="6"/>
      <w:bookmarkEnd w:id="7"/>
      <w:bookmarkEnd w:id="8"/>
      <w:bookmarkEnd w:id="9"/>
      <w:bookmarkEnd w:id="10"/>
      <w:bookmarkEnd w:id="11"/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2"/>
      </w:pPr>
      <w:r>
        <w:rPr>
          <w:rFonts w:hint="eastAsia"/>
        </w:rPr>
        <w:t>公开时间：2023年1</w:t>
      </w:r>
      <w:r>
        <w:t>0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p/>
    <w:p>
      <w:pPr>
        <w:pStyle w:val="12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第一部分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单位概况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一、主要职责及重点</w:t>
      </w:r>
      <w:r>
        <w:rPr>
          <w:sz w:val="24"/>
        </w:rPr>
        <w:t>工作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（一）单位</w:t>
      </w:r>
      <w:r>
        <w:rPr>
          <w:sz w:val="24"/>
        </w:rPr>
        <w:t>职责</w:t>
      </w:r>
    </w:p>
    <w:p>
      <w:pPr>
        <w:pStyle w:val="13"/>
        <w:adjustRightInd w:val="0"/>
        <w:snapToGrid w:val="0"/>
        <w:spacing w:line="44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（二）2022年重点工作完成情况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二、机构设置</w:t>
      </w:r>
    </w:p>
    <w:p>
      <w:pPr>
        <w:pStyle w:val="12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第二部分 2022年度单位决算情况说明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一、收入支出决算总体情况说明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二、收入决算情况说明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三、支出决算情况说明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四、财政拨款收入支出决算总体情况说明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五、一般公共预算财政拨款支出决算情况说明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六、一般公共预算财政拨款基本支出决算情况说明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七、财政拨款“三公”经费支出决算情况说明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rFonts w:ascii="仿宋" w:hAnsi="仿宋" w:eastAsia="仿宋" w:cstheme="minorBidi"/>
          <w:sz w:val="24"/>
        </w:rPr>
      </w:pPr>
      <w:r>
        <w:rPr>
          <w:rFonts w:hint="eastAsia"/>
          <w:sz w:val="24"/>
        </w:rPr>
        <w:t>八、政府性基金预算支出决算情况说明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九、国有资本经营预算支出决算情况说明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十、其他重要事项的情况说明</w:t>
      </w:r>
    </w:p>
    <w:p>
      <w:pPr>
        <w:pStyle w:val="12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第三部分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名词解释</w:t>
      </w:r>
    </w:p>
    <w:p>
      <w:pPr>
        <w:pStyle w:val="12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第四部分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附件</w:t>
      </w:r>
    </w:p>
    <w:p>
      <w:pPr>
        <w:pStyle w:val="12"/>
        <w:adjustRightInd w:val="0"/>
        <w:snapToGrid w:val="0"/>
        <w:spacing w:before="0" w:line="440" w:lineRule="exact"/>
        <w:jc w:val="left"/>
        <w:rPr>
          <w:rFonts w:cstheme="minorBidi"/>
          <w:sz w:val="24"/>
          <w:szCs w:val="24"/>
        </w:rPr>
      </w:pPr>
      <w:r>
        <w:rPr>
          <w:rFonts w:hint="eastAsia"/>
          <w:sz w:val="24"/>
        </w:rPr>
        <w:t>第五部分</w:t>
      </w:r>
      <w:r>
        <w:rPr>
          <w:sz w:val="24"/>
        </w:rPr>
        <w:t xml:space="preserve"> </w:t>
      </w:r>
      <w:r>
        <w:rPr>
          <w:rFonts w:hint="eastAsia"/>
          <w:sz w:val="24"/>
        </w:rPr>
        <w:t>附表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一、收入支出决算总表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二、收入决算表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三、支出决算表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四、财政拨款收入支出决算总表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五、财政拨款支出决算明细表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六、一般公共预算财政拨款支出决算表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七、一般公共预算财政拨款支出决算明细表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八、一般公共预算财政拨款基本支出决算明细表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九、一般公共预算财政拨款项目支出决算表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十、政府性基金预算财政拨款收入支出决算表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十一、国有资本经营预算财政拨款收入支出决算表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十二、国有资本经营预算财政拨款支出决算表</w:t>
      </w:r>
    </w:p>
    <w:p>
      <w:pPr>
        <w:pStyle w:val="13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十三、财政拨款“三公”经费支出决算表</w:t>
      </w:r>
    </w:p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  <w:bookmarkStart w:id="12" w:name="_Toc15377196"/>
      <w:bookmarkStart w:id="13" w:name="_Toc15396599"/>
      <w:r>
        <w:rPr>
          <w:rFonts w:ascii="仿宋" w:hAnsi="仿宋" w:eastAsia="仿宋"/>
          <w:b/>
          <w:sz w:val="24"/>
        </w:rPr>
        <w:br w:type="page"/>
      </w:r>
    </w:p>
    <w:p>
      <w:pPr>
        <w:pStyle w:val="4"/>
        <w:jc w:val="center"/>
        <w:rPr>
          <w:rStyle w:val="27"/>
          <w:rFonts w:ascii="黑体" w:hAnsi="黑体" w:eastAsia="黑体"/>
          <w:b/>
          <w:bCs w:val="0"/>
        </w:rPr>
      </w:pPr>
      <w:r>
        <w:rPr>
          <w:rFonts w:hint="eastAsia" w:ascii="黑体" w:hAnsi="黑体" w:eastAsia="黑体"/>
          <w:b w:val="0"/>
        </w:rPr>
        <w:t>第一部分 单位</w:t>
      </w:r>
      <w:r>
        <w:rPr>
          <w:rStyle w:val="27"/>
          <w:rFonts w:hint="eastAsia" w:ascii="黑体" w:hAnsi="黑体" w:eastAsia="黑体"/>
          <w:b w:val="0"/>
          <w:bCs w:val="0"/>
        </w:rPr>
        <w:t>概况</w:t>
      </w:r>
      <w:bookmarkEnd w:id="12"/>
      <w:bookmarkEnd w:id="13"/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pStyle w:val="5"/>
        <w:numPr>
          <w:ilvl w:val="0"/>
          <w:numId w:val="1"/>
        </w:numPr>
        <w:rPr>
          <w:rStyle w:val="28"/>
          <w:rFonts w:ascii="黑体" w:hAnsi="黑体" w:eastAsia="黑体"/>
          <w:b w:val="0"/>
          <w:bCs w:val="0"/>
        </w:rPr>
      </w:pPr>
      <w:bookmarkStart w:id="14" w:name="_Toc15396600"/>
      <w:bookmarkStart w:id="15" w:name="_Toc15377197"/>
      <w:r>
        <w:rPr>
          <w:rStyle w:val="28"/>
          <w:rFonts w:hint="eastAsia" w:ascii="黑体" w:hAnsi="黑体" w:eastAsia="黑体"/>
          <w:b w:val="0"/>
          <w:bCs w:val="0"/>
        </w:rPr>
        <w:t>主要职责</w:t>
      </w:r>
    </w:p>
    <w:p>
      <w:pPr>
        <w:spacing w:line="55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一、职能简介</w:t>
      </w:r>
    </w:p>
    <w:p>
      <w:pPr>
        <w:rPr>
          <w:rFonts w:hint="eastAsia"/>
        </w:rPr>
      </w:pP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剑阁县柳沟镇中心卫生院是由政府举办，不以营利为目的，具有公共卫生性质的公益性事业单位，是为老百姓提供公共卫生和基本医疗服务的专业机构。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柳沟镇中心卫生院位于剑阁县西部，距老县城普安镇23公里，服务面积135.43平方公里，辖区内有12个行政村和1个社区,总人口20003人。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卫生院占地面积4800平方米，建筑面积5478平方米，固定资产486万元，编制床位29张，开放病床40张。现有职工57人，其中：高级职称2人(副主任医师2人)，中级职称2人，初级职称25人，执业医师（助理）17人，执业护士11人。卫技人员49人，占职工总数86%。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拥有设备：DR、心电图机、彩超、迈瑞BS-430全自动生化分析仪、迈瑞全自动血液细胞分析仪、全自动化学发光免疫分析仪、全自动凝血分析仪、尿液分析仪、电解质分析仪、呼吸机、麻醉机、除颤仪、多参数心电监护仪、电脑多功能牵引床、电脑中频治疗仪、电针治疗仪、康复治疗仪、等辅助检查、治疗设备。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柳沟镇中心卫生院以院训（厚德、传承、勤学、惠民）为宗旨：坚持把基本医疗及公共卫生服务作为工作重点，以“建设等级化、管理规范化、服务标准化”为总体要求，推行公开承诺，落实医疗核心制度，开展常见病及多发病标准化诊疗规范，提升优质服务，满足患者健康需求。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二、2022年重点工作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（一）新冠疫情防控：除了本院和垂泉分院、毛坝分院，仍继续承担柳剑阁县疫情集中隔离点（柳沟）防控工作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（二）基本医疗保障：负责本院及垂泉分院、毛坝分院的业务管理和指导，承担着全镇2.0万余人的基本医疗及基本公共卫生服务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（三）公共卫生服务：着重慢病、重点人群健康管理外推进家庭医生签约服务高质量发展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（四）突发公共卫生事件处置</w:t>
      </w:r>
    </w:p>
    <w:p>
      <w:pPr>
        <w:pStyle w:val="14"/>
        <w:widowControl/>
        <w:spacing w:before="93" w:beforeAutospacing="0" w:afterAutospacing="0" w:line="30" w:lineRule="atLeast"/>
        <w:ind w:firstLine="42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（五）计划生育服务</w:t>
      </w:r>
    </w:p>
    <w:p>
      <w:pPr>
        <w:rPr>
          <w:rFonts w:hint="eastAsia"/>
        </w:rPr>
      </w:pPr>
    </w:p>
    <w:p>
      <w:pPr>
        <w:pStyle w:val="5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二、机构设置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剑阁县柳沟镇中心卫生院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设12个村卫生室，根据两项改革乡镇卫生院区域调整，现下设垂泉分院、毛坝分院。</w:t>
      </w:r>
    </w:p>
    <w:bookmarkEnd w:id="14"/>
    <w:bookmarkEnd w:id="15"/>
    <w:p>
      <w:pPr>
        <w:widowControl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4"/>
        <w:ind w:right="440"/>
        <w:jc w:val="center"/>
        <w:rPr>
          <w:rStyle w:val="27"/>
          <w:rFonts w:ascii="黑体" w:hAnsi="黑体" w:eastAsia="黑体"/>
          <w:b w:val="0"/>
          <w:bCs/>
        </w:rPr>
      </w:pPr>
      <w:bookmarkStart w:id="16" w:name="_Toc15377204"/>
      <w:bookmarkStart w:id="17" w:name="_Toc15396602"/>
      <w:r>
        <w:rPr>
          <w:rFonts w:hint="eastAsia" w:ascii="黑体" w:hAnsi="黑体" w:eastAsia="黑体"/>
          <w:b w:val="0"/>
        </w:rPr>
        <w:t>第二部分 2022年度</w:t>
      </w:r>
      <w:r>
        <w:rPr>
          <w:rStyle w:val="27"/>
          <w:rFonts w:hint="eastAsia" w:ascii="黑体" w:hAnsi="黑体" w:eastAsia="黑体"/>
          <w:b w:val="0"/>
          <w:bCs/>
        </w:rPr>
        <w:t>单位决算情况说明</w:t>
      </w:r>
      <w:bookmarkEnd w:id="16"/>
      <w:bookmarkEnd w:id="17"/>
    </w:p>
    <w:p/>
    <w:p>
      <w:pPr>
        <w:pStyle w:val="26"/>
        <w:numPr>
          <w:ilvl w:val="0"/>
          <w:numId w:val="2"/>
        </w:numPr>
        <w:spacing w:line="600" w:lineRule="exact"/>
        <w:ind w:firstLineChars="0"/>
        <w:outlineLvl w:val="1"/>
        <w:rPr>
          <w:rStyle w:val="28"/>
          <w:rFonts w:ascii="黑体" w:hAnsi="黑体" w:eastAsia="黑体"/>
          <w:b w:val="0"/>
        </w:rPr>
      </w:pPr>
      <w:bookmarkStart w:id="18" w:name="_Toc15396603"/>
      <w:bookmarkStart w:id="19" w:name="_Toc15377205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8"/>
          <w:rFonts w:hint="eastAsia" w:ascii="黑体" w:hAnsi="黑体" w:eastAsia="黑体"/>
          <w:b w:val="0"/>
        </w:rPr>
        <w:t>入支出决算总体情况说明</w:t>
      </w:r>
      <w:bookmarkEnd w:id="18"/>
      <w:bookmarkEnd w:id="19"/>
    </w:p>
    <w:p>
      <w:pPr>
        <w:pStyle w:val="7"/>
        <w:spacing w:before="93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2022年度收、支总计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1030.30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pStyle w:val="26"/>
        <w:numPr>
          <w:ilvl w:val="0"/>
          <w:numId w:val="2"/>
        </w:numPr>
        <w:spacing w:line="600" w:lineRule="exact"/>
        <w:ind w:firstLineChars="0"/>
        <w:outlineLvl w:val="1"/>
        <w:rPr>
          <w:rStyle w:val="28"/>
          <w:rFonts w:hint="eastAsia" w:ascii="黑体" w:hAnsi="黑体" w:eastAsia="黑体"/>
          <w:b w:val="0"/>
        </w:rPr>
      </w:pPr>
      <w:bookmarkStart w:id="20" w:name="_Toc15377206"/>
      <w:bookmarkStart w:id="21" w:name="_Toc15396604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28"/>
          <w:rFonts w:hint="eastAsia" w:ascii="黑体" w:hAnsi="黑体" w:eastAsia="黑体"/>
          <w:b w:val="0"/>
        </w:rPr>
        <w:t>入决算情况说明</w:t>
      </w:r>
      <w:bookmarkEnd w:id="20"/>
      <w:bookmarkEnd w:id="21"/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</w:t>
      </w:r>
      <w:r>
        <w:rPr>
          <w:rFonts w:ascii="仿宋" w:hAnsi="仿宋" w:eastAsia="仿宋"/>
          <w:sz w:val="32"/>
          <w:szCs w:val="32"/>
        </w:rPr>
        <w:t>1030.30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万元，其中：一般公共预算财政拨款收入万元4</w:t>
      </w:r>
      <w:r>
        <w:rPr>
          <w:rFonts w:ascii="仿宋" w:hAnsi="仿宋" w:eastAsia="仿宋"/>
          <w:sz w:val="32"/>
          <w:szCs w:val="32"/>
        </w:rPr>
        <w:t>73.00</w:t>
      </w:r>
      <w:r>
        <w:rPr>
          <w:rFonts w:hint="eastAsia" w:ascii="仿宋" w:hAnsi="仿宋" w:eastAsia="仿宋"/>
          <w:sz w:val="32"/>
          <w:szCs w:val="32"/>
        </w:rPr>
        <w:t>，占</w:t>
      </w:r>
      <w:r>
        <w:rPr>
          <w:rFonts w:ascii="仿宋" w:hAnsi="仿宋" w:eastAsia="仿宋"/>
          <w:sz w:val="32"/>
          <w:szCs w:val="32"/>
        </w:rPr>
        <w:t>46%</w:t>
      </w:r>
      <w:r>
        <w:rPr>
          <w:rFonts w:hint="eastAsia" w:ascii="仿宋" w:hAnsi="仿宋" w:eastAsia="仿宋"/>
          <w:sz w:val="32"/>
          <w:szCs w:val="32"/>
        </w:rPr>
        <w:t>；事业收入5</w:t>
      </w:r>
      <w:r>
        <w:rPr>
          <w:rFonts w:ascii="仿宋" w:hAnsi="仿宋" w:eastAsia="仿宋"/>
          <w:sz w:val="32"/>
          <w:szCs w:val="32"/>
        </w:rPr>
        <w:t>57.30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54%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spacing w:before="93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4152900" cy="2926080"/>
            <wp:effectExtent l="0" t="0" r="0" b="7620"/>
            <wp:docPr id="28563228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6"/>
        <w:numPr>
          <w:ilvl w:val="0"/>
          <w:numId w:val="2"/>
        </w:numPr>
        <w:spacing w:line="600" w:lineRule="exact"/>
        <w:ind w:firstLineChars="0"/>
        <w:outlineLvl w:val="1"/>
        <w:rPr>
          <w:rStyle w:val="28"/>
          <w:rFonts w:ascii="黑体" w:hAnsi="黑体" w:eastAsia="黑体"/>
          <w:b w:val="0"/>
        </w:rPr>
      </w:pPr>
      <w:bookmarkStart w:id="22" w:name="_Toc15377207"/>
      <w:bookmarkStart w:id="23" w:name="_Toc15396605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28"/>
          <w:rFonts w:hint="eastAsia" w:ascii="黑体" w:hAnsi="黑体" w:eastAsia="黑体"/>
          <w:b w:val="0"/>
        </w:rPr>
        <w:t>出决算情况说明</w:t>
      </w:r>
      <w:bookmarkEnd w:id="22"/>
      <w:bookmarkEnd w:id="23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1030.3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1118.73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100%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420" w:firstLineChars="200"/>
        <w:outlineLvl w:val="1"/>
        <w:rPr>
          <w:rStyle w:val="28"/>
          <w:rFonts w:ascii="黑体" w:hAnsi="黑体" w:eastAsia="黑体"/>
          <w:b w:val="0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  <w:bookmarkStart w:id="24" w:name="_Toc15377208"/>
      <w:bookmarkStart w:id="25" w:name="_Toc15396606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28"/>
          <w:rFonts w:hint="eastAsia" w:ascii="黑体" w:hAnsi="黑体" w:eastAsia="黑体"/>
          <w:b w:val="0"/>
        </w:rPr>
        <w:t>政拨款收入支出决算总体情况说明</w:t>
      </w:r>
      <w:bookmarkEnd w:id="24"/>
      <w:bookmarkEnd w:id="25"/>
    </w:p>
    <w:p>
      <w:pPr>
        <w:spacing w:line="600" w:lineRule="exact"/>
        <w:ind w:firstLine="64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22年财政拨款收、支总计</w:t>
      </w:r>
      <w:r>
        <w:rPr>
          <w:rFonts w:ascii="仿宋" w:hAnsi="仿宋" w:eastAsia="仿宋"/>
          <w:sz w:val="32"/>
          <w:szCs w:val="32"/>
        </w:rPr>
        <w:t>473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spacing w:line="600" w:lineRule="exact"/>
        <w:ind w:firstLine="640" w:firstLineChars="200"/>
        <w:outlineLvl w:val="1"/>
        <w:rPr>
          <w:rStyle w:val="28"/>
          <w:rFonts w:ascii="黑体" w:hAnsi="黑体" w:eastAsia="黑体"/>
          <w:b w:val="0"/>
        </w:rPr>
      </w:pPr>
      <w:bookmarkStart w:id="26" w:name="_Toc15396607"/>
      <w:bookmarkStart w:id="27" w:name="_Toc15377209"/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28"/>
          <w:rFonts w:hint="eastAsia" w:ascii="黑体" w:hAnsi="黑体" w:eastAsia="黑体"/>
          <w:b w:val="0"/>
        </w:rPr>
        <w:t>般公共预算财政拨款支出决算情况说明</w:t>
      </w:r>
      <w:bookmarkEnd w:id="26"/>
      <w:bookmarkEnd w:id="27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28" w:name="_Toc15377210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28"/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473</w:t>
      </w:r>
      <w:r>
        <w:rPr>
          <w:rFonts w:hint="eastAsia" w:ascii="仿宋" w:hAnsi="仿宋" w:eastAsia="仿宋"/>
          <w:sz w:val="32"/>
          <w:szCs w:val="32"/>
        </w:rPr>
        <w:t>万元，占本年支出合计的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42.28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2021年本单位未单独填报决算，由系统统一填报部门决算，故无法对比。</w:t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29" w:name="_Toc15377211"/>
      <w:r>
        <w:rPr>
          <w:rFonts w:hint="eastAsia" w:ascii="仿宋" w:hAnsi="仿宋" w:eastAsia="仿宋"/>
          <w:b/>
          <w:sz w:val="32"/>
          <w:szCs w:val="32"/>
        </w:rPr>
        <w:t>（二）一般公共预算财政拨款支出决算结构情况</w:t>
      </w:r>
      <w:bookmarkEnd w:id="29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473</w:t>
      </w:r>
      <w:r>
        <w:rPr>
          <w:rFonts w:hint="eastAsia" w:ascii="仿宋" w:hAnsi="仿宋" w:eastAsia="仿宋"/>
          <w:sz w:val="32"/>
          <w:szCs w:val="32"/>
        </w:rPr>
        <w:t>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社会保障和就业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41.89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8.86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401.71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84.93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29.40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6.21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7"/>
        <w:rPr>
          <w:rFonts w:ascii="仿宋" w:hAnsi="仿宋" w:eastAsia="仿宋"/>
          <w:sz w:val="32"/>
          <w:szCs w:val="32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30" w:name="_Toc15377212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30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31" w:name="_Toc15378460"/>
      <w:bookmarkStart w:id="32" w:name="_Toc15377213"/>
      <w:bookmarkStart w:id="33" w:name="_Toc15377444"/>
      <w:r>
        <w:rPr>
          <w:rFonts w:hint="eastAsia" w:ascii="仿宋" w:hAnsi="仿宋" w:eastAsia="仿宋"/>
          <w:b/>
          <w:sz w:val="32"/>
          <w:szCs w:val="32"/>
        </w:rPr>
        <w:t>2022年一般公共预算支出决算数为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473万元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完成预算</w:t>
      </w:r>
      <w:r>
        <w:rPr>
          <w:rStyle w:val="17"/>
          <w:rFonts w:hint="eastAsia" w:ascii="仿宋" w:hAnsi="仿宋" w:eastAsia="仿宋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。其中：</w:t>
      </w:r>
      <w:bookmarkEnd w:id="31"/>
      <w:bookmarkEnd w:id="32"/>
      <w:bookmarkEnd w:id="33"/>
    </w:p>
    <w:p>
      <w:pPr>
        <w:numPr>
          <w:ilvl w:val="0"/>
          <w:numId w:val="3"/>
        </w:numPr>
        <w:spacing w:line="600" w:lineRule="exact"/>
        <w:ind w:firstLine="643" w:firstLineChars="200"/>
        <w:rPr>
          <w:rStyle w:val="17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7"/>
          <w:rFonts w:hint="eastAsia" w:ascii="仿宋" w:hAnsi="仿宋" w:eastAsia="仿宋"/>
          <w:bCs/>
          <w:sz w:val="32"/>
          <w:szCs w:val="32"/>
        </w:rPr>
        <w:t>社会保障和就业（类）行政事业单位养老支出（款）机关事业单位基本养老保险缴费支出（项）</w:t>
      </w:r>
      <w:r>
        <w:rPr>
          <w:rStyle w:val="17"/>
          <w:rFonts w:ascii="仿宋" w:hAnsi="仿宋" w:eastAsia="仿宋"/>
          <w:bCs/>
          <w:sz w:val="32"/>
          <w:szCs w:val="32"/>
        </w:rPr>
        <w:t>: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39.2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</w:pPr>
      <w:r>
        <w:rPr>
          <w:rStyle w:val="17"/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Style w:val="17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社会保障和就业支出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（类）其他社会保障和就业支出（款）其他社会保障和就业支出（项）</w:t>
      </w:r>
      <w:r>
        <w:rPr>
          <w:rStyle w:val="17"/>
          <w:rFonts w:ascii="仿宋" w:hAnsi="仿宋" w:eastAsia="仿宋"/>
          <w:bCs/>
          <w:sz w:val="32"/>
          <w:szCs w:val="32"/>
        </w:rPr>
        <w:t>: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2.69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7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7"/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Style w:val="17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（类）基层医疗卫生机构（款）乡镇卫生院（项）</w:t>
      </w:r>
      <w:r>
        <w:rPr>
          <w:rStyle w:val="17"/>
          <w:rFonts w:ascii="仿宋" w:hAnsi="仿宋" w:eastAsia="仿宋"/>
          <w:bCs/>
          <w:sz w:val="32"/>
          <w:szCs w:val="32"/>
        </w:rPr>
        <w:t>: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296.55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7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7"/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Style w:val="17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（类）基层医疗卫生机构（款）其他基层医疗卫生机构支出（项）</w:t>
      </w:r>
      <w:r>
        <w:rPr>
          <w:rStyle w:val="17"/>
          <w:rFonts w:ascii="仿宋" w:hAnsi="仿宋" w:eastAsia="仿宋"/>
          <w:bCs/>
          <w:sz w:val="32"/>
          <w:szCs w:val="32"/>
        </w:rPr>
        <w:t>: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16.32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7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7"/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Style w:val="17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（类）公共卫生（款）基本公共卫生服务（项）</w:t>
      </w:r>
      <w:r>
        <w:rPr>
          <w:rStyle w:val="17"/>
          <w:rFonts w:ascii="仿宋" w:hAnsi="仿宋" w:eastAsia="仿宋"/>
          <w:bCs/>
          <w:sz w:val="32"/>
          <w:szCs w:val="32"/>
        </w:rPr>
        <w:t>: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69.24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7"/>
          <w:rFonts w:hint="eastAsia" w:ascii="仿宋" w:hAnsi="仿宋" w:eastAsia="仿宋"/>
          <w:b w:val="0"/>
          <w:bCs/>
          <w:sz w:val="32"/>
          <w:szCs w:val="32"/>
        </w:rPr>
      </w:pPr>
      <w:r>
        <w:rPr>
          <w:rStyle w:val="17"/>
          <w:rFonts w:hint="eastAsia" w:ascii="仿宋" w:hAnsi="仿宋" w:eastAsia="仿宋"/>
          <w:bCs/>
          <w:sz w:val="32"/>
          <w:szCs w:val="32"/>
          <w:lang w:val="en-US" w:eastAsia="zh-CN"/>
        </w:rPr>
        <w:t>6</w:t>
      </w:r>
      <w:r>
        <w:rPr>
          <w:rStyle w:val="17"/>
          <w:rFonts w:ascii="仿宋" w:hAnsi="仿宋" w:eastAsia="仿宋"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（类）行政事业单位医疗（款）事业单位医疗（项）</w:t>
      </w:r>
      <w:r>
        <w:rPr>
          <w:rStyle w:val="17"/>
          <w:rFonts w:ascii="仿宋" w:hAnsi="仿宋" w:eastAsia="仿宋"/>
          <w:bCs/>
          <w:sz w:val="32"/>
          <w:szCs w:val="32"/>
        </w:rPr>
        <w:t>: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19.6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pStyle w:val="2"/>
        <w:ind w:left="0" w:leftChars="0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7"/>
          <w:rFonts w:hint="eastAsia" w:ascii="仿宋" w:hAnsi="仿宋" w:eastAsia="仿宋"/>
          <w:bCs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Style w:val="17"/>
          <w:rFonts w:hint="eastAsia" w:ascii="仿宋" w:hAnsi="仿宋" w:eastAsia="仿宋"/>
          <w:bCs/>
          <w:sz w:val="32"/>
          <w:szCs w:val="32"/>
        </w:rPr>
        <w:t>（类）住房改革支出（款）住房公积金（项）</w:t>
      </w:r>
      <w:r>
        <w:rPr>
          <w:rStyle w:val="17"/>
          <w:rFonts w:ascii="仿宋" w:hAnsi="仿宋" w:eastAsia="仿宋"/>
          <w:bCs/>
          <w:sz w:val="32"/>
          <w:szCs w:val="32"/>
        </w:rPr>
        <w:t>: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29.4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28"/>
        </w:rPr>
      </w:pPr>
      <w:bookmarkStart w:id="34" w:name="_Toc15377214"/>
      <w:bookmarkStart w:id="35" w:name="_Toc15396608"/>
      <w:r>
        <w:rPr>
          <w:rFonts w:hint="eastAsia" w:ascii="黑体" w:eastAsia="黑体"/>
          <w:sz w:val="32"/>
          <w:szCs w:val="32"/>
        </w:rPr>
        <w:t>六</w:t>
      </w:r>
      <w:r>
        <w:rPr>
          <w:rFonts w:hint="eastAsia" w:ascii="黑体" w:eastAsia="黑体"/>
          <w:b/>
          <w:sz w:val="32"/>
          <w:szCs w:val="32"/>
        </w:rPr>
        <w:t>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28"/>
          <w:rFonts w:hint="eastAsia" w:ascii="黑体" w:hAnsi="黑体" w:eastAsia="黑体"/>
          <w:b w:val="0"/>
        </w:rPr>
        <w:t>般公共预算财政拨款基本支出决算情况说明</w:t>
      </w:r>
      <w:bookmarkEnd w:id="34"/>
      <w:bookmarkEnd w:id="35"/>
      <w:r>
        <w:rPr>
          <w:rStyle w:val="28"/>
          <w:rFonts w:ascii="黑体" w:hAnsi="黑体" w:eastAsia="黑体"/>
          <w:b w:val="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473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425.97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万元，主要包括：基本工资、津贴补贴、绩效工资、机关事业单位基本养老保险缴费、</w:t>
      </w:r>
      <w:r>
        <w:rPr>
          <w:rFonts w:hint="eastAsia" w:ascii="仿宋" w:hAnsi="仿宋" w:eastAsia="仿宋"/>
          <w:sz w:val="32"/>
          <w:szCs w:val="32"/>
          <w:lang w:eastAsia="zh-CN"/>
        </w:rPr>
        <w:t>职工基本医疗保障缴费、</w:t>
      </w:r>
      <w:r>
        <w:rPr>
          <w:rFonts w:hint="eastAsia" w:ascii="仿宋" w:hAnsi="仿宋" w:eastAsia="仿宋"/>
          <w:sz w:val="32"/>
          <w:szCs w:val="32"/>
        </w:rPr>
        <w:t>其他社会保障缴费、其他工资福利支出、住房公积金等。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47.03</w:t>
      </w:r>
      <w:r>
        <w:rPr>
          <w:rFonts w:hint="eastAsia" w:ascii="仿宋" w:hAnsi="仿宋" w:eastAsia="仿宋"/>
          <w:sz w:val="32"/>
          <w:szCs w:val="32"/>
        </w:rPr>
        <w:t>万元，主要包括：印刷费、水费、电费、差旅费、培训费、</w:t>
      </w:r>
      <w:r>
        <w:rPr>
          <w:rFonts w:hint="eastAsia" w:ascii="仿宋" w:hAnsi="仿宋" w:eastAsia="仿宋"/>
          <w:sz w:val="32"/>
          <w:szCs w:val="32"/>
          <w:lang w:eastAsia="zh-CN"/>
        </w:rPr>
        <w:t>专用材料费</w:t>
      </w:r>
      <w:r>
        <w:rPr>
          <w:rFonts w:hint="eastAsia" w:ascii="仿宋" w:hAnsi="仿宋" w:eastAsia="仿宋"/>
          <w:sz w:val="32"/>
          <w:szCs w:val="32"/>
        </w:rPr>
        <w:t>、其他交通费、其他商品和服务支出等。</w:t>
      </w:r>
    </w:p>
    <w:p>
      <w:pPr>
        <w:spacing w:line="600" w:lineRule="exact"/>
        <w:ind w:firstLine="640"/>
        <w:outlineLvl w:val="1"/>
        <w:rPr>
          <w:rStyle w:val="28"/>
          <w:rFonts w:ascii="黑体" w:hAnsi="黑体" w:eastAsia="黑体"/>
          <w:b w:val="0"/>
        </w:rPr>
      </w:pPr>
      <w:bookmarkStart w:id="36" w:name="_Toc15377215"/>
      <w:bookmarkStart w:id="37" w:name="_Toc15396609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28"/>
          <w:rFonts w:hint="eastAsia" w:ascii="黑体" w:hAnsi="黑体" w:eastAsia="黑体"/>
          <w:b w:val="0"/>
        </w:rPr>
        <w:t>财政拨款</w:t>
      </w:r>
      <w:r>
        <w:rPr>
          <w:rStyle w:val="28"/>
          <w:rFonts w:hint="eastAsia" w:ascii="黑体" w:hAnsi="黑体" w:eastAsia="黑体"/>
        </w:rPr>
        <w:t>“</w:t>
      </w:r>
      <w:r>
        <w:rPr>
          <w:rStyle w:val="28"/>
          <w:rFonts w:hint="eastAsia" w:ascii="黑体" w:hAnsi="黑体" w:eastAsia="黑体"/>
          <w:b w:val="0"/>
        </w:rPr>
        <w:t>三公”经费支出决算情况说明</w:t>
      </w:r>
      <w:bookmarkEnd w:id="36"/>
      <w:bookmarkEnd w:id="37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38" w:name="_Toc15377216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38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39" w:name="_Toc15377217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39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22年“三公”经费财政拨款支出决算中，因公出国（境）费支出决算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因公出国（境）经费支出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全年安排因公出国（境）团组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次，出国（境）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人。因公出国（境）支出决算比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万元,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b/>
          <w:sz w:val="32"/>
          <w:szCs w:val="32"/>
        </w:rPr>
        <w:t>公务用车购置支出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万元。全年按规定更新购置公务用车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i/>
          <w:iCs/>
          <w:sz w:val="32"/>
          <w:szCs w:val="32"/>
        </w:rPr>
        <w:t>主要用于</w:t>
      </w:r>
      <w:r>
        <w:rPr>
          <w:rFonts w:ascii="仿宋_GB2312" w:eastAsia="仿宋_GB2312"/>
          <w:i/>
          <w:iCs/>
          <w:sz w:val="32"/>
          <w:szCs w:val="32"/>
        </w:rPr>
        <w:t>…</w:t>
      </w:r>
      <w:r>
        <w:rPr>
          <w:rFonts w:hint="eastAsia" w:ascii="仿宋_GB2312" w:eastAsia="仿宋_GB2312"/>
          <w:i/>
          <w:iCs/>
          <w:sz w:val="32"/>
          <w:szCs w:val="32"/>
        </w:rPr>
        <w:t>（具体工作）等所需的公务用车燃料费、维修费、</w:t>
      </w:r>
      <w:r>
        <w:rPr>
          <w:rFonts w:hint="eastAsia" w:ascii="仿宋_GB2312" w:eastAsia="仿宋_GB2312"/>
          <w:sz w:val="32"/>
          <w:szCs w:val="32"/>
        </w:rPr>
        <w:t>过路过桥费、保险费等支出。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7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7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公务接待费支出决算比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。其中：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国内公务接待支出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万元，主要用于……(执行公务、开展业务活动开支的交通费、住宿费、用餐费等)。国内公务接待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万元，具体内容包括：…（接待具体项目、金额）。</w:t>
      </w:r>
    </w:p>
    <w:p>
      <w:pPr>
        <w:spacing w:line="600" w:lineRule="exact"/>
        <w:ind w:firstLine="643" w:firstLineChars="200"/>
        <w:rPr>
          <w:rFonts w:ascii="黑体" w:eastAsia="黑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万元，主要用于接待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（具体项目）。外事接待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  <w:bookmarkStart w:id="40" w:name="_Toc15377218"/>
      <w:bookmarkStart w:id="41" w:name="_Toc15396610"/>
    </w:p>
    <w:p>
      <w:pPr>
        <w:spacing w:line="600" w:lineRule="exact"/>
        <w:ind w:firstLine="640"/>
        <w:outlineLvl w:val="1"/>
        <w:rPr>
          <w:rStyle w:val="28"/>
          <w:rFonts w:ascii="黑体" w:hAnsi="黑体" w:eastAsia="黑体"/>
        </w:rPr>
      </w:pPr>
      <w:r>
        <w:rPr>
          <w:rFonts w:hint="eastAsia" w:ascii="黑体" w:eastAsia="黑体"/>
          <w:sz w:val="32"/>
          <w:szCs w:val="32"/>
        </w:rPr>
        <w:t>八、</w:t>
      </w:r>
      <w:r>
        <w:rPr>
          <w:rStyle w:val="28"/>
          <w:rFonts w:hint="eastAsia" w:ascii="黑体" w:hAnsi="黑体" w:eastAsia="黑体"/>
          <w:b w:val="0"/>
        </w:rPr>
        <w:t>政府性基金预算支出决算情况说明</w:t>
      </w:r>
      <w:bookmarkEnd w:id="40"/>
      <w:bookmarkEnd w:id="41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22年政府性基金预算财政拨款支出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4"/>
        </w:numPr>
        <w:spacing w:line="600" w:lineRule="exact"/>
        <w:ind w:firstLine="640"/>
        <w:outlineLvl w:val="1"/>
        <w:rPr>
          <w:rStyle w:val="28"/>
          <w:rFonts w:ascii="黑体" w:hAnsi="黑体" w:eastAsia="黑体"/>
          <w:b w:val="0"/>
        </w:rPr>
      </w:pPr>
      <w:bookmarkStart w:id="42" w:name="_Toc15377219"/>
      <w:bookmarkStart w:id="43" w:name="_Toc15396611"/>
      <w:r>
        <w:rPr>
          <w:rStyle w:val="28"/>
          <w:rFonts w:hint="eastAsia" w:ascii="黑体" w:hAnsi="黑体" w:eastAsia="黑体"/>
          <w:b w:val="0"/>
        </w:rPr>
        <w:t>国有资本经营预算支出决算情况说明</w:t>
      </w:r>
      <w:bookmarkEnd w:id="42"/>
      <w:bookmarkEnd w:id="43"/>
    </w:p>
    <w:p>
      <w:pPr>
        <w:spacing w:line="600" w:lineRule="exact"/>
        <w:ind w:firstLine="64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22年国有资本经营预算财政拨款支出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4"/>
        </w:numPr>
        <w:spacing w:line="600" w:lineRule="exact"/>
        <w:ind w:firstLine="640"/>
        <w:outlineLvl w:val="1"/>
        <w:rPr>
          <w:rStyle w:val="28"/>
          <w:rFonts w:ascii="黑体" w:hAnsi="黑体" w:eastAsia="黑体"/>
          <w:b w:val="0"/>
        </w:rPr>
      </w:pPr>
      <w:bookmarkStart w:id="44" w:name="_Toc15377221"/>
      <w:bookmarkStart w:id="45" w:name="_Toc15396612"/>
      <w:r>
        <w:rPr>
          <w:rStyle w:val="28"/>
          <w:rFonts w:hint="eastAsia" w:ascii="黑体" w:hAnsi="黑体" w:eastAsia="黑体"/>
          <w:b w:val="0"/>
        </w:rPr>
        <w:t>其他重要事项的情况说明</w:t>
      </w:r>
      <w:bookmarkEnd w:id="44"/>
      <w:bookmarkEnd w:id="45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46" w:name="_Toc15377222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46"/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eastAsia="zh-CN"/>
        </w:rPr>
        <w:t>剑阁县柳沟镇中心卫生院</w:t>
      </w:r>
      <w:r>
        <w:rPr>
          <w:rFonts w:hint="eastAsia" w:ascii="仿宋_GB2312" w:eastAsia="仿宋_GB2312"/>
          <w:sz w:val="32"/>
          <w:szCs w:val="32"/>
        </w:rPr>
        <w:t>机关运行经费支出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本单位属于事业单位，无机关运行经费。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47" w:name="_Toc15377223"/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47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eastAsia="zh-CN"/>
        </w:rPr>
        <w:t>剑阁县柳沟镇中心卫生院</w:t>
      </w:r>
      <w:r>
        <w:rPr>
          <w:rFonts w:hint="eastAsia" w:ascii="仿宋_GB2312" w:eastAsia="仿宋_GB2312"/>
          <w:sz w:val="32"/>
          <w:szCs w:val="32"/>
        </w:rPr>
        <w:t>政府采购支出总额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万元、政府采购工程支出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万元。授予中小企业合同金额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bookmarkStart w:id="48" w:name="_Toc15377224"/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48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eastAsia="zh-CN"/>
        </w:rPr>
        <w:t>剑阁县柳沟镇中心卫生院</w:t>
      </w:r>
      <w:r>
        <w:rPr>
          <w:rFonts w:hint="eastAsia" w:ascii="仿宋_GB2312" w:eastAsia="仿宋_GB2312"/>
          <w:sz w:val="32"/>
          <w:szCs w:val="32"/>
        </w:rPr>
        <w:t>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辆，其中：主要领导干部用车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辆、机要通信用车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辆、应急保障用车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辆，其他用车主要是用于</w:t>
      </w:r>
      <w:r>
        <w:rPr>
          <w:rFonts w:hint="eastAsia" w:ascii="仿宋_GB2312" w:eastAsia="仿宋_GB2312"/>
          <w:sz w:val="32"/>
          <w:szCs w:val="32"/>
          <w:lang w:eastAsia="zh-CN"/>
        </w:rPr>
        <w:t>病人救护</w:t>
      </w:r>
      <w:r>
        <w:rPr>
          <w:rFonts w:hint="eastAsia" w:ascii="仿宋_GB2312" w:eastAsia="仿宋_GB2312"/>
          <w:sz w:val="32"/>
          <w:szCs w:val="32"/>
        </w:rPr>
        <w:t>。单价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pStyle w:val="7"/>
        <w:spacing w:before="93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numPr>
          <w:ilvl w:val="0"/>
          <w:numId w:val="5"/>
        </w:numPr>
        <w:spacing w:line="600" w:lineRule="exact"/>
        <w:ind w:firstLine="660" w:firstLineChars="150"/>
        <w:jc w:val="center"/>
        <w:outlineLvl w:val="0"/>
        <w:rPr>
          <w:rStyle w:val="27"/>
          <w:rFonts w:ascii="黑体" w:hAnsi="黑体" w:eastAsia="黑体"/>
          <w:b w:val="0"/>
        </w:rPr>
      </w:pPr>
      <w:bookmarkStart w:id="49" w:name="_Toc15396613"/>
      <w:bookmarkStart w:id="50" w:name="_Toc15377225"/>
      <w:r>
        <w:rPr>
          <w:rFonts w:hint="eastAsia" w:ascii="黑体" w:hAnsi="黑体" w:eastAsia="黑体"/>
          <w:sz w:val="44"/>
          <w:szCs w:val="44"/>
        </w:rPr>
        <w:t>名</w:t>
      </w:r>
      <w:r>
        <w:rPr>
          <w:rStyle w:val="27"/>
          <w:rFonts w:hint="eastAsia" w:ascii="黑体" w:hAnsi="黑体" w:eastAsia="黑体"/>
          <w:b w:val="0"/>
        </w:rPr>
        <w:t>词解释</w:t>
      </w:r>
      <w:bookmarkEnd w:id="49"/>
      <w:bookmarkEnd w:id="50"/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</w:p>
    <w:p>
      <w:pPr>
        <w:pStyle w:val="25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bookmarkStart w:id="51" w:name="_Toc15377226"/>
      <w:bookmarkStart w:id="52" w:name="_Toc15396618"/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财政拨款收入：指单位从同级财政部门取得的财政预算资金。</w:t>
      </w:r>
    </w:p>
    <w:p>
      <w:pPr>
        <w:pStyle w:val="25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事业收入：指事业单位开展专业业务活动及辅助活动取得的收入。</w:t>
      </w:r>
    </w:p>
    <w:p>
      <w:pPr>
        <w:pStyle w:val="25"/>
        <w:spacing w:line="560" w:lineRule="exact"/>
        <w:ind w:left="638" w:leftChars="304"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其他收入：指单位取得的除上述收入以外的各项收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入。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社会保障和就业（类）行政事业单位离退休（款）机关事业单位基本养老保险缴费支出（项）：指部门实施养老保险制度由单位缴纳的养老保险费的支出。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卫生健康（类）行政事业单位医疗（款）事业单位医疗（项）：指事业单位用于缴纳单位基本医疗保险支出。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住房保障（类）住房改革支出（款）住房公积金（项）：指按照《住房公积金管理条例》的规定，由单位及其在职职工缴存的长期住房储金。</w:t>
      </w:r>
    </w:p>
    <w:p>
      <w:pPr>
        <w:pStyle w:val="1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卫生健康支出（类）公共卫生（款）基本公共卫生服务（项）：指基层医疗机构提供基本公共卫生服务支出。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基层医疗机构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乡镇卫生院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（项）：指基层医疗机构提供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支出。</w:t>
      </w:r>
    </w:p>
    <w:p>
      <w:pPr>
        <w:pStyle w:val="1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卫生健康支出（类）基层医疗卫生机构（款）其他基层医疗卫生机构支出（项）：指基层医疗机构村卫生室补助支出。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基本支出：指为保障机构正常运转、完成日常工作任务而发生的人员支出和公用支出。</w:t>
      </w:r>
    </w:p>
    <w:p>
      <w:pPr>
        <w:pStyle w:val="25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  <w:bookmarkStart w:id="66" w:name="_GoBack"/>
      <w:bookmarkEnd w:id="66"/>
    </w:p>
    <w:p>
      <w:pPr>
        <w:spacing w:line="600" w:lineRule="exact"/>
        <w:jc w:val="center"/>
        <w:outlineLvl w:val="0"/>
        <w:rPr>
          <w:rFonts w:ascii="仿宋" w:hAnsi="仿宋" w:eastAsia="仿宋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Style w:val="27"/>
          <w:rFonts w:hint="eastAsia" w:ascii="黑体" w:hAnsi="黑体" w:eastAsia="黑体"/>
          <w:b w:val="0"/>
          <w:lang w:eastAsia="zh-CN"/>
        </w:rPr>
        <w:t>四</w:t>
      </w:r>
      <w:r>
        <w:rPr>
          <w:rStyle w:val="27"/>
          <w:rFonts w:hint="eastAsia" w:ascii="黑体" w:hAnsi="黑体" w:eastAsia="黑体"/>
          <w:b w:val="0"/>
        </w:rPr>
        <w:t>部分 附表</w:t>
      </w:r>
      <w:bookmarkEnd w:id="51"/>
      <w:bookmarkEnd w:id="52"/>
      <w:bookmarkStart w:id="53" w:name="_Toc15396619"/>
    </w:p>
    <w:p>
      <w:pPr>
        <w:pStyle w:val="5"/>
        <w:rPr>
          <w:rFonts w:ascii="仿宋" w:hAnsi="仿宋" w:eastAsia="仿宋"/>
        </w:rPr>
      </w:pPr>
      <w:r>
        <w:rPr>
          <w:rFonts w:hint="eastAsia" w:ascii="仿宋" w:hAnsi="仿宋" w:eastAsia="仿宋"/>
          <w:b w:val="0"/>
        </w:rPr>
        <w:t>一、收</w:t>
      </w:r>
      <w:r>
        <w:rPr>
          <w:rStyle w:val="28"/>
          <w:rFonts w:hint="eastAsia" w:ascii="仿宋" w:hAnsi="仿宋" w:eastAsia="仿宋"/>
          <w:b w:val="0"/>
          <w:bCs w:val="0"/>
        </w:rPr>
        <w:t>入支出决算总表</w:t>
      </w:r>
      <w:bookmarkEnd w:id="53"/>
    </w:p>
    <w:p>
      <w:pPr>
        <w:pStyle w:val="5"/>
        <w:rPr>
          <w:rFonts w:ascii="仿宋" w:hAnsi="仿宋" w:eastAsia="仿宋"/>
        </w:rPr>
      </w:pPr>
      <w:bookmarkStart w:id="54" w:name="_Toc15396620"/>
      <w:r>
        <w:rPr>
          <w:rFonts w:hint="eastAsia" w:ascii="仿宋" w:hAnsi="仿宋" w:eastAsia="仿宋"/>
          <w:b w:val="0"/>
        </w:rPr>
        <w:t>二、收</w:t>
      </w:r>
      <w:r>
        <w:rPr>
          <w:rStyle w:val="28"/>
          <w:rFonts w:hint="eastAsia" w:ascii="仿宋" w:hAnsi="仿宋" w:eastAsia="仿宋"/>
          <w:b w:val="0"/>
          <w:bCs w:val="0"/>
        </w:rPr>
        <w:t>入决算表</w:t>
      </w:r>
      <w:bookmarkEnd w:id="54"/>
    </w:p>
    <w:p>
      <w:pPr>
        <w:pStyle w:val="5"/>
        <w:rPr>
          <w:rFonts w:ascii="仿宋" w:hAnsi="仿宋" w:eastAsia="仿宋"/>
        </w:rPr>
      </w:pPr>
      <w:bookmarkStart w:id="55" w:name="_Toc15396621"/>
      <w:r>
        <w:rPr>
          <w:rStyle w:val="28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28"/>
          <w:rFonts w:hint="eastAsia" w:ascii="仿宋" w:hAnsi="仿宋" w:eastAsia="仿宋"/>
          <w:b w:val="0"/>
          <w:bCs w:val="0"/>
        </w:rPr>
        <w:t>出决算表</w:t>
      </w:r>
      <w:bookmarkEnd w:id="55"/>
    </w:p>
    <w:p>
      <w:pPr>
        <w:pStyle w:val="5"/>
        <w:rPr>
          <w:rFonts w:ascii="仿宋" w:hAnsi="仿宋" w:eastAsia="仿宋"/>
          <w:b w:val="0"/>
        </w:rPr>
      </w:pPr>
      <w:bookmarkStart w:id="56" w:name="_Toc15396622"/>
      <w:r>
        <w:rPr>
          <w:rStyle w:val="28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28"/>
          <w:rFonts w:hint="eastAsia" w:ascii="仿宋" w:hAnsi="仿宋" w:eastAsia="仿宋"/>
          <w:b w:val="0"/>
          <w:bCs w:val="0"/>
        </w:rPr>
        <w:t>政拨款收入支出决算总表</w:t>
      </w:r>
      <w:bookmarkEnd w:id="56"/>
    </w:p>
    <w:p>
      <w:pPr>
        <w:pStyle w:val="5"/>
        <w:rPr>
          <w:rStyle w:val="28"/>
          <w:rFonts w:ascii="仿宋" w:hAnsi="仿宋" w:eastAsia="仿宋"/>
          <w:b w:val="0"/>
          <w:bCs w:val="0"/>
        </w:rPr>
      </w:pPr>
      <w:bookmarkStart w:id="57" w:name="_Toc15396623"/>
      <w:r>
        <w:rPr>
          <w:rStyle w:val="28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28"/>
          <w:rFonts w:hint="eastAsia" w:ascii="仿宋" w:hAnsi="仿宋" w:eastAsia="仿宋"/>
          <w:b w:val="0"/>
          <w:bCs w:val="0"/>
        </w:rPr>
        <w:t>政拨款支出决算明细表</w:t>
      </w:r>
      <w:bookmarkEnd w:id="57"/>
      <w:bookmarkStart w:id="58" w:name="_Toc15396624"/>
    </w:p>
    <w:p>
      <w:pPr>
        <w:pStyle w:val="5"/>
        <w:rPr>
          <w:rFonts w:ascii="仿宋" w:hAnsi="仿宋" w:eastAsia="仿宋"/>
        </w:rPr>
      </w:pPr>
      <w:r>
        <w:rPr>
          <w:rStyle w:val="28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8"/>
          <w:rFonts w:hint="eastAsia" w:ascii="仿宋" w:hAnsi="仿宋" w:eastAsia="仿宋"/>
          <w:b w:val="0"/>
          <w:bCs w:val="0"/>
        </w:rPr>
        <w:t>般公共预算财政拨款支出决算表</w:t>
      </w:r>
      <w:bookmarkEnd w:id="58"/>
    </w:p>
    <w:p>
      <w:pPr>
        <w:pStyle w:val="5"/>
        <w:rPr>
          <w:rFonts w:ascii="仿宋" w:hAnsi="仿宋" w:eastAsia="仿宋"/>
        </w:rPr>
      </w:pPr>
      <w:bookmarkStart w:id="59" w:name="_Toc15396625"/>
      <w:r>
        <w:rPr>
          <w:rStyle w:val="28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8"/>
          <w:rFonts w:hint="eastAsia" w:ascii="仿宋" w:hAnsi="仿宋" w:eastAsia="仿宋"/>
          <w:b w:val="0"/>
          <w:bCs w:val="0"/>
        </w:rPr>
        <w:t>般公共预算财政拨款支出决算明细表</w:t>
      </w:r>
      <w:bookmarkEnd w:id="59"/>
    </w:p>
    <w:p>
      <w:pPr>
        <w:pStyle w:val="5"/>
        <w:rPr>
          <w:rFonts w:ascii="仿宋" w:hAnsi="仿宋" w:eastAsia="仿宋"/>
        </w:rPr>
      </w:pPr>
      <w:bookmarkStart w:id="60" w:name="_Toc15396626"/>
      <w:r>
        <w:rPr>
          <w:rStyle w:val="28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8"/>
          <w:rFonts w:hint="eastAsia" w:ascii="仿宋" w:hAnsi="仿宋" w:eastAsia="仿宋"/>
          <w:b w:val="0"/>
          <w:bCs w:val="0"/>
        </w:rPr>
        <w:t>般公共预算财政拨款基本支出决算表</w:t>
      </w:r>
      <w:bookmarkEnd w:id="60"/>
    </w:p>
    <w:p>
      <w:pPr>
        <w:pStyle w:val="5"/>
        <w:rPr>
          <w:rFonts w:ascii="仿宋" w:hAnsi="仿宋" w:eastAsia="仿宋"/>
        </w:rPr>
      </w:pPr>
      <w:bookmarkStart w:id="61" w:name="_Toc15396627"/>
      <w:r>
        <w:rPr>
          <w:rStyle w:val="28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28"/>
          <w:rFonts w:hint="eastAsia" w:ascii="仿宋" w:hAnsi="仿宋" w:eastAsia="仿宋"/>
          <w:b w:val="0"/>
          <w:bCs w:val="0"/>
        </w:rPr>
        <w:t>般公共预算财政拨款项目支出决算表</w:t>
      </w:r>
      <w:bookmarkEnd w:id="61"/>
    </w:p>
    <w:p>
      <w:pPr>
        <w:pStyle w:val="5"/>
        <w:rPr>
          <w:rFonts w:ascii="仿宋" w:hAnsi="仿宋" w:eastAsia="仿宋"/>
        </w:rPr>
      </w:pPr>
      <w:bookmarkStart w:id="62" w:name="_Toc15396628"/>
      <w:r>
        <w:rPr>
          <w:rStyle w:val="28"/>
          <w:rFonts w:hint="eastAsia" w:ascii="仿宋" w:hAnsi="仿宋" w:eastAsia="仿宋"/>
          <w:b w:val="0"/>
          <w:bCs w:val="0"/>
        </w:rPr>
        <w:t>十、</w:t>
      </w:r>
      <w:bookmarkEnd w:id="62"/>
      <w:r>
        <w:rPr>
          <w:rFonts w:hint="eastAsia" w:ascii="仿宋" w:hAnsi="仿宋" w:eastAsia="仿宋"/>
          <w:b w:val="0"/>
        </w:rPr>
        <w:t>政</w:t>
      </w:r>
      <w:r>
        <w:rPr>
          <w:rStyle w:val="28"/>
          <w:rFonts w:hint="eastAsia" w:ascii="仿宋" w:hAnsi="仿宋" w:eastAsia="仿宋"/>
          <w:b w:val="0"/>
          <w:bCs w:val="0"/>
        </w:rPr>
        <w:t>府性基金预算财政拨款收入支出决算表</w:t>
      </w:r>
    </w:p>
    <w:p>
      <w:pPr>
        <w:pStyle w:val="5"/>
        <w:rPr>
          <w:rFonts w:ascii="仿宋" w:hAnsi="仿宋" w:eastAsia="仿宋"/>
        </w:rPr>
      </w:pPr>
      <w:bookmarkStart w:id="63" w:name="_Toc15396629"/>
      <w:r>
        <w:rPr>
          <w:rStyle w:val="28"/>
          <w:rFonts w:hint="eastAsia" w:ascii="仿宋" w:hAnsi="仿宋" w:eastAsia="仿宋"/>
          <w:b w:val="0"/>
          <w:bCs w:val="0"/>
        </w:rPr>
        <w:t>十一、</w:t>
      </w:r>
      <w:bookmarkEnd w:id="63"/>
      <w:r>
        <w:rPr>
          <w:rFonts w:hint="eastAsia" w:ascii="仿宋" w:hAnsi="仿宋" w:eastAsia="仿宋"/>
          <w:b w:val="0"/>
        </w:rPr>
        <w:t>国</w:t>
      </w:r>
      <w:r>
        <w:rPr>
          <w:rStyle w:val="28"/>
          <w:rFonts w:hint="eastAsia" w:ascii="仿宋" w:hAnsi="仿宋" w:eastAsia="仿宋"/>
          <w:b w:val="0"/>
          <w:bCs w:val="0"/>
        </w:rPr>
        <w:t>有资本经营预算财政拨款收入支出决算表</w:t>
      </w:r>
    </w:p>
    <w:p>
      <w:pPr>
        <w:pStyle w:val="5"/>
        <w:rPr>
          <w:rFonts w:ascii="仿宋" w:hAnsi="仿宋" w:eastAsia="仿宋"/>
        </w:rPr>
      </w:pPr>
      <w:bookmarkStart w:id="64" w:name="_Toc15396630"/>
      <w:r>
        <w:rPr>
          <w:rStyle w:val="28"/>
          <w:rFonts w:hint="eastAsia" w:ascii="仿宋" w:hAnsi="仿宋" w:eastAsia="仿宋"/>
          <w:b w:val="0"/>
          <w:bCs w:val="0"/>
        </w:rPr>
        <w:t>十二、</w:t>
      </w:r>
      <w:bookmarkEnd w:id="64"/>
      <w:r>
        <w:rPr>
          <w:rStyle w:val="28"/>
          <w:rFonts w:hint="eastAsia" w:ascii="仿宋" w:hAnsi="仿宋" w:eastAsia="仿宋"/>
          <w:b w:val="0"/>
          <w:bCs w:val="0"/>
        </w:rPr>
        <w:t>国有资本经营预算财政拨款支出决算表</w:t>
      </w:r>
    </w:p>
    <w:p>
      <w:pPr>
        <w:pStyle w:val="5"/>
        <w:rPr>
          <w:rFonts w:eastAsia="仿宋"/>
        </w:rPr>
      </w:pPr>
      <w:bookmarkStart w:id="65" w:name="_Toc15396631"/>
      <w:r>
        <w:rPr>
          <w:rStyle w:val="28"/>
          <w:rFonts w:hint="eastAsia" w:ascii="仿宋" w:hAnsi="仿宋" w:eastAsia="仿宋"/>
          <w:b w:val="0"/>
          <w:bCs w:val="0"/>
        </w:rPr>
        <w:t>十三、</w:t>
      </w:r>
      <w:bookmarkEnd w:id="65"/>
      <w:r>
        <w:rPr>
          <w:rStyle w:val="28"/>
          <w:rFonts w:hint="eastAsia" w:ascii="仿宋" w:hAnsi="仿宋" w:eastAsia="仿宋"/>
          <w:b w:val="0"/>
          <w:bCs w:val="0"/>
        </w:rPr>
        <w:t>财政拨款“三公”经费支出决算表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D55158"/>
    <w:multiLevelType w:val="singleLevel"/>
    <w:tmpl w:val="97D551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3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818A09A"/>
    <w:multiLevelType w:val="singleLevel"/>
    <w:tmpl w:val="3818A0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1ZjZhOThhOGZiYzQwNWYwZTFhMmI3MTU3Nzg2NjEifQ=="/>
  </w:docVars>
  <w:rsids>
    <w:rsidRoot w:val="00F1361C"/>
    <w:rsid w:val="000222C6"/>
    <w:rsid w:val="0002549F"/>
    <w:rsid w:val="000409D9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3DA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90590"/>
    <w:rsid w:val="003A484F"/>
    <w:rsid w:val="003A4883"/>
    <w:rsid w:val="003B0BE0"/>
    <w:rsid w:val="003B0C1B"/>
    <w:rsid w:val="003B4D45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23503"/>
    <w:rsid w:val="005664BB"/>
    <w:rsid w:val="00566FFA"/>
    <w:rsid w:val="0057481D"/>
    <w:rsid w:val="0058486E"/>
    <w:rsid w:val="00585B33"/>
    <w:rsid w:val="00587AA4"/>
    <w:rsid w:val="0059014D"/>
    <w:rsid w:val="005A1744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246A7"/>
    <w:rsid w:val="00630AEF"/>
    <w:rsid w:val="00630E31"/>
    <w:rsid w:val="006325F8"/>
    <w:rsid w:val="00633463"/>
    <w:rsid w:val="00634C9A"/>
    <w:rsid w:val="00637417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0FEA"/>
    <w:rsid w:val="007E23B0"/>
    <w:rsid w:val="007E23E5"/>
    <w:rsid w:val="007F1991"/>
    <w:rsid w:val="007F2C2F"/>
    <w:rsid w:val="007F55FC"/>
    <w:rsid w:val="007F5665"/>
    <w:rsid w:val="00800112"/>
    <w:rsid w:val="00813348"/>
    <w:rsid w:val="00821549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873A9"/>
    <w:rsid w:val="00B944D6"/>
    <w:rsid w:val="00B964F9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4AD3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53A62B5"/>
    <w:rsid w:val="0A2032A3"/>
    <w:rsid w:val="0B8A37D8"/>
    <w:rsid w:val="10C055FF"/>
    <w:rsid w:val="118107EC"/>
    <w:rsid w:val="11DD6519"/>
    <w:rsid w:val="16BB723D"/>
    <w:rsid w:val="18015F3F"/>
    <w:rsid w:val="1BE8440E"/>
    <w:rsid w:val="1D155CEE"/>
    <w:rsid w:val="1DC2367F"/>
    <w:rsid w:val="20F57F95"/>
    <w:rsid w:val="240371BF"/>
    <w:rsid w:val="25711CC6"/>
    <w:rsid w:val="25C741E6"/>
    <w:rsid w:val="27842671"/>
    <w:rsid w:val="29FD04D3"/>
    <w:rsid w:val="2ABE7A3E"/>
    <w:rsid w:val="2CA234A8"/>
    <w:rsid w:val="2EFA178C"/>
    <w:rsid w:val="30B46D73"/>
    <w:rsid w:val="319F7F4E"/>
    <w:rsid w:val="383D272C"/>
    <w:rsid w:val="39AE70AB"/>
    <w:rsid w:val="3C0C0783"/>
    <w:rsid w:val="3F9F3A96"/>
    <w:rsid w:val="44D035AC"/>
    <w:rsid w:val="48BF60AB"/>
    <w:rsid w:val="493C27E9"/>
    <w:rsid w:val="496F39ED"/>
    <w:rsid w:val="49FF41D3"/>
    <w:rsid w:val="4BE068DB"/>
    <w:rsid w:val="4BF6002B"/>
    <w:rsid w:val="4ECE2238"/>
    <w:rsid w:val="51DB4B86"/>
    <w:rsid w:val="55333C3E"/>
    <w:rsid w:val="64CA39A1"/>
    <w:rsid w:val="69630ADE"/>
    <w:rsid w:val="6C4A05C8"/>
    <w:rsid w:val="6D3B1A89"/>
    <w:rsid w:val="71BF4EC2"/>
    <w:rsid w:val="72734D90"/>
    <w:rsid w:val="7412278C"/>
    <w:rsid w:val="79E7B28D"/>
    <w:rsid w:val="7D896705"/>
    <w:rsid w:val="7F9F20EE"/>
    <w:rsid w:val="9E3A10E2"/>
    <w:rsid w:val="F2E1F9D4"/>
    <w:rsid w:val="F78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Body Text"/>
    <w:basedOn w:val="1"/>
    <w:link w:val="24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8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9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1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7">
    <w:name w:val="Strong"/>
    <w:basedOn w:val="16"/>
    <w:qFormat/>
    <w:uiPriority w:val="99"/>
    <w:rPr>
      <w:b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Header Char"/>
    <w:basedOn w:val="1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页眉 字符"/>
    <w:link w:val="11"/>
    <w:semiHidden/>
    <w:qFormat/>
    <w:locked/>
    <w:uiPriority w:val="99"/>
    <w:rPr>
      <w:sz w:val="18"/>
    </w:rPr>
  </w:style>
  <w:style w:type="character" w:customStyle="1" w:styleId="21">
    <w:name w:val="Footer Char"/>
    <w:basedOn w:val="1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2">
    <w:name w:val="页脚 字符"/>
    <w:link w:val="10"/>
    <w:qFormat/>
    <w:locked/>
    <w:uiPriority w:val="99"/>
    <w:rPr>
      <w:sz w:val="18"/>
    </w:rPr>
  </w:style>
  <w:style w:type="character" w:customStyle="1" w:styleId="23">
    <w:name w:val="Body Text Char"/>
    <w:basedOn w:val="16"/>
    <w:semiHidden/>
    <w:qFormat/>
    <w:uiPriority w:val="99"/>
    <w:rPr>
      <w:rFonts w:ascii="Times New Roman" w:hAnsi="Times New Roman"/>
      <w:szCs w:val="24"/>
    </w:rPr>
  </w:style>
  <w:style w:type="character" w:customStyle="1" w:styleId="24">
    <w:name w:val="正文文本 字符"/>
    <w:link w:val="7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字符"/>
    <w:basedOn w:val="16"/>
    <w:link w:val="4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8">
    <w:name w:val="标题 2 字符"/>
    <w:basedOn w:val="16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9">
    <w:name w:val="TOC 标题1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0">
    <w:name w:val="批注框文本 字符"/>
    <w:basedOn w:val="16"/>
    <w:link w:val="9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1">
    <w:name w:val="标题 3 字符"/>
    <w:basedOn w:val="16"/>
    <w:link w:val="6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2">
    <w:name w:val="TOC 标题2"/>
    <w:basedOn w:val="4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3">
    <w:name w:val="font4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61"/>
    <w:basedOn w:val="1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5">
    <w:name w:val="font51"/>
    <w:basedOn w:val="1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86188\AppData\Local\Temp\Temp58f48057-50cc-4f22-96f5-1b2ef023eb2a_&#20844;&#24320;&#21450;&#25209;&#22797;&#26448;&#26009;&#65288;&#20379;&#21442;&#32771;&#65289;.zip\&#20844;&#24320;&#21450;&#25209;&#22797;&#26448;&#26009;&#65288;&#20379;&#21442;&#32771;&#65289;\&#30465;&#26412;&#32423;\&#20844;&#24320;&#26448;&#26009;\&#20915;&#31639;&#20844;&#24320;&#25554;&#22270;&#21046;&#20316;&#31034;&#203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37096;&#38376;&#20915;&#31639;&#20844;&#24320;&#25991;&#20214;&#22841;\&#20915;&#31639;&#20844;&#24320;&#25554;&#22270;&#21046;&#20316;&#31034;&#2036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37096;&#38376;&#20915;&#31639;&#20844;&#24320;&#25991;&#20214;&#22841;\&#20915;&#31639;&#20844;&#24320;&#25554;&#22270;&#21046;&#20316;&#31034;&#203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图</a:t>
            </a:r>
            <a:r>
              <a:rPr lang="en-US" altLang="zh-CN"/>
              <a:t>2:</a:t>
            </a:r>
            <a:r>
              <a:rPr lang="zh-CN" altLang="en-US"/>
              <a:t>收入决算结构图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13888888889"/>
          <c:y val="0.176388888888889"/>
          <c:w val="0.324305555555556"/>
          <c:h val="0.540509259259259"/>
        </c:manualLayout>
      </c:layout>
      <c:pieChart>
        <c:varyColors val="1"/>
        <c:ser>
          <c:idx val="0"/>
          <c:order val="0"/>
          <c:spPr/>
          <c:explosion val="0"/>
          <c:dLbls>
            <c:delete val="1"/>
          </c:dLbls>
          <c:cat>
            <c:strRef>
              <c:f>图二!$A$1:$A$6</c:f>
              <c:strCache>
                <c:ptCount val="6"/>
                <c:pt idx="0">
                  <c:v>一、一般公共预算财政拨款收入</c:v>
                </c:pt>
                <c:pt idx="1">
                  <c:v>二、政府性基金预算财政拨款收入</c:v>
                </c:pt>
                <c:pt idx="2">
                  <c:v>三、国有资本经营预算财政拨款收入</c:v>
                </c:pt>
                <c:pt idx="3">
                  <c:v>四、事业收入</c:v>
                </c:pt>
                <c:pt idx="4">
                  <c:v>五、经营收入</c:v>
                </c:pt>
                <c:pt idx="5">
                  <c:v>六、其他收入</c:v>
                </c:pt>
              </c:strCache>
            </c:strRef>
          </c:cat>
          <c:val>
            <c:numRef>
              <c:f>图二!$B$1:$B$6</c:f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0321654287916653"/>
                  <c:y val="-0.1497902745855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图二!$A$1:$A$6</c:f>
              <c:strCache>
                <c:ptCount val="6"/>
                <c:pt idx="0">
                  <c:v>一、一般公共预算财政拨款收入</c:v>
                </c:pt>
                <c:pt idx="1">
                  <c:v>二、政府性基金预算财政拨款收入</c:v>
                </c:pt>
                <c:pt idx="2">
                  <c:v>三、国有资本经营预算财政拨款收入</c:v>
                </c:pt>
                <c:pt idx="3">
                  <c:v>四、事业收入</c:v>
                </c:pt>
                <c:pt idx="4">
                  <c:v>五、经营收入</c:v>
                </c:pt>
                <c:pt idx="5">
                  <c:v>六、其他收入</c:v>
                </c:pt>
              </c:strCache>
            </c:strRef>
          </c:cat>
          <c:val>
            <c:numRef>
              <c:f>图二!$C$1:$C$6</c:f>
              <c:numCache>
                <c:formatCode>0.00%</c:formatCode>
                <c:ptCount val="6"/>
                <c:pt idx="0">
                  <c:v>0.46</c:v>
                </c:pt>
                <c:pt idx="1">
                  <c:v>0</c:v>
                </c:pt>
                <c:pt idx="2">
                  <c:v>0</c:v>
                </c:pt>
                <c:pt idx="3">
                  <c:v>0.54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24846894138"/>
          <c:y val="0.150462962962963"/>
          <c:w val="0.566371172353456"/>
          <c:h val="0.689814814814815"/>
        </c:manualLayout>
      </c:layout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848707349081365"/>
                  <c:y val="-0.1715733449985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86458880139982"/>
                  <c:y val="0.1401472732575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[决算公开插图制作示例.xlsx]图三!$A$2:$B$2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[决算公开插图制作示例.xlsx]图三!$A$3:$B$3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043088363955"/>
          <c:y val="0.434801326917469"/>
          <c:w val="0.1868458005249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483216316710411"/>
                  <c:y val="0.09773804316127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46208442694663"/>
                  <c:y val="-0.03596310877806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00951443569554"/>
                  <c:y val="-0.1322783610382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6543197725284"/>
                  <c:y val="-0.1086734470691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[决算公开插图制作示例.xlsx]图6!$A$2:$A$5</c:f>
              <c:strCache>
                <c:ptCount val="4"/>
                <c:pt idx="0">
                  <c:v>一般公共服务（类）支出</c:v>
                </c:pt>
                <c:pt idx="1">
                  <c:v>社会保障和就业（类）支出</c:v>
                </c:pt>
                <c:pt idx="2">
                  <c:v>卫生健康(类)支出</c:v>
                </c:pt>
                <c:pt idx="3">
                  <c:v>住房保障（类）支出</c:v>
                </c:pt>
              </c:strCache>
            </c:strRef>
          </c:cat>
          <c:val>
            <c:numRef>
              <c:f>[决算公开插图制作示例.xlsx]图6!$B$2:$B$5</c:f>
              <c:numCache>
                <c:formatCode>General</c:formatCode>
                <c:ptCount val="4"/>
                <c:pt idx="0">
                  <c:v>0</c:v>
                </c:pt>
                <c:pt idx="1">
                  <c:v>41.89</c:v>
                </c:pt>
                <c:pt idx="2">
                  <c:v>401.71</c:v>
                </c:pt>
                <c:pt idx="3">
                  <c:v>29.4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四川省财政厅</Company>
  <Pages>19</Pages>
  <Words>5801</Words>
  <Characters>697</Characters>
  <Lines>5</Lines>
  <Paragraphs>12</Paragraphs>
  <TotalTime>0</TotalTime>
  <ScaleCrop>false</ScaleCrop>
  <LinksUpToDate>false</LinksUpToDate>
  <CharactersWithSpaces>6486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2023-10-11T09:23:00Z</dcterms:created>
  <dc:creator>曹颖</dc:creator>
  <cp:lastModifiedBy>NO LOVE</cp:lastModifiedBy>
  <cp:lastPrinted>2023-07-31T02:35:00Z</cp:lastPrinted>
  <dcterms:modified xsi:type="dcterms:W3CDTF">2023-10-29T02:15:45Z</dcterms:modified>
  <dc:title>四川省***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EF0022D3C0294A6F89F85AF98CBBA13D_13</vt:lpwstr>
  </property>
</Properties>
</file>